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084A8E" w:rsidR="00053326" w:rsidP="00084A8E" w:rsidRDefault="00EF6CE0" w14:paraId="1AE3DF52" w14:textId="397A9BCA">
      <w:pPr>
        <w:jc w:val="center"/>
        <w:rPr>
          <w:b/>
        </w:rPr>
      </w:pPr>
      <w:r w:rsidRPr="00084A8E">
        <w:rPr>
          <w:b/>
        </w:rPr>
        <w:t>PUBLIC UTILITIES COMMISSION OF THE STATE OF CALIFORNIA</w:t>
      </w:r>
      <w:bookmarkStart w:name="_Ref404993683" w:id="0"/>
    </w:p>
    <w:p w:rsidR="00B04AB6" w:rsidP="00B04AB6" w:rsidRDefault="00B04AB6" w14:paraId="11F82B2F" w14:textId="789D76CC">
      <w:pPr>
        <w:tabs>
          <w:tab w:val="right" w:pos="9000"/>
        </w:tabs>
        <w:spacing w:after="0"/>
        <w:rPr>
          <w:b/>
          <w:bCs/>
        </w:rPr>
      </w:pPr>
      <w:r>
        <w:rPr>
          <w:b/>
          <w:bCs/>
        </w:rPr>
        <w:tab/>
      </w:r>
    </w:p>
    <w:p w:rsidRPr="000978B2" w:rsidR="00E94EA4" w:rsidP="00B04AB6" w:rsidRDefault="0065102F" w14:paraId="08954D9B" w14:textId="69F5B39B">
      <w:pPr>
        <w:tabs>
          <w:tab w:val="right" w:pos="9000"/>
        </w:tabs>
        <w:spacing w:after="0"/>
        <w:rPr>
          <w:b/>
          <w:bCs/>
        </w:rPr>
      </w:pPr>
      <w:r w:rsidRPr="000978B2">
        <w:rPr>
          <w:b/>
          <w:bCs/>
        </w:rPr>
        <w:t xml:space="preserve">ENERGY </w:t>
      </w:r>
      <w:r w:rsidRPr="000978B2">
        <w:rPr>
          <w:b/>
          <w:bCs/>
          <w:caps/>
        </w:rPr>
        <w:t>DIVISION</w:t>
      </w:r>
      <w:r w:rsidRPr="000978B2" w:rsidR="00B4236D">
        <w:rPr>
          <w:b/>
          <w:bCs/>
        </w:rPr>
        <w:tab/>
      </w:r>
      <w:r w:rsidRPr="000978B2" w:rsidR="00E94EA4">
        <w:rPr>
          <w:b/>
          <w:bCs/>
        </w:rPr>
        <w:t>AGENDA ID:</w:t>
      </w:r>
      <w:r w:rsidRPr="000978B2" w:rsidR="009F6320">
        <w:rPr>
          <w:b/>
          <w:bCs/>
        </w:rPr>
        <w:t xml:space="preserve"> </w:t>
      </w:r>
      <w:r w:rsidRPr="00934F77" w:rsidR="00934F77">
        <w:rPr>
          <w:b/>
          <w:bCs/>
        </w:rPr>
        <w:t>18638</w:t>
      </w:r>
    </w:p>
    <w:p w:rsidRPr="000978B2" w:rsidR="00AA15E5" w:rsidP="00B04AB6" w:rsidRDefault="00B4236D" w14:paraId="6E9CFEB5" w14:textId="5CA9AC4A">
      <w:pPr>
        <w:tabs>
          <w:tab w:val="right" w:pos="9000"/>
        </w:tabs>
        <w:spacing w:after="0"/>
        <w:rPr>
          <w:b/>
          <w:bCs/>
        </w:rPr>
      </w:pPr>
      <w:r w:rsidRPr="000978B2">
        <w:rPr>
          <w:b/>
          <w:bCs/>
        </w:rPr>
        <w:tab/>
      </w:r>
      <w:r w:rsidRPr="000978B2" w:rsidR="00D3441C">
        <w:rPr>
          <w:b/>
          <w:bCs/>
        </w:rPr>
        <w:t xml:space="preserve">RESOLUTION </w:t>
      </w:r>
      <w:r w:rsidRPr="000978B2" w:rsidR="00F85B06">
        <w:rPr>
          <w:b/>
          <w:bCs/>
        </w:rPr>
        <w:t>E-</w:t>
      </w:r>
      <w:r w:rsidRPr="000978B2" w:rsidR="00A116C3">
        <w:rPr>
          <w:b/>
          <w:bCs/>
        </w:rPr>
        <w:t>5082</w:t>
      </w:r>
    </w:p>
    <w:p w:rsidRPr="000978B2" w:rsidR="00D3441C" w:rsidP="00B04AB6" w:rsidRDefault="009107C1" w14:paraId="3A90A3A1" w14:textId="5BD3CE2D">
      <w:pPr>
        <w:tabs>
          <w:tab w:val="right" w:pos="9000"/>
        </w:tabs>
        <w:spacing w:after="0"/>
        <w:rPr>
          <w:b/>
          <w:bCs/>
        </w:rPr>
      </w:pPr>
      <w:r w:rsidRPr="000978B2">
        <w:rPr>
          <w:b/>
          <w:bCs/>
        </w:rPr>
        <w:tab/>
      </w:r>
      <w:r w:rsidRPr="000978B2" w:rsidR="00AA15E5">
        <w:rPr>
          <w:b/>
          <w:bCs/>
        </w:rPr>
        <w:t xml:space="preserve">August </w:t>
      </w:r>
      <w:r w:rsidRPr="000978B2" w:rsidR="005A215E">
        <w:rPr>
          <w:b/>
          <w:bCs/>
        </w:rPr>
        <w:t>2</w:t>
      </w:r>
      <w:r w:rsidRPr="000978B2" w:rsidR="00806346">
        <w:rPr>
          <w:b/>
          <w:bCs/>
        </w:rPr>
        <w:t>7</w:t>
      </w:r>
      <w:r w:rsidRPr="000978B2" w:rsidR="00AA15E5">
        <w:rPr>
          <w:b/>
          <w:bCs/>
        </w:rPr>
        <w:t xml:space="preserve">, </w:t>
      </w:r>
      <w:r w:rsidRPr="000978B2" w:rsidR="005A215E">
        <w:rPr>
          <w:b/>
          <w:bCs/>
        </w:rPr>
        <w:t>2020</w:t>
      </w:r>
      <w:r w:rsidRPr="000978B2" w:rsidR="00663D34">
        <w:rPr>
          <w:b/>
          <w:bCs/>
        </w:rPr>
        <w:t xml:space="preserve"> </w:t>
      </w:r>
    </w:p>
    <w:p w:rsidRPr="00084A8E" w:rsidR="00D3441C" w:rsidP="00B4236D" w:rsidRDefault="00D3441C" w14:paraId="59E21CF2" w14:textId="77777777"/>
    <w:p w:rsidRPr="00AA587A" w:rsidR="00D3441C" w:rsidP="00B4236D" w:rsidRDefault="00D3441C" w14:paraId="527D585D" w14:textId="77777777">
      <w:pPr>
        <w:jc w:val="center"/>
        <w:rPr>
          <w:b/>
          <w:bCs/>
          <w:spacing w:val="86"/>
          <w:u w:val="single"/>
        </w:rPr>
      </w:pPr>
      <w:r w:rsidRPr="00AA587A">
        <w:rPr>
          <w:b/>
          <w:bCs/>
          <w:spacing w:val="86"/>
          <w:u w:val="single"/>
        </w:rPr>
        <w:t>RESOLUTION</w:t>
      </w:r>
    </w:p>
    <w:p w:rsidRPr="00084A8E" w:rsidR="00D3441C" w:rsidP="00B4236D" w:rsidRDefault="00D3441C" w14:paraId="2DB3C991" w14:textId="77777777"/>
    <w:p w:rsidRPr="00084A8E" w:rsidR="00D3441C" w:rsidP="00B4236D" w:rsidRDefault="00D3441C" w14:paraId="65489B16" w14:textId="095BFC77">
      <w:pPr>
        <w:ind w:left="720"/>
        <w:rPr>
          <w:rFonts w:cs="Arial"/>
        </w:rPr>
      </w:pPr>
      <w:r w:rsidRPr="00084A8E">
        <w:t xml:space="preserve">Resolution </w:t>
      </w:r>
      <w:r w:rsidRPr="009E49FC">
        <w:t>E-</w:t>
      </w:r>
      <w:r w:rsidRPr="009E49FC" w:rsidR="00A116C3">
        <w:t>5082</w:t>
      </w:r>
      <w:r w:rsidRPr="009E49FC">
        <w:t>.</w:t>
      </w:r>
      <w:r w:rsidRPr="009E49FC" w:rsidR="009F7548">
        <w:t xml:space="preserve"> </w:t>
      </w:r>
      <w:r w:rsidRPr="009E49FC">
        <w:t>Approv</w:t>
      </w:r>
      <w:r w:rsidRPr="00084A8E">
        <w:t>al of the Database for Energy-Efficien</w:t>
      </w:r>
      <w:r w:rsidRPr="00084A8E" w:rsidR="00E86335">
        <w:t>cy</w:t>
      </w:r>
      <w:r w:rsidRPr="00084A8E">
        <w:t xml:space="preserve"> Resources updates for </w:t>
      </w:r>
      <w:r w:rsidRPr="00084A8E" w:rsidR="004B565F">
        <w:t xml:space="preserve">Program Year </w:t>
      </w:r>
      <w:r w:rsidRPr="00084A8E">
        <w:t>202</w:t>
      </w:r>
      <w:r w:rsidRPr="00084A8E" w:rsidR="005A215E">
        <w:t>2</w:t>
      </w:r>
      <w:r w:rsidRPr="00084A8E">
        <w:t xml:space="preserve"> and revised version </w:t>
      </w:r>
      <w:r w:rsidRPr="00084A8E" w:rsidR="004209D7">
        <w:t>for Program Year</w:t>
      </w:r>
      <w:r w:rsidRPr="00084A8E" w:rsidR="0043465B">
        <w:t>s</w:t>
      </w:r>
      <w:r w:rsidRPr="00084A8E" w:rsidR="004209D7">
        <w:t xml:space="preserve"> </w:t>
      </w:r>
      <w:r w:rsidRPr="00084A8E">
        <w:t>20</w:t>
      </w:r>
      <w:r w:rsidRPr="00084A8E" w:rsidR="00076CA5">
        <w:t>2</w:t>
      </w:r>
      <w:r w:rsidRPr="00084A8E" w:rsidR="005A215E">
        <w:t>1</w:t>
      </w:r>
      <w:r w:rsidRPr="00084A8E" w:rsidR="0043465B">
        <w:t xml:space="preserve"> and 2020</w:t>
      </w:r>
      <w:r w:rsidRPr="00084A8E">
        <w:t>.</w:t>
      </w:r>
    </w:p>
    <w:p w:rsidRPr="00084A8E" w:rsidR="00D3441C" w:rsidP="00B4236D" w:rsidRDefault="00D3441C" w14:paraId="1E6E3939" w14:textId="77777777">
      <w:pPr>
        <w:ind w:left="720"/>
      </w:pPr>
      <w:r w:rsidRPr="00084A8E">
        <w:t>PROPOSED OUTCOME:</w:t>
      </w:r>
    </w:p>
    <w:p w:rsidRPr="00084A8E" w:rsidR="0043465B" w:rsidP="00B4236D" w:rsidRDefault="0043465B" w14:paraId="5488CC10" w14:textId="685D941B">
      <w:pPr>
        <w:pStyle w:val="ListParagraph"/>
        <w:ind w:left="1080"/>
      </w:pPr>
      <w:r w:rsidRPr="00084A8E">
        <w:t>DEER2022 Update (effective</w:t>
      </w:r>
      <w:r w:rsidRPr="00084A8E" w:rsidR="00D46D2D">
        <w:t xml:space="preserve"> January 1, 2</w:t>
      </w:r>
      <w:r w:rsidRPr="00084A8E">
        <w:t>022)</w:t>
      </w:r>
    </w:p>
    <w:p w:rsidRPr="00084A8E" w:rsidR="00D3441C" w:rsidP="00B4236D" w:rsidRDefault="00D3441C" w14:paraId="0595EF71" w14:textId="28AA8562">
      <w:pPr>
        <w:pStyle w:val="ListParagraph"/>
        <w:ind w:left="1080"/>
      </w:pPr>
      <w:r w:rsidRPr="00084A8E">
        <w:t>Revise DEER20</w:t>
      </w:r>
      <w:r w:rsidRPr="00084A8E" w:rsidR="00722640">
        <w:t>2</w:t>
      </w:r>
      <w:r w:rsidRPr="00084A8E" w:rsidR="00F4208E">
        <w:t>1</w:t>
      </w:r>
      <w:r w:rsidRPr="00084A8E">
        <w:t xml:space="preserve"> Update (effective </w:t>
      </w:r>
      <w:r w:rsidRPr="00084A8E" w:rsidR="00D46D2D">
        <w:t xml:space="preserve">January 1, </w:t>
      </w:r>
      <w:r w:rsidRPr="00084A8E">
        <w:t>20</w:t>
      </w:r>
      <w:r w:rsidRPr="00084A8E" w:rsidR="00187493">
        <w:t>2</w:t>
      </w:r>
      <w:r w:rsidRPr="00084A8E" w:rsidR="00F4208E">
        <w:t>1</w:t>
      </w:r>
      <w:r w:rsidRPr="00084A8E">
        <w:t>)</w:t>
      </w:r>
      <w:r w:rsidRPr="00084A8E" w:rsidR="00841F2F">
        <w:t xml:space="preserve"> </w:t>
      </w:r>
    </w:p>
    <w:p w:rsidRPr="00084A8E" w:rsidR="0043465B" w:rsidP="00B4236D" w:rsidRDefault="000657E3" w14:paraId="01603FB6" w14:textId="3063C2D9">
      <w:pPr>
        <w:pStyle w:val="ListParagraph"/>
        <w:ind w:left="1080"/>
      </w:pPr>
      <w:r>
        <w:t xml:space="preserve">Revise </w:t>
      </w:r>
      <w:r w:rsidRPr="00084A8E" w:rsidR="0043465B">
        <w:t>DEER2020 Update (effective 2020)</w:t>
      </w:r>
    </w:p>
    <w:p w:rsidRPr="00084A8E" w:rsidR="00EF6CE0" w:rsidP="00B4236D" w:rsidRDefault="00EF6CE0" w14:paraId="16ED0962" w14:textId="77777777">
      <w:pPr>
        <w:ind w:left="720"/>
      </w:pPr>
    </w:p>
    <w:p w:rsidRPr="00084A8E" w:rsidR="00EF6CE0" w:rsidP="00B4236D" w:rsidRDefault="00EF6CE0" w14:paraId="1E8DB09F" w14:textId="77777777">
      <w:pPr>
        <w:ind w:left="720"/>
      </w:pPr>
      <w:r w:rsidRPr="00084A8E">
        <w:t>SAFETY CONSIDERATIONS:</w:t>
      </w:r>
    </w:p>
    <w:p w:rsidRPr="00084A8E" w:rsidR="00EF6CE0" w:rsidP="00B4236D" w:rsidRDefault="00AB2AEE" w14:paraId="3CBD8A32" w14:textId="1C471434">
      <w:pPr>
        <w:pStyle w:val="ListParagraph"/>
        <w:ind w:left="1080"/>
      </w:pPr>
      <w:r w:rsidRPr="00084A8E">
        <w:t>This Resolution has</w:t>
      </w:r>
      <w:r w:rsidRPr="00084A8E" w:rsidR="00EF6CE0">
        <w:t xml:space="preserve"> no impact on safety.</w:t>
      </w:r>
    </w:p>
    <w:p w:rsidRPr="00084A8E" w:rsidR="00EF6CE0" w:rsidP="00B4236D" w:rsidRDefault="00EF6CE0" w14:paraId="4E6B701D" w14:textId="77777777">
      <w:pPr>
        <w:ind w:left="720"/>
      </w:pPr>
    </w:p>
    <w:p w:rsidRPr="00084A8E" w:rsidR="00EF6CE0" w:rsidP="00B4236D" w:rsidRDefault="00EF6CE0" w14:paraId="0AB8DB1C" w14:textId="77777777">
      <w:pPr>
        <w:ind w:left="720"/>
      </w:pPr>
      <w:r w:rsidRPr="00084A8E">
        <w:t>ESTIMATED COST</w:t>
      </w:r>
      <w:r w:rsidRPr="00084A8E" w:rsidR="005242E8">
        <w:t xml:space="preserve">: </w:t>
      </w:r>
    </w:p>
    <w:p w:rsidRPr="00084A8E" w:rsidR="00EF6CE0" w:rsidP="00B4236D" w:rsidRDefault="00E94EA4" w14:paraId="70BA7B17" w14:textId="66B731D0">
      <w:pPr>
        <w:pStyle w:val="ListParagraph"/>
        <w:ind w:left="1080"/>
      </w:pPr>
      <w:r w:rsidRPr="00084A8E">
        <w:t xml:space="preserve">This Resolution is not expected to immediately result in additional cost, however, </w:t>
      </w:r>
      <w:r w:rsidRPr="00084A8E" w:rsidR="00076CA5">
        <w:t xml:space="preserve">some of the changes </w:t>
      </w:r>
      <w:r w:rsidRPr="00084A8E">
        <w:t>may have cost implications that cannot be known at this time.</w:t>
      </w:r>
    </w:p>
    <w:p w:rsidRPr="00084A8E" w:rsidR="00EF6CE0" w:rsidP="00B4236D" w:rsidRDefault="00EF6CE0" w14:paraId="3D110ADB" w14:textId="77777777">
      <w:pPr>
        <w:ind w:left="720"/>
        <w:rPr>
          <w:highlight w:val="yellow"/>
        </w:rPr>
      </w:pPr>
    </w:p>
    <w:p w:rsidRPr="00084A8E" w:rsidR="002B56B8" w:rsidP="00B4236D" w:rsidRDefault="008E4EF8" w14:paraId="15CA1367" w14:textId="51C89B37">
      <w:pPr>
        <w:ind w:left="720"/>
      </w:pPr>
      <w:r w:rsidRPr="00084A8E">
        <w:rPr>
          <w:rFonts w:cs="Book Antiqua"/>
        </w:rPr>
        <w:t xml:space="preserve">By Energy Division’s own motion </w:t>
      </w:r>
      <w:r w:rsidRPr="00084A8E">
        <w:t>in Compliance with D.15-10-028.</w:t>
      </w:r>
      <w:r w:rsidRPr="00084A8E" w:rsidR="00CE0C36">
        <w:t xml:space="preserve"> </w:t>
      </w:r>
    </w:p>
    <w:p w:rsidRPr="0059337D" w:rsidR="0033795A" w:rsidP="009107C1" w:rsidRDefault="0033795A" w14:paraId="366022E2" w14:textId="77777777">
      <w:pPr>
        <w:ind w:left="810"/>
      </w:pPr>
      <w:r w:rsidRPr="0059337D">
        <w:t>__________________________________________________________</w:t>
      </w:r>
    </w:p>
    <w:p w:rsidRPr="0033795A" w:rsidR="00EF6CE0" w:rsidP="008E2F07" w:rsidRDefault="000B317B" w14:paraId="68D254A3" w14:textId="77777777">
      <w:pPr>
        <w:pStyle w:val="Heading1"/>
        <w:rPr>
          <w:rFonts w:ascii="Palatino Linotype" w:hAnsi="Palatino Linotype"/>
          <w:u w:val="single"/>
        </w:rPr>
      </w:pPr>
      <w:bookmarkStart w:name="_Toc518983876" w:id="1"/>
      <w:bookmarkStart w:name="_Toc519764444" w:id="2"/>
      <w:bookmarkStart w:name="_Ref41482006" w:id="3"/>
      <w:r w:rsidRPr="0033795A">
        <w:rPr>
          <w:rFonts w:ascii="Palatino Linotype" w:hAnsi="Palatino Linotype"/>
          <w:u w:val="single"/>
        </w:rPr>
        <w:t>SUMMARY</w:t>
      </w:r>
      <w:bookmarkEnd w:id="0"/>
      <w:bookmarkEnd w:id="1"/>
      <w:bookmarkEnd w:id="2"/>
      <w:bookmarkEnd w:id="3"/>
    </w:p>
    <w:p w:rsidRPr="00084A8E" w:rsidR="001B4236" w:rsidP="008E2F07" w:rsidRDefault="00BD2F59" w14:paraId="430ED127" w14:textId="18CF4274">
      <w:r w:rsidRPr="00084A8E">
        <w:t>This Resolution approves updates to the Database for Energy-Efficient Resources (DEER) for program year (PY) 202</w:t>
      </w:r>
      <w:r w:rsidRPr="00084A8E" w:rsidR="001A6084">
        <w:t>2</w:t>
      </w:r>
      <w:r w:rsidRPr="00084A8E">
        <w:t xml:space="preserve"> and a revised version of DEER for PY202</w:t>
      </w:r>
      <w:r w:rsidRPr="00084A8E" w:rsidR="001A6084">
        <w:t>1</w:t>
      </w:r>
      <w:r w:rsidRPr="00084A8E">
        <w:t xml:space="preserve"> </w:t>
      </w:r>
      <w:r w:rsidRPr="00084A8E" w:rsidR="00C752BF">
        <w:t xml:space="preserve">and </w:t>
      </w:r>
      <w:r w:rsidR="001F4BD6">
        <w:t>PY</w:t>
      </w:r>
      <w:r w:rsidR="00A640CE">
        <w:t>2020</w:t>
      </w:r>
      <w:r w:rsidRPr="00084A8E" w:rsidR="00C752BF">
        <w:t>,</w:t>
      </w:r>
      <w:r w:rsidRPr="00084A8E">
        <w:t xml:space="preserve"> in Compliance with D.15-10-028 and Resolutions E-4818</w:t>
      </w:r>
      <w:r w:rsidRPr="00084A8E" w:rsidR="001A6084">
        <w:t xml:space="preserve">, </w:t>
      </w:r>
      <w:r w:rsidRPr="00084A8E">
        <w:t>E-4952</w:t>
      </w:r>
      <w:r w:rsidRPr="00084A8E" w:rsidR="00EF351D">
        <w:t>,</w:t>
      </w:r>
      <w:r w:rsidRPr="00084A8E" w:rsidR="001A6084">
        <w:t xml:space="preserve"> and E</w:t>
      </w:r>
      <w:r w:rsidRPr="00084A8E" w:rsidR="001A6084">
        <w:noBreakHyphen/>
        <w:t>5009</w:t>
      </w:r>
      <w:r w:rsidRPr="00084A8E">
        <w:t xml:space="preserve">. This update also addresses significant transitions for </w:t>
      </w:r>
      <w:r w:rsidRPr="00084A8E" w:rsidR="00C36243">
        <w:t xml:space="preserve">the </w:t>
      </w:r>
      <w:r w:rsidRPr="00084A8E">
        <w:t>DEER and workpaper system maintenance and operation.</w:t>
      </w:r>
    </w:p>
    <w:p w:rsidRPr="00084A8E" w:rsidR="00EF6CE0" w:rsidP="008E2F07" w:rsidRDefault="003727BB" w14:paraId="437F1069" w14:textId="594375BD">
      <w:r w:rsidRPr="00084A8E">
        <w:lastRenderedPageBreak/>
        <w:t>All</w:t>
      </w:r>
      <w:r w:rsidRPr="00084A8E" w:rsidR="00EF6CE0">
        <w:t xml:space="preserve"> updated DEER assumptions, methods, values and supporting documentation are available on the DEEResources.com website</w:t>
      </w:r>
      <w:r w:rsidRPr="00084A8E" w:rsidR="00FA1A07">
        <w:t>.</w:t>
      </w:r>
      <w:r w:rsidRPr="00084A8E" w:rsidR="004F657D">
        <w:rPr>
          <w:rStyle w:val="FootnoteReference"/>
          <w:rFonts w:ascii="Palatino Linotype" w:hAnsi="Palatino Linotype"/>
        </w:rPr>
        <w:footnoteReference w:id="2"/>
      </w:r>
    </w:p>
    <w:p w:rsidRPr="00DB4A4B" w:rsidR="00BE3AC4" w:rsidP="008E2F07" w:rsidRDefault="00BE3AC4" w14:paraId="6FE48A9D" w14:textId="77777777">
      <w:pPr>
        <w:pStyle w:val="Heading1"/>
        <w:rPr>
          <w:rFonts w:ascii="Palatino Linotype" w:hAnsi="Palatino Linotype"/>
          <w:u w:val="single"/>
        </w:rPr>
      </w:pPr>
      <w:bookmarkStart w:name="_Toc466363835" w:id="4"/>
      <w:bookmarkStart w:name="_Toc518983877" w:id="5"/>
      <w:bookmarkStart w:name="_Toc519764445" w:id="6"/>
      <w:r w:rsidRPr="00DB4A4B">
        <w:rPr>
          <w:rFonts w:ascii="Palatino Linotype" w:hAnsi="Palatino Linotype"/>
          <w:u w:val="single"/>
        </w:rPr>
        <w:t>BACKGROUND</w:t>
      </w:r>
      <w:bookmarkEnd w:id="4"/>
      <w:bookmarkEnd w:id="5"/>
      <w:bookmarkEnd w:id="6"/>
    </w:p>
    <w:p w:rsidRPr="008A28CD" w:rsidR="00C95F27" w:rsidP="008E2F07" w:rsidRDefault="00C95F27" w14:paraId="3B28BC6B" w14:textId="0DD4FDDD">
      <w:pPr>
        <w:pStyle w:val="Heading2"/>
        <w:rPr>
          <w:rFonts w:ascii="Palatino Linotype" w:hAnsi="Palatino Linotype"/>
          <w:b/>
          <w:bCs/>
          <w:szCs w:val="24"/>
        </w:rPr>
      </w:pPr>
      <w:r w:rsidRPr="008A28CD">
        <w:rPr>
          <w:rFonts w:ascii="Palatino Linotype" w:hAnsi="Palatino Linotype"/>
          <w:b/>
          <w:bCs/>
          <w:szCs w:val="24"/>
        </w:rPr>
        <w:t>Past Decisions</w:t>
      </w:r>
    </w:p>
    <w:p w:rsidRPr="00084A8E" w:rsidR="00EA330A" w:rsidP="008E2F07" w:rsidRDefault="00C752BF" w14:paraId="7216AB25" w14:textId="51998B5B">
      <w:r w:rsidRPr="007868A6">
        <w:t xml:space="preserve">The California Public Utilities </w:t>
      </w:r>
      <w:r w:rsidRPr="007868A6" w:rsidR="00EA330A">
        <w:t>Commission</w:t>
      </w:r>
      <w:r w:rsidRPr="007868A6">
        <w:t xml:space="preserve"> (Commission or CPUC)</w:t>
      </w:r>
      <w:r w:rsidRPr="007868A6" w:rsidR="00EA330A">
        <w:t xml:space="preserve"> Decision D.15-10-028, Ordering Paragraph 17 states: “Commission </w:t>
      </w:r>
      <w:r w:rsidR="00813B21">
        <w:t>s</w:t>
      </w:r>
      <w:r w:rsidRPr="007868A6" w:rsidR="00EA330A">
        <w:t>taff shall propose changes to the Database of Energy Efficient Resources once annually via Resolution, with the associated comment/protest period provided by General Order 96-B. However, Commission staff may make changes at any time without a Resolution to fix errors or to change documentation.” D.15-10-028, retains the direction from D.12-05-015 that DEER values be updated for consistency with existing and updated state and federal codes and standards while incorporating these changes into the annual DEER update.</w:t>
      </w:r>
      <w:r w:rsidRPr="007868A6" w:rsidR="00EA330A">
        <w:rPr>
          <w:vertAlign w:val="superscript"/>
        </w:rPr>
        <w:footnoteReference w:id="3"/>
      </w:r>
      <w:r w:rsidRPr="007868A6" w:rsidR="00EA330A">
        <w:t xml:space="preserve"> D.15</w:t>
      </w:r>
      <w:r w:rsidRPr="007868A6" w:rsidR="00EA330A">
        <w:noBreakHyphen/>
        <w:t>10</w:t>
      </w:r>
      <w:r w:rsidRPr="007868A6" w:rsidR="00EA330A">
        <w:noBreakHyphen/>
        <w:t xml:space="preserve">028 also retains previous direction on </w:t>
      </w:r>
      <w:r w:rsidRPr="007868A6">
        <w:t xml:space="preserve">CPUC </w:t>
      </w:r>
      <w:r w:rsidR="00813B21">
        <w:t>s</w:t>
      </w:r>
      <w:r w:rsidR="00FA4413">
        <w:t xml:space="preserve">taff </w:t>
      </w:r>
      <w:r w:rsidRPr="007868A6" w:rsidR="00EA330A">
        <w:t>latitude in updating DEER.</w:t>
      </w:r>
      <w:r w:rsidRPr="007868A6" w:rsidR="00EA330A">
        <w:rPr>
          <w:vertAlign w:val="superscript"/>
        </w:rPr>
        <w:footnoteReference w:id="4"/>
      </w:r>
      <w:r w:rsidRPr="007868A6" w:rsidR="00EA330A">
        <w:t xml:space="preserve"> </w:t>
      </w:r>
      <w:r w:rsidRPr="007868A6" w:rsidR="007868A6">
        <w:t>Other relevant past decisions include</w:t>
      </w:r>
      <w:r w:rsidRPr="007868A6" w:rsidR="00EA330A">
        <w:t xml:space="preserve"> Resolution E</w:t>
      </w:r>
      <w:r w:rsidRPr="007868A6" w:rsidR="001B7093">
        <w:noBreakHyphen/>
      </w:r>
      <w:r w:rsidRPr="007868A6" w:rsidR="00EA330A">
        <w:t>4952</w:t>
      </w:r>
      <w:r w:rsidRPr="007868A6" w:rsidR="00936614">
        <w:rPr>
          <w:rStyle w:val="FootnoteReference"/>
          <w:rFonts w:ascii="Palatino Linotype" w:hAnsi="Palatino Linotype"/>
        </w:rPr>
        <w:footnoteReference w:id="5"/>
      </w:r>
      <w:r w:rsidRPr="007868A6" w:rsidR="00EA330A">
        <w:t xml:space="preserve"> (DEER2020)</w:t>
      </w:r>
      <w:r w:rsidRPr="007868A6" w:rsidR="00936614">
        <w:t>, adopted on October 11, 2018</w:t>
      </w:r>
      <w:r w:rsidRPr="007868A6" w:rsidR="00EA330A">
        <w:t xml:space="preserve"> </w:t>
      </w:r>
      <w:r w:rsidRPr="007868A6" w:rsidR="007868A6">
        <w:t xml:space="preserve">which </w:t>
      </w:r>
      <w:r w:rsidRPr="007868A6" w:rsidR="00EA330A">
        <w:t>clarified and specified some E</w:t>
      </w:r>
      <w:r w:rsidRPr="007868A6" w:rsidR="00B0612C">
        <w:noBreakHyphen/>
      </w:r>
      <w:r w:rsidRPr="007868A6" w:rsidR="00EA330A">
        <w:t>4818</w:t>
      </w:r>
      <w:r w:rsidRPr="007868A6" w:rsidR="00936614">
        <w:rPr>
          <w:rStyle w:val="FootnoteReference"/>
          <w:rFonts w:ascii="Palatino Linotype" w:hAnsi="Palatino Linotype"/>
        </w:rPr>
        <w:footnoteReference w:id="6"/>
      </w:r>
      <w:r w:rsidRPr="007868A6" w:rsidR="00936614">
        <w:t xml:space="preserve"> (adopted on March 2, 2017)</w:t>
      </w:r>
      <w:r w:rsidRPr="007868A6" w:rsidR="00EA330A">
        <w:t xml:space="preserve"> issues, as well as provided a large number of other significant changes, such as the peak demand period and building prototype and </w:t>
      </w:r>
      <w:r w:rsidRPr="007868A6" w:rsidR="001B7093">
        <w:t>measure analysis software (</w:t>
      </w:r>
      <w:r w:rsidRPr="007868A6" w:rsidR="00EA330A">
        <w:t>MAS</w:t>
      </w:r>
      <w:r w:rsidRPr="007868A6" w:rsidR="001B7093">
        <w:t>)</w:t>
      </w:r>
      <w:r w:rsidRPr="007868A6" w:rsidR="00EA330A">
        <w:t xml:space="preserve"> </w:t>
      </w:r>
      <w:r w:rsidRPr="007868A6" w:rsidR="001B7093">
        <w:t>c</w:t>
      </w:r>
      <w:r w:rsidRPr="007868A6" w:rsidR="00EA330A">
        <w:t>ontrol updates.</w:t>
      </w:r>
    </w:p>
    <w:p w:rsidRPr="008A28CD" w:rsidR="00C95F27" w:rsidP="008E2F07" w:rsidRDefault="00C95F27" w14:paraId="03A659CC" w14:textId="16AFA02B">
      <w:pPr>
        <w:pStyle w:val="Heading2"/>
        <w:rPr>
          <w:rFonts w:ascii="Palatino Linotype" w:hAnsi="Palatino Linotype"/>
          <w:b/>
          <w:bCs/>
        </w:rPr>
      </w:pPr>
      <w:r w:rsidRPr="008A28CD">
        <w:rPr>
          <w:rFonts w:ascii="Palatino Linotype" w:hAnsi="Palatino Linotype"/>
          <w:b/>
          <w:bCs/>
        </w:rPr>
        <w:t>Timing and Applicability of DEER Updates</w:t>
      </w:r>
    </w:p>
    <w:p w:rsidRPr="007868A6" w:rsidR="00C95F27" w:rsidP="008E2F07" w:rsidRDefault="00EF6CE0" w14:paraId="054E5058" w14:textId="615208E6">
      <w:r w:rsidRPr="007868A6">
        <w:t xml:space="preserve">DEER updates flow into the portfolio development process by providing new savings estimates </w:t>
      </w:r>
      <w:r w:rsidRPr="007868A6" w:rsidR="00725C20">
        <w:t xml:space="preserve">and other parameter updates </w:t>
      </w:r>
      <w:r w:rsidRPr="007868A6" w:rsidR="00955E76">
        <w:t>for program</w:t>
      </w:r>
      <w:r w:rsidRPr="007868A6">
        <w:t xml:space="preserve"> design.</w:t>
      </w:r>
      <w:r w:rsidRPr="007868A6" w:rsidR="00C36243">
        <w:t xml:space="preserve"> </w:t>
      </w:r>
      <w:r w:rsidRPr="007868A6">
        <w:t>New savings estimates</w:t>
      </w:r>
      <w:r w:rsidRPr="007868A6" w:rsidR="008975C4">
        <w:t>,</w:t>
      </w:r>
      <w:r w:rsidRPr="007868A6">
        <w:t xml:space="preserve"> </w:t>
      </w:r>
      <w:r w:rsidRPr="007868A6" w:rsidR="00D50321">
        <w:t xml:space="preserve">and </w:t>
      </w:r>
      <w:r w:rsidRPr="007868A6" w:rsidR="00B748DF">
        <w:t xml:space="preserve">underlying </w:t>
      </w:r>
      <w:r w:rsidRPr="007868A6">
        <w:t>assumptions</w:t>
      </w:r>
      <w:r w:rsidRPr="007868A6" w:rsidR="00B748DF">
        <w:t>,</w:t>
      </w:r>
      <w:r w:rsidRPr="007868A6">
        <w:t xml:space="preserve"> methods</w:t>
      </w:r>
      <w:r w:rsidRPr="007868A6" w:rsidR="00D50321">
        <w:t>,</w:t>
      </w:r>
      <w:r w:rsidRPr="007868A6">
        <w:t xml:space="preserve"> </w:t>
      </w:r>
      <w:r w:rsidRPr="007868A6" w:rsidR="00B748DF">
        <w:t>and</w:t>
      </w:r>
      <w:r w:rsidRPr="007868A6">
        <w:t xml:space="preserve"> values inform </w:t>
      </w:r>
      <w:r w:rsidRPr="007868A6" w:rsidR="00D50321">
        <w:t xml:space="preserve">the direction of </w:t>
      </w:r>
      <w:r w:rsidRPr="007868A6">
        <w:t>current</w:t>
      </w:r>
      <w:r w:rsidR="0085545C">
        <w:t xml:space="preserve"> energy efficiency</w:t>
      </w:r>
      <w:r w:rsidRPr="007868A6">
        <w:t xml:space="preserve"> program</w:t>
      </w:r>
      <w:r w:rsidRPr="007868A6" w:rsidR="00D50321">
        <w:t>s.</w:t>
      </w:r>
      <w:r w:rsidRPr="007868A6">
        <w:t xml:space="preserve"> </w:t>
      </w:r>
      <w:r w:rsidRPr="007868A6" w:rsidR="00D50321">
        <w:t xml:space="preserve">These allow </w:t>
      </w:r>
      <w:r w:rsidR="009567A8">
        <w:t>p</w:t>
      </w:r>
      <w:r w:rsidRPr="007868A6" w:rsidR="009567A8">
        <w:t xml:space="preserve">rogram </w:t>
      </w:r>
      <w:r w:rsidR="009567A8">
        <w:t>a</w:t>
      </w:r>
      <w:r w:rsidRPr="007868A6" w:rsidR="009567A8">
        <w:t xml:space="preserve">dministrators </w:t>
      </w:r>
      <w:r w:rsidRPr="007868A6" w:rsidR="00085C99">
        <w:t xml:space="preserve">(PAs) </w:t>
      </w:r>
      <w:r w:rsidRPr="007868A6">
        <w:t xml:space="preserve">to shift </w:t>
      </w:r>
      <w:r w:rsidRPr="007868A6" w:rsidR="00955E76">
        <w:t xml:space="preserve">program </w:t>
      </w:r>
      <w:r w:rsidRPr="007868A6">
        <w:lastRenderedPageBreak/>
        <w:t xml:space="preserve">eligibility </w:t>
      </w:r>
      <w:r w:rsidRPr="007868A6" w:rsidR="00D50321">
        <w:t xml:space="preserve">requirements </w:t>
      </w:r>
      <w:r w:rsidRPr="007868A6">
        <w:t>and incentive support</w:t>
      </w:r>
      <w:r w:rsidRPr="007868A6" w:rsidR="00D50321">
        <w:t xml:space="preserve"> mechanisms</w:t>
      </w:r>
      <w:r w:rsidRPr="007868A6">
        <w:t xml:space="preserve"> to </w:t>
      </w:r>
      <w:r w:rsidRPr="007868A6" w:rsidR="00B748DF">
        <w:t>deliver</w:t>
      </w:r>
      <w:r w:rsidRPr="007868A6">
        <w:t xml:space="preserve"> </w:t>
      </w:r>
      <w:r w:rsidRPr="007868A6" w:rsidR="00955E76">
        <w:t>cost</w:t>
      </w:r>
      <w:r w:rsidRPr="007868A6" w:rsidR="00D50321">
        <w:t>-</w:t>
      </w:r>
      <w:r w:rsidRPr="007868A6" w:rsidR="00955E76">
        <w:t xml:space="preserve">effective </w:t>
      </w:r>
      <w:r w:rsidRPr="007868A6">
        <w:t>savings</w:t>
      </w:r>
      <w:r w:rsidRPr="007868A6" w:rsidR="00955E76">
        <w:t>.</w:t>
      </w:r>
      <w:r w:rsidRPr="007868A6">
        <w:t xml:space="preserve"> DEER updates may also reflect new market conditions. </w:t>
      </w:r>
      <w:r w:rsidRPr="007868A6" w:rsidR="004A49EB">
        <w:t>PAs</w:t>
      </w:r>
      <w:r w:rsidRPr="007868A6">
        <w:t xml:space="preserve"> </w:t>
      </w:r>
      <w:r w:rsidRPr="007868A6" w:rsidR="009D4206">
        <w:t>are required</w:t>
      </w:r>
      <w:r w:rsidRPr="007868A6">
        <w:t xml:space="preserve"> to factor in new assumptions and values by a) knowing there is an update, b) understanding the fundamental assumptions for the update, and c) identifying necessary shifts to their programs to capture cost effective savings. Updates to DEER methods </w:t>
      </w:r>
      <w:r w:rsidRPr="007868A6" w:rsidR="00B748DF">
        <w:t>apply</w:t>
      </w:r>
      <w:r w:rsidRPr="007868A6">
        <w:t xml:space="preserve"> in </w:t>
      </w:r>
      <w:r w:rsidRPr="007868A6" w:rsidR="00120FBA">
        <w:t>workpaper</w:t>
      </w:r>
      <w:r w:rsidRPr="007868A6">
        <w:t xml:space="preserve"> development and custom project savings estimates as well as program deployment decisions</w:t>
      </w:r>
      <w:r w:rsidRPr="007868A6" w:rsidR="002236E6">
        <w:t>.</w:t>
      </w:r>
    </w:p>
    <w:p w:rsidRPr="00084A8E" w:rsidR="001B384F" w:rsidP="008E2F07" w:rsidRDefault="001B384F" w14:paraId="1798E1DE" w14:textId="77777777"/>
    <w:p w:rsidRPr="00C51974" w:rsidR="00B156A2" w:rsidP="008E2F07" w:rsidRDefault="00B156A2" w14:paraId="6C031BC3" w14:textId="2D38F94E">
      <w:pPr>
        <w:pStyle w:val="Heading2"/>
        <w:rPr>
          <w:rFonts w:ascii="Palatino Linotype" w:hAnsi="Palatino Linotype"/>
          <w:b/>
          <w:bCs/>
        </w:rPr>
      </w:pPr>
      <w:r w:rsidRPr="00C51974">
        <w:rPr>
          <w:rFonts w:ascii="Palatino Linotype" w:hAnsi="Palatino Linotype"/>
          <w:b/>
          <w:bCs/>
        </w:rPr>
        <w:t xml:space="preserve">Final </w:t>
      </w:r>
      <w:r w:rsidRPr="00C51974" w:rsidR="00C752BF">
        <w:rPr>
          <w:rFonts w:ascii="Palatino Linotype" w:hAnsi="Palatino Linotype"/>
          <w:b/>
          <w:bCs/>
        </w:rPr>
        <w:t xml:space="preserve">list of </w:t>
      </w:r>
      <w:r w:rsidRPr="00C51974">
        <w:rPr>
          <w:rFonts w:ascii="Palatino Linotype" w:hAnsi="Palatino Linotype"/>
          <w:b/>
          <w:bCs/>
        </w:rPr>
        <w:t xml:space="preserve">priority </w:t>
      </w:r>
      <w:r w:rsidRPr="00C51974" w:rsidR="00E95A27">
        <w:rPr>
          <w:rFonts w:ascii="Palatino Linotype" w:hAnsi="Palatino Linotype"/>
          <w:b/>
          <w:bCs/>
        </w:rPr>
        <w:t xml:space="preserve">topic area </w:t>
      </w:r>
      <w:r w:rsidRPr="00C51974">
        <w:rPr>
          <w:rFonts w:ascii="Palatino Linotype" w:hAnsi="Palatino Linotype"/>
          <w:b/>
          <w:bCs/>
        </w:rPr>
        <w:t>updates for DEER202</w:t>
      </w:r>
      <w:r w:rsidRPr="00C51974" w:rsidR="00EA1627">
        <w:rPr>
          <w:rFonts w:ascii="Palatino Linotype" w:hAnsi="Palatino Linotype"/>
          <w:b/>
          <w:bCs/>
        </w:rPr>
        <w:t xml:space="preserve">2 and </w:t>
      </w:r>
      <w:r w:rsidRPr="00C51974">
        <w:rPr>
          <w:rFonts w:ascii="Palatino Linotype" w:hAnsi="Palatino Linotype"/>
          <w:b/>
          <w:bCs/>
        </w:rPr>
        <w:t>revised DEER202</w:t>
      </w:r>
      <w:r w:rsidRPr="00C51974" w:rsidR="00EA1627">
        <w:rPr>
          <w:rFonts w:ascii="Palatino Linotype" w:hAnsi="Palatino Linotype"/>
          <w:b/>
          <w:bCs/>
        </w:rPr>
        <w:t>1</w:t>
      </w:r>
    </w:p>
    <w:p w:rsidRPr="00B97D13" w:rsidR="00C95F27" w:rsidP="008E2F07" w:rsidRDefault="00C95F27" w14:paraId="7C4F0615" w14:textId="232C599D">
      <w:pPr>
        <w:rPr>
          <w:u w:val="single"/>
        </w:rPr>
      </w:pPr>
      <w:r w:rsidRPr="00B97D13">
        <w:t xml:space="preserve">The final </w:t>
      </w:r>
      <w:r w:rsidRPr="00B97D13" w:rsidR="00C752BF">
        <w:t xml:space="preserve">list of </w:t>
      </w:r>
      <w:r w:rsidRPr="00B97D13">
        <w:t xml:space="preserve">updated </w:t>
      </w:r>
      <w:r w:rsidRPr="00B97D13" w:rsidR="00E95A27">
        <w:t xml:space="preserve">topic areas </w:t>
      </w:r>
      <w:r w:rsidRPr="00B97D13" w:rsidR="006F5005">
        <w:t>is</w:t>
      </w:r>
      <w:r w:rsidRPr="00B97D13">
        <w:t xml:space="preserve"> </w:t>
      </w:r>
      <w:r w:rsidRPr="00B97D13" w:rsidR="00A9188B">
        <w:t>summarized</w:t>
      </w:r>
      <w:r w:rsidRPr="00B97D13">
        <w:t xml:space="preserve"> in Table 1</w:t>
      </w:r>
      <w:r w:rsidRPr="00B97D13" w:rsidR="00E95A27">
        <w:t>.</w:t>
      </w:r>
      <w:r w:rsidRPr="00B97D13" w:rsidR="00EC5F6A">
        <w:t xml:space="preserve"> </w:t>
      </w:r>
      <w:r w:rsidRPr="00B97D13" w:rsidR="00E95A27">
        <w:t>The</w:t>
      </w:r>
      <w:r w:rsidRPr="00B97D13">
        <w:t xml:space="preserve"> policy </w:t>
      </w:r>
      <w:r w:rsidRPr="00B97D13" w:rsidR="00E95A27">
        <w:t>guidance for these updates is described</w:t>
      </w:r>
      <w:r w:rsidRPr="00B97D13">
        <w:t xml:space="preserve"> in the Discussion section</w:t>
      </w:r>
      <w:r w:rsidR="009567A8">
        <w:t xml:space="preserve"> that follows.</w:t>
      </w:r>
      <w:r w:rsidRPr="00B97D13">
        <w:t xml:space="preserve"> </w:t>
      </w:r>
      <w:r w:rsidR="009567A8">
        <w:t>A</w:t>
      </w:r>
      <w:r w:rsidRPr="00B97D13">
        <w:t xml:space="preserve"> more detailed technical description of the changes and additions </w:t>
      </w:r>
      <w:r w:rsidRPr="00B97D13" w:rsidR="00E95A27">
        <w:t xml:space="preserve">is </w:t>
      </w:r>
      <w:r w:rsidRPr="00B97D13">
        <w:t xml:space="preserve">provided in Attachment </w:t>
      </w:r>
      <w:r w:rsidRPr="00B97D13" w:rsidR="00E95A27">
        <w:t xml:space="preserve">A </w:t>
      </w:r>
      <w:r w:rsidRPr="00B97D13">
        <w:t xml:space="preserve">to this Resolution. Complete documentation and supporting material on the updated assumptions and methods and updated DEER elements </w:t>
      </w:r>
      <w:r w:rsidRPr="00B97D13" w:rsidR="00D1096D">
        <w:t xml:space="preserve">such as database tables, calculators, and web pages </w:t>
      </w:r>
      <w:r w:rsidRPr="00B97D13">
        <w:t>are available at</w:t>
      </w:r>
      <w:r w:rsidRPr="00B97D13" w:rsidR="00026492">
        <w:t xml:space="preserve"> </w:t>
      </w:r>
      <w:hyperlink w:history="1" r:id="rId11">
        <w:r w:rsidRPr="00B97D13">
          <w:rPr>
            <w:u w:val="single"/>
          </w:rPr>
          <w:t>DEEResources.com</w:t>
        </w:r>
      </w:hyperlink>
      <w:r w:rsidRPr="00B97D13">
        <w:rPr>
          <w:u w:val="single"/>
        </w:rPr>
        <w:t>.</w:t>
      </w:r>
      <w:r w:rsidRPr="00B97D13">
        <w:rPr>
          <w:rStyle w:val="FootnoteReference"/>
          <w:rFonts w:ascii="Palatino Linotype" w:hAnsi="Palatino Linotype" w:cs="Arial"/>
          <w:color w:val="000000" w:themeColor="text1"/>
          <w:szCs w:val="26"/>
        </w:rPr>
        <w:footnoteReference w:id="7"/>
      </w:r>
    </w:p>
    <w:p w:rsidRPr="00B97D13" w:rsidR="00760A36" w:rsidP="008E2F07" w:rsidRDefault="00B97D13" w14:paraId="40B70718" w14:textId="274EF9D7">
      <w:r w:rsidRPr="00B97D13">
        <w:t>Seven</w:t>
      </w:r>
      <w:r w:rsidRPr="00B97D13" w:rsidR="00760A36">
        <w:t xml:space="preserve"> stakeholders, including all four </w:t>
      </w:r>
      <w:r w:rsidR="001710EA">
        <w:t xml:space="preserve">investor owned utilities </w:t>
      </w:r>
      <w:r w:rsidR="00032ACC">
        <w:t>(</w:t>
      </w:r>
      <w:r w:rsidRPr="00B97D13" w:rsidR="00760A36">
        <w:t>IOUs</w:t>
      </w:r>
      <w:r w:rsidR="00032ACC">
        <w:t>)</w:t>
      </w:r>
      <w:r w:rsidRPr="00B97D13" w:rsidR="00760A36">
        <w:t xml:space="preserve">, submitted comments on the </w:t>
      </w:r>
      <w:r w:rsidRPr="00B97D13" w:rsidR="0035348C">
        <w:t xml:space="preserve">DEER Update </w:t>
      </w:r>
      <w:r w:rsidR="00FA4413">
        <w:t>Scoping Memo</w:t>
      </w:r>
      <w:r w:rsidRPr="00B97D13" w:rsidR="00760A36">
        <w:t>.</w:t>
      </w:r>
      <w:r w:rsidR="00FA4413">
        <w:rPr>
          <w:rStyle w:val="FootnoteReference"/>
        </w:rPr>
        <w:footnoteReference w:id="8"/>
      </w:r>
      <w:r w:rsidRPr="00B97D13" w:rsidR="00760A36">
        <w:t xml:space="preserve"> Below are the issues raised most frequently in the comments:</w:t>
      </w:r>
    </w:p>
    <w:p w:rsidR="002B1651" w:rsidP="005B1D66" w:rsidRDefault="002B1651" w14:paraId="0CBB399B" w14:textId="1B87BD6A">
      <w:pPr>
        <w:pStyle w:val="ListParagraph"/>
        <w:numPr>
          <w:ilvl w:val="0"/>
          <w:numId w:val="7"/>
        </w:numPr>
      </w:pPr>
      <w:r>
        <w:t>Issues relating to EM&amp;V study updates</w:t>
      </w:r>
      <w:r w:rsidR="00F51C12">
        <w:t>;</w:t>
      </w:r>
    </w:p>
    <w:p w:rsidRPr="00B97D13" w:rsidR="00760A36" w:rsidP="005B1D66" w:rsidRDefault="00760A36" w14:paraId="4897FC53" w14:textId="19D087E2">
      <w:pPr>
        <w:pStyle w:val="ListParagraph"/>
        <w:numPr>
          <w:ilvl w:val="0"/>
          <w:numId w:val="7"/>
        </w:numPr>
      </w:pPr>
      <w:r w:rsidRPr="00B97D13">
        <w:t xml:space="preserve">The </w:t>
      </w:r>
      <w:r w:rsidR="002B1651">
        <w:t>transition to the</w:t>
      </w:r>
      <w:r w:rsidRPr="00B97D13">
        <w:t xml:space="preserve"> electronic Technical Reference Manual (eTRM);</w:t>
      </w:r>
    </w:p>
    <w:p w:rsidR="00F51C12" w:rsidP="005B1D66" w:rsidRDefault="00760A36" w14:paraId="4AA158C9" w14:textId="3FCE3200">
      <w:pPr>
        <w:pStyle w:val="ListParagraph"/>
        <w:numPr>
          <w:ilvl w:val="0"/>
          <w:numId w:val="7"/>
        </w:numPr>
      </w:pPr>
      <w:r w:rsidRPr="00B97D13">
        <w:t xml:space="preserve">Issues </w:t>
      </w:r>
      <w:r w:rsidR="00F51C12">
        <w:t>related to fuel substitution;</w:t>
      </w:r>
    </w:p>
    <w:p w:rsidRPr="00B97D13" w:rsidR="00760A36" w:rsidP="005B1D66" w:rsidRDefault="00760A36" w14:paraId="6BF56A51" w14:textId="77777777">
      <w:pPr>
        <w:pStyle w:val="ListParagraph"/>
        <w:numPr>
          <w:ilvl w:val="0"/>
          <w:numId w:val="7"/>
        </w:numPr>
      </w:pPr>
      <w:r w:rsidRPr="00B97D13">
        <w:t>Issues related to the savings for smart thermostats;</w:t>
      </w:r>
    </w:p>
    <w:p w:rsidR="00760A36" w:rsidP="008E2F07" w:rsidRDefault="00760A36" w14:paraId="69DC0190" w14:textId="1BD36DB2">
      <w:r w:rsidRPr="00B97D13">
        <w:t xml:space="preserve">We respond to comments on each of these topics and other issues in Section </w:t>
      </w:r>
      <w:r w:rsidRPr="00B97D13" w:rsidR="00B97D13">
        <w:t>8</w:t>
      </w:r>
      <w:r w:rsidRPr="00B97D13">
        <w:t xml:space="preserve"> of Attachment </w:t>
      </w:r>
      <w:r w:rsidR="001710EA">
        <w:t xml:space="preserve">A </w:t>
      </w:r>
      <w:r w:rsidRPr="00B97D13">
        <w:t>to this Resolution.</w:t>
      </w:r>
      <w:r w:rsidRPr="00084A8E">
        <w:t xml:space="preserve"> </w:t>
      </w:r>
    </w:p>
    <w:p w:rsidR="008A28CD" w:rsidP="008E2F07" w:rsidRDefault="008A28CD" w14:paraId="48FD0881" w14:textId="2F90EF0F"/>
    <w:p w:rsidR="00E8323A" w:rsidP="008E2F07" w:rsidRDefault="00E8323A" w14:paraId="662FD31C" w14:textId="53C2D002"/>
    <w:p w:rsidR="00E8323A" w:rsidP="008E2F07" w:rsidRDefault="00E8323A" w14:paraId="73B2B9B6" w14:textId="77777777"/>
    <w:p w:rsidRPr="00084A8E" w:rsidR="00AA1BFD" w:rsidP="008E2F07" w:rsidRDefault="00AA1BFD" w14:paraId="1E8E3DD7" w14:textId="25D55722">
      <w:pPr>
        <w:pStyle w:val="Caption"/>
      </w:pPr>
      <w:bookmarkStart w:name="_Ref11940666" w:id="8"/>
      <w:r w:rsidRPr="00084A8E">
        <w:lastRenderedPageBreak/>
        <w:t xml:space="preserve">Table </w:t>
      </w:r>
      <w:fldSimple w:instr=" SEQ Table \* ARABIC ">
        <w:r w:rsidRPr="00084A8E" w:rsidR="003D52E5">
          <w:t>1</w:t>
        </w:r>
      </w:fldSimple>
      <w:bookmarkEnd w:id="8"/>
      <w:r w:rsidRPr="00084A8E" w:rsidR="003B3FB5">
        <w:t>.</w:t>
      </w:r>
      <w:r w:rsidRPr="00084A8E">
        <w:t xml:space="preserve"> DEER202</w:t>
      </w:r>
      <w:r w:rsidRPr="00084A8E" w:rsidR="00EA1627">
        <w:t>2</w:t>
      </w:r>
      <w:r w:rsidRPr="00084A8E">
        <w:t xml:space="preserve"> </w:t>
      </w:r>
      <w:r w:rsidRPr="00084A8E" w:rsidR="00CD552A">
        <w:t>Update Measure</w:t>
      </w:r>
      <w:r w:rsidRPr="00084A8E">
        <w:t xml:space="preserve">s </w:t>
      </w:r>
    </w:p>
    <w:tbl>
      <w:tblPr>
        <w:tblW w:w="10107" w:type="dxa"/>
        <w:tblInd w:w="58" w:type="dxa"/>
        <w:tblLayout w:type="fixed"/>
        <w:tblCellMar>
          <w:top w:w="14" w:type="dxa"/>
          <w:left w:w="58" w:type="dxa"/>
          <w:bottom w:w="14" w:type="dxa"/>
          <w:right w:w="58" w:type="dxa"/>
        </w:tblCellMar>
        <w:tblLook w:val="04A0" w:firstRow="1" w:lastRow="0" w:firstColumn="1" w:lastColumn="0" w:noHBand="0" w:noVBand="1"/>
      </w:tblPr>
      <w:tblGrid>
        <w:gridCol w:w="585"/>
        <w:gridCol w:w="585"/>
        <w:gridCol w:w="990"/>
        <w:gridCol w:w="3627"/>
        <w:gridCol w:w="360"/>
        <w:gridCol w:w="360"/>
        <w:gridCol w:w="360"/>
        <w:gridCol w:w="360"/>
        <w:gridCol w:w="360"/>
        <w:gridCol w:w="360"/>
        <w:gridCol w:w="360"/>
        <w:gridCol w:w="360"/>
        <w:gridCol w:w="360"/>
        <w:gridCol w:w="360"/>
        <w:gridCol w:w="360"/>
        <w:gridCol w:w="360"/>
      </w:tblGrid>
      <w:tr w:rsidRPr="00730611" w:rsidR="00845FD4" w:rsidTr="00AE3CF1" w14:paraId="67458C9C" w14:textId="77777777">
        <w:trPr>
          <w:trHeight w:val="336"/>
          <w:tblHeader/>
        </w:trPr>
        <w:tc>
          <w:tcPr>
            <w:tcW w:w="585" w:type="dxa"/>
            <w:tcBorders>
              <w:top w:val="single" w:color="auto" w:sz="4" w:space="0"/>
              <w:left w:val="single" w:color="auto" w:sz="4" w:space="0"/>
              <w:right w:val="single" w:color="auto" w:sz="4" w:space="0"/>
            </w:tcBorders>
          </w:tcPr>
          <w:p w:rsidRPr="00730611" w:rsidR="00845FD4" w:rsidP="008E2F07" w:rsidRDefault="00845FD4" w14:paraId="1065532A" w14:textId="77777777">
            <w:pPr>
              <w:rPr>
                <w:rFonts w:asciiTheme="minorHAnsi" w:hAnsiTheme="minorHAnsi" w:cstheme="minorHAnsi"/>
                <w:sz w:val="18"/>
                <w:szCs w:val="18"/>
              </w:rPr>
            </w:pPr>
          </w:p>
        </w:tc>
        <w:tc>
          <w:tcPr>
            <w:tcW w:w="585" w:type="dxa"/>
            <w:tcBorders>
              <w:top w:val="single" w:color="auto" w:sz="4" w:space="0"/>
              <w:left w:val="single" w:color="auto" w:sz="4" w:space="0"/>
              <w:right w:val="single" w:color="auto" w:sz="4" w:space="0"/>
            </w:tcBorders>
          </w:tcPr>
          <w:p w:rsidRPr="00730611" w:rsidR="00845FD4" w:rsidP="008E2F07" w:rsidRDefault="00845FD4" w14:paraId="1A342FED" w14:textId="77777777">
            <w:pPr>
              <w:rPr>
                <w:rFonts w:asciiTheme="minorHAnsi" w:hAnsiTheme="minorHAnsi" w:cstheme="minorHAnsi"/>
                <w:sz w:val="18"/>
                <w:szCs w:val="18"/>
              </w:rPr>
            </w:pPr>
          </w:p>
        </w:tc>
        <w:tc>
          <w:tcPr>
            <w:tcW w:w="990" w:type="dxa"/>
            <w:tcBorders>
              <w:top w:val="single" w:color="auto" w:sz="4" w:space="0"/>
              <w:left w:val="single" w:color="auto" w:sz="4" w:space="0"/>
              <w:right w:val="single" w:color="auto" w:sz="4" w:space="0"/>
            </w:tcBorders>
            <w:vAlign w:val="bottom"/>
          </w:tcPr>
          <w:p w:rsidRPr="00730611" w:rsidR="00845FD4" w:rsidP="008E2F07" w:rsidRDefault="00845FD4" w14:paraId="5F1F5D61" w14:textId="77777777">
            <w:pPr>
              <w:rPr>
                <w:rFonts w:asciiTheme="minorHAnsi" w:hAnsiTheme="minorHAnsi" w:cstheme="minorHAnsi"/>
                <w:sz w:val="18"/>
                <w:szCs w:val="18"/>
              </w:rPr>
            </w:pPr>
          </w:p>
        </w:tc>
        <w:tc>
          <w:tcPr>
            <w:tcW w:w="3627" w:type="dxa"/>
            <w:tcBorders>
              <w:top w:val="single" w:color="auto" w:sz="4" w:space="0"/>
              <w:left w:val="nil"/>
              <w:right w:val="single" w:color="auto" w:sz="4" w:space="0"/>
            </w:tcBorders>
            <w:shd w:val="clear" w:color="auto" w:fill="auto"/>
            <w:noWrap/>
            <w:vAlign w:val="center"/>
            <w:hideMark/>
          </w:tcPr>
          <w:p w:rsidRPr="00730611" w:rsidR="00845FD4" w:rsidP="00402450" w:rsidRDefault="00845FD4" w14:paraId="514E3A9D" w14:textId="77777777">
            <w:pPr>
              <w:pStyle w:val="Table"/>
              <w:rPr>
                <w:rFonts w:asciiTheme="minorHAnsi" w:hAnsiTheme="minorHAnsi" w:cstheme="minorHAnsi"/>
              </w:rPr>
            </w:pPr>
          </w:p>
        </w:tc>
        <w:tc>
          <w:tcPr>
            <w:tcW w:w="720" w:type="dxa"/>
            <w:gridSpan w:val="2"/>
            <w:tcBorders>
              <w:top w:val="single" w:color="auto" w:sz="4" w:space="0"/>
              <w:left w:val="nil"/>
              <w:bottom w:val="single" w:color="auto" w:sz="4" w:space="0"/>
              <w:right w:val="single" w:color="auto" w:sz="4" w:space="0"/>
            </w:tcBorders>
            <w:shd w:val="clear" w:color="auto" w:fill="auto"/>
            <w:vAlign w:val="center"/>
          </w:tcPr>
          <w:p w:rsidRPr="00730611" w:rsidR="00845FD4" w:rsidP="00402450" w:rsidRDefault="00845FD4" w14:paraId="412B73D9" w14:textId="77777777">
            <w:pPr>
              <w:pStyle w:val="Table"/>
              <w:rPr>
                <w:rFonts w:asciiTheme="minorHAnsi" w:hAnsiTheme="minorHAnsi" w:cstheme="minorHAnsi"/>
              </w:rPr>
            </w:pPr>
            <w:r w:rsidRPr="00730611">
              <w:rPr>
                <w:rFonts w:asciiTheme="minorHAnsi" w:hAnsiTheme="minorHAnsi" w:cstheme="minorHAnsi"/>
              </w:rPr>
              <w:t>Sector</w:t>
            </w:r>
          </w:p>
        </w:tc>
        <w:tc>
          <w:tcPr>
            <w:tcW w:w="1800" w:type="dxa"/>
            <w:gridSpan w:val="5"/>
            <w:tcBorders>
              <w:top w:val="single" w:color="auto" w:sz="4" w:space="0"/>
              <w:left w:val="nil"/>
              <w:bottom w:val="single" w:color="auto" w:sz="4" w:space="0"/>
              <w:right w:val="single" w:color="auto" w:sz="4" w:space="0"/>
            </w:tcBorders>
            <w:shd w:val="clear" w:color="auto" w:fill="auto"/>
            <w:noWrap/>
            <w:vAlign w:val="center"/>
            <w:hideMark/>
          </w:tcPr>
          <w:p w:rsidRPr="00730611" w:rsidR="00845FD4" w:rsidP="00402450" w:rsidRDefault="00845FD4" w14:paraId="3B082B5E" w14:textId="77777777">
            <w:pPr>
              <w:pStyle w:val="Table"/>
              <w:rPr>
                <w:rFonts w:asciiTheme="minorHAnsi" w:hAnsiTheme="minorHAnsi" w:cstheme="minorHAnsi"/>
              </w:rPr>
            </w:pPr>
            <w:r w:rsidRPr="00730611">
              <w:rPr>
                <w:rFonts w:asciiTheme="minorHAnsi" w:hAnsiTheme="minorHAnsi" w:cstheme="minorHAnsi"/>
              </w:rPr>
              <w:t>Measure/Tech Group</w:t>
            </w:r>
          </w:p>
        </w:tc>
        <w:tc>
          <w:tcPr>
            <w:tcW w:w="1800" w:type="dxa"/>
            <w:gridSpan w:val="5"/>
            <w:tcBorders>
              <w:top w:val="single" w:color="auto" w:sz="4" w:space="0"/>
              <w:left w:val="nil"/>
              <w:bottom w:val="single" w:color="auto" w:sz="4" w:space="0"/>
              <w:right w:val="single" w:color="auto" w:sz="4" w:space="0"/>
            </w:tcBorders>
            <w:vAlign w:val="center"/>
          </w:tcPr>
          <w:p w:rsidRPr="00730611" w:rsidR="00845FD4" w:rsidP="00402450" w:rsidRDefault="00845FD4" w14:paraId="43747F54" w14:textId="77777777">
            <w:pPr>
              <w:pStyle w:val="Table"/>
              <w:rPr>
                <w:rFonts w:asciiTheme="minorHAnsi" w:hAnsiTheme="minorHAnsi" w:cstheme="minorHAnsi"/>
              </w:rPr>
            </w:pPr>
            <w:r w:rsidRPr="00730611">
              <w:rPr>
                <w:rFonts w:asciiTheme="minorHAnsi" w:hAnsiTheme="minorHAnsi" w:cstheme="minorHAnsi"/>
              </w:rPr>
              <w:t>Forecasted Value</w:t>
            </w:r>
          </w:p>
        </w:tc>
      </w:tr>
      <w:tr w:rsidRPr="00730611" w:rsidR="00845FD4" w:rsidTr="00402450" w14:paraId="480B544F" w14:textId="77777777">
        <w:trPr>
          <w:trHeight w:val="638"/>
          <w:tblHeader/>
        </w:trPr>
        <w:tc>
          <w:tcPr>
            <w:tcW w:w="585" w:type="dxa"/>
            <w:vMerge w:val="restart"/>
            <w:tcBorders>
              <w:left w:val="single" w:color="auto" w:sz="4" w:space="0"/>
              <w:right w:val="single" w:color="auto" w:sz="4" w:space="0"/>
            </w:tcBorders>
            <w:textDirection w:val="btLr"/>
            <w:vAlign w:val="center"/>
          </w:tcPr>
          <w:p w:rsidRPr="00730611" w:rsidR="00845FD4" w:rsidP="00402450" w:rsidRDefault="00845FD4" w14:paraId="7230275E" w14:textId="77777777">
            <w:pPr>
              <w:pStyle w:val="Table"/>
              <w:rPr>
                <w:rFonts w:asciiTheme="minorHAnsi" w:hAnsiTheme="minorHAnsi" w:cstheme="minorHAnsi"/>
              </w:rPr>
            </w:pPr>
            <w:r w:rsidRPr="00730611">
              <w:rPr>
                <w:rFonts w:asciiTheme="minorHAnsi" w:hAnsiTheme="minorHAnsi" w:cstheme="minorHAnsi"/>
              </w:rPr>
              <w:t>Priority</w:t>
            </w:r>
          </w:p>
        </w:tc>
        <w:tc>
          <w:tcPr>
            <w:tcW w:w="585" w:type="dxa"/>
            <w:vMerge w:val="restart"/>
            <w:tcBorders>
              <w:left w:val="single" w:color="auto" w:sz="4" w:space="0"/>
              <w:right w:val="single" w:color="auto" w:sz="4" w:space="0"/>
            </w:tcBorders>
            <w:textDirection w:val="btLr"/>
            <w:vAlign w:val="center"/>
          </w:tcPr>
          <w:p w:rsidRPr="00730611" w:rsidR="00845FD4" w:rsidP="00402450" w:rsidRDefault="00845FD4" w14:paraId="3C63342A" w14:textId="77777777">
            <w:pPr>
              <w:pStyle w:val="Table"/>
              <w:rPr>
                <w:rFonts w:asciiTheme="minorHAnsi" w:hAnsiTheme="minorHAnsi" w:cstheme="minorHAnsi"/>
              </w:rPr>
            </w:pPr>
            <w:r w:rsidRPr="00730611">
              <w:rPr>
                <w:rFonts w:asciiTheme="minorHAnsi" w:hAnsiTheme="minorHAnsi" w:cstheme="minorHAnsi"/>
              </w:rPr>
              <w:t>Effort</w:t>
            </w:r>
          </w:p>
        </w:tc>
        <w:tc>
          <w:tcPr>
            <w:tcW w:w="990" w:type="dxa"/>
            <w:vMerge w:val="restart"/>
            <w:tcBorders>
              <w:left w:val="single" w:color="auto" w:sz="4" w:space="0"/>
              <w:right w:val="single" w:color="auto" w:sz="4" w:space="0"/>
            </w:tcBorders>
            <w:vAlign w:val="bottom"/>
          </w:tcPr>
          <w:p w:rsidRPr="00730611" w:rsidR="00845FD4" w:rsidP="00402450" w:rsidRDefault="00845FD4" w14:paraId="44D50234" w14:textId="77777777">
            <w:pPr>
              <w:pStyle w:val="Table"/>
              <w:rPr>
                <w:rFonts w:asciiTheme="minorHAnsi" w:hAnsiTheme="minorHAnsi" w:cstheme="minorHAnsi"/>
              </w:rPr>
            </w:pPr>
            <w:r w:rsidRPr="00730611">
              <w:rPr>
                <w:rFonts w:asciiTheme="minorHAnsi" w:hAnsiTheme="minorHAnsi" w:cstheme="minorHAnsi"/>
              </w:rPr>
              <w:t>DEER Version</w:t>
            </w:r>
          </w:p>
        </w:tc>
        <w:tc>
          <w:tcPr>
            <w:tcW w:w="3627" w:type="dxa"/>
            <w:tcBorders>
              <w:left w:val="nil"/>
              <w:right w:val="single" w:color="auto" w:sz="4" w:space="0"/>
            </w:tcBorders>
            <w:shd w:val="clear" w:color="auto" w:fill="auto"/>
            <w:noWrap/>
            <w:vAlign w:val="bottom"/>
            <w:hideMark/>
          </w:tcPr>
          <w:p w:rsidRPr="00730611" w:rsidR="00845FD4" w:rsidP="00402450" w:rsidRDefault="00845FD4" w14:paraId="3AC261A7" w14:textId="77777777">
            <w:pPr>
              <w:pStyle w:val="Table"/>
              <w:rPr>
                <w:rFonts w:asciiTheme="minorHAnsi" w:hAnsiTheme="minorHAnsi" w:cstheme="minorHAnsi"/>
              </w:rPr>
            </w:pPr>
          </w:p>
        </w:tc>
        <w:tc>
          <w:tcPr>
            <w:tcW w:w="360" w:type="dxa"/>
            <w:vMerge w:val="restart"/>
            <w:tcBorders>
              <w:top w:val="nil"/>
              <w:left w:val="nil"/>
              <w:right w:val="single" w:color="auto" w:sz="4" w:space="0"/>
            </w:tcBorders>
            <w:shd w:val="clear" w:color="auto" w:fill="auto"/>
            <w:noWrap/>
            <w:textDirection w:val="btLr"/>
            <w:vAlign w:val="center"/>
            <w:hideMark/>
          </w:tcPr>
          <w:p w:rsidRPr="00730611" w:rsidR="00845FD4" w:rsidP="00402450" w:rsidRDefault="00845FD4" w14:paraId="4E291890" w14:textId="77777777">
            <w:pPr>
              <w:pStyle w:val="Table"/>
              <w:rPr>
                <w:rFonts w:asciiTheme="minorHAnsi" w:hAnsiTheme="minorHAnsi" w:cstheme="minorHAnsi"/>
              </w:rPr>
            </w:pPr>
            <w:r w:rsidRPr="00730611">
              <w:rPr>
                <w:rFonts w:asciiTheme="minorHAnsi" w:hAnsiTheme="minorHAnsi" w:cstheme="minorHAnsi"/>
              </w:rPr>
              <w:t>Res</w:t>
            </w:r>
          </w:p>
        </w:tc>
        <w:tc>
          <w:tcPr>
            <w:tcW w:w="360" w:type="dxa"/>
            <w:vMerge w:val="restart"/>
            <w:tcBorders>
              <w:top w:val="nil"/>
              <w:left w:val="nil"/>
              <w:right w:val="single" w:color="auto" w:sz="4" w:space="0"/>
            </w:tcBorders>
            <w:shd w:val="clear" w:color="auto" w:fill="auto"/>
            <w:noWrap/>
            <w:textDirection w:val="btLr"/>
            <w:vAlign w:val="center"/>
            <w:hideMark/>
          </w:tcPr>
          <w:p w:rsidRPr="00730611" w:rsidR="00845FD4" w:rsidP="00402450" w:rsidRDefault="00845FD4" w14:paraId="19A01E70" w14:textId="77777777">
            <w:pPr>
              <w:pStyle w:val="Table"/>
              <w:rPr>
                <w:rFonts w:asciiTheme="minorHAnsi" w:hAnsiTheme="minorHAnsi" w:cstheme="minorHAnsi"/>
              </w:rPr>
            </w:pPr>
            <w:r w:rsidRPr="00730611">
              <w:rPr>
                <w:rFonts w:asciiTheme="minorHAnsi" w:hAnsiTheme="minorHAnsi" w:cstheme="minorHAnsi"/>
              </w:rPr>
              <w:t>Non-Res</w:t>
            </w:r>
          </w:p>
        </w:tc>
        <w:tc>
          <w:tcPr>
            <w:tcW w:w="360" w:type="dxa"/>
            <w:vMerge w:val="restart"/>
            <w:tcBorders>
              <w:top w:val="nil"/>
              <w:left w:val="nil"/>
              <w:right w:val="single" w:color="auto" w:sz="4" w:space="0"/>
            </w:tcBorders>
            <w:shd w:val="clear" w:color="auto" w:fill="auto"/>
            <w:noWrap/>
            <w:textDirection w:val="btLr"/>
            <w:vAlign w:val="center"/>
            <w:hideMark/>
          </w:tcPr>
          <w:p w:rsidRPr="00730611" w:rsidR="00845FD4" w:rsidP="00402450" w:rsidRDefault="00845FD4" w14:paraId="2EBC6529" w14:textId="77777777">
            <w:pPr>
              <w:pStyle w:val="Table"/>
              <w:rPr>
                <w:rFonts w:asciiTheme="minorHAnsi" w:hAnsiTheme="minorHAnsi" w:cstheme="minorHAnsi"/>
              </w:rPr>
            </w:pPr>
            <w:r w:rsidRPr="00730611">
              <w:rPr>
                <w:rFonts w:asciiTheme="minorHAnsi" w:hAnsiTheme="minorHAnsi" w:cstheme="minorHAnsi"/>
              </w:rPr>
              <w:t>Lighting</w:t>
            </w:r>
          </w:p>
        </w:tc>
        <w:tc>
          <w:tcPr>
            <w:tcW w:w="360" w:type="dxa"/>
            <w:vMerge w:val="restart"/>
            <w:tcBorders>
              <w:top w:val="nil"/>
              <w:left w:val="nil"/>
              <w:right w:val="single" w:color="auto" w:sz="4" w:space="0"/>
            </w:tcBorders>
            <w:shd w:val="clear" w:color="auto" w:fill="auto"/>
            <w:noWrap/>
            <w:textDirection w:val="btLr"/>
            <w:vAlign w:val="center"/>
            <w:hideMark/>
          </w:tcPr>
          <w:p w:rsidRPr="00730611" w:rsidR="00845FD4" w:rsidP="00402450" w:rsidRDefault="00845FD4" w14:paraId="0C81B1C3" w14:textId="77777777">
            <w:pPr>
              <w:pStyle w:val="Table"/>
              <w:rPr>
                <w:rFonts w:asciiTheme="minorHAnsi" w:hAnsiTheme="minorHAnsi" w:cstheme="minorHAnsi"/>
              </w:rPr>
            </w:pPr>
            <w:r w:rsidRPr="00730611">
              <w:rPr>
                <w:rFonts w:asciiTheme="minorHAnsi" w:hAnsiTheme="minorHAnsi" w:cstheme="minorHAnsi"/>
              </w:rPr>
              <w:t>HVAC</w:t>
            </w:r>
          </w:p>
        </w:tc>
        <w:tc>
          <w:tcPr>
            <w:tcW w:w="360" w:type="dxa"/>
            <w:vMerge w:val="restart"/>
            <w:tcBorders>
              <w:top w:val="nil"/>
              <w:left w:val="nil"/>
              <w:right w:val="single" w:color="auto" w:sz="4" w:space="0"/>
            </w:tcBorders>
            <w:shd w:val="clear" w:color="auto" w:fill="auto"/>
            <w:noWrap/>
            <w:textDirection w:val="btLr"/>
            <w:vAlign w:val="center"/>
            <w:hideMark/>
          </w:tcPr>
          <w:p w:rsidRPr="00730611" w:rsidR="00845FD4" w:rsidP="00402450" w:rsidRDefault="00845FD4" w14:paraId="668D2D7A" w14:textId="77777777">
            <w:pPr>
              <w:pStyle w:val="Table"/>
              <w:rPr>
                <w:rFonts w:asciiTheme="minorHAnsi" w:hAnsiTheme="minorHAnsi" w:cstheme="minorHAnsi"/>
              </w:rPr>
            </w:pPr>
            <w:r w:rsidRPr="00730611">
              <w:rPr>
                <w:rFonts w:asciiTheme="minorHAnsi" w:hAnsiTheme="minorHAnsi" w:cstheme="minorHAnsi"/>
              </w:rPr>
              <w:t>DHW</w:t>
            </w:r>
          </w:p>
        </w:tc>
        <w:tc>
          <w:tcPr>
            <w:tcW w:w="360" w:type="dxa"/>
            <w:vMerge w:val="restart"/>
            <w:tcBorders>
              <w:top w:val="nil"/>
              <w:left w:val="nil"/>
              <w:right w:val="single" w:color="auto" w:sz="4" w:space="0"/>
            </w:tcBorders>
            <w:shd w:val="clear" w:color="auto" w:fill="auto"/>
            <w:noWrap/>
            <w:textDirection w:val="btLr"/>
            <w:vAlign w:val="center"/>
            <w:hideMark/>
          </w:tcPr>
          <w:p w:rsidRPr="00730611" w:rsidR="00845FD4" w:rsidP="00402450" w:rsidRDefault="00845FD4" w14:paraId="51167E88" w14:textId="77777777">
            <w:pPr>
              <w:pStyle w:val="Table"/>
              <w:rPr>
                <w:rFonts w:asciiTheme="minorHAnsi" w:hAnsiTheme="minorHAnsi" w:cstheme="minorHAnsi"/>
              </w:rPr>
            </w:pPr>
            <w:r w:rsidRPr="00730611">
              <w:rPr>
                <w:rFonts w:asciiTheme="minorHAnsi" w:hAnsiTheme="minorHAnsi" w:cstheme="minorHAnsi"/>
              </w:rPr>
              <w:t>Envelope</w:t>
            </w:r>
          </w:p>
        </w:tc>
        <w:tc>
          <w:tcPr>
            <w:tcW w:w="360" w:type="dxa"/>
            <w:vMerge w:val="restart"/>
            <w:tcBorders>
              <w:top w:val="nil"/>
              <w:left w:val="nil"/>
              <w:right w:val="single" w:color="auto" w:sz="4" w:space="0"/>
            </w:tcBorders>
            <w:shd w:val="clear" w:color="auto" w:fill="auto"/>
            <w:noWrap/>
            <w:textDirection w:val="btLr"/>
            <w:vAlign w:val="center"/>
            <w:hideMark/>
          </w:tcPr>
          <w:p w:rsidRPr="00730611" w:rsidR="00845FD4" w:rsidP="00402450" w:rsidRDefault="00845FD4" w14:paraId="6700FFBF" w14:textId="77777777">
            <w:pPr>
              <w:pStyle w:val="Table"/>
              <w:rPr>
                <w:rFonts w:asciiTheme="minorHAnsi" w:hAnsiTheme="minorHAnsi" w:cstheme="minorHAnsi"/>
              </w:rPr>
            </w:pPr>
            <w:r w:rsidRPr="00730611">
              <w:rPr>
                <w:rFonts w:asciiTheme="minorHAnsi" w:hAnsiTheme="minorHAnsi" w:cstheme="minorHAnsi"/>
              </w:rPr>
              <w:t>Plug/Process</w:t>
            </w:r>
          </w:p>
        </w:tc>
        <w:tc>
          <w:tcPr>
            <w:tcW w:w="360" w:type="dxa"/>
            <w:vMerge w:val="restart"/>
            <w:tcBorders>
              <w:top w:val="nil"/>
              <w:left w:val="nil"/>
              <w:right w:val="single" w:color="auto" w:sz="4" w:space="0"/>
            </w:tcBorders>
            <w:shd w:val="clear" w:color="auto" w:fill="auto"/>
            <w:noWrap/>
            <w:textDirection w:val="btLr"/>
            <w:vAlign w:val="center"/>
            <w:hideMark/>
          </w:tcPr>
          <w:p w:rsidRPr="00730611" w:rsidR="00845FD4" w:rsidP="00402450" w:rsidRDefault="00845FD4" w14:paraId="2C602226" w14:textId="77777777">
            <w:pPr>
              <w:pStyle w:val="Table"/>
              <w:rPr>
                <w:rFonts w:asciiTheme="minorHAnsi" w:hAnsiTheme="minorHAnsi" w:cstheme="minorHAnsi"/>
              </w:rPr>
            </w:pPr>
            <w:r w:rsidRPr="00730611">
              <w:rPr>
                <w:rFonts w:asciiTheme="minorHAnsi" w:hAnsiTheme="minorHAnsi" w:cstheme="minorHAnsi"/>
              </w:rPr>
              <w:t>UES</w:t>
            </w:r>
          </w:p>
        </w:tc>
        <w:tc>
          <w:tcPr>
            <w:tcW w:w="360" w:type="dxa"/>
            <w:vMerge w:val="restart"/>
            <w:tcBorders>
              <w:top w:val="nil"/>
              <w:left w:val="nil"/>
              <w:right w:val="single" w:color="000000" w:themeColor="text1" w:sz="4" w:space="0"/>
            </w:tcBorders>
            <w:textDirection w:val="btLr"/>
            <w:vAlign w:val="center"/>
          </w:tcPr>
          <w:p w:rsidRPr="00730611" w:rsidR="00845FD4" w:rsidP="00402450" w:rsidRDefault="00845FD4" w14:paraId="7F0AC486" w14:textId="77777777">
            <w:pPr>
              <w:pStyle w:val="Table"/>
              <w:rPr>
                <w:rFonts w:asciiTheme="minorHAnsi" w:hAnsiTheme="minorHAnsi" w:cstheme="minorHAnsi"/>
              </w:rPr>
            </w:pPr>
            <w:r w:rsidRPr="00730611">
              <w:rPr>
                <w:rFonts w:asciiTheme="minorHAnsi" w:hAnsiTheme="minorHAnsi" w:cstheme="minorHAnsi"/>
              </w:rPr>
              <w:t>NTG</w:t>
            </w:r>
          </w:p>
        </w:tc>
        <w:tc>
          <w:tcPr>
            <w:tcW w:w="360" w:type="dxa"/>
            <w:vMerge w:val="restart"/>
            <w:tcBorders>
              <w:top w:val="nil"/>
              <w:left w:val="single" w:color="000000" w:themeColor="text1" w:sz="4" w:space="0"/>
              <w:right w:val="single" w:color="auto" w:sz="4" w:space="0"/>
            </w:tcBorders>
            <w:shd w:val="clear" w:color="auto" w:fill="auto"/>
            <w:noWrap/>
            <w:textDirection w:val="btLr"/>
            <w:vAlign w:val="center"/>
            <w:hideMark/>
          </w:tcPr>
          <w:p w:rsidRPr="00730611" w:rsidR="00845FD4" w:rsidP="00402450" w:rsidRDefault="00845FD4" w14:paraId="5B2235C6" w14:textId="77777777">
            <w:pPr>
              <w:pStyle w:val="Table"/>
              <w:rPr>
                <w:rFonts w:asciiTheme="minorHAnsi" w:hAnsiTheme="minorHAnsi" w:cstheme="minorHAnsi"/>
              </w:rPr>
            </w:pPr>
            <w:r w:rsidRPr="00730611">
              <w:rPr>
                <w:rFonts w:asciiTheme="minorHAnsi" w:hAnsiTheme="minorHAnsi" w:cstheme="minorHAnsi"/>
              </w:rPr>
              <w:t>EUL</w:t>
            </w:r>
          </w:p>
        </w:tc>
        <w:tc>
          <w:tcPr>
            <w:tcW w:w="360" w:type="dxa"/>
            <w:vMerge w:val="restart"/>
            <w:tcBorders>
              <w:top w:val="nil"/>
              <w:left w:val="nil"/>
              <w:right w:val="single" w:color="000000" w:themeColor="text1" w:sz="4" w:space="0"/>
            </w:tcBorders>
            <w:textDirection w:val="btLr"/>
            <w:vAlign w:val="center"/>
          </w:tcPr>
          <w:p w:rsidRPr="00730611" w:rsidR="00845FD4" w:rsidP="00402450" w:rsidRDefault="00845FD4" w14:paraId="4A75D8C0" w14:textId="77777777">
            <w:pPr>
              <w:pStyle w:val="Table"/>
              <w:rPr>
                <w:rFonts w:asciiTheme="minorHAnsi" w:hAnsiTheme="minorHAnsi" w:cstheme="minorHAnsi"/>
              </w:rPr>
            </w:pPr>
            <w:r w:rsidRPr="00730611">
              <w:rPr>
                <w:rFonts w:asciiTheme="minorHAnsi" w:hAnsiTheme="minorHAnsi" w:cstheme="minorHAnsi"/>
              </w:rPr>
              <w:t>Measure Cost</w:t>
            </w:r>
          </w:p>
        </w:tc>
        <w:tc>
          <w:tcPr>
            <w:tcW w:w="360" w:type="dxa"/>
            <w:vMerge w:val="restart"/>
            <w:tcBorders>
              <w:top w:val="nil"/>
              <w:left w:val="single" w:color="000000" w:themeColor="text1" w:sz="4" w:space="0"/>
              <w:right w:val="single" w:color="auto" w:sz="4" w:space="0"/>
            </w:tcBorders>
            <w:textDirection w:val="btLr"/>
            <w:vAlign w:val="center"/>
          </w:tcPr>
          <w:p w:rsidRPr="00730611" w:rsidR="00845FD4" w:rsidP="00402450" w:rsidRDefault="00845FD4" w14:paraId="26092634" w14:textId="77777777">
            <w:pPr>
              <w:pStyle w:val="Table"/>
              <w:rPr>
                <w:rFonts w:asciiTheme="minorHAnsi" w:hAnsiTheme="minorHAnsi" w:cstheme="minorHAnsi"/>
              </w:rPr>
            </w:pPr>
            <w:r w:rsidRPr="00730611">
              <w:rPr>
                <w:rFonts w:asciiTheme="minorHAnsi" w:hAnsiTheme="minorHAnsi" w:cstheme="minorHAnsi"/>
              </w:rPr>
              <w:t>Other</w:t>
            </w:r>
          </w:p>
        </w:tc>
      </w:tr>
      <w:tr w:rsidRPr="00730611" w:rsidR="00845FD4" w:rsidTr="00402450" w14:paraId="2A70D7F1" w14:textId="77777777">
        <w:trPr>
          <w:cantSplit/>
          <w:trHeight w:val="643"/>
          <w:tblHeader/>
        </w:trPr>
        <w:tc>
          <w:tcPr>
            <w:tcW w:w="585" w:type="dxa"/>
            <w:vMerge/>
            <w:tcBorders>
              <w:left w:val="single" w:color="auto" w:sz="4" w:space="0"/>
              <w:bottom w:val="double" w:color="auto" w:sz="4" w:space="0"/>
              <w:right w:val="single" w:color="auto" w:sz="4" w:space="0"/>
            </w:tcBorders>
            <w:textDirection w:val="btLr"/>
            <w:vAlign w:val="center"/>
          </w:tcPr>
          <w:p w:rsidRPr="00730611" w:rsidR="00845FD4" w:rsidP="00402450" w:rsidRDefault="00845FD4" w14:paraId="75AE361C" w14:textId="77777777">
            <w:pPr>
              <w:pStyle w:val="Table"/>
              <w:rPr>
                <w:rFonts w:asciiTheme="minorHAnsi" w:hAnsiTheme="minorHAnsi" w:cstheme="minorHAnsi"/>
              </w:rPr>
            </w:pPr>
          </w:p>
        </w:tc>
        <w:tc>
          <w:tcPr>
            <w:tcW w:w="585" w:type="dxa"/>
            <w:vMerge/>
            <w:tcBorders>
              <w:left w:val="single" w:color="auto" w:sz="4" w:space="0"/>
              <w:bottom w:val="double" w:color="auto" w:sz="4" w:space="0"/>
              <w:right w:val="single" w:color="auto" w:sz="4" w:space="0"/>
            </w:tcBorders>
            <w:textDirection w:val="btLr"/>
            <w:vAlign w:val="center"/>
          </w:tcPr>
          <w:p w:rsidRPr="00730611" w:rsidR="00845FD4" w:rsidP="00402450" w:rsidRDefault="00845FD4" w14:paraId="375EC117" w14:textId="77777777">
            <w:pPr>
              <w:pStyle w:val="Table"/>
              <w:rPr>
                <w:rFonts w:asciiTheme="minorHAnsi" w:hAnsiTheme="minorHAnsi" w:cstheme="minorHAnsi"/>
              </w:rPr>
            </w:pPr>
          </w:p>
        </w:tc>
        <w:tc>
          <w:tcPr>
            <w:tcW w:w="990" w:type="dxa"/>
            <w:vMerge/>
            <w:tcBorders>
              <w:left w:val="single" w:color="auto" w:sz="4" w:space="0"/>
              <w:bottom w:val="double" w:color="auto" w:sz="4" w:space="0"/>
              <w:right w:val="single" w:color="auto" w:sz="4" w:space="0"/>
            </w:tcBorders>
            <w:vAlign w:val="bottom"/>
          </w:tcPr>
          <w:p w:rsidRPr="00730611" w:rsidR="00845FD4" w:rsidP="00402450" w:rsidRDefault="00845FD4" w14:paraId="49225F01" w14:textId="77777777">
            <w:pPr>
              <w:pStyle w:val="Table"/>
              <w:rPr>
                <w:rFonts w:asciiTheme="minorHAnsi" w:hAnsiTheme="minorHAnsi" w:cstheme="minorHAnsi"/>
              </w:rPr>
            </w:pPr>
          </w:p>
        </w:tc>
        <w:tc>
          <w:tcPr>
            <w:tcW w:w="3627" w:type="dxa"/>
            <w:tcBorders>
              <w:left w:val="nil"/>
              <w:bottom w:val="double" w:color="auto" w:sz="4" w:space="0"/>
              <w:right w:val="single" w:color="auto" w:sz="4" w:space="0"/>
            </w:tcBorders>
            <w:shd w:val="clear" w:color="auto" w:fill="auto"/>
            <w:noWrap/>
            <w:vAlign w:val="bottom"/>
          </w:tcPr>
          <w:p w:rsidRPr="00730611" w:rsidR="00845FD4" w:rsidP="00402450" w:rsidRDefault="00845FD4" w14:paraId="46A3866D" w14:textId="77777777">
            <w:pPr>
              <w:pStyle w:val="Table"/>
              <w:rPr>
                <w:rFonts w:asciiTheme="minorHAnsi" w:hAnsiTheme="minorHAnsi" w:cstheme="minorHAnsi"/>
              </w:rPr>
            </w:pPr>
            <w:r w:rsidRPr="00730611">
              <w:rPr>
                <w:rFonts w:asciiTheme="minorHAnsi" w:hAnsiTheme="minorHAnsi" w:cstheme="minorHAnsi"/>
              </w:rPr>
              <w:t>Update Topic Area</w:t>
            </w:r>
          </w:p>
        </w:tc>
        <w:tc>
          <w:tcPr>
            <w:tcW w:w="360" w:type="dxa"/>
            <w:vMerge/>
            <w:tcBorders>
              <w:left w:val="nil"/>
              <w:bottom w:val="double" w:color="auto" w:sz="4" w:space="0"/>
              <w:right w:val="single" w:color="auto" w:sz="4" w:space="0"/>
            </w:tcBorders>
            <w:shd w:val="clear" w:color="auto" w:fill="auto"/>
            <w:noWrap/>
            <w:textDirection w:val="btLr"/>
            <w:vAlign w:val="center"/>
          </w:tcPr>
          <w:p w:rsidRPr="00730611" w:rsidR="00845FD4" w:rsidP="008E2F07" w:rsidRDefault="00845FD4" w14:paraId="0A68CE01" w14:textId="77777777">
            <w:pPr>
              <w:rPr>
                <w:rFonts w:asciiTheme="minorHAnsi" w:hAnsiTheme="minorHAnsi" w:cstheme="minorHAnsi"/>
                <w:sz w:val="18"/>
                <w:szCs w:val="18"/>
              </w:rPr>
            </w:pPr>
          </w:p>
        </w:tc>
        <w:tc>
          <w:tcPr>
            <w:tcW w:w="360" w:type="dxa"/>
            <w:vMerge/>
            <w:tcBorders>
              <w:left w:val="nil"/>
              <w:bottom w:val="double" w:color="auto" w:sz="4" w:space="0"/>
              <w:right w:val="single" w:color="auto" w:sz="4" w:space="0"/>
            </w:tcBorders>
            <w:shd w:val="clear" w:color="auto" w:fill="auto"/>
            <w:noWrap/>
            <w:textDirection w:val="btLr"/>
            <w:vAlign w:val="center"/>
          </w:tcPr>
          <w:p w:rsidRPr="00730611" w:rsidR="00845FD4" w:rsidP="008E2F07" w:rsidRDefault="00845FD4" w14:paraId="71B3BDFF" w14:textId="77777777">
            <w:pPr>
              <w:rPr>
                <w:rFonts w:asciiTheme="minorHAnsi" w:hAnsiTheme="minorHAnsi" w:cstheme="minorHAnsi"/>
                <w:sz w:val="18"/>
                <w:szCs w:val="18"/>
              </w:rPr>
            </w:pPr>
          </w:p>
        </w:tc>
        <w:tc>
          <w:tcPr>
            <w:tcW w:w="360" w:type="dxa"/>
            <w:vMerge/>
            <w:tcBorders>
              <w:left w:val="nil"/>
              <w:bottom w:val="double" w:color="auto" w:sz="4" w:space="0"/>
              <w:right w:val="single" w:color="auto" w:sz="4" w:space="0"/>
            </w:tcBorders>
            <w:shd w:val="clear" w:color="auto" w:fill="auto"/>
            <w:noWrap/>
            <w:textDirection w:val="btLr"/>
            <w:vAlign w:val="center"/>
          </w:tcPr>
          <w:p w:rsidRPr="00730611" w:rsidR="00845FD4" w:rsidP="008E2F07" w:rsidRDefault="00845FD4" w14:paraId="178CE456" w14:textId="77777777">
            <w:pPr>
              <w:rPr>
                <w:rFonts w:asciiTheme="minorHAnsi" w:hAnsiTheme="minorHAnsi" w:cstheme="minorHAnsi"/>
                <w:sz w:val="18"/>
                <w:szCs w:val="18"/>
              </w:rPr>
            </w:pPr>
          </w:p>
        </w:tc>
        <w:tc>
          <w:tcPr>
            <w:tcW w:w="360" w:type="dxa"/>
            <w:vMerge/>
            <w:tcBorders>
              <w:left w:val="nil"/>
              <w:bottom w:val="double" w:color="auto" w:sz="4" w:space="0"/>
              <w:right w:val="single" w:color="auto" w:sz="4" w:space="0"/>
            </w:tcBorders>
            <w:shd w:val="clear" w:color="auto" w:fill="auto"/>
            <w:noWrap/>
            <w:textDirection w:val="btLr"/>
            <w:vAlign w:val="center"/>
          </w:tcPr>
          <w:p w:rsidRPr="00730611" w:rsidR="00845FD4" w:rsidP="008E2F07" w:rsidRDefault="00845FD4" w14:paraId="13208519" w14:textId="77777777">
            <w:pPr>
              <w:rPr>
                <w:rFonts w:asciiTheme="minorHAnsi" w:hAnsiTheme="minorHAnsi" w:cstheme="minorHAnsi"/>
                <w:sz w:val="18"/>
                <w:szCs w:val="18"/>
              </w:rPr>
            </w:pPr>
          </w:p>
        </w:tc>
        <w:tc>
          <w:tcPr>
            <w:tcW w:w="360" w:type="dxa"/>
            <w:vMerge/>
            <w:tcBorders>
              <w:left w:val="nil"/>
              <w:bottom w:val="double" w:color="auto" w:sz="4" w:space="0"/>
              <w:right w:val="single" w:color="auto" w:sz="4" w:space="0"/>
            </w:tcBorders>
            <w:shd w:val="clear" w:color="auto" w:fill="auto"/>
            <w:noWrap/>
            <w:textDirection w:val="btLr"/>
            <w:vAlign w:val="center"/>
          </w:tcPr>
          <w:p w:rsidRPr="00730611" w:rsidR="00845FD4" w:rsidP="008E2F07" w:rsidRDefault="00845FD4" w14:paraId="619EB8FE" w14:textId="77777777">
            <w:pPr>
              <w:rPr>
                <w:rFonts w:asciiTheme="minorHAnsi" w:hAnsiTheme="minorHAnsi" w:cstheme="minorHAnsi"/>
                <w:sz w:val="18"/>
                <w:szCs w:val="18"/>
              </w:rPr>
            </w:pPr>
          </w:p>
        </w:tc>
        <w:tc>
          <w:tcPr>
            <w:tcW w:w="360" w:type="dxa"/>
            <w:vMerge/>
            <w:tcBorders>
              <w:left w:val="nil"/>
              <w:bottom w:val="double" w:color="auto" w:sz="4" w:space="0"/>
              <w:right w:val="single" w:color="auto" w:sz="4" w:space="0"/>
            </w:tcBorders>
            <w:shd w:val="clear" w:color="auto" w:fill="auto"/>
            <w:noWrap/>
            <w:textDirection w:val="btLr"/>
            <w:vAlign w:val="center"/>
          </w:tcPr>
          <w:p w:rsidRPr="00730611" w:rsidR="00845FD4" w:rsidP="008E2F07" w:rsidRDefault="00845FD4" w14:paraId="212BC8DC" w14:textId="77777777">
            <w:pPr>
              <w:rPr>
                <w:rFonts w:asciiTheme="minorHAnsi" w:hAnsiTheme="minorHAnsi" w:cstheme="minorHAnsi"/>
                <w:sz w:val="18"/>
                <w:szCs w:val="18"/>
              </w:rPr>
            </w:pPr>
          </w:p>
        </w:tc>
        <w:tc>
          <w:tcPr>
            <w:tcW w:w="360" w:type="dxa"/>
            <w:vMerge/>
            <w:tcBorders>
              <w:left w:val="nil"/>
              <w:bottom w:val="double" w:color="auto" w:sz="4" w:space="0"/>
              <w:right w:val="single" w:color="auto" w:sz="4" w:space="0"/>
            </w:tcBorders>
            <w:shd w:val="clear" w:color="auto" w:fill="auto"/>
            <w:noWrap/>
            <w:textDirection w:val="btLr"/>
            <w:vAlign w:val="center"/>
          </w:tcPr>
          <w:p w:rsidRPr="00730611" w:rsidR="00845FD4" w:rsidP="008E2F07" w:rsidRDefault="00845FD4" w14:paraId="27C55892" w14:textId="77777777">
            <w:pPr>
              <w:rPr>
                <w:rFonts w:asciiTheme="minorHAnsi" w:hAnsiTheme="minorHAnsi" w:cstheme="minorHAnsi"/>
                <w:sz w:val="18"/>
                <w:szCs w:val="18"/>
              </w:rPr>
            </w:pPr>
          </w:p>
        </w:tc>
        <w:tc>
          <w:tcPr>
            <w:tcW w:w="360" w:type="dxa"/>
            <w:vMerge/>
            <w:tcBorders>
              <w:left w:val="nil"/>
              <w:bottom w:val="double" w:color="auto" w:sz="4" w:space="0"/>
              <w:right w:val="single" w:color="auto" w:sz="4" w:space="0"/>
            </w:tcBorders>
            <w:shd w:val="clear" w:color="auto" w:fill="auto"/>
            <w:noWrap/>
            <w:textDirection w:val="btLr"/>
            <w:vAlign w:val="center"/>
          </w:tcPr>
          <w:p w:rsidRPr="00730611" w:rsidR="00845FD4" w:rsidP="008E2F07" w:rsidRDefault="00845FD4" w14:paraId="58E398CD" w14:textId="77777777">
            <w:pPr>
              <w:rPr>
                <w:rFonts w:asciiTheme="minorHAnsi" w:hAnsiTheme="minorHAnsi" w:cstheme="minorHAnsi"/>
                <w:sz w:val="18"/>
                <w:szCs w:val="18"/>
              </w:rPr>
            </w:pPr>
          </w:p>
        </w:tc>
        <w:tc>
          <w:tcPr>
            <w:tcW w:w="360" w:type="dxa"/>
            <w:vMerge/>
            <w:tcBorders>
              <w:left w:val="nil"/>
              <w:bottom w:val="double" w:color="auto" w:sz="4" w:space="0"/>
              <w:right w:val="single" w:color="000000" w:themeColor="text1" w:sz="4" w:space="0"/>
            </w:tcBorders>
            <w:textDirection w:val="btLr"/>
          </w:tcPr>
          <w:p w:rsidRPr="00730611" w:rsidR="00845FD4" w:rsidP="008E2F07" w:rsidRDefault="00845FD4" w14:paraId="2E69E06B" w14:textId="77777777">
            <w:pPr>
              <w:rPr>
                <w:rFonts w:asciiTheme="minorHAnsi" w:hAnsiTheme="minorHAnsi" w:cstheme="minorHAnsi"/>
                <w:sz w:val="18"/>
                <w:szCs w:val="18"/>
              </w:rPr>
            </w:pPr>
          </w:p>
        </w:tc>
        <w:tc>
          <w:tcPr>
            <w:tcW w:w="360" w:type="dxa"/>
            <w:vMerge/>
            <w:tcBorders>
              <w:left w:val="single" w:color="000000" w:themeColor="text1" w:sz="4" w:space="0"/>
              <w:bottom w:val="double" w:color="auto" w:sz="4" w:space="0"/>
              <w:right w:val="single" w:color="auto" w:sz="4" w:space="0"/>
            </w:tcBorders>
            <w:shd w:val="clear" w:color="auto" w:fill="auto"/>
            <w:noWrap/>
            <w:textDirection w:val="btLr"/>
            <w:vAlign w:val="center"/>
          </w:tcPr>
          <w:p w:rsidRPr="00730611" w:rsidR="00845FD4" w:rsidP="008E2F07" w:rsidRDefault="00845FD4" w14:paraId="2ED32A96" w14:textId="77777777">
            <w:pPr>
              <w:rPr>
                <w:rFonts w:asciiTheme="minorHAnsi" w:hAnsiTheme="minorHAnsi" w:cstheme="minorHAnsi"/>
                <w:sz w:val="18"/>
                <w:szCs w:val="18"/>
              </w:rPr>
            </w:pPr>
          </w:p>
        </w:tc>
        <w:tc>
          <w:tcPr>
            <w:tcW w:w="360" w:type="dxa"/>
            <w:vMerge/>
            <w:tcBorders>
              <w:left w:val="nil"/>
              <w:bottom w:val="double" w:color="auto" w:sz="4" w:space="0"/>
              <w:right w:val="single" w:color="000000" w:themeColor="text1" w:sz="4" w:space="0"/>
            </w:tcBorders>
            <w:textDirection w:val="btLr"/>
          </w:tcPr>
          <w:p w:rsidRPr="00730611" w:rsidR="00845FD4" w:rsidP="008E2F07" w:rsidRDefault="00845FD4" w14:paraId="76157B6E" w14:textId="77777777">
            <w:pPr>
              <w:rPr>
                <w:rFonts w:asciiTheme="minorHAnsi" w:hAnsiTheme="minorHAnsi" w:cstheme="minorHAnsi"/>
                <w:sz w:val="18"/>
                <w:szCs w:val="18"/>
              </w:rPr>
            </w:pPr>
          </w:p>
        </w:tc>
        <w:tc>
          <w:tcPr>
            <w:tcW w:w="360" w:type="dxa"/>
            <w:vMerge/>
            <w:tcBorders>
              <w:left w:val="single" w:color="000000" w:themeColor="text1" w:sz="4" w:space="0"/>
              <w:bottom w:val="double" w:color="auto" w:sz="4" w:space="0"/>
              <w:right w:val="single" w:color="auto" w:sz="4" w:space="0"/>
            </w:tcBorders>
            <w:textDirection w:val="btLr"/>
            <w:vAlign w:val="center"/>
          </w:tcPr>
          <w:p w:rsidRPr="00730611" w:rsidR="00845FD4" w:rsidP="008E2F07" w:rsidRDefault="00845FD4" w14:paraId="312D1AFB" w14:textId="77777777">
            <w:pPr>
              <w:rPr>
                <w:rFonts w:asciiTheme="minorHAnsi" w:hAnsiTheme="minorHAnsi" w:cstheme="minorHAnsi"/>
                <w:sz w:val="18"/>
                <w:szCs w:val="18"/>
              </w:rPr>
            </w:pPr>
          </w:p>
        </w:tc>
      </w:tr>
      <w:tr w:rsidRPr="00730611" w:rsidR="00813B21" w:rsidTr="00AE3CF1" w14:paraId="055049D8" w14:textId="77777777">
        <w:trPr>
          <w:trHeight w:val="288"/>
        </w:trPr>
        <w:tc>
          <w:tcPr>
            <w:tcW w:w="585" w:type="dxa"/>
            <w:tcBorders>
              <w:top w:val="double" w:color="auto" w:sz="4" w:space="0"/>
              <w:left w:val="single" w:color="auto" w:sz="4" w:space="0"/>
              <w:bottom w:val="double" w:color="auto" w:sz="4" w:space="0"/>
            </w:tcBorders>
            <w:vAlign w:val="center"/>
          </w:tcPr>
          <w:p w:rsidRPr="00730611" w:rsidR="00813B21" w:rsidP="00813B21" w:rsidRDefault="00813B21" w14:paraId="6931D1AB" w14:textId="77777777">
            <w:pPr>
              <w:pStyle w:val="Table"/>
              <w:rPr>
                <w:rFonts w:asciiTheme="minorHAnsi" w:hAnsiTheme="minorHAnsi" w:cstheme="minorHAnsi"/>
                <w:b/>
              </w:rPr>
            </w:pPr>
          </w:p>
        </w:tc>
        <w:tc>
          <w:tcPr>
            <w:tcW w:w="585" w:type="dxa"/>
            <w:tcBorders>
              <w:top w:val="double" w:color="auto" w:sz="4" w:space="0"/>
              <w:bottom w:val="double" w:color="auto" w:sz="4" w:space="0"/>
            </w:tcBorders>
            <w:vAlign w:val="center"/>
          </w:tcPr>
          <w:p w:rsidRPr="00730611" w:rsidR="00813B21" w:rsidP="00813B21" w:rsidRDefault="00813B21" w14:paraId="37458070" w14:textId="77777777">
            <w:pPr>
              <w:pStyle w:val="Table"/>
              <w:rPr>
                <w:rFonts w:asciiTheme="minorHAnsi" w:hAnsiTheme="minorHAnsi" w:cstheme="minorHAnsi"/>
                <w:b/>
              </w:rPr>
            </w:pPr>
          </w:p>
        </w:tc>
        <w:tc>
          <w:tcPr>
            <w:tcW w:w="990" w:type="dxa"/>
            <w:tcBorders>
              <w:top w:val="double" w:color="auto" w:sz="4" w:space="0"/>
              <w:bottom w:val="double" w:color="auto" w:sz="4" w:space="0"/>
            </w:tcBorders>
            <w:vAlign w:val="center"/>
          </w:tcPr>
          <w:p w:rsidRPr="00730611" w:rsidR="00813B21" w:rsidP="00813B21" w:rsidRDefault="00813B21" w14:paraId="005D1113" w14:textId="77777777">
            <w:pPr>
              <w:pStyle w:val="Table"/>
              <w:rPr>
                <w:rFonts w:asciiTheme="minorHAnsi" w:hAnsiTheme="minorHAnsi" w:cstheme="minorHAnsi"/>
                <w:b/>
              </w:rPr>
            </w:pPr>
          </w:p>
        </w:tc>
        <w:tc>
          <w:tcPr>
            <w:tcW w:w="3627" w:type="dxa"/>
            <w:tcBorders>
              <w:top w:val="double" w:color="auto" w:sz="4" w:space="0"/>
              <w:bottom w:val="double" w:color="auto" w:sz="4" w:space="0"/>
            </w:tcBorders>
            <w:shd w:val="clear" w:color="auto" w:fill="auto"/>
            <w:noWrap/>
            <w:vAlign w:val="center"/>
          </w:tcPr>
          <w:p w:rsidRPr="00730611" w:rsidR="00813B21" w:rsidP="00813B21" w:rsidRDefault="00813B21" w14:paraId="0D64A4DA" w14:textId="42F8D12D">
            <w:pPr>
              <w:pStyle w:val="Table"/>
              <w:rPr>
                <w:rFonts w:asciiTheme="minorHAnsi" w:hAnsiTheme="minorHAnsi" w:cstheme="minorHAnsi"/>
                <w:b/>
              </w:rPr>
            </w:pPr>
            <w:r w:rsidRPr="00730611">
              <w:rPr>
                <w:rFonts w:asciiTheme="minorHAnsi" w:hAnsiTheme="minorHAnsi" w:cstheme="minorHAnsi"/>
                <w:b/>
              </w:rPr>
              <w:t>Transition to eTRM</w:t>
            </w:r>
          </w:p>
        </w:tc>
        <w:tc>
          <w:tcPr>
            <w:tcW w:w="360" w:type="dxa"/>
            <w:tcBorders>
              <w:top w:val="double" w:color="auto" w:sz="4" w:space="0"/>
              <w:bottom w:val="double" w:color="auto" w:sz="4" w:space="0"/>
            </w:tcBorders>
            <w:shd w:val="clear" w:color="auto" w:fill="auto"/>
            <w:noWrap/>
            <w:vAlign w:val="center"/>
          </w:tcPr>
          <w:p w:rsidRPr="00730611" w:rsidR="00813B21" w:rsidP="00813B21" w:rsidRDefault="00813B21" w14:paraId="6914F358"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13B21" w:rsidP="00813B21" w:rsidRDefault="00813B21" w14:paraId="63C86F5C"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13B21" w:rsidP="00813B21" w:rsidRDefault="00813B21" w14:paraId="1B64FA29"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13B21" w:rsidP="00813B21" w:rsidRDefault="00813B21" w14:paraId="0BDDB34A"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13B21" w:rsidP="00813B21" w:rsidRDefault="00813B21" w14:paraId="5333E0CB"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13B21" w:rsidP="00813B21" w:rsidRDefault="00813B21" w14:paraId="0843AD75"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13B21" w:rsidP="00813B21" w:rsidRDefault="00813B21" w14:paraId="27620F96"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13B21" w:rsidP="00813B21" w:rsidRDefault="00813B21" w14:paraId="77FCBC2A"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13B21" w:rsidP="00813B21" w:rsidRDefault="00813B21" w14:paraId="35CB8CD2"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13B21" w:rsidP="00813B21" w:rsidRDefault="00813B21" w14:paraId="5CE62DFA"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13B21" w:rsidP="00813B21" w:rsidRDefault="00813B21" w14:paraId="057EB9EC" w14:textId="77777777">
            <w:pPr>
              <w:pStyle w:val="Table"/>
              <w:jc w:val="center"/>
              <w:rPr>
                <w:rFonts w:asciiTheme="minorHAnsi" w:hAnsiTheme="minorHAnsi" w:cstheme="minorHAnsi"/>
                <w:b/>
              </w:rPr>
            </w:pPr>
          </w:p>
        </w:tc>
        <w:tc>
          <w:tcPr>
            <w:tcW w:w="360" w:type="dxa"/>
            <w:tcBorders>
              <w:top w:val="double" w:color="auto" w:sz="4" w:space="0"/>
              <w:bottom w:val="double" w:color="auto" w:sz="4" w:space="0"/>
              <w:right w:val="single" w:color="auto" w:sz="4" w:space="0"/>
            </w:tcBorders>
            <w:vAlign w:val="center"/>
          </w:tcPr>
          <w:p w:rsidRPr="00730611" w:rsidR="00813B21" w:rsidP="00813B21" w:rsidRDefault="00813B21" w14:paraId="69AF4E00" w14:textId="77777777">
            <w:pPr>
              <w:pStyle w:val="Table"/>
              <w:jc w:val="center"/>
              <w:rPr>
                <w:rFonts w:asciiTheme="minorHAnsi" w:hAnsiTheme="minorHAnsi" w:cstheme="minorHAnsi"/>
                <w:b/>
              </w:rPr>
            </w:pPr>
          </w:p>
        </w:tc>
      </w:tr>
      <w:tr w:rsidRPr="00730611" w:rsidR="00813B21" w:rsidTr="00813B21" w14:paraId="48E4EEE4" w14:textId="77777777">
        <w:trPr>
          <w:trHeight w:val="288"/>
        </w:trPr>
        <w:tc>
          <w:tcPr>
            <w:tcW w:w="585" w:type="dxa"/>
            <w:tcBorders>
              <w:top w:val="double" w:color="auto" w:sz="4" w:space="0"/>
              <w:left w:val="single" w:color="auto" w:sz="4" w:space="0"/>
              <w:bottom w:val="single" w:color="auto" w:sz="4" w:space="0"/>
              <w:right w:val="single" w:color="auto" w:sz="4" w:space="0"/>
            </w:tcBorders>
            <w:vAlign w:val="center"/>
          </w:tcPr>
          <w:p w:rsidRPr="00730611" w:rsidR="00813B21" w:rsidP="00813B21" w:rsidRDefault="00813B21" w14:paraId="1D6B25A2" w14:textId="5E7D84A9">
            <w:pPr>
              <w:pStyle w:val="Table"/>
              <w:rPr>
                <w:rFonts w:asciiTheme="minorHAnsi" w:hAnsiTheme="minorHAnsi" w:cstheme="minorHAnsi"/>
                <w:b/>
              </w:rPr>
            </w:pPr>
            <w:r w:rsidRPr="00730611">
              <w:rPr>
                <w:rFonts w:asciiTheme="minorHAnsi" w:hAnsiTheme="minorHAnsi" w:cstheme="minorHAnsi"/>
              </w:rPr>
              <w:t>!!!!</w:t>
            </w:r>
          </w:p>
        </w:tc>
        <w:tc>
          <w:tcPr>
            <w:tcW w:w="585" w:type="dxa"/>
            <w:tcBorders>
              <w:top w:val="double" w:color="auto" w:sz="4" w:space="0"/>
              <w:left w:val="single" w:color="auto" w:sz="4" w:space="0"/>
              <w:bottom w:val="single" w:color="auto" w:sz="4" w:space="0"/>
              <w:right w:val="single" w:color="auto" w:sz="4" w:space="0"/>
            </w:tcBorders>
            <w:vAlign w:val="center"/>
          </w:tcPr>
          <w:p w:rsidRPr="00730611" w:rsidR="00813B21" w:rsidP="00813B21" w:rsidRDefault="00813B21" w14:paraId="328F893A" w14:textId="10573505">
            <w:pPr>
              <w:pStyle w:val="Table"/>
              <w:rPr>
                <w:rFonts w:asciiTheme="minorHAnsi" w:hAnsiTheme="minorHAnsi" w:cstheme="minorHAnsi"/>
                <w:b/>
              </w:rPr>
            </w:pPr>
            <w:r w:rsidRPr="00730611">
              <w:rPr>
                <w:rFonts w:asciiTheme="minorHAnsi" w:hAnsiTheme="minorHAnsi" w:cstheme="minorHAnsi"/>
              </w:rPr>
              <w:t>$$$$</w:t>
            </w:r>
          </w:p>
        </w:tc>
        <w:tc>
          <w:tcPr>
            <w:tcW w:w="990" w:type="dxa"/>
            <w:tcBorders>
              <w:top w:val="double" w:color="auto" w:sz="4" w:space="0"/>
              <w:left w:val="single" w:color="auto" w:sz="4" w:space="0"/>
              <w:bottom w:val="single" w:color="auto" w:sz="4" w:space="0"/>
              <w:right w:val="single" w:color="auto" w:sz="4" w:space="0"/>
            </w:tcBorders>
            <w:vAlign w:val="center"/>
          </w:tcPr>
          <w:p w:rsidRPr="00730611" w:rsidR="00813B21" w:rsidP="00813B21" w:rsidRDefault="00813B21" w14:paraId="47903396" w14:textId="7C99AA53">
            <w:pPr>
              <w:pStyle w:val="Table"/>
              <w:rPr>
                <w:rFonts w:asciiTheme="minorHAnsi" w:hAnsiTheme="minorHAnsi" w:cstheme="minorHAnsi"/>
                <w:b/>
              </w:rPr>
            </w:pPr>
            <w:r w:rsidRPr="00730611">
              <w:rPr>
                <w:rFonts w:asciiTheme="minorHAnsi" w:hAnsiTheme="minorHAnsi" w:cstheme="minorHAnsi"/>
              </w:rPr>
              <w:t>2020</w:t>
            </w:r>
          </w:p>
        </w:tc>
        <w:tc>
          <w:tcPr>
            <w:tcW w:w="3627" w:type="dxa"/>
            <w:tcBorders>
              <w:top w:val="double" w:color="auto" w:sz="4" w:space="0"/>
              <w:left w:val="single" w:color="auto" w:sz="4" w:space="0"/>
              <w:bottom w:val="single" w:color="auto" w:sz="4" w:space="0"/>
              <w:right w:val="single" w:color="auto" w:sz="4" w:space="0"/>
            </w:tcBorders>
            <w:shd w:val="clear" w:color="auto" w:fill="auto"/>
            <w:noWrap/>
            <w:vAlign w:val="center"/>
          </w:tcPr>
          <w:p w:rsidRPr="00730611" w:rsidR="00813B21" w:rsidP="00813B21" w:rsidRDefault="00813B21" w14:paraId="0217E035" w14:textId="2E28241F">
            <w:pPr>
              <w:pStyle w:val="Table"/>
              <w:rPr>
                <w:rFonts w:asciiTheme="minorHAnsi" w:hAnsiTheme="minorHAnsi" w:cstheme="minorHAnsi"/>
                <w:b/>
              </w:rPr>
            </w:pPr>
            <w:r w:rsidRPr="00730611">
              <w:rPr>
                <w:rFonts w:asciiTheme="minorHAnsi" w:hAnsiTheme="minorHAnsi" w:cstheme="minorHAnsi"/>
              </w:rPr>
              <w:t>Implement eTRM Transition Plan</w:t>
            </w:r>
          </w:p>
        </w:tc>
        <w:tc>
          <w:tcPr>
            <w:tcW w:w="360" w:type="dxa"/>
            <w:tcBorders>
              <w:top w:val="double" w:color="auto" w:sz="4" w:space="0"/>
              <w:left w:val="single" w:color="auto" w:sz="4" w:space="0"/>
              <w:bottom w:val="single" w:color="auto" w:sz="4" w:space="0"/>
              <w:right w:val="single" w:color="auto" w:sz="4" w:space="0"/>
            </w:tcBorders>
            <w:shd w:val="clear" w:color="auto" w:fill="auto"/>
            <w:noWrap/>
            <w:vAlign w:val="center"/>
          </w:tcPr>
          <w:p w:rsidRPr="00730611" w:rsidR="00813B21" w:rsidP="00813B21" w:rsidRDefault="00813B21" w14:paraId="6900F524" w14:textId="54FE7760">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double" w:color="auto" w:sz="4" w:space="0"/>
              <w:left w:val="single" w:color="auto" w:sz="4" w:space="0"/>
              <w:bottom w:val="single" w:color="auto" w:sz="4" w:space="0"/>
              <w:right w:val="single" w:color="auto" w:sz="4" w:space="0"/>
            </w:tcBorders>
            <w:shd w:val="clear" w:color="auto" w:fill="auto"/>
            <w:noWrap/>
            <w:vAlign w:val="center"/>
          </w:tcPr>
          <w:p w:rsidRPr="00730611" w:rsidR="00813B21" w:rsidP="00813B21" w:rsidRDefault="00813B21" w14:paraId="64C96681" w14:textId="41368DF8">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double" w:color="auto" w:sz="4" w:space="0"/>
              <w:left w:val="single" w:color="auto" w:sz="4" w:space="0"/>
              <w:bottom w:val="single" w:color="auto" w:sz="4" w:space="0"/>
              <w:right w:val="single" w:color="auto" w:sz="4" w:space="0"/>
            </w:tcBorders>
            <w:shd w:val="clear" w:color="auto" w:fill="auto"/>
            <w:noWrap/>
            <w:vAlign w:val="center"/>
          </w:tcPr>
          <w:p w:rsidRPr="00730611" w:rsidR="00813B21" w:rsidP="00813B21" w:rsidRDefault="00813B21" w14:paraId="1D6E6072" w14:textId="64F132BE">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double" w:color="auto" w:sz="4" w:space="0"/>
              <w:left w:val="single" w:color="auto" w:sz="4" w:space="0"/>
              <w:bottom w:val="single" w:color="auto" w:sz="4" w:space="0"/>
              <w:right w:val="single" w:color="auto" w:sz="4" w:space="0"/>
            </w:tcBorders>
            <w:shd w:val="clear" w:color="auto" w:fill="auto"/>
            <w:noWrap/>
            <w:vAlign w:val="center"/>
          </w:tcPr>
          <w:p w:rsidRPr="00730611" w:rsidR="00813B21" w:rsidP="00813B21" w:rsidRDefault="00813B21" w14:paraId="2E76B960" w14:textId="14348016">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double" w:color="auto" w:sz="4" w:space="0"/>
              <w:left w:val="single" w:color="auto" w:sz="4" w:space="0"/>
              <w:bottom w:val="single" w:color="auto" w:sz="4" w:space="0"/>
              <w:right w:val="single" w:color="auto" w:sz="4" w:space="0"/>
            </w:tcBorders>
            <w:shd w:val="clear" w:color="auto" w:fill="auto"/>
            <w:noWrap/>
            <w:vAlign w:val="center"/>
          </w:tcPr>
          <w:p w:rsidRPr="00730611" w:rsidR="00813B21" w:rsidP="00813B21" w:rsidRDefault="00813B21" w14:paraId="1BB2680D" w14:textId="3D229665">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double" w:color="auto" w:sz="4" w:space="0"/>
              <w:left w:val="single" w:color="auto" w:sz="4" w:space="0"/>
              <w:bottom w:val="single" w:color="auto" w:sz="4" w:space="0"/>
              <w:right w:val="single" w:color="auto" w:sz="4" w:space="0"/>
            </w:tcBorders>
            <w:shd w:val="clear" w:color="auto" w:fill="auto"/>
            <w:noWrap/>
            <w:vAlign w:val="center"/>
          </w:tcPr>
          <w:p w:rsidRPr="00730611" w:rsidR="00813B21" w:rsidP="00813B21" w:rsidRDefault="00813B21" w14:paraId="264E7BD6" w14:textId="72F088B0">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double" w:color="auto" w:sz="4" w:space="0"/>
              <w:left w:val="single" w:color="auto" w:sz="4" w:space="0"/>
              <w:bottom w:val="single" w:color="auto" w:sz="4" w:space="0"/>
              <w:right w:val="single" w:color="auto" w:sz="4" w:space="0"/>
            </w:tcBorders>
            <w:shd w:val="clear" w:color="auto" w:fill="auto"/>
            <w:noWrap/>
            <w:vAlign w:val="center"/>
          </w:tcPr>
          <w:p w:rsidRPr="00730611" w:rsidR="00813B21" w:rsidP="00813B21" w:rsidRDefault="00813B21" w14:paraId="2BF194AA" w14:textId="10B8CCA4">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double" w:color="auto" w:sz="4" w:space="0"/>
              <w:left w:val="single" w:color="auto" w:sz="4" w:space="0"/>
              <w:bottom w:val="single" w:color="auto" w:sz="4" w:space="0"/>
              <w:right w:val="single" w:color="auto" w:sz="4" w:space="0"/>
            </w:tcBorders>
            <w:shd w:val="clear" w:color="auto" w:fill="auto"/>
            <w:noWrap/>
            <w:vAlign w:val="center"/>
          </w:tcPr>
          <w:p w:rsidRPr="00730611" w:rsidR="00813B21" w:rsidP="00813B21" w:rsidRDefault="00813B21" w14:paraId="6DE10204" w14:textId="1C8F5711">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double" w:color="auto" w:sz="4" w:space="0"/>
              <w:left w:val="single" w:color="auto" w:sz="4" w:space="0"/>
              <w:bottom w:val="single" w:color="auto" w:sz="4" w:space="0"/>
              <w:right w:val="single" w:color="auto" w:sz="4" w:space="0"/>
            </w:tcBorders>
            <w:vAlign w:val="center"/>
          </w:tcPr>
          <w:p w:rsidRPr="00730611" w:rsidR="00813B21" w:rsidP="00813B21" w:rsidRDefault="00813B21" w14:paraId="6C173F7F" w14:textId="420BF673">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double" w:color="auto" w:sz="4" w:space="0"/>
              <w:left w:val="single" w:color="auto" w:sz="4" w:space="0"/>
              <w:bottom w:val="single" w:color="auto" w:sz="4" w:space="0"/>
              <w:right w:val="single" w:color="auto" w:sz="4" w:space="0"/>
            </w:tcBorders>
            <w:shd w:val="clear" w:color="auto" w:fill="auto"/>
            <w:noWrap/>
            <w:vAlign w:val="center"/>
          </w:tcPr>
          <w:p w:rsidRPr="00730611" w:rsidR="00813B21" w:rsidP="00813B21" w:rsidRDefault="00813B21" w14:paraId="52EBE8A4" w14:textId="5FFA7A5C">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double" w:color="auto" w:sz="4" w:space="0"/>
              <w:left w:val="single" w:color="auto" w:sz="4" w:space="0"/>
              <w:bottom w:val="single" w:color="auto" w:sz="4" w:space="0"/>
              <w:right w:val="single" w:color="auto" w:sz="4" w:space="0"/>
            </w:tcBorders>
            <w:vAlign w:val="center"/>
          </w:tcPr>
          <w:p w:rsidRPr="00730611" w:rsidR="00813B21" w:rsidP="00813B21" w:rsidRDefault="00813B21" w14:paraId="3F48BF02" w14:textId="77777777">
            <w:pPr>
              <w:pStyle w:val="Table"/>
              <w:jc w:val="center"/>
              <w:rPr>
                <w:rFonts w:asciiTheme="minorHAnsi" w:hAnsiTheme="minorHAnsi" w:cstheme="minorHAnsi"/>
                <w:b/>
              </w:rPr>
            </w:pPr>
          </w:p>
        </w:tc>
        <w:tc>
          <w:tcPr>
            <w:tcW w:w="360" w:type="dxa"/>
            <w:tcBorders>
              <w:top w:val="double" w:color="auto" w:sz="4" w:space="0"/>
              <w:left w:val="single" w:color="auto" w:sz="4" w:space="0"/>
              <w:bottom w:val="single" w:color="auto" w:sz="4" w:space="0"/>
              <w:right w:val="single" w:color="auto" w:sz="4" w:space="0"/>
            </w:tcBorders>
            <w:vAlign w:val="center"/>
          </w:tcPr>
          <w:p w:rsidRPr="00730611" w:rsidR="00813B21" w:rsidP="00813B21" w:rsidRDefault="00813B21" w14:paraId="64D48AFD" w14:textId="77777777">
            <w:pPr>
              <w:pStyle w:val="Table"/>
              <w:jc w:val="center"/>
              <w:rPr>
                <w:rFonts w:asciiTheme="minorHAnsi" w:hAnsiTheme="minorHAnsi" w:cstheme="minorHAnsi"/>
                <w:b/>
              </w:rPr>
            </w:pPr>
          </w:p>
        </w:tc>
      </w:tr>
      <w:tr w:rsidRPr="00730611" w:rsidR="00813B21" w:rsidTr="00813B21" w14:paraId="28D1BF27" w14:textId="77777777">
        <w:trPr>
          <w:trHeight w:val="288"/>
        </w:trPr>
        <w:tc>
          <w:tcPr>
            <w:tcW w:w="585" w:type="dxa"/>
            <w:tcBorders>
              <w:top w:val="single" w:color="auto" w:sz="4" w:space="0"/>
              <w:left w:val="single" w:color="auto" w:sz="4" w:space="0"/>
              <w:bottom w:val="double" w:color="auto" w:sz="4" w:space="0"/>
              <w:right w:val="single" w:color="auto" w:sz="4" w:space="0"/>
            </w:tcBorders>
            <w:vAlign w:val="center"/>
          </w:tcPr>
          <w:p w:rsidRPr="00730611" w:rsidR="00813B21" w:rsidP="00813B21" w:rsidRDefault="00813B21" w14:paraId="0F8CAC7E" w14:textId="2734FA6F">
            <w:pPr>
              <w:pStyle w:val="Table"/>
              <w:rPr>
                <w:rFonts w:asciiTheme="minorHAnsi" w:hAnsiTheme="minorHAnsi" w:cstheme="minorHAnsi"/>
                <w:b/>
              </w:rPr>
            </w:pPr>
            <w:r w:rsidRPr="00730611">
              <w:rPr>
                <w:rFonts w:asciiTheme="minorHAnsi" w:hAnsiTheme="minorHAnsi" w:cstheme="minorHAnsi"/>
              </w:rPr>
              <w:t>!</w:t>
            </w:r>
          </w:p>
        </w:tc>
        <w:tc>
          <w:tcPr>
            <w:tcW w:w="585" w:type="dxa"/>
            <w:tcBorders>
              <w:top w:val="single" w:color="auto" w:sz="4" w:space="0"/>
              <w:left w:val="single" w:color="auto" w:sz="4" w:space="0"/>
              <w:bottom w:val="double" w:color="auto" w:sz="4" w:space="0"/>
              <w:right w:val="single" w:color="auto" w:sz="4" w:space="0"/>
            </w:tcBorders>
            <w:vAlign w:val="center"/>
          </w:tcPr>
          <w:p w:rsidRPr="00730611" w:rsidR="00813B21" w:rsidP="00813B21" w:rsidRDefault="00813B21" w14:paraId="22C206B0" w14:textId="36783417">
            <w:pPr>
              <w:pStyle w:val="Table"/>
              <w:rPr>
                <w:rFonts w:asciiTheme="minorHAnsi" w:hAnsiTheme="minorHAnsi" w:cstheme="minorHAnsi"/>
                <w:b/>
              </w:rPr>
            </w:pPr>
            <w:r w:rsidRPr="00730611">
              <w:rPr>
                <w:rFonts w:asciiTheme="minorHAnsi" w:hAnsiTheme="minorHAnsi" w:cstheme="minorHAnsi"/>
              </w:rPr>
              <w:t>$</w:t>
            </w:r>
          </w:p>
        </w:tc>
        <w:tc>
          <w:tcPr>
            <w:tcW w:w="990" w:type="dxa"/>
            <w:tcBorders>
              <w:top w:val="single" w:color="auto" w:sz="4" w:space="0"/>
              <w:left w:val="single" w:color="auto" w:sz="4" w:space="0"/>
              <w:bottom w:val="double" w:color="auto" w:sz="4" w:space="0"/>
              <w:right w:val="single" w:color="auto" w:sz="4" w:space="0"/>
            </w:tcBorders>
            <w:vAlign w:val="center"/>
          </w:tcPr>
          <w:p w:rsidRPr="00730611" w:rsidR="00813B21" w:rsidP="00813B21" w:rsidRDefault="00813B21" w14:paraId="08874829" w14:textId="3C731FF0">
            <w:pPr>
              <w:pStyle w:val="Table"/>
              <w:rPr>
                <w:rFonts w:asciiTheme="minorHAnsi" w:hAnsiTheme="minorHAnsi" w:cstheme="minorHAnsi"/>
                <w:b/>
              </w:rPr>
            </w:pPr>
            <w:r w:rsidRPr="00730611">
              <w:rPr>
                <w:rFonts w:asciiTheme="minorHAnsi" w:hAnsiTheme="minorHAnsi" w:cstheme="minorHAnsi"/>
              </w:rPr>
              <w:t>Ongoing</w:t>
            </w:r>
          </w:p>
        </w:tc>
        <w:tc>
          <w:tcPr>
            <w:tcW w:w="3627" w:type="dxa"/>
            <w:tcBorders>
              <w:top w:val="single" w:color="auto" w:sz="4" w:space="0"/>
              <w:left w:val="single" w:color="auto" w:sz="4" w:space="0"/>
              <w:bottom w:val="double" w:color="auto" w:sz="4" w:space="0"/>
              <w:right w:val="single" w:color="auto" w:sz="4" w:space="0"/>
            </w:tcBorders>
            <w:shd w:val="clear" w:color="auto" w:fill="auto"/>
            <w:noWrap/>
            <w:vAlign w:val="center"/>
          </w:tcPr>
          <w:p w:rsidRPr="00730611" w:rsidR="00813B21" w:rsidP="00813B21" w:rsidRDefault="00813B21" w14:paraId="48E8058A" w14:textId="279CFBE7">
            <w:pPr>
              <w:pStyle w:val="Table"/>
              <w:rPr>
                <w:rFonts w:asciiTheme="minorHAnsi" w:hAnsiTheme="minorHAnsi" w:cstheme="minorHAnsi"/>
                <w:b/>
              </w:rPr>
            </w:pPr>
            <w:r w:rsidRPr="00730611">
              <w:rPr>
                <w:rFonts w:asciiTheme="minorHAnsi" w:hAnsiTheme="minorHAnsi" w:cstheme="minorHAnsi"/>
              </w:rPr>
              <w:t>Support current infrastructure</w:t>
            </w:r>
          </w:p>
        </w:tc>
        <w:tc>
          <w:tcPr>
            <w:tcW w:w="360" w:type="dxa"/>
            <w:tcBorders>
              <w:top w:val="single" w:color="auto" w:sz="4" w:space="0"/>
              <w:left w:val="single" w:color="auto" w:sz="4" w:space="0"/>
              <w:bottom w:val="double" w:color="auto" w:sz="4" w:space="0"/>
              <w:right w:val="single" w:color="auto" w:sz="4" w:space="0"/>
            </w:tcBorders>
            <w:shd w:val="clear" w:color="auto" w:fill="auto"/>
            <w:noWrap/>
            <w:vAlign w:val="center"/>
          </w:tcPr>
          <w:p w:rsidRPr="00730611" w:rsidR="00813B21" w:rsidP="00813B21" w:rsidRDefault="00813B21" w14:paraId="08296544" w14:textId="4C788BDB">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single" w:color="auto" w:sz="4" w:space="0"/>
              <w:left w:val="single" w:color="auto" w:sz="4" w:space="0"/>
              <w:bottom w:val="double" w:color="auto" w:sz="4" w:space="0"/>
              <w:right w:val="single" w:color="auto" w:sz="4" w:space="0"/>
            </w:tcBorders>
            <w:shd w:val="clear" w:color="auto" w:fill="auto"/>
            <w:noWrap/>
            <w:vAlign w:val="center"/>
          </w:tcPr>
          <w:p w:rsidRPr="00730611" w:rsidR="00813B21" w:rsidP="00813B21" w:rsidRDefault="00813B21" w14:paraId="371E84EC" w14:textId="479A4094">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single" w:color="auto" w:sz="4" w:space="0"/>
              <w:left w:val="single" w:color="auto" w:sz="4" w:space="0"/>
              <w:bottom w:val="double" w:color="auto" w:sz="4" w:space="0"/>
              <w:right w:val="single" w:color="auto" w:sz="4" w:space="0"/>
            </w:tcBorders>
            <w:shd w:val="clear" w:color="auto" w:fill="auto"/>
            <w:noWrap/>
            <w:vAlign w:val="center"/>
          </w:tcPr>
          <w:p w:rsidRPr="00730611" w:rsidR="00813B21" w:rsidP="00813B21" w:rsidRDefault="00813B21" w14:paraId="28DE1373" w14:textId="03AC3673">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single" w:color="auto" w:sz="4" w:space="0"/>
              <w:left w:val="single" w:color="auto" w:sz="4" w:space="0"/>
              <w:bottom w:val="double" w:color="auto" w:sz="4" w:space="0"/>
              <w:right w:val="single" w:color="auto" w:sz="4" w:space="0"/>
            </w:tcBorders>
            <w:shd w:val="clear" w:color="auto" w:fill="auto"/>
            <w:noWrap/>
            <w:vAlign w:val="center"/>
          </w:tcPr>
          <w:p w:rsidRPr="00730611" w:rsidR="00813B21" w:rsidP="00813B21" w:rsidRDefault="00813B21" w14:paraId="6A9CE1B7" w14:textId="00B1949A">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single" w:color="auto" w:sz="4" w:space="0"/>
              <w:left w:val="single" w:color="auto" w:sz="4" w:space="0"/>
              <w:bottom w:val="double" w:color="auto" w:sz="4" w:space="0"/>
              <w:right w:val="single" w:color="auto" w:sz="4" w:space="0"/>
            </w:tcBorders>
            <w:shd w:val="clear" w:color="auto" w:fill="auto"/>
            <w:noWrap/>
            <w:vAlign w:val="center"/>
          </w:tcPr>
          <w:p w:rsidRPr="00730611" w:rsidR="00813B21" w:rsidP="00813B21" w:rsidRDefault="00813B21" w14:paraId="1F8C1980" w14:textId="379E7B9D">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single" w:color="auto" w:sz="4" w:space="0"/>
              <w:left w:val="single" w:color="auto" w:sz="4" w:space="0"/>
              <w:bottom w:val="double" w:color="auto" w:sz="4" w:space="0"/>
              <w:right w:val="single" w:color="auto" w:sz="4" w:space="0"/>
            </w:tcBorders>
            <w:shd w:val="clear" w:color="auto" w:fill="auto"/>
            <w:noWrap/>
            <w:vAlign w:val="center"/>
          </w:tcPr>
          <w:p w:rsidRPr="00730611" w:rsidR="00813B21" w:rsidP="00813B21" w:rsidRDefault="00813B21" w14:paraId="5CBB0C2E" w14:textId="55F8FB32">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single" w:color="auto" w:sz="4" w:space="0"/>
              <w:left w:val="single" w:color="auto" w:sz="4" w:space="0"/>
              <w:bottom w:val="double" w:color="auto" w:sz="4" w:space="0"/>
              <w:right w:val="single" w:color="auto" w:sz="4" w:space="0"/>
            </w:tcBorders>
            <w:shd w:val="clear" w:color="auto" w:fill="auto"/>
            <w:noWrap/>
            <w:vAlign w:val="center"/>
          </w:tcPr>
          <w:p w:rsidRPr="00730611" w:rsidR="00813B21" w:rsidP="00813B21" w:rsidRDefault="00813B21" w14:paraId="0ECF21E5" w14:textId="4BC98534">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single" w:color="auto" w:sz="4" w:space="0"/>
              <w:left w:val="single" w:color="auto" w:sz="4" w:space="0"/>
              <w:bottom w:val="double" w:color="auto" w:sz="4" w:space="0"/>
              <w:right w:val="single" w:color="auto" w:sz="4" w:space="0"/>
            </w:tcBorders>
            <w:shd w:val="clear" w:color="auto" w:fill="auto"/>
            <w:noWrap/>
            <w:vAlign w:val="center"/>
          </w:tcPr>
          <w:p w:rsidRPr="00730611" w:rsidR="00813B21" w:rsidP="00813B21" w:rsidRDefault="00813B21" w14:paraId="3B541839" w14:textId="0D080624">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single" w:color="auto" w:sz="4" w:space="0"/>
              <w:left w:val="single" w:color="auto" w:sz="4" w:space="0"/>
              <w:bottom w:val="double" w:color="auto" w:sz="4" w:space="0"/>
              <w:right w:val="single" w:color="auto" w:sz="4" w:space="0"/>
            </w:tcBorders>
            <w:vAlign w:val="center"/>
          </w:tcPr>
          <w:p w:rsidRPr="00730611" w:rsidR="00813B21" w:rsidP="00813B21" w:rsidRDefault="00813B21" w14:paraId="243207DE" w14:textId="07E05C49">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single" w:color="auto" w:sz="4" w:space="0"/>
              <w:left w:val="single" w:color="auto" w:sz="4" w:space="0"/>
              <w:bottom w:val="double" w:color="auto" w:sz="4" w:space="0"/>
              <w:right w:val="single" w:color="auto" w:sz="4" w:space="0"/>
            </w:tcBorders>
            <w:shd w:val="clear" w:color="auto" w:fill="auto"/>
            <w:noWrap/>
            <w:vAlign w:val="center"/>
          </w:tcPr>
          <w:p w:rsidRPr="00730611" w:rsidR="00813B21" w:rsidP="00813B21" w:rsidRDefault="00813B21" w14:paraId="2E649C3A" w14:textId="454121C1">
            <w:pPr>
              <w:pStyle w:val="Table"/>
              <w:jc w:val="center"/>
              <w:rPr>
                <w:rFonts w:asciiTheme="minorHAnsi" w:hAnsiTheme="minorHAnsi" w:cstheme="minorHAnsi"/>
                <w:b/>
              </w:rPr>
            </w:pPr>
            <w:r w:rsidRPr="00730611">
              <w:rPr>
                <w:rFonts w:asciiTheme="minorHAnsi" w:hAnsiTheme="minorHAnsi" w:cstheme="minorHAnsi"/>
              </w:rPr>
              <w:t>X</w:t>
            </w:r>
          </w:p>
        </w:tc>
        <w:tc>
          <w:tcPr>
            <w:tcW w:w="360" w:type="dxa"/>
            <w:tcBorders>
              <w:top w:val="single" w:color="auto" w:sz="4" w:space="0"/>
              <w:left w:val="single" w:color="auto" w:sz="4" w:space="0"/>
              <w:bottom w:val="double" w:color="auto" w:sz="4" w:space="0"/>
              <w:right w:val="single" w:color="auto" w:sz="4" w:space="0"/>
            </w:tcBorders>
            <w:vAlign w:val="center"/>
          </w:tcPr>
          <w:p w:rsidRPr="00730611" w:rsidR="00813B21" w:rsidP="00813B21" w:rsidRDefault="00813B21" w14:paraId="64CA28F9" w14:textId="77777777">
            <w:pPr>
              <w:pStyle w:val="Table"/>
              <w:jc w:val="center"/>
              <w:rPr>
                <w:rFonts w:asciiTheme="minorHAnsi" w:hAnsiTheme="minorHAnsi" w:cstheme="minorHAnsi"/>
                <w:b/>
              </w:rPr>
            </w:pPr>
          </w:p>
        </w:tc>
        <w:tc>
          <w:tcPr>
            <w:tcW w:w="360" w:type="dxa"/>
            <w:tcBorders>
              <w:top w:val="single" w:color="auto" w:sz="4" w:space="0"/>
              <w:left w:val="single" w:color="auto" w:sz="4" w:space="0"/>
              <w:bottom w:val="double" w:color="auto" w:sz="4" w:space="0"/>
              <w:right w:val="single" w:color="auto" w:sz="4" w:space="0"/>
            </w:tcBorders>
            <w:vAlign w:val="center"/>
          </w:tcPr>
          <w:p w:rsidRPr="00730611" w:rsidR="00813B21" w:rsidP="00813B21" w:rsidRDefault="00813B21" w14:paraId="3A92B25F" w14:textId="77777777">
            <w:pPr>
              <w:pStyle w:val="Table"/>
              <w:jc w:val="center"/>
              <w:rPr>
                <w:rFonts w:asciiTheme="minorHAnsi" w:hAnsiTheme="minorHAnsi" w:cstheme="minorHAnsi"/>
                <w:b/>
              </w:rPr>
            </w:pPr>
          </w:p>
        </w:tc>
      </w:tr>
      <w:tr w:rsidRPr="00730611" w:rsidR="00845FD4" w:rsidTr="00AE3CF1" w14:paraId="65166EA0" w14:textId="77777777">
        <w:trPr>
          <w:trHeight w:val="288"/>
        </w:trPr>
        <w:tc>
          <w:tcPr>
            <w:tcW w:w="585" w:type="dxa"/>
            <w:tcBorders>
              <w:top w:val="double" w:color="auto" w:sz="4" w:space="0"/>
              <w:left w:val="single" w:color="auto" w:sz="4" w:space="0"/>
              <w:bottom w:val="double" w:color="auto" w:sz="4" w:space="0"/>
            </w:tcBorders>
            <w:vAlign w:val="center"/>
          </w:tcPr>
          <w:p w:rsidRPr="00730611" w:rsidR="00845FD4" w:rsidP="00402450" w:rsidRDefault="00845FD4" w14:paraId="4618FA56" w14:textId="77777777">
            <w:pPr>
              <w:pStyle w:val="Table"/>
              <w:rPr>
                <w:rFonts w:asciiTheme="minorHAnsi" w:hAnsiTheme="minorHAnsi" w:cstheme="minorHAnsi"/>
                <w:b/>
              </w:rPr>
            </w:pPr>
          </w:p>
        </w:tc>
        <w:tc>
          <w:tcPr>
            <w:tcW w:w="585" w:type="dxa"/>
            <w:tcBorders>
              <w:top w:val="double" w:color="auto" w:sz="4" w:space="0"/>
              <w:bottom w:val="double" w:color="auto" w:sz="4" w:space="0"/>
            </w:tcBorders>
            <w:vAlign w:val="center"/>
          </w:tcPr>
          <w:p w:rsidRPr="00730611" w:rsidR="00845FD4" w:rsidP="00402450" w:rsidRDefault="00845FD4" w14:paraId="4748A183" w14:textId="77777777">
            <w:pPr>
              <w:pStyle w:val="Table"/>
              <w:rPr>
                <w:rFonts w:asciiTheme="minorHAnsi" w:hAnsiTheme="minorHAnsi" w:cstheme="minorHAnsi"/>
                <w:b/>
              </w:rPr>
            </w:pPr>
          </w:p>
        </w:tc>
        <w:tc>
          <w:tcPr>
            <w:tcW w:w="990" w:type="dxa"/>
            <w:tcBorders>
              <w:top w:val="double" w:color="auto" w:sz="4" w:space="0"/>
              <w:bottom w:val="double" w:color="auto" w:sz="4" w:space="0"/>
            </w:tcBorders>
            <w:vAlign w:val="center"/>
          </w:tcPr>
          <w:p w:rsidRPr="00730611" w:rsidR="00845FD4" w:rsidP="00402450" w:rsidRDefault="00845FD4" w14:paraId="48690A7D" w14:textId="77777777">
            <w:pPr>
              <w:pStyle w:val="Table"/>
              <w:rPr>
                <w:rFonts w:asciiTheme="minorHAnsi" w:hAnsiTheme="minorHAnsi" w:cstheme="minorHAnsi"/>
                <w:b/>
              </w:rPr>
            </w:pPr>
          </w:p>
        </w:tc>
        <w:tc>
          <w:tcPr>
            <w:tcW w:w="3627" w:type="dxa"/>
            <w:tcBorders>
              <w:top w:val="double" w:color="auto" w:sz="4" w:space="0"/>
              <w:bottom w:val="double" w:color="auto" w:sz="4" w:space="0"/>
            </w:tcBorders>
            <w:shd w:val="clear" w:color="auto" w:fill="auto"/>
            <w:noWrap/>
            <w:vAlign w:val="center"/>
          </w:tcPr>
          <w:p w:rsidRPr="00730611" w:rsidR="00845FD4" w:rsidP="00402450" w:rsidRDefault="00845FD4" w14:paraId="00C42678" w14:textId="77777777">
            <w:pPr>
              <w:pStyle w:val="Table"/>
              <w:rPr>
                <w:rFonts w:asciiTheme="minorHAnsi" w:hAnsiTheme="minorHAnsi" w:cstheme="minorHAnsi"/>
                <w:b/>
              </w:rPr>
            </w:pPr>
            <w:r w:rsidRPr="00730611">
              <w:rPr>
                <w:rFonts w:asciiTheme="minorHAnsi" w:hAnsiTheme="minorHAnsi" w:cstheme="minorHAnsi"/>
                <w:b/>
              </w:rPr>
              <w:t>DEER methodology updates</w:t>
            </w: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000480E5"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47D1869E"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4C262DEE"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6FBCDECC"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3BBC220F"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3B736D4B"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634B9E6"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3FCC9CB9"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27A53BD3"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08F4E699"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363F2000" w14:textId="77777777">
            <w:pPr>
              <w:pStyle w:val="Table"/>
              <w:jc w:val="center"/>
              <w:rPr>
                <w:rFonts w:asciiTheme="minorHAnsi" w:hAnsiTheme="minorHAnsi" w:cstheme="minorHAnsi"/>
                <w:b/>
              </w:rPr>
            </w:pPr>
          </w:p>
        </w:tc>
        <w:tc>
          <w:tcPr>
            <w:tcW w:w="360" w:type="dxa"/>
            <w:tcBorders>
              <w:top w:val="double" w:color="auto" w:sz="4" w:space="0"/>
              <w:bottom w:val="double" w:color="auto" w:sz="4" w:space="0"/>
              <w:right w:val="single" w:color="auto" w:sz="4" w:space="0"/>
            </w:tcBorders>
            <w:vAlign w:val="center"/>
          </w:tcPr>
          <w:p w:rsidRPr="00730611" w:rsidR="00845FD4" w:rsidP="00402450" w:rsidRDefault="00845FD4" w14:paraId="2EBB5E1E" w14:textId="77777777">
            <w:pPr>
              <w:pStyle w:val="Table"/>
              <w:jc w:val="center"/>
              <w:rPr>
                <w:rFonts w:asciiTheme="minorHAnsi" w:hAnsiTheme="minorHAnsi" w:cstheme="minorHAnsi"/>
                <w:b/>
              </w:rPr>
            </w:pPr>
          </w:p>
        </w:tc>
      </w:tr>
      <w:tr w:rsidRPr="00730611" w:rsidR="00845FD4" w:rsidTr="00AE3CF1" w14:paraId="4C82BF3C"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289EE624"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72EFA9C6"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6F5101B2" w14:textId="77777777">
            <w:pPr>
              <w:pStyle w:val="Table"/>
              <w:rPr>
                <w:rFonts w:asciiTheme="minorHAnsi" w:hAnsiTheme="minorHAnsi" w:cstheme="minorHAnsi"/>
              </w:rPr>
            </w:pPr>
            <w:r w:rsidRPr="00730611">
              <w:rPr>
                <w:rFonts w:asciiTheme="minorHAnsi" w:hAnsiTheme="minorHAnsi" w:cstheme="minorHAnsi"/>
              </w:rPr>
              <w:t>2022</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1BAF1BE" w14:textId="77777777">
            <w:pPr>
              <w:pStyle w:val="Table"/>
              <w:rPr>
                <w:rFonts w:asciiTheme="minorHAnsi" w:hAnsiTheme="minorHAnsi" w:cstheme="minorHAnsi"/>
              </w:rPr>
            </w:pPr>
            <w:r w:rsidRPr="00730611">
              <w:rPr>
                <w:rFonts w:asciiTheme="minorHAnsi" w:hAnsiTheme="minorHAnsi" w:cstheme="minorHAnsi"/>
              </w:rPr>
              <w:t>Modifications to accommodate load shape updates</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BD8C50A"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60BE141"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20CD658A"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2BD1A55"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2BA7CF06"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FBDF019"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4B0D48A"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ED6635C"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61AEA739"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045217A4"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5C61B190"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2AE5C9FD" w14:textId="77777777">
            <w:pPr>
              <w:pStyle w:val="Table"/>
              <w:jc w:val="center"/>
              <w:rPr>
                <w:rFonts w:asciiTheme="minorHAnsi" w:hAnsiTheme="minorHAnsi" w:cstheme="minorHAnsi"/>
              </w:rPr>
            </w:pPr>
            <w:r w:rsidRPr="00730611">
              <w:rPr>
                <w:rFonts w:asciiTheme="minorHAnsi" w:hAnsiTheme="minorHAnsi" w:cstheme="minorHAnsi"/>
              </w:rPr>
              <w:t>X</w:t>
            </w:r>
          </w:p>
        </w:tc>
      </w:tr>
      <w:tr w:rsidRPr="00730611" w:rsidR="00845FD4" w:rsidTr="00AE3CF1" w14:paraId="2F557385"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4EEF2FD8"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490B6382"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54F55D99" w14:textId="77777777">
            <w:pPr>
              <w:pStyle w:val="Table"/>
              <w:rPr>
                <w:rFonts w:asciiTheme="minorHAnsi" w:hAnsiTheme="minorHAnsi" w:cstheme="minorHAnsi"/>
              </w:rPr>
            </w:pPr>
            <w:r w:rsidRPr="00730611">
              <w:rPr>
                <w:rFonts w:asciiTheme="minorHAnsi" w:hAnsiTheme="minorHAnsi" w:cstheme="minorHAnsi"/>
              </w:rPr>
              <w:t>2022</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4149B95" w14:textId="77777777">
            <w:pPr>
              <w:pStyle w:val="Table"/>
              <w:rPr>
                <w:rFonts w:asciiTheme="minorHAnsi" w:hAnsiTheme="minorHAnsi" w:cstheme="minorHAnsi"/>
              </w:rPr>
            </w:pPr>
            <w:r w:rsidRPr="00730611">
              <w:rPr>
                <w:rFonts w:asciiTheme="minorHAnsi" w:hAnsiTheme="minorHAnsi" w:cstheme="minorHAnsi"/>
              </w:rPr>
              <w:t>Effective useful life (EUL) update process revision</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5A19DA4"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24294F62"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FD71BEC"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A5704D9"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761EA0C"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25CB9CE"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A50FFCF"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0727839"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327AFC3F"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332BD90D"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34328B3C"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12144987" w14:textId="77777777">
            <w:pPr>
              <w:pStyle w:val="Table"/>
              <w:jc w:val="center"/>
              <w:rPr>
                <w:rFonts w:asciiTheme="minorHAnsi" w:hAnsiTheme="minorHAnsi" w:cstheme="minorHAnsi"/>
              </w:rPr>
            </w:pPr>
          </w:p>
        </w:tc>
      </w:tr>
      <w:tr w:rsidRPr="00730611" w:rsidR="00845FD4" w:rsidTr="00AE3CF1" w14:paraId="6E53827B"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7C3D86FC"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5F70714C"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77B76545" w14:textId="77777777">
            <w:pPr>
              <w:pStyle w:val="Table"/>
              <w:rPr>
                <w:rFonts w:asciiTheme="minorHAnsi" w:hAnsiTheme="minorHAnsi" w:cstheme="minorHAnsi"/>
              </w:rPr>
            </w:pPr>
            <w:r w:rsidRPr="00730611">
              <w:rPr>
                <w:rFonts w:asciiTheme="minorHAnsi" w:hAnsiTheme="minorHAnsi" w:cstheme="minorHAnsi"/>
              </w:rPr>
              <w:t>2022</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1B50126" w14:textId="77777777">
            <w:pPr>
              <w:pStyle w:val="Table"/>
              <w:rPr>
                <w:rFonts w:asciiTheme="minorHAnsi" w:hAnsiTheme="minorHAnsi" w:cstheme="minorHAnsi"/>
              </w:rPr>
            </w:pPr>
            <w:r w:rsidRPr="00730611">
              <w:rPr>
                <w:rFonts w:asciiTheme="minorHAnsi" w:hAnsiTheme="minorHAnsi" w:cstheme="minorHAnsi"/>
              </w:rPr>
              <w:t>Chiller measure tier definitions</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27F9FD07"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C6CB070"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0B989B0"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8E3E5F9"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9FA74C6"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85E984F"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005FA5F"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062E907"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2D927534"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66A7268D"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357EE72F"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6077C87E" w14:textId="77777777">
            <w:pPr>
              <w:pStyle w:val="Table"/>
              <w:jc w:val="center"/>
              <w:rPr>
                <w:rFonts w:asciiTheme="minorHAnsi" w:hAnsiTheme="minorHAnsi" w:cstheme="minorHAnsi"/>
              </w:rPr>
            </w:pPr>
          </w:p>
        </w:tc>
      </w:tr>
      <w:tr w:rsidRPr="00730611" w:rsidR="00845FD4" w:rsidTr="00AE3CF1" w14:paraId="4CFBEFE5"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4C02AE9E"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1DF1C555"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5F2C10DD" w14:textId="77777777">
            <w:pPr>
              <w:pStyle w:val="Table"/>
              <w:rPr>
                <w:rFonts w:asciiTheme="minorHAnsi" w:hAnsiTheme="minorHAnsi" w:cstheme="minorHAnsi"/>
              </w:rPr>
            </w:pPr>
            <w:r w:rsidRPr="00730611">
              <w:rPr>
                <w:rFonts w:asciiTheme="minorHAnsi" w:hAnsiTheme="minorHAnsi" w:cstheme="minorHAnsi"/>
              </w:rPr>
              <w:t>2021</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88FD6F6" w14:textId="77777777">
            <w:pPr>
              <w:pStyle w:val="Table"/>
              <w:rPr>
                <w:rFonts w:asciiTheme="minorHAnsi" w:hAnsiTheme="minorHAnsi" w:cstheme="minorHAnsi"/>
                <w:color w:val="000000"/>
              </w:rPr>
            </w:pPr>
            <w:r w:rsidRPr="00730611">
              <w:rPr>
                <w:rFonts w:asciiTheme="minorHAnsi" w:hAnsiTheme="minorHAnsi" w:cstheme="minorHAnsi"/>
              </w:rPr>
              <w:t>Clarification of BRO measure application type</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1366BB2"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FCE345A"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4BB2C60"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BA22F62"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800B64A"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E5E201B"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C0282F4"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76687A2"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136E2626"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03BA408C"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1B4AEBF1"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244A2F0E" w14:textId="77777777">
            <w:pPr>
              <w:pStyle w:val="Table"/>
              <w:jc w:val="center"/>
              <w:rPr>
                <w:rFonts w:asciiTheme="minorHAnsi" w:hAnsiTheme="minorHAnsi" w:cstheme="minorHAnsi"/>
              </w:rPr>
            </w:pPr>
          </w:p>
        </w:tc>
      </w:tr>
      <w:tr w:rsidRPr="00730611" w:rsidR="00845FD4" w:rsidTr="00AE3CF1" w14:paraId="079FB79A"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782F0CCA"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400A911A"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706D65B0" w14:textId="77777777">
            <w:pPr>
              <w:pStyle w:val="Table"/>
              <w:rPr>
                <w:rFonts w:asciiTheme="minorHAnsi" w:hAnsiTheme="minorHAnsi" w:cstheme="minorHAnsi"/>
              </w:rPr>
            </w:pPr>
            <w:r w:rsidRPr="00730611">
              <w:rPr>
                <w:rFonts w:asciiTheme="minorHAnsi" w:hAnsiTheme="minorHAnsi" w:cstheme="minorHAnsi"/>
              </w:rPr>
              <w:t>2022</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2FE30993" w14:textId="77777777">
            <w:pPr>
              <w:pStyle w:val="Table"/>
              <w:rPr>
                <w:rFonts w:asciiTheme="minorHAnsi" w:hAnsiTheme="minorHAnsi" w:cstheme="minorHAnsi"/>
                <w:color w:val="000000"/>
              </w:rPr>
            </w:pPr>
            <w:r w:rsidRPr="00730611">
              <w:rPr>
                <w:rFonts w:asciiTheme="minorHAnsi" w:hAnsiTheme="minorHAnsi" w:cstheme="minorHAnsi"/>
              </w:rPr>
              <w:t>Reclassify Duct Sealing for pre-2006 buildings</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3F310F6"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EDE8EED"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B1DE09C"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43E713A"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A8A8C85"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03DAAF9"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8D4F870"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D4B9C67"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08BC12B5"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322663D3"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05D066BB"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2701B594" w14:textId="77777777">
            <w:pPr>
              <w:pStyle w:val="Table"/>
              <w:jc w:val="center"/>
              <w:rPr>
                <w:rFonts w:asciiTheme="minorHAnsi" w:hAnsiTheme="minorHAnsi" w:cstheme="minorHAnsi"/>
              </w:rPr>
            </w:pPr>
          </w:p>
        </w:tc>
      </w:tr>
      <w:tr w:rsidRPr="00730611" w:rsidR="00845FD4" w:rsidTr="00AE3CF1" w14:paraId="75871DF2" w14:textId="77777777">
        <w:trPr>
          <w:trHeight w:val="288"/>
        </w:trPr>
        <w:tc>
          <w:tcPr>
            <w:tcW w:w="585" w:type="dxa"/>
            <w:tcBorders>
              <w:top w:val="double" w:color="auto" w:sz="4" w:space="0"/>
              <w:left w:val="single" w:color="auto" w:sz="4" w:space="0"/>
              <w:bottom w:val="double" w:color="auto" w:sz="4" w:space="0"/>
            </w:tcBorders>
            <w:vAlign w:val="center"/>
          </w:tcPr>
          <w:p w:rsidRPr="00730611" w:rsidR="00845FD4" w:rsidP="00402450" w:rsidRDefault="00845FD4" w14:paraId="15533157" w14:textId="77777777">
            <w:pPr>
              <w:pStyle w:val="Table"/>
              <w:rPr>
                <w:rFonts w:asciiTheme="minorHAnsi" w:hAnsiTheme="minorHAnsi" w:cstheme="minorHAnsi"/>
                <w:b/>
              </w:rPr>
            </w:pPr>
          </w:p>
        </w:tc>
        <w:tc>
          <w:tcPr>
            <w:tcW w:w="585" w:type="dxa"/>
            <w:tcBorders>
              <w:top w:val="double" w:color="auto" w:sz="4" w:space="0"/>
              <w:bottom w:val="double" w:color="auto" w:sz="4" w:space="0"/>
            </w:tcBorders>
            <w:vAlign w:val="center"/>
          </w:tcPr>
          <w:p w:rsidRPr="00730611" w:rsidR="00845FD4" w:rsidP="00402450" w:rsidRDefault="00845FD4" w14:paraId="33989865" w14:textId="77777777">
            <w:pPr>
              <w:pStyle w:val="Table"/>
              <w:rPr>
                <w:rFonts w:asciiTheme="minorHAnsi" w:hAnsiTheme="minorHAnsi" w:cstheme="minorHAnsi"/>
                <w:b/>
              </w:rPr>
            </w:pPr>
          </w:p>
        </w:tc>
        <w:tc>
          <w:tcPr>
            <w:tcW w:w="990" w:type="dxa"/>
            <w:tcBorders>
              <w:top w:val="double" w:color="auto" w:sz="4" w:space="0"/>
              <w:bottom w:val="double" w:color="auto" w:sz="4" w:space="0"/>
            </w:tcBorders>
            <w:vAlign w:val="center"/>
          </w:tcPr>
          <w:p w:rsidRPr="00730611" w:rsidR="00845FD4" w:rsidP="00402450" w:rsidRDefault="00845FD4" w14:paraId="001B209B" w14:textId="77777777">
            <w:pPr>
              <w:pStyle w:val="Table"/>
              <w:rPr>
                <w:rFonts w:asciiTheme="minorHAnsi" w:hAnsiTheme="minorHAnsi" w:cstheme="minorHAnsi"/>
                <w:b/>
              </w:rPr>
            </w:pPr>
          </w:p>
        </w:tc>
        <w:tc>
          <w:tcPr>
            <w:tcW w:w="3627" w:type="dxa"/>
            <w:tcBorders>
              <w:top w:val="double" w:color="auto" w:sz="4" w:space="0"/>
              <w:bottom w:val="double" w:color="auto" w:sz="4" w:space="0"/>
            </w:tcBorders>
            <w:shd w:val="clear" w:color="auto" w:fill="auto"/>
            <w:noWrap/>
            <w:vAlign w:val="center"/>
          </w:tcPr>
          <w:p w:rsidRPr="00730611" w:rsidR="00845FD4" w:rsidP="00402450" w:rsidRDefault="00845FD4" w14:paraId="2BBE797B" w14:textId="598DC2FB">
            <w:pPr>
              <w:pStyle w:val="Table"/>
              <w:rPr>
                <w:rFonts w:asciiTheme="minorHAnsi" w:hAnsiTheme="minorHAnsi" w:cstheme="minorHAnsi"/>
                <w:b/>
                <w:color w:val="000000"/>
              </w:rPr>
            </w:pPr>
            <w:r w:rsidRPr="00730611">
              <w:rPr>
                <w:rFonts w:asciiTheme="minorHAnsi" w:hAnsiTheme="minorHAnsi" w:cstheme="minorHAnsi"/>
                <w:b/>
              </w:rPr>
              <w:t>DEER error corrections</w:t>
            </w: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45472CBD"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68C3AB5"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CB508BF"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281D5CCF"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097E2760"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47B94DDD"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2AECF5C5"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F9D6247"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33D02439"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30A5DCC"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4FBD32B3" w14:textId="77777777">
            <w:pPr>
              <w:pStyle w:val="Table"/>
              <w:jc w:val="center"/>
              <w:rPr>
                <w:rFonts w:asciiTheme="minorHAnsi" w:hAnsiTheme="minorHAnsi" w:cstheme="minorHAnsi"/>
                <w:b/>
              </w:rPr>
            </w:pPr>
          </w:p>
        </w:tc>
        <w:tc>
          <w:tcPr>
            <w:tcW w:w="360" w:type="dxa"/>
            <w:tcBorders>
              <w:top w:val="double" w:color="auto" w:sz="4" w:space="0"/>
              <w:bottom w:val="double" w:color="auto" w:sz="4" w:space="0"/>
              <w:right w:val="single" w:color="auto" w:sz="4" w:space="0"/>
            </w:tcBorders>
            <w:vAlign w:val="center"/>
          </w:tcPr>
          <w:p w:rsidRPr="00730611" w:rsidR="00845FD4" w:rsidP="00402450" w:rsidRDefault="00845FD4" w14:paraId="284EE3D5" w14:textId="77777777">
            <w:pPr>
              <w:pStyle w:val="Table"/>
              <w:jc w:val="center"/>
              <w:rPr>
                <w:rFonts w:asciiTheme="minorHAnsi" w:hAnsiTheme="minorHAnsi" w:cstheme="minorHAnsi"/>
                <w:b/>
              </w:rPr>
            </w:pPr>
          </w:p>
        </w:tc>
      </w:tr>
      <w:tr w:rsidRPr="00730611" w:rsidR="00845FD4" w:rsidTr="00AE3CF1" w14:paraId="1411BD34" w14:textId="77777777">
        <w:trPr>
          <w:trHeight w:val="288"/>
        </w:trPr>
        <w:tc>
          <w:tcPr>
            <w:tcW w:w="585" w:type="dxa"/>
            <w:tcBorders>
              <w:top w:val="double" w:color="auto" w:sz="4" w:space="0"/>
              <w:left w:val="single" w:color="auto" w:sz="4" w:space="0"/>
              <w:bottom w:val="single" w:color="auto" w:sz="4" w:space="0"/>
              <w:right w:val="single" w:color="auto" w:sz="4" w:space="0"/>
            </w:tcBorders>
            <w:vAlign w:val="center"/>
          </w:tcPr>
          <w:p w:rsidRPr="00730611" w:rsidR="00845FD4" w:rsidP="00402450" w:rsidRDefault="00845FD4" w14:paraId="5B94B643"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double" w:color="auto" w:sz="4" w:space="0"/>
              <w:left w:val="single" w:color="auto" w:sz="4" w:space="0"/>
              <w:bottom w:val="single" w:color="auto" w:sz="4" w:space="0"/>
              <w:right w:val="single" w:color="auto" w:sz="4" w:space="0"/>
            </w:tcBorders>
            <w:vAlign w:val="center"/>
          </w:tcPr>
          <w:p w:rsidRPr="00730611" w:rsidR="00845FD4" w:rsidP="00402450" w:rsidRDefault="00845FD4" w14:paraId="73211129"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double" w:color="auto" w:sz="4" w:space="0"/>
              <w:left w:val="single" w:color="auto" w:sz="4" w:space="0"/>
              <w:bottom w:val="single" w:color="auto" w:sz="4" w:space="0"/>
              <w:right w:val="single" w:color="auto" w:sz="4" w:space="0"/>
            </w:tcBorders>
            <w:vAlign w:val="center"/>
          </w:tcPr>
          <w:p w:rsidRPr="00730611" w:rsidR="00845FD4" w:rsidP="00402450" w:rsidRDefault="00845FD4" w14:paraId="569C5684" w14:textId="77777777">
            <w:pPr>
              <w:pStyle w:val="Table"/>
              <w:rPr>
                <w:rFonts w:asciiTheme="minorHAnsi" w:hAnsiTheme="minorHAnsi" w:cstheme="minorHAnsi"/>
              </w:rPr>
            </w:pPr>
            <w:r w:rsidRPr="00730611">
              <w:rPr>
                <w:rFonts w:asciiTheme="minorHAnsi" w:hAnsiTheme="minorHAnsi" w:cstheme="minorHAnsi"/>
              </w:rPr>
              <w:t>2021</w:t>
            </w:r>
          </w:p>
        </w:tc>
        <w:tc>
          <w:tcPr>
            <w:tcW w:w="3627"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6AFF346" w14:textId="77777777">
            <w:pPr>
              <w:pStyle w:val="Table"/>
              <w:rPr>
                <w:rFonts w:asciiTheme="minorHAnsi" w:hAnsiTheme="minorHAnsi" w:cstheme="minorHAnsi"/>
              </w:rPr>
            </w:pPr>
            <w:r w:rsidRPr="00730611">
              <w:rPr>
                <w:rFonts w:asciiTheme="minorHAnsi" w:hAnsiTheme="minorHAnsi" w:cstheme="minorHAnsi"/>
              </w:rPr>
              <w:t>Corrected/updated water heater calculator</w:t>
            </w: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7149ECB"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D1CADD6"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045A748"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B2F6C5E"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255D2BB1"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261DB1A"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F1F37F4"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BB27EBB"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double" w:color="auto" w:sz="4" w:space="0"/>
              <w:left w:val="nil"/>
              <w:bottom w:val="single" w:color="auto" w:sz="4" w:space="0"/>
              <w:right w:val="single" w:color="000000" w:themeColor="text1" w:sz="4" w:space="0"/>
            </w:tcBorders>
            <w:vAlign w:val="center"/>
          </w:tcPr>
          <w:p w:rsidRPr="00730611" w:rsidR="00845FD4" w:rsidP="00402450" w:rsidRDefault="00845FD4" w14:paraId="39B4BCDA" w14:textId="77777777">
            <w:pPr>
              <w:pStyle w:val="Table"/>
              <w:jc w:val="center"/>
              <w:rPr>
                <w:rFonts w:asciiTheme="minorHAnsi" w:hAnsiTheme="minorHAnsi" w:cstheme="minorHAnsi"/>
              </w:rPr>
            </w:pPr>
          </w:p>
        </w:tc>
        <w:tc>
          <w:tcPr>
            <w:tcW w:w="360" w:type="dxa"/>
            <w:tcBorders>
              <w:top w:val="doub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65BDC6D8"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000000" w:themeColor="text1" w:sz="4" w:space="0"/>
            </w:tcBorders>
            <w:vAlign w:val="center"/>
          </w:tcPr>
          <w:p w:rsidRPr="00730611" w:rsidR="00845FD4" w:rsidP="00402450" w:rsidRDefault="00845FD4" w14:paraId="3C822988" w14:textId="77777777">
            <w:pPr>
              <w:pStyle w:val="Table"/>
              <w:jc w:val="center"/>
              <w:rPr>
                <w:rFonts w:asciiTheme="minorHAnsi" w:hAnsiTheme="minorHAnsi" w:cstheme="minorHAnsi"/>
              </w:rPr>
            </w:pPr>
          </w:p>
        </w:tc>
        <w:tc>
          <w:tcPr>
            <w:tcW w:w="360" w:type="dxa"/>
            <w:tcBorders>
              <w:top w:val="doub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688010CF" w14:textId="77777777">
            <w:pPr>
              <w:pStyle w:val="Table"/>
              <w:jc w:val="center"/>
              <w:rPr>
                <w:rFonts w:asciiTheme="minorHAnsi" w:hAnsiTheme="minorHAnsi" w:cstheme="minorHAnsi"/>
              </w:rPr>
            </w:pPr>
          </w:p>
        </w:tc>
      </w:tr>
      <w:tr w:rsidRPr="00730611" w:rsidR="00845FD4" w:rsidTr="00AE3CF1" w14:paraId="3F0D3235"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07942BDE"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5A638B0F"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37DAAD1E" w14:textId="77777777">
            <w:pPr>
              <w:pStyle w:val="Table"/>
              <w:rPr>
                <w:rFonts w:asciiTheme="minorHAnsi" w:hAnsiTheme="minorHAnsi" w:cstheme="minorHAnsi"/>
              </w:rPr>
            </w:pPr>
            <w:r w:rsidRPr="00730611">
              <w:rPr>
                <w:rFonts w:asciiTheme="minorHAnsi" w:hAnsiTheme="minorHAnsi" w:cstheme="minorHAnsi"/>
              </w:rPr>
              <w:t>2020</w:t>
            </w:r>
          </w:p>
        </w:tc>
        <w:tc>
          <w:tcPr>
            <w:tcW w:w="3627" w:type="dxa"/>
            <w:tcBorders>
              <w:top w:val="single" w:color="auto" w:sz="4" w:space="0"/>
              <w:left w:val="nil"/>
              <w:bottom w:val="single" w:color="auto" w:sz="4" w:space="0"/>
              <w:right w:val="single" w:color="auto" w:sz="4" w:space="0"/>
            </w:tcBorders>
            <w:shd w:val="clear" w:color="auto" w:fill="auto"/>
            <w:noWrap/>
            <w:vAlign w:val="center"/>
            <w:hideMark/>
          </w:tcPr>
          <w:p w:rsidRPr="00730611" w:rsidR="00845FD4" w:rsidP="00402450" w:rsidRDefault="00845FD4" w14:paraId="5B303C9A" w14:textId="77777777">
            <w:pPr>
              <w:pStyle w:val="Table"/>
              <w:rPr>
                <w:rFonts w:asciiTheme="minorHAnsi" w:hAnsiTheme="minorHAnsi" w:cstheme="minorHAnsi"/>
              </w:rPr>
            </w:pPr>
            <w:r w:rsidRPr="00730611">
              <w:rPr>
                <w:rFonts w:asciiTheme="minorHAnsi" w:hAnsiTheme="minorHAnsi" w:cstheme="minorHAnsi"/>
              </w:rPr>
              <w:t>Added missing values for ceiling and wall insulation</w:t>
            </w:r>
          </w:p>
        </w:tc>
        <w:tc>
          <w:tcPr>
            <w:tcW w:w="360" w:type="dxa"/>
            <w:tcBorders>
              <w:top w:val="single" w:color="auto" w:sz="4" w:space="0"/>
              <w:left w:val="nil"/>
              <w:bottom w:val="single" w:color="auto" w:sz="4" w:space="0"/>
              <w:right w:val="single" w:color="auto" w:sz="4" w:space="0"/>
            </w:tcBorders>
            <w:shd w:val="clear" w:color="auto" w:fill="auto"/>
            <w:noWrap/>
            <w:vAlign w:val="center"/>
            <w:hideMark/>
          </w:tcPr>
          <w:p w:rsidRPr="00730611" w:rsidR="00845FD4" w:rsidP="00402450" w:rsidRDefault="00845FD4" w14:paraId="6491BE94"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hideMark/>
          </w:tcPr>
          <w:p w:rsidRPr="00730611" w:rsidR="00845FD4" w:rsidP="00402450" w:rsidRDefault="00845FD4" w14:paraId="46491D6A"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DFA49B0"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5E9F182"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AE2B268"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5E34A19"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B9E86E9"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BAA6CB6"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04197AAE"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608422BA"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48351848"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37F14C69" w14:textId="77777777">
            <w:pPr>
              <w:pStyle w:val="Table"/>
              <w:jc w:val="center"/>
              <w:rPr>
                <w:rFonts w:asciiTheme="minorHAnsi" w:hAnsiTheme="minorHAnsi" w:cstheme="minorHAnsi"/>
              </w:rPr>
            </w:pPr>
          </w:p>
        </w:tc>
      </w:tr>
      <w:tr w:rsidRPr="00730611" w:rsidR="00845FD4" w:rsidTr="00AE3CF1" w14:paraId="3734499B"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784C01D4"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16EF1568"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6D150621" w14:textId="77777777">
            <w:pPr>
              <w:pStyle w:val="Table"/>
              <w:rPr>
                <w:rFonts w:asciiTheme="minorHAnsi" w:hAnsiTheme="minorHAnsi" w:cstheme="minorHAnsi"/>
              </w:rPr>
            </w:pPr>
            <w:r w:rsidRPr="00730611">
              <w:rPr>
                <w:rFonts w:asciiTheme="minorHAnsi" w:hAnsiTheme="minorHAnsi" w:cstheme="minorHAnsi"/>
              </w:rPr>
              <w:t>2020</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A99078A" w14:textId="77777777">
            <w:pPr>
              <w:pStyle w:val="Table"/>
              <w:rPr>
                <w:rFonts w:asciiTheme="minorHAnsi" w:hAnsiTheme="minorHAnsi" w:cstheme="minorHAnsi"/>
              </w:rPr>
            </w:pPr>
            <w:r w:rsidRPr="00730611">
              <w:rPr>
                <w:rFonts w:asciiTheme="minorHAnsi" w:hAnsiTheme="minorHAnsi" w:cstheme="minorHAnsi"/>
              </w:rPr>
              <w:t>Added missing values for Com building type chiller</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BC3142C"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5E9AA0F"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02DE5A1"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BCF25B5"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4E670E4"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785901B"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9F614E7"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08CCB7D"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64677810"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7075EF2D"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77658ABA"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0D880BAB" w14:textId="77777777">
            <w:pPr>
              <w:pStyle w:val="Table"/>
              <w:jc w:val="center"/>
              <w:rPr>
                <w:rFonts w:asciiTheme="minorHAnsi" w:hAnsiTheme="minorHAnsi" w:cstheme="minorHAnsi"/>
              </w:rPr>
            </w:pPr>
          </w:p>
        </w:tc>
      </w:tr>
      <w:tr w:rsidRPr="00730611" w:rsidR="00845FD4" w:rsidTr="00AE3CF1" w14:paraId="5ACDE78E"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6BF898C5"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3B09B920"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7F0FC854" w14:textId="77777777">
            <w:pPr>
              <w:pStyle w:val="Table"/>
              <w:rPr>
                <w:rFonts w:asciiTheme="minorHAnsi" w:hAnsiTheme="minorHAnsi" w:cstheme="minorHAnsi"/>
              </w:rPr>
            </w:pPr>
            <w:r w:rsidRPr="00730611">
              <w:rPr>
                <w:rFonts w:asciiTheme="minorHAnsi" w:hAnsiTheme="minorHAnsi" w:cstheme="minorHAnsi"/>
              </w:rPr>
              <w:t>2020</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B853834" w14:textId="77777777">
            <w:pPr>
              <w:pStyle w:val="Table"/>
              <w:rPr>
                <w:rFonts w:asciiTheme="minorHAnsi" w:hAnsiTheme="minorHAnsi" w:cstheme="minorHAnsi"/>
              </w:rPr>
            </w:pPr>
            <w:r w:rsidRPr="00730611">
              <w:rPr>
                <w:rFonts w:asciiTheme="minorHAnsi" w:hAnsiTheme="minorHAnsi" w:cstheme="minorHAnsi"/>
              </w:rPr>
              <w:t>Expired DEER2020 lighting measures</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0C9D5C4"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A1AA6DB"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2B7FF38E"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6AF59D0"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015687C"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0565AC8"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BE55658"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82E1D79"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1C2D9952"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1C5F9869"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1A66C1C6"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7324834C" w14:textId="77777777">
            <w:pPr>
              <w:pStyle w:val="Table"/>
              <w:jc w:val="center"/>
              <w:rPr>
                <w:rFonts w:asciiTheme="minorHAnsi" w:hAnsiTheme="minorHAnsi" w:cstheme="minorHAnsi"/>
              </w:rPr>
            </w:pPr>
          </w:p>
        </w:tc>
      </w:tr>
      <w:tr w:rsidRPr="00730611" w:rsidR="00845FD4" w:rsidTr="00AE3CF1" w14:paraId="77693F3D"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2839109F"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303F7C07"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0E85F156" w14:textId="77777777">
            <w:pPr>
              <w:pStyle w:val="Table"/>
              <w:rPr>
                <w:rFonts w:asciiTheme="minorHAnsi" w:hAnsiTheme="minorHAnsi" w:cstheme="minorHAnsi"/>
              </w:rPr>
            </w:pPr>
            <w:r w:rsidRPr="00730611">
              <w:rPr>
                <w:rFonts w:asciiTheme="minorHAnsi" w:hAnsiTheme="minorHAnsi" w:cstheme="minorHAnsi"/>
              </w:rPr>
              <w:t>2020</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3882D16" w14:textId="77777777">
            <w:pPr>
              <w:pStyle w:val="Table"/>
              <w:rPr>
                <w:rFonts w:asciiTheme="minorHAnsi" w:hAnsiTheme="minorHAnsi" w:cstheme="minorHAnsi"/>
              </w:rPr>
            </w:pPr>
            <w:r w:rsidRPr="00730611">
              <w:rPr>
                <w:rFonts w:asciiTheme="minorHAnsi" w:hAnsiTheme="minorHAnsi" w:cstheme="minorHAnsi"/>
              </w:rPr>
              <w:t>Corrected interactive effects table</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A366B59"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4C124AC"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0A8D78A"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861A91D"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5A1B186"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724426A"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514A317"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3C1873D"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126E1FDB"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25C8CF3B"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23C2C687"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0246F673" w14:textId="77777777">
            <w:pPr>
              <w:pStyle w:val="Table"/>
              <w:jc w:val="center"/>
              <w:rPr>
                <w:rFonts w:asciiTheme="minorHAnsi" w:hAnsiTheme="minorHAnsi" w:cstheme="minorHAnsi"/>
              </w:rPr>
            </w:pPr>
            <w:r w:rsidRPr="00730611">
              <w:rPr>
                <w:rFonts w:asciiTheme="minorHAnsi" w:hAnsiTheme="minorHAnsi" w:cstheme="minorHAnsi"/>
              </w:rPr>
              <w:t>X</w:t>
            </w:r>
          </w:p>
        </w:tc>
      </w:tr>
      <w:tr w:rsidRPr="00730611" w:rsidR="00845FD4" w:rsidTr="00AE3CF1" w14:paraId="323E6DFE" w14:textId="77777777">
        <w:trPr>
          <w:trHeight w:val="288"/>
        </w:trPr>
        <w:tc>
          <w:tcPr>
            <w:tcW w:w="585" w:type="dxa"/>
            <w:tcBorders>
              <w:top w:val="double" w:color="auto" w:sz="4" w:space="0"/>
              <w:left w:val="single" w:color="auto" w:sz="4" w:space="0"/>
              <w:bottom w:val="double" w:color="auto" w:sz="4" w:space="0"/>
            </w:tcBorders>
            <w:vAlign w:val="center"/>
          </w:tcPr>
          <w:p w:rsidRPr="00730611" w:rsidR="00845FD4" w:rsidP="00402450" w:rsidRDefault="00845FD4" w14:paraId="1BAC0079" w14:textId="77777777">
            <w:pPr>
              <w:pStyle w:val="Table"/>
              <w:rPr>
                <w:rFonts w:asciiTheme="minorHAnsi" w:hAnsiTheme="minorHAnsi" w:cstheme="minorHAnsi"/>
                <w:b/>
              </w:rPr>
            </w:pPr>
          </w:p>
        </w:tc>
        <w:tc>
          <w:tcPr>
            <w:tcW w:w="585" w:type="dxa"/>
            <w:tcBorders>
              <w:top w:val="double" w:color="auto" w:sz="4" w:space="0"/>
              <w:bottom w:val="double" w:color="auto" w:sz="4" w:space="0"/>
            </w:tcBorders>
            <w:vAlign w:val="center"/>
          </w:tcPr>
          <w:p w:rsidRPr="00730611" w:rsidR="00845FD4" w:rsidP="00402450" w:rsidRDefault="00845FD4" w14:paraId="309AEF5C" w14:textId="77777777">
            <w:pPr>
              <w:pStyle w:val="Table"/>
              <w:rPr>
                <w:rFonts w:asciiTheme="minorHAnsi" w:hAnsiTheme="minorHAnsi" w:cstheme="minorHAnsi"/>
                <w:b/>
              </w:rPr>
            </w:pPr>
          </w:p>
        </w:tc>
        <w:tc>
          <w:tcPr>
            <w:tcW w:w="990" w:type="dxa"/>
            <w:tcBorders>
              <w:top w:val="double" w:color="auto" w:sz="4" w:space="0"/>
              <w:bottom w:val="double" w:color="auto" w:sz="4" w:space="0"/>
            </w:tcBorders>
            <w:vAlign w:val="center"/>
          </w:tcPr>
          <w:p w:rsidRPr="00730611" w:rsidR="00845FD4" w:rsidP="00402450" w:rsidRDefault="00845FD4" w14:paraId="42DD6840" w14:textId="77777777">
            <w:pPr>
              <w:pStyle w:val="Table"/>
              <w:rPr>
                <w:rFonts w:asciiTheme="minorHAnsi" w:hAnsiTheme="minorHAnsi" w:cstheme="minorHAnsi"/>
                <w:b/>
              </w:rPr>
            </w:pPr>
          </w:p>
        </w:tc>
        <w:tc>
          <w:tcPr>
            <w:tcW w:w="3627" w:type="dxa"/>
            <w:tcBorders>
              <w:top w:val="double" w:color="auto" w:sz="4" w:space="0"/>
              <w:bottom w:val="double" w:color="auto" w:sz="4" w:space="0"/>
            </w:tcBorders>
            <w:shd w:val="clear" w:color="auto" w:fill="auto"/>
            <w:noWrap/>
            <w:vAlign w:val="center"/>
          </w:tcPr>
          <w:p w:rsidRPr="00730611" w:rsidR="00845FD4" w:rsidP="00402450" w:rsidRDefault="00845FD4" w14:paraId="42F53232" w14:textId="43465A8C">
            <w:pPr>
              <w:pStyle w:val="Table"/>
              <w:rPr>
                <w:rFonts w:asciiTheme="minorHAnsi" w:hAnsiTheme="minorHAnsi" w:cstheme="minorHAnsi"/>
                <w:b/>
              </w:rPr>
            </w:pPr>
            <w:r w:rsidRPr="00730611">
              <w:rPr>
                <w:rFonts w:asciiTheme="minorHAnsi" w:hAnsiTheme="minorHAnsi" w:cstheme="minorHAnsi"/>
                <w:b/>
              </w:rPr>
              <w:t>Review of EM&amp;V studies</w:t>
            </w: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39384ED"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D5F4CFD"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2C197E65"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6912C586"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1030A7E9"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35A63D48"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4589D05E"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30B7E7D"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7B00612A"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89C8DB4"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08F51F91" w14:textId="77777777">
            <w:pPr>
              <w:pStyle w:val="Table"/>
              <w:jc w:val="center"/>
              <w:rPr>
                <w:rFonts w:asciiTheme="minorHAnsi" w:hAnsiTheme="minorHAnsi" w:cstheme="minorHAnsi"/>
                <w:b/>
              </w:rPr>
            </w:pPr>
          </w:p>
        </w:tc>
        <w:tc>
          <w:tcPr>
            <w:tcW w:w="360" w:type="dxa"/>
            <w:tcBorders>
              <w:top w:val="double" w:color="auto" w:sz="4" w:space="0"/>
              <w:bottom w:val="double" w:color="auto" w:sz="4" w:space="0"/>
              <w:right w:val="single" w:color="auto" w:sz="4" w:space="0"/>
            </w:tcBorders>
            <w:vAlign w:val="center"/>
          </w:tcPr>
          <w:p w:rsidRPr="00730611" w:rsidR="00845FD4" w:rsidP="00402450" w:rsidRDefault="00845FD4" w14:paraId="3EC8A3BD" w14:textId="77777777">
            <w:pPr>
              <w:pStyle w:val="Table"/>
              <w:jc w:val="center"/>
              <w:rPr>
                <w:rFonts w:asciiTheme="minorHAnsi" w:hAnsiTheme="minorHAnsi" w:cstheme="minorHAnsi"/>
                <w:b/>
              </w:rPr>
            </w:pPr>
          </w:p>
        </w:tc>
      </w:tr>
      <w:tr w:rsidRPr="00730611" w:rsidR="00083428" w:rsidTr="00AE3CF1" w14:paraId="11C68C89" w14:textId="77777777">
        <w:trPr>
          <w:trHeight w:val="288"/>
        </w:trPr>
        <w:tc>
          <w:tcPr>
            <w:tcW w:w="585" w:type="dxa"/>
            <w:tcBorders>
              <w:top w:val="double" w:color="auto" w:sz="4" w:space="0"/>
              <w:left w:val="single" w:color="auto" w:sz="4" w:space="0"/>
              <w:bottom w:val="single" w:color="auto" w:sz="4" w:space="0"/>
              <w:right w:val="single" w:color="auto" w:sz="4" w:space="0"/>
            </w:tcBorders>
            <w:vAlign w:val="center"/>
          </w:tcPr>
          <w:p w:rsidRPr="00730611" w:rsidR="00083428" w:rsidP="008E2F07" w:rsidRDefault="00083428" w14:paraId="681AC1AE" w14:textId="792D179C">
            <w:pPr>
              <w:rPr>
                <w:rFonts w:asciiTheme="minorHAnsi" w:hAnsiTheme="minorHAnsi" w:cstheme="minorHAnsi"/>
                <w:sz w:val="18"/>
                <w:szCs w:val="18"/>
              </w:rPr>
            </w:pPr>
            <w:r w:rsidRPr="00730611">
              <w:rPr>
                <w:rFonts w:asciiTheme="minorHAnsi" w:hAnsiTheme="minorHAnsi" w:cstheme="minorHAnsi"/>
                <w:sz w:val="18"/>
                <w:szCs w:val="18"/>
              </w:rPr>
              <w:t>!!!</w:t>
            </w:r>
          </w:p>
        </w:tc>
        <w:tc>
          <w:tcPr>
            <w:tcW w:w="585" w:type="dxa"/>
            <w:tcBorders>
              <w:top w:val="double" w:color="auto" w:sz="4" w:space="0"/>
              <w:left w:val="single" w:color="auto" w:sz="4" w:space="0"/>
              <w:bottom w:val="single" w:color="auto" w:sz="4" w:space="0"/>
              <w:right w:val="single" w:color="auto" w:sz="4" w:space="0"/>
            </w:tcBorders>
            <w:vAlign w:val="center"/>
          </w:tcPr>
          <w:p w:rsidRPr="00730611" w:rsidR="00083428" w:rsidP="008E2F07" w:rsidRDefault="00083428" w14:paraId="65850BFF" w14:textId="51EFA638">
            <w:pPr>
              <w:rPr>
                <w:rFonts w:asciiTheme="minorHAnsi" w:hAnsiTheme="minorHAnsi" w:cstheme="minorHAnsi"/>
                <w:sz w:val="18"/>
                <w:szCs w:val="18"/>
              </w:rPr>
            </w:pPr>
            <w:r w:rsidRPr="00730611">
              <w:rPr>
                <w:rFonts w:asciiTheme="minorHAnsi" w:hAnsiTheme="minorHAnsi" w:cstheme="minorHAnsi"/>
                <w:sz w:val="18"/>
                <w:szCs w:val="18"/>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083428" w:rsidP="008E2F07" w:rsidRDefault="00083428" w14:paraId="3C2A2308" w14:textId="27A138F6">
            <w:pPr>
              <w:rPr>
                <w:rFonts w:asciiTheme="minorHAnsi" w:hAnsiTheme="minorHAnsi" w:cstheme="minorHAnsi"/>
                <w:sz w:val="18"/>
                <w:szCs w:val="18"/>
              </w:rPr>
            </w:pPr>
            <w:r w:rsidRPr="00730611">
              <w:rPr>
                <w:rFonts w:asciiTheme="minorHAnsi" w:hAnsiTheme="minorHAnsi" w:cstheme="minorHAnsi"/>
                <w:sz w:val="18"/>
                <w:szCs w:val="18"/>
              </w:rPr>
              <w:t>2022</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083428" w:rsidP="008E2F07" w:rsidRDefault="00083428" w14:paraId="378ECB3D" w14:textId="470631EB">
            <w:pPr>
              <w:rPr>
                <w:rFonts w:asciiTheme="minorHAnsi" w:hAnsiTheme="minorHAnsi" w:cstheme="minorHAnsi"/>
                <w:sz w:val="18"/>
                <w:szCs w:val="18"/>
              </w:rPr>
            </w:pPr>
            <w:r w:rsidRPr="00730611">
              <w:rPr>
                <w:rFonts w:asciiTheme="minorHAnsi" w:hAnsiTheme="minorHAnsi" w:cstheme="minorHAnsi"/>
                <w:sz w:val="18"/>
                <w:szCs w:val="18"/>
              </w:rPr>
              <w:t>Overarching/general changes</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083428" w:rsidP="00AE3CF1" w:rsidRDefault="00083428" w14:paraId="7C17BB1F" w14:textId="71C89792">
            <w:pPr>
              <w:jc w:val="center"/>
              <w:rPr>
                <w:rFonts w:asciiTheme="minorHAnsi" w:hAnsiTheme="minorHAnsi" w:cstheme="minorHAnsi"/>
                <w:sz w:val="18"/>
                <w:szCs w:val="18"/>
              </w:rPr>
            </w:pPr>
            <w:r w:rsidRPr="00730611">
              <w:rPr>
                <w:rFonts w:asciiTheme="minorHAnsi" w:hAnsiTheme="minorHAnsi" w:cstheme="minorHAnsi"/>
                <w:sz w:val="18"/>
                <w:szCs w:val="18"/>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083428" w:rsidP="00AE3CF1" w:rsidRDefault="00083428" w14:paraId="35729DE8" w14:textId="376BA517">
            <w:pPr>
              <w:jc w:val="center"/>
              <w:rPr>
                <w:rFonts w:asciiTheme="minorHAnsi" w:hAnsiTheme="minorHAnsi" w:cstheme="minorHAnsi"/>
                <w:sz w:val="18"/>
                <w:szCs w:val="18"/>
              </w:rPr>
            </w:pPr>
            <w:r w:rsidRPr="00730611">
              <w:rPr>
                <w:rFonts w:asciiTheme="minorHAnsi" w:hAnsiTheme="minorHAnsi" w:cstheme="minorHAnsi"/>
                <w:sz w:val="18"/>
                <w:szCs w:val="18"/>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083428" w:rsidP="00AE3CF1" w:rsidRDefault="00083428" w14:paraId="09209AB0" w14:textId="37A9304F">
            <w:pPr>
              <w:jc w:val="center"/>
              <w:rPr>
                <w:rFonts w:asciiTheme="minorHAnsi" w:hAnsiTheme="minorHAnsi" w:cstheme="minorHAnsi"/>
                <w:sz w:val="18"/>
                <w:szCs w:val="18"/>
              </w:rPr>
            </w:pPr>
            <w:r w:rsidRPr="00730611">
              <w:rPr>
                <w:rFonts w:asciiTheme="minorHAnsi" w:hAnsiTheme="minorHAnsi" w:cstheme="minorHAnsi"/>
                <w:sz w:val="18"/>
                <w:szCs w:val="18"/>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083428" w:rsidP="00AE3CF1" w:rsidRDefault="00083428" w14:paraId="42DAF767" w14:textId="70AF0F14">
            <w:pPr>
              <w:jc w:val="center"/>
              <w:rPr>
                <w:rFonts w:asciiTheme="minorHAnsi" w:hAnsiTheme="minorHAnsi" w:cstheme="minorHAnsi"/>
                <w:sz w:val="18"/>
                <w:szCs w:val="18"/>
              </w:rPr>
            </w:pPr>
            <w:r w:rsidRPr="00730611">
              <w:rPr>
                <w:rFonts w:asciiTheme="minorHAnsi" w:hAnsiTheme="minorHAnsi" w:cstheme="minorHAnsi"/>
                <w:sz w:val="18"/>
                <w:szCs w:val="18"/>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083428" w:rsidP="00AE3CF1" w:rsidRDefault="00083428" w14:paraId="6551FD5D" w14:textId="06E25DF1">
            <w:pPr>
              <w:jc w:val="center"/>
              <w:rPr>
                <w:rFonts w:asciiTheme="minorHAnsi" w:hAnsiTheme="minorHAnsi" w:cstheme="minorHAnsi"/>
                <w:sz w:val="18"/>
                <w:szCs w:val="18"/>
              </w:rPr>
            </w:pPr>
            <w:r w:rsidRPr="00730611">
              <w:rPr>
                <w:rFonts w:asciiTheme="minorHAnsi" w:hAnsiTheme="minorHAnsi" w:cstheme="minorHAnsi"/>
                <w:sz w:val="18"/>
                <w:szCs w:val="18"/>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083428" w:rsidP="00AE3CF1" w:rsidRDefault="00083428" w14:paraId="1571B58D" w14:textId="353A9AC7">
            <w:pPr>
              <w:jc w:val="center"/>
              <w:rPr>
                <w:rFonts w:asciiTheme="minorHAnsi" w:hAnsiTheme="minorHAnsi" w:cstheme="minorHAnsi"/>
                <w:sz w:val="18"/>
                <w:szCs w:val="18"/>
              </w:rPr>
            </w:pPr>
            <w:r w:rsidRPr="00730611">
              <w:rPr>
                <w:rFonts w:asciiTheme="minorHAnsi" w:hAnsiTheme="minorHAnsi" w:cstheme="minorHAnsi"/>
                <w:sz w:val="18"/>
                <w:szCs w:val="18"/>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083428" w:rsidP="00AE3CF1" w:rsidRDefault="00083428" w14:paraId="464E90C1" w14:textId="24508EEC">
            <w:pPr>
              <w:jc w:val="center"/>
              <w:rPr>
                <w:rFonts w:asciiTheme="minorHAnsi" w:hAnsiTheme="minorHAnsi" w:cstheme="minorHAnsi"/>
                <w:sz w:val="18"/>
                <w:szCs w:val="18"/>
              </w:rPr>
            </w:pPr>
            <w:r w:rsidRPr="00730611">
              <w:rPr>
                <w:rFonts w:asciiTheme="minorHAnsi" w:hAnsiTheme="minorHAnsi" w:cstheme="minorHAnsi"/>
                <w:sz w:val="18"/>
                <w:szCs w:val="18"/>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083428" w:rsidP="00AE3CF1" w:rsidRDefault="006638D5" w14:paraId="4F140E3C" w14:textId="0992E159">
            <w:pPr>
              <w:jc w:val="center"/>
              <w:rPr>
                <w:rFonts w:asciiTheme="minorHAnsi" w:hAnsiTheme="minorHAnsi" w:cstheme="minorHAnsi"/>
                <w:sz w:val="18"/>
                <w:szCs w:val="18"/>
              </w:rPr>
            </w:pPr>
            <w:r w:rsidRPr="00730611">
              <w:rPr>
                <w:rFonts w:asciiTheme="minorHAnsi" w:hAnsiTheme="minorHAnsi" w:cstheme="minorHAnsi"/>
                <w:sz w:val="18"/>
                <w:szCs w:val="18"/>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083428" w:rsidP="00AE3CF1" w:rsidRDefault="00083428" w14:paraId="4F72F0A2" w14:textId="77777777">
            <w:pPr>
              <w:jc w:val="center"/>
              <w:rPr>
                <w:rFonts w:asciiTheme="minorHAnsi" w:hAnsiTheme="minorHAnsi" w:cstheme="minorHAnsi"/>
                <w:sz w:val="18"/>
                <w:szCs w:val="18"/>
              </w:rPr>
            </w:pP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083428" w:rsidP="00AE3CF1" w:rsidRDefault="00083428" w14:paraId="078652B8" w14:textId="77777777">
            <w:pPr>
              <w:jc w:val="center"/>
              <w:rPr>
                <w:rFonts w:asciiTheme="minorHAnsi" w:hAnsiTheme="minorHAnsi" w:cstheme="minorHAnsi"/>
                <w:sz w:val="18"/>
                <w:szCs w:val="18"/>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083428" w:rsidP="00AE3CF1" w:rsidRDefault="00083428" w14:paraId="4720047B" w14:textId="77777777">
            <w:pPr>
              <w:jc w:val="center"/>
              <w:rPr>
                <w:rFonts w:asciiTheme="minorHAnsi" w:hAnsiTheme="minorHAnsi" w:cstheme="minorHAnsi"/>
                <w:sz w:val="18"/>
                <w:szCs w:val="18"/>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083428" w:rsidP="00AE3CF1" w:rsidRDefault="00083428" w14:paraId="3258BFE5" w14:textId="77777777">
            <w:pPr>
              <w:jc w:val="center"/>
              <w:rPr>
                <w:rFonts w:asciiTheme="minorHAnsi" w:hAnsiTheme="minorHAnsi" w:cstheme="minorHAnsi"/>
                <w:sz w:val="18"/>
                <w:szCs w:val="18"/>
              </w:rPr>
            </w:pPr>
          </w:p>
        </w:tc>
      </w:tr>
      <w:tr w:rsidRPr="00730611" w:rsidR="00845FD4" w:rsidTr="00083428" w14:paraId="5AE77182"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200E6512" w14:textId="77777777">
            <w:pPr>
              <w:pStyle w:val="Table"/>
              <w:rPr>
                <w:rFonts w:asciiTheme="minorHAnsi" w:hAnsiTheme="minorHAnsi" w:cstheme="minorHAnsi"/>
                <w:vertAlign w:val="superscript"/>
              </w:rPr>
            </w:pPr>
            <w:r w:rsidRPr="00730611">
              <w:rPr>
                <w:rFonts w:asciiTheme="minorHAnsi" w:hAnsiTheme="minorHAnsi" w:cstheme="minorHAnsi"/>
              </w:rPr>
              <w:t>!!!</w:t>
            </w:r>
            <w:r w:rsidRPr="00730611">
              <w:rPr>
                <w:rFonts w:asciiTheme="minorHAnsi" w:hAnsiTheme="minorHAnsi" w:cstheme="minorHAnsi"/>
                <w:vertAlign w:val="superscript"/>
              </w:rPr>
              <w:t>H</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63481511"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5F5D097C" w14:textId="77777777">
            <w:pPr>
              <w:pStyle w:val="Table"/>
              <w:rPr>
                <w:rFonts w:asciiTheme="minorHAnsi" w:hAnsiTheme="minorHAnsi" w:cstheme="minorHAnsi"/>
              </w:rPr>
            </w:pPr>
            <w:r w:rsidRPr="00730611">
              <w:rPr>
                <w:rFonts w:asciiTheme="minorHAnsi" w:hAnsiTheme="minorHAnsi" w:cstheme="minorHAnsi"/>
              </w:rPr>
              <w:t>2022</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F41D1DC" w14:textId="77777777">
            <w:pPr>
              <w:pStyle w:val="Table"/>
              <w:rPr>
                <w:rFonts w:asciiTheme="minorHAnsi" w:hAnsiTheme="minorHAnsi" w:cstheme="minorHAnsi"/>
              </w:rPr>
            </w:pPr>
            <w:r w:rsidRPr="00730611">
              <w:rPr>
                <w:rFonts w:asciiTheme="minorHAnsi" w:hAnsiTheme="minorHAnsi" w:cstheme="minorHAnsi"/>
              </w:rPr>
              <w:t>Residential EM&amp;V (including Home Upgrade; water fixtures; pool pumps)</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B1CA967"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59BD55F"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6556838"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58BE37E"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2A326A0"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80D9766"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C7604A2"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69CC039"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568730D5"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1B694B53"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317B70DE"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67A5B396" w14:textId="77777777">
            <w:pPr>
              <w:pStyle w:val="Table"/>
              <w:jc w:val="center"/>
              <w:rPr>
                <w:rFonts w:asciiTheme="minorHAnsi" w:hAnsiTheme="minorHAnsi" w:cstheme="minorHAnsi"/>
              </w:rPr>
            </w:pPr>
          </w:p>
        </w:tc>
      </w:tr>
      <w:tr w:rsidRPr="00730611" w:rsidR="00845FD4" w:rsidTr="00AE3CF1" w14:paraId="04E3D916"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7BFA7744"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52BE733F"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6F58285A" w14:textId="77777777">
            <w:pPr>
              <w:pStyle w:val="Table"/>
              <w:rPr>
                <w:rFonts w:asciiTheme="minorHAnsi" w:hAnsiTheme="minorHAnsi" w:cstheme="minorHAnsi"/>
              </w:rPr>
            </w:pPr>
            <w:r w:rsidRPr="00730611">
              <w:rPr>
                <w:rFonts w:asciiTheme="minorHAnsi" w:hAnsiTheme="minorHAnsi" w:cstheme="minorHAnsi"/>
              </w:rPr>
              <w:t>2022</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2410F730" w14:textId="77777777">
            <w:pPr>
              <w:pStyle w:val="Table"/>
              <w:rPr>
                <w:rFonts w:asciiTheme="minorHAnsi" w:hAnsiTheme="minorHAnsi" w:cstheme="minorHAnsi"/>
              </w:rPr>
            </w:pPr>
            <w:r w:rsidRPr="00730611">
              <w:rPr>
                <w:rFonts w:asciiTheme="minorHAnsi" w:hAnsiTheme="minorHAnsi" w:cstheme="minorHAnsi"/>
              </w:rPr>
              <w:t>Lighting EM&amp;V (upstream and downstream studies)</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9E7B4E5"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9138179"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C5AAEFC"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DF7E3F2"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9F0920E"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D200670"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0A3F159"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C6EA413"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5B991DFB"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1C1FFF0D"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12885989" w14:textId="63C6F8F2">
            <w:pPr>
              <w:pStyle w:val="Table"/>
              <w:jc w:val="center"/>
              <w:rPr>
                <w:rFonts w:asciiTheme="minorHAnsi" w:hAnsiTheme="minorHAnsi" w:cstheme="minorHAnsi"/>
              </w:rPr>
            </w:pPr>
            <w:r w:rsidRPr="00730611">
              <w:rPr>
                <w:rFonts w:asciiTheme="minorHAnsi" w:hAnsiTheme="minorHAnsi" w:cstheme="minorHAnsi"/>
              </w:rPr>
              <w:t>X</w:t>
            </w:r>
            <w:r w:rsidRPr="00730611">
              <w:rPr>
                <w:rFonts w:asciiTheme="minorHAnsi" w:hAnsiTheme="minorHAnsi" w:cstheme="minorHAnsi"/>
                <w:vertAlign w:val="superscript"/>
              </w:rPr>
              <w:t>U</w:t>
            </w:r>
            <w:r w:rsidR="00511AB3">
              <w:rPr>
                <w:rStyle w:val="FootnoteReference"/>
              </w:rPr>
              <w:footnoteReference w:id="9"/>
            </w: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13DF9F02" w14:textId="77777777">
            <w:pPr>
              <w:pStyle w:val="Table"/>
              <w:jc w:val="center"/>
              <w:rPr>
                <w:rFonts w:asciiTheme="minorHAnsi" w:hAnsiTheme="minorHAnsi" w:cstheme="minorHAnsi"/>
              </w:rPr>
            </w:pPr>
          </w:p>
        </w:tc>
      </w:tr>
      <w:tr w:rsidRPr="00730611" w:rsidR="00845FD4" w:rsidTr="00AE3CF1" w14:paraId="090D12A3" w14:textId="77777777">
        <w:trPr>
          <w:trHeight w:val="288"/>
        </w:trPr>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340BCDCD" w14:textId="77777777">
            <w:pPr>
              <w:pStyle w:val="Table"/>
              <w:rPr>
                <w:rFonts w:asciiTheme="minorHAnsi" w:hAnsiTheme="minorHAnsi" w:cstheme="minorHAnsi"/>
                <w:vertAlign w:val="superscript"/>
              </w:rPr>
            </w:pPr>
            <w:r w:rsidRPr="00730611">
              <w:rPr>
                <w:rFonts w:asciiTheme="minorHAnsi" w:hAnsiTheme="minorHAnsi" w:cstheme="minorHAnsi"/>
              </w:rPr>
              <w:t>!!</w:t>
            </w:r>
            <w:r w:rsidRPr="00730611">
              <w:rPr>
                <w:rFonts w:asciiTheme="minorHAnsi" w:hAnsiTheme="minorHAnsi" w:cstheme="minorHAnsi"/>
                <w:vertAlign w:val="superscript"/>
              </w:rPr>
              <w:t>H</w:t>
            </w:r>
          </w:p>
        </w:tc>
        <w:tc>
          <w:tcPr>
            <w:tcW w:w="585"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43E2FCC7"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760826D2" w14:textId="77777777">
            <w:pPr>
              <w:pStyle w:val="Table"/>
              <w:rPr>
                <w:rFonts w:asciiTheme="minorHAnsi" w:hAnsiTheme="minorHAnsi" w:cstheme="minorHAnsi"/>
              </w:rPr>
            </w:pPr>
            <w:r w:rsidRPr="00730611">
              <w:rPr>
                <w:rFonts w:asciiTheme="minorHAnsi" w:hAnsiTheme="minorHAnsi" w:cstheme="minorHAnsi"/>
              </w:rPr>
              <w:t>2022</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1C63FE6" w14:textId="77777777">
            <w:pPr>
              <w:pStyle w:val="Table"/>
              <w:rPr>
                <w:rFonts w:asciiTheme="minorHAnsi" w:hAnsiTheme="minorHAnsi" w:cstheme="minorHAnsi"/>
              </w:rPr>
            </w:pPr>
            <w:r w:rsidRPr="00730611">
              <w:rPr>
                <w:rFonts w:asciiTheme="minorHAnsi" w:hAnsiTheme="minorHAnsi" w:cstheme="minorHAnsi"/>
              </w:rPr>
              <w:t>HVAC EM&amp;V (including duct seal; unitary RTUs; chillers; and boilers)</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D8E2CE7"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25D654B"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403E41D"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2452D560"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8D07721"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076E9C2"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CF276DE"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CC6EFC0"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36E86F11"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0DF9C29C"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41AB8F92"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6DAFB704" w14:textId="77777777">
            <w:pPr>
              <w:pStyle w:val="Table"/>
              <w:jc w:val="center"/>
              <w:rPr>
                <w:rFonts w:asciiTheme="minorHAnsi" w:hAnsiTheme="minorHAnsi" w:cstheme="minorHAnsi"/>
              </w:rPr>
            </w:pPr>
          </w:p>
        </w:tc>
      </w:tr>
      <w:tr w:rsidRPr="00730611" w:rsidR="00845FD4" w:rsidTr="00AE3CF1" w14:paraId="4111DFAF" w14:textId="77777777">
        <w:trPr>
          <w:trHeight w:val="288"/>
        </w:trPr>
        <w:tc>
          <w:tcPr>
            <w:tcW w:w="585" w:type="dxa"/>
            <w:tcBorders>
              <w:top w:val="single" w:color="auto" w:sz="4" w:space="0"/>
              <w:left w:val="single" w:color="auto" w:sz="4" w:space="0"/>
              <w:bottom w:val="double" w:color="auto" w:sz="4" w:space="0"/>
              <w:right w:val="single" w:color="auto" w:sz="4" w:space="0"/>
            </w:tcBorders>
            <w:vAlign w:val="center"/>
          </w:tcPr>
          <w:p w:rsidRPr="00730611" w:rsidR="00845FD4" w:rsidP="00402450" w:rsidRDefault="00845FD4" w14:paraId="5590A632"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double" w:color="auto" w:sz="4" w:space="0"/>
              <w:right w:val="single" w:color="auto" w:sz="4" w:space="0"/>
            </w:tcBorders>
            <w:vAlign w:val="center"/>
          </w:tcPr>
          <w:p w:rsidRPr="00730611" w:rsidR="00845FD4" w:rsidP="00402450" w:rsidRDefault="00845FD4" w14:paraId="2944A1BC"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auto" w:sz="4" w:space="0"/>
              <w:left w:val="single" w:color="auto" w:sz="4" w:space="0"/>
              <w:bottom w:val="single" w:color="auto" w:sz="4" w:space="0"/>
              <w:right w:val="single" w:color="auto" w:sz="4" w:space="0"/>
            </w:tcBorders>
            <w:vAlign w:val="center"/>
          </w:tcPr>
          <w:p w:rsidRPr="00730611" w:rsidR="00845FD4" w:rsidP="00402450" w:rsidRDefault="00845FD4" w14:paraId="48FD6D68" w14:textId="77777777">
            <w:pPr>
              <w:pStyle w:val="Table"/>
              <w:rPr>
                <w:rFonts w:asciiTheme="minorHAnsi" w:hAnsiTheme="minorHAnsi" w:cstheme="minorHAnsi"/>
              </w:rPr>
            </w:pPr>
            <w:r w:rsidRPr="00730611">
              <w:rPr>
                <w:rFonts w:asciiTheme="minorHAnsi" w:hAnsiTheme="minorHAnsi" w:cstheme="minorHAnsi"/>
              </w:rPr>
              <w:t>2022</w:t>
            </w:r>
          </w:p>
        </w:tc>
        <w:tc>
          <w:tcPr>
            <w:tcW w:w="3627"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D5B0CE4" w14:textId="7E21EA7F">
            <w:pPr>
              <w:pStyle w:val="Table"/>
              <w:rPr>
                <w:rFonts w:asciiTheme="minorHAnsi" w:hAnsiTheme="minorHAnsi" w:cstheme="minorHAnsi"/>
              </w:rPr>
            </w:pPr>
            <w:r w:rsidRPr="00730611">
              <w:rPr>
                <w:rFonts w:asciiTheme="minorHAnsi" w:hAnsiTheme="minorHAnsi" w:cstheme="minorHAnsi"/>
              </w:rPr>
              <w:t>Small Commercial EM&amp;V (including refrigeration; irrigation; and DHW)</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90A660F"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EFA487B"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2BB7A43"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D4E458B"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5ECE99DF"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6F1D894"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770E7410"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08782E7"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69B57969"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71FF9266" w14:textId="77777777">
            <w:pPr>
              <w:pStyle w:val="Table"/>
              <w:jc w:val="center"/>
              <w:rPr>
                <w:rFonts w:asciiTheme="minorHAnsi" w:hAnsiTheme="minorHAnsi" w:cstheme="minorHAnsi"/>
              </w:rPr>
            </w:pPr>
          </w:p>
        </w:tc>
        <w:tc>
          <w:tcPr>
            <w:tcW w:w="360" w:type="dxa"/>
            <w:tcBorders>
              <w:top w:val="single" w:color="auto" w:sz="4" w:space="0"/>
              <w:left w:val="nil"/>
              <w:bottom w:val="single" w:color="auto" w:sz="4" w:space="0"/>
              <w:right w:val="single" w:color="000000" w:themeColor="text1" w:sz="4" w:space="0"/>
            </w:tcBorders>
            <w:vAlign w:val="center"/>
          </w:tcPr>
          <w:p w:rsidRPr="00730611" w:rsidR="00845FD4" w:rsidP="00402450" w:rsidRDefault="00845FD4" w14:paraId="74A055E0" w14:textId="77777777">
            <w:pPr>
              <w:pStyle w:val="Table"/>
              <w:jc w:val="center"/>
              <w:rPr>
                <w:rFonts w:asciiTheme="minorHAnsi" w:hAnsiTheme="minorHAnsi" w:cstheme="minorHAnsi"/>
              </w:rPr>
            </w:pPr>
          </w:p>
        </w:tc>
        <w:tc>
          <w:tcPr>
            <w:tcW w:w="360" w:type="dxa"/>
            <w:tcBorders>
              <w:top w:val="single" w:color="auto" w:sz="4" w:space="0"/>
              <w:left w:val="single" w:color="000000" w:themeColor="text1" w:sz="4" w:space="0"/>
              <w:bottom w:val="single" w:color="auto" w:sz="4" w:space="0"/>
              <w:right w:val="single" w:color="auto" w:sz="4" w:space="0"/>
            </w:tcBorders>
            <w:vAlign w:val="center"/>
          </w:tcPr>
          <w:p w:rsidRPr="00730611" w:rsidR="00845FD4" w:rsidP="00402450" w:rsidRDefault="00845FD4" w14:paraId="460B7846" w14:textId="77777777">
            <w:pPr>
              <w:pStyle w:val="Table"/>
              <w:jc w:val="center"/>
              <w:rPr>
                <w:rFonts w:asciiTheme="minorHAnsi" w:hAnsiTheme="minorHAnsi" w:cstheme="minorHAnsi"/>
              </w:rPr>
            </w:pPr>
          </w:p>
        </w:tc>
      </w:tr>
      <w:tr w:rsidRPr="00730611" w:rsidR="00845FD4" w:rsidTr="00AE3CF1" w14:paraId="54C65A82" w14:textId="77777777">
        <w:trPr>
          <w:trHeight w:val="288"/>
        </w:trPr>
        <w:tc>
          <w:tcPr>
            <w:tcW w:w="585" w:type="dxa"/>
            <w:tcBorders>
              <w:top w:val="double" w:color="auto" w:sz="4" w:space="0"/>
              <w:left w:val="single" w:color="auto" w:sz="4" w:space="0"/>
              <w:bottom w:val="double" w:color="auto" w:sz="4" w:space="0"/>
            </w:tcBorders>
            <w:vAlign w:val="center"/>
          </w:tcPr>
          <w:p w:rsidRPr="00730611" w:rsidR="00845FD4" w:rsidP="00402450" w:rsidRDefault="00845FD4" w14:paraId="65BF16A3" w14:textId="77777777">
            <w:pPr>
              <w:pStyle w:val="Table"/>
              <w:rPr>
                <w:rFonts w:asciiTheme="minorHAnsi" w:hAnsiTheme="minorHAnsi" w:cstheme="minorHAnsi"/>
                <w:b/>
              </w:rPr>
            </w:pPr>
          </w:p>
        </w:tc>
        <w:tc>
          <w:tcPr>
            <w:tcW w:w="585" w:type="dxa"/>
            <w:tcBorders>
              <w:top w:val="double" w:color="auto" w:sz="4" w:space="0"/>
              <w:bottom w:val="double" w:color="auto" w:sz="4" w:space="0"/>
            </w:tcBorders>
            <w:vAlign w:val="center"/>
          </w:tcPr>
          <w:p w:rsidRPr="00730611" w:rsidR="00845FD4" w:rsidP="00402450" w:rsidRDefault="00845FD4" w14:paraId="6ED451CA" w14:textId="77777777">
            <w:pPr>
              <w:pStyle w:val="Table"/>
              <w:rPr>
                <w:rFonts w:asciiTheme="minorHAnsi" w:hAnsiTheme="minorHAnsi" w:cstheme="minorHAnsi"/>
                <w:b/>
              </w:rPr>
            </w:pPr>
          </w:p>
        </w:tc>
        <w:tc>
          <w:tcPr>
            <w:tcW w:w="990" w:type="dxa"/>
            <w:tcBorders>
              <w:top w:val="double" w:color="auto" w:sz="4" w:space="0"/>
              <w:bottom w:val="double" w:color="auto" w:sz="4" w:space="0"/>
            </w:tcBorders>
            <w:vAlign w:val="center"/>
          </w:tcPr>
          <w:p w:rsidRPr="00730611" w:rsidR="00845FD4" w:rsidP="00402450" w:rsidRDefault="00845FD4" w14:paraId="6252A5C5" w14:textId="77777777">
            <w:pPr>
              <w:pStyle w:val="Table"/>
              <w:rPr>
                <w:rFonts w:asciiTheme="minorHAnsi" w:hAnsiTheme="minorHAnsi" w:cstheme="minorHAnsi"/>
                <w:b/>
              </w:rPr>
            </w:pPr>
          </w:p>
        </w:tc>
        <w:tc>
          <w:tcPr>
            <w:tcW w:w="3627" w:type="dxa"/>
            <w:tcBorders>
              <w:top w:val="double" w:color="auto" w:sz="4" w:space="0"/>
              <w:bottom w:val="double" w:color="auto" w:sz="4" w:space="0"/>
            </w:tcBorders>
            <w:shd w:val="clear" w:color="auto" w:fill="auto"/>
            <w:noWrap/>
            <w:vAlign w:val="center"/>
          </w:tcPr>
          <w:p w:rsidRPr="00730611" w:rsidR="00845FD4" w:rsidP="00402450" w:rsidRDefault="00845FD4" w14:paraId="17AE6C48" w14:textId="77777777">
            <w:pPr>
              <w:pStyle w:val="Table"/>
              <w:rPr>
                <w:rFonts w:asciiTheme="minorHAnsi" w:hAnsiTheme="minorHAnsi" w:cstheme="minorHAnsi"/>
                <w:b/>
                <w:color w:val="000000"/>
              </w:rPr>
            </w:pPr>
            <w:r w:rsidRPr="00730611">
              <w:rPr>
                <w:rFonts w:asciiTheme="minorHAnsi" w:hAnsiTheme="minorHAnsi" w:cstheme="minorHAnsi"/>
                <w:b/>
              </w:rPr>
              <w:t>Review of codes &amp; standards</w:t>
            </w: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197CC759"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62F855DB"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6C02990F"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3AB6C0DF"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1011FE8F"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1D5F7BBC"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731A8F38"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CF552D3"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4A774FAE"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E3896AF"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3BF99490" w14:textId="77777777">
            <w:pPr>
              <w:pStyle w:val="Table"/>
              <w:jc w:val="center"/>
              <w:rPr>
                <w:rFonts w:asciiTheme="minorHAnsi" w:hAnsiTheme="minorHAnsi" w:cstheme="minorHAnsi"/>
                <w:b/>
              </w:rPr>
            </w:pPr>
          </w:p>
        </w:tc>
        <w:tc>
          <w:tcPr>
            <w:tcW w:w="360" w:type="dxa"/>
            <w:tcBorders>
              <w:top w:val="double" w:color="auto" w:sz="4" w:space="0"/>
              <w:bottom w:val="double" w:color="auto" w:sz="4" w:space="0"/>
              <w:right w:val="single" w:color="auto" w:sz="4" w:space="0"/>
            </w:tcBorders>
            <w:vAlign w:val="center"/>
          </w:tcPr>
          <w:p w:rsidRPr="00730611" w:rsidR="00845FD4" w:rsidP="00402450" w:rsidRDefault="00845FD4" w14:paraId="70C51BBF" w14:textId="77777777">
            <w:pPr>
              <w:pStyle w:val="Table"/>
              <w:jc w:val="center"/>
              <w:rPr>
                <w:rFonts w:asciiTheme="minorHAnsi" w:hAnsiTheme="minorHAnsi" w:cstheme="minorHAnsi"/>
                <w:b/>
              </w:rPr>
            </w:pPr>
          </w:p>
        </w:tc>
      </w:tr>
      <w:tr w:rsidRPr="00730611" w:rsidR="00845FD4" w:rsidTr="00AE3CF1" w14:paraId="6781DA9B" w14:textId="77777777">
        <w:trPr>
          <w:trHeight w:val="288"/>
        </w:trPr>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rsidRPr="00730611" w:rsidR="00845FD4" w:rsidP="00402450" w:rsidRDefault="00845FD4" w14:paraId="588B0B43"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auto" w:sz="4" w:space="0"/>
              <w:left w:val="single" w:color="auto" w:sz="4" w:space="0"/>
              <w:bottom w:val="single" w:color="auto" w:sz="4" w:space="0"/>
              <w:right w:val="single" w:color="auto" w:sz="4" w:space="0"/>
            </w:tcBorders>
            <w:shd w:val="clear" w:color="auto" w:fill="auto"/>
            <w:vAlign w:val="center"/>
          </w:tcPr>
          <w:p w:rsidRPr="00730611" w:rsidR="00845FD4" w:rsidP="00402450" w:rsidRDefault="005930BF" w14:paraId="693BE19A" w14:textId="2C7F0BB1">
            <w:pPr>
              <w:pStyle w:val="Table"/>
              <w:rPr>
                <w:rFonts w:asciiTheme="minorHAnsi" w:hAnsiTheme="minorHAnsi" w:cstheme="minorHAnsi"/>
              </w:rPr>
            </w:pPr>
            <w:r>
              <w:rPr>
                <w:rFonts w:asciiTheme="minorHAnsi" w:hAnsiTheme="minorHAnsi" w:cstheme="minorHAnsi"/>
              </w:rPr>
              <w:t>N/A</w:t>
            </w:r>
          </w:p>
        </w:tc>
        <w:tc>
          <w:tcPr>
            <w:tcW w:w="990" w:type="dxa"/>
            <w:tcBorders>
              <w:top w:val="double" w:color="auto" w:sz="4" w:space="0"/>
              <w:left w:val="single" w:color="auto" w:sz="4" w:space="0"/>
              <w:bottom w:val="single" w:color="auto" w:sz="4" w:space="0"/>
              <w:right w:val="single" w:color="auto" w:sz="4" w:space="0"/>
            </w:tcBorders>
            <w:shd w:val="clear" w:color="auto" w:fill="auto"/>
            <w:vAlign w:val="center"/>
          </w:tcPr>
          <w:p w:rsidRPr="00730611" w:rsidR="00845FD4" w:rsidP="00402450" w:rsidRDefault="00845FD4" w14:paraId="394AD019" w14:textId="77777777">
            <w:pPr>
              <w:pStyle w:val="Table"/>
              <w:rPr>
                <w:rFonts w:asciiTheme="minorHAnsi" w:hAnsiTheme="minorHAnsi" w:cstheme="minorHAnsi"/>
              </w:rPr>
            </w:pPr>
            <w:r w:rsidRPr="00730611">
              <w:rPr>
                <w:rFonts w:asciiTheme="minorHAnsi" w:hAnsiTheme="minorHAnsi" w:cstheme="minorHAnsi"/>
              </w:rPr>
              <w:t>2022</w:t>
            </w:r>
          </w:p>
        </w:tc>
        <w:tc>
          <w:tcPr>
            <w:tcW w:w="3627"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061E324A" w14:textId="1A021478">
            <w:pPr>
              <w:pStyle w:val="Table"/>
              <w:rPr>
                <w:rFonts w:asciiTheme="minorHAnsi" w:hAnsiTheme="minorHAnsi" w:cstheme="minorHAnsi"/>
              </w:rPr>
            </w:pPr>
            <w:r w:rsidRPr="00730611">
              <w:rPr>
                <w:rFonts w:asciiTheme="minorHAnsi" w:hAnsiTheme="minorHAnsi" w:cstheme="minorHAnsi"/>
              </w:rPr>
              <w:t xml:space="preserve">Codes and </w:t>
            </w:r>
            <w:r w:rsidRPr="00730611" w:rsidR="0005346A">
              <w:rPr>
                <w:rFonts w:asciiTheme="minorHAnsi" w:hAnsiTheme="minorHAnsi" w:cstheme="minorHAnsi"/>
              </w:rPr>
              <w:t>S</w:t>
            </w:r>
            <w:r w:rsidRPr="00730611">
              <w:rPr>
                <w:rFonts w:asciiTheme="minorHAnsi" w:hAnsiTheme="minorHAnsi" w:cstheme="minorHAnsi"/>
              </w:rPr>
              <w:t>tandards changes, California and Federal</w:t>
            </w: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F7C073D"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42E9E80"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B83918E"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173D47F"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43ABD2CB"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31C29A9A"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11B1CC28"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auto" w:sz="4" w:space="0"/>
            </w:tcBorders>
            <w:shd w:val="clear" w:color="auto" w:fill="auto"/>
            <w:noWrap/>
            <w:vAlign w:val="center"/>
          </w:tcPr>
          <w:p w:rsidRPr="00730611" w:rsidR="00845FD4" w:rsidP="00402450" w:rsidRDefault="00845FD4" w14:paraId="6CF1D593" w14:textId="4E4811E9">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000000" w:themeColor="text1" w:sz="4" w:space="0"/>
            </w:tcBorders>
            <w:shd w:val="clear" w:color="auto" w:fill="auto"/>
            <w:vAlign w:val="center"/>
          </w:tcPr>
          <w:p w:rsidRPr="00730611" w:rsidR="00845FD4" w:rsidP="00402450" w:rsidRDefault="00845FD4" w14:paraId="149B4757" w14:textId="77777777">
            <w:pPr>
              <w:pStyle w:val="Table"/>
              <w:jc w:val="center"/>
              <w:rPr>
                <w:rFonts w:asciiTheme="minorHAnsi" w:hAnsiTheme="minorHAnsi" w:cstheme="minorHAnsi"/>
              </w:rPr>
            </w:pPr>
          </w:p>
        </w:tc>
        <w:tc>
          <w:tcPr>
            <w:tcW w:w="360" w:type="dxa"/>
            <w:tcBorders>
              <w:top w:val="double" w:color="auto"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240C8D7A" w14:textId="77777777">
            <w:pPr>
              <w:pStyle w:val="Table"/>
              <w:jc w:val="center"/>
              <w:rPr>
                <w:rFonts w:asciiTheme="minorHAnsi" w:hAnsiTheme="minorHAnsi" w:cstheme="minorHAnsi"/>
              </w:rPr>
            </w:pPr>
          </w:p>
        </w:tc>
        <w:tc>
          <w:tcPr>
            <w:tcW w:w="360" w:type="dxa"/>
            <w:tcBorders>
              <w:top w:val="double" w:color="auto" w:sz="4" w:space="0"/>
              <w:left w:val="nil"/>
              <w:bottom w:val="single" w:color="auto" w:sz="4" w:space="0"/>
              <w:right w:val="single" w:color="000000" w:themeColor="text1" w:sz="4" w:space="0"/>
            </w:tcBorders>
            <w:shd w:val="clear" w:color="auto" w:fill="auto"/>
            <w:vAlign w:val="center"/>
          </w:tcPr>
          <w:p w:rsidRPr="00730611" w:rsidR="00845FD4" w:rsidP="00402450" w:rsidRDefault="00845FD4" w14:paraId="109C55FE" w14:textId="77777777">
            <w:pPr>
              <w:pStyle w:val="Table"/>
              <w:jc w:val="center"/>
              <w:rPr>
                <w:rFonts w:asciiTheme="minorHAnsi" w:hAnsiTheme="minorHAnsi" w:cstheme="minorHAnsi"/>
              </w:rPr>
            </w:pPr>
          </w:p>
        </w:tc>
        <w:tc>
          <w:tcPr>
            <w:tcW w:w="360" w:type="dxa"/>
            <w:tcBorders>
              <w:top w:val="double" w:color="auto" w:sz="4" w:space="0"/>
              <w:left w:val="single" w:color="000000" w:themeColor="text1" w:sz="4" w:space="0"/>
              <w:bottom w:val="single" w:color="auto" w:sz="4" w:space="0"/>
              <w:right w:val="single" w:color="auto" w:sz="4" w:space="0"/>
            </w:tcBorders>
            <w:shd w:val="clear" w:color="auto" w:fill="auto"/>
            <w:vAlign w:val="center"/>
          </w:tcPr>
          <w:p w:rsidRPr="00730611" w:rsidR="00845FD4" w:rsidP="00402450" w:rsidRDefault="00845FD4" w14:paraId="589BAE7D" w14:textId="77777777">
            <w:pPr>
              <w:pStyle w:val="Table"/>
              <w:jc w:val="center"/>
              <w:rPr>
                <w:rFonts w:asciiTheme="minorHAnsi" w:hAnsiTheme="minorHAnsi" w:cstheme="minorHAnsi"/>
              </w:rPr>
            </w:pPr>
          </w:p>
        </w:tc>
      </w:tr>
      <w:tr w:rsidRPr="00730611" w:rsidR="00845FD4" w:rsidTr="00AE3CF1" w14:paraId="480F51FF" w14:textId="77777777">
        <w:trPr>
          <w:trHeight w:val="288"/>
        </w:trPr>
        <w:tc>
          <w:tcPr>
            <w:tcW w:w="585" w:type="dxa"/>
            <w:tcBorders>
              <w:top w:val="double" w:color="auto" w:sz="4" w:space="0"/>
              <w:left w:val="single" w:color="auto" w:sz="4" w:space="0"/>
              <w:bottom w:val="double" w:color="auto" w:sz="4" w:space="0"/>
            </w:tcBorders>
            <w:vAlign w:val="center"/>
          </w:tcPr>
          <w:p w:rsidRPr="00730611" w:rsidR="00845FD4" w:rsidP="00402450" w:rsidRDefault="00845FD4" w14:paraId="7BAC6D68" w14:textId="77777777">
            <w:pPr>
              <w:pStyle w:val="Table"/>
              <w:rPr>
                <w:rFonts w:asciiTheme="minorHAnsi" w:hAnsiTheme="minorHAnsi" w:cstheme="minorHAnsi"/>
                <w:b/>
              </w:rPr>
            </w:pPr>
          </w:p>
        </w:tc>
        <w:tc>
          <w:tcPr>
            <w:tcW w:w="585" w:type="dxa"/>
            <w:tcBorders>
              <w:top w:val="double" w:color="auto" w:sz="4" w:space="0"/>
              <w:bottom w:val="double" w:color="auto" w:sz="4" w:space="0"/>
            </w:tcBorders>
            <w:vAlign w:val="center"/>
          </w:tcPr>
          <w:p w:rsidRPr="00730611" w:rsidR="00845FD4" w:rsidP="00402450" w:rsidRDefault="00845FD4" w14:paraId="20EE2DB6" w14:textId="77777777">
            <w:pPr>
              <w:pStyle w:val="Table"/>
              <w:rPr>
                <w:rFonts w:asciiTheme="minorHAnsi" w:hAnsiTheme="minorHAnsi" w:cstheme="minorHAnsi"/>
                <w:b/>
              </w:rPr>
            </w:pPr>
          </w:p>
        </w:tc>
        <w:tc>
          <w:tcPr>
            <w:tcW w:w="990" w:type="dxa"/>
            <w:tcBorders>
              <w:top w:val="double" w:color="auto" w:sz="4" w:space="0"/>
              <w:bottom w:val="double" w:color="auto" w:sz="4" w:space="0"/>
            </w:tcBorders>
            <w:vAlign w:val="center"/>
          </w:tcPr>
          <w:p w:rsidRPr="00730611" w:rsidR="00845FD4" w:rsidP="00402450" w:rsidRDefault="00845FD4" w14:paraId="6C5C6D91" w14:textId="77777777">
            <w:pPr>
              <w:pStyle w:val="Table"/>
              <w:rPr>
                <w:rFonts w:asciiTheme="minorHAnsi" w:hAnsiTheme="minorHAnsi" w:cstheme="minorHAnsi"/>
                <w:b/>
              </w:rPr>
            </w:pPr>
          </w:p>
        </w:tc>
        <w:tc>
          <w:tcPr>
            <w:tcW w:w="3627" w:type="dxa"/>
            <w:tcBorders>
              <w:top w:val="double" w:color="auto" w:sz="4" w:space="0"/>
              <w:bottom w:val="double" w:color="auto" w:sz="4" w:space="0"/>
            </w:tcBorders>
            <w:shd w:val="clear" w:color="auto" w:fill="auto"/>
            <w:noWrap/>
            <w:vAlign w:val="center"/>
          </w:tcPr>
          <w:p w:rsidRPr="00730611" w:rsidR="00845FD4" w:rsidP="00402450" w:rsidRDefault="00845FD4" w14:paraId="30E43456" w14:textId="77777777">
            <w:pPr>
              <w:pStyle w:val="Table"/>
              <w:rPr>
                <w:rFonts w:asciiTheme="minorHAnsi" w:hAnsiTheme="minorHAnsi" w:cstheme="minorHAnsi"/>
                <w:b/>
                <w:color w:val="000000"/>
              </w:rPr>
            </w:pPr>
            <w:r w:rsidRPr="00730611">
              <w:rPr>
                <w:rFonts w:asciiTheme="minorHAnsi" w:hAnsiTheme="minorHAnsi" w:cstheme="minorHAnsi"/>
                <w:b/>
              </w:rPr>
              <w:t>Review of market and research studies</w:t>
            </w: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3DB88702"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6B20214E"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4AAA9569"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0D32C287"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6F5D5F4D"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6C1DF7E5"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54BBEDD2"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489F8534"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2AC5F5A8"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076DF8BD"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20EC21CF" w14:textId="77777777">
            <w:pPr>
              <w:pStyle w:val="Table"/>
              <w:jc w:val="center"/>
              <w:rPr>
                <w:rFonts w:asciiTheme="minorHAnsi" w:hAnsiTheme="minorHAnsi" w:cstheme="minorHAnsi"/>
                <w:b/>
              </w:rPr>
            </w:pPr>
          </w:p>
        </w:tc>
        <w:tc>
          <w:tcPr>
            <w:tcW w:w="360" w:type="dxa"/>
            <w:tcBorders>
              <w:top w:val="double" w:color="auto" w:sz="4" w:space="0"/>
              <w:bottom w:val="double" w:color="auto" w:sz="4" w:space="0"/>
              <w:right w:val="single" w:color="auto" w:sz="4" w:space="0"/>
            </w:tcBorders>
            <w:vAlign w:val="center"/>
          </w:tcPr>
          <w:p w:rsidRPr="00730611" w:rsidR="00845FD4" w:rsidP="00402450" w:rsidRDefault="00845FD4" w14:paraId="1DD9D00D" w14:textId="77777777">
            <w:pPr>
              <w:pStyle w:val="Table"/>
              <w:jc w:val="center"/>
              <w:rPr>
                <w:rFonts w:asciiTheme="minorHAnsi" w:hAnsiTheme="minorHAnsi" w:cstheme="minorHAnsi"/>
                <w:b/>
              </w:rPr>
            </w:pPr>
          </w:p>
        </w:tc>
      </w:tr>
      <w:tr w:rsidRPr="00730611" w:rsidR="00845FD4" w:rsidTr="00AE3CF1" w14:paraId="49BB0812" w14:textId="77777777">
        <w:trPr>
          <w:trHeight w:val="288"/>
        </w:trPr>
        <w:tc>
          <w:tcPr>
            <w:tcW w:w="585" w:type="dxa"/>
            <w:tcBorders>
              <w:top w:val="single" w:color="000000" w:sz="4" w:space="0"/>
              <w:left w:val="single" w:color="auto" w:sz="4" w:space="0"/>
              <w:bottom w:val="double" w:color="auto" w:sz="4" w:space="0"/>
              <w:right w:val="single" w:color="auto" w:sz="4" w:space="0"/>
            </w:tcBorders>
            <w:shd w:val="clear" w:color="auto" w:fill="auto"/>
            <w:vAlign w:val="center"/>
          </w:tcPr>
          <w:p w:rsidRPr="00730611" w:rsidR="00845FD4" w:rsidP="00402450" w:rsidRDefault="00845FD4" w14:paraId="0EC98439"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000000" w:sz="4" w:space="0"/>
              <w:left w:val="single" w:color="auto" w:sz="4" w:space="0"/>
              <w:bottom w:val="double" w:color="auto" w:sz="4" w:space="0"/>
              <w:right w:val="single" w:color="auto" w:sz="4" w:space="0"/>
            </w:tcBorders>
            <w:shd w:val="clear" w:color="auto" w:fill="auto"/>
            <w:vAlign w:val="center"/>
          </w:tcPr>
          <w:p w:rsidRPr="00730611" w:rsidR="00845FD4" w:rsidP="00402450" w:rsidRDefault="00845FD4" w14:paraId="63E2375A"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000000" w:sz="4" w:space="0"/>
              <w:left w:val="single" w:color="auto" w:sz="4" w:space="0"/>
              <w:right w:val="single" w:color="auto" w:sz="4" w:space="0"/>
            </w:tcBorders>
            <w:shd w:val="clear" w:color="auto" w:fill="auto"/>
            <w:vAlign w:val="center"/>
          </w:tcPr>
          <w:p w:rsidRPr="00730611" w:rsidR="00845FD4" w:rsidP="00402450" w:rsidRDefault="00845FD4" w14:paraId="78725DD2" w14:textId="77777777">
            <w:pPr>
              <w:pStyle w:val="Table"/>
              <w:rPr>
                <w:rFonts w:asciiTheme="minorHAnsi" w:hAnsiTheme="minorHAnsi" w:cstheme="minorHAnsi"/>
              </w:rPr>
            </w:pPr>
            <w:r w:rsidRPr="00730611">
              <w:rPr>
                <w:rFonts w:asciiTheme="minorHAnsi" w:hAnsiTheme="minorHAnsi" w:cstheme="minorHAnsi"/>
              </w:rPr>
              <w:t>2022</w:t>
            </w:r>
          </w:p>
        </w:tc>
        <w:tc>
          <w:tcPr>
            <w:tcW w:w="3627"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5686313B" w14:textId="77777777">
            <w:pPr>
              <w:pStyle w:val="Table"/>
              <w:rPr>
                <w:rFonts w:asciiTheme="minorHAnsi" w:hAnsiTheme="minorHAnsi" w:cstheme="minorHAnsi"/>
              </w:rPr>
            </w:pPr>
            <w:r w:rsidRPr="00730611">
              <w:rPr>
                <w:rFonts w:asciiTheme="minorHAnsi" w:hAnsiTheme="minorHAnsi" w:cstheme="minorHAnsi"/>
              </w:rPr>
              <w:t>Review completed IOU studies</w:t>
            </w: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751B8CA8"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3CEFFC46"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5DADCAFE"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6F5149A3"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1C82EA7A"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656A1253"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314DE959"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14FDC417"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auto" w:sz="4" w:space="0"/>
              <w:right w:val="single" w:color="000000" w:themeColor="text1" w:sz="4" w:space="0"/>
            </w:tcBorders>
            <w:shd w:val="clear" w:color="auto" w:fill="auto"/>
            <w:vAlign w:val="center"/>
          </w:tcPr>
          <w:p w:rsidRPr="00730611" w:rsidR="00845FD4" w:rsidP="00402450" w:rsidRDefault="00845FD4" w14:paraId="66586824"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68A01959"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auto" w:sz="4" w:space="0"/>
              <w:right w:val="single" w:color="000000" w:themeColor="text1" w:sz="4" w:space="0"/>
            </w:tcBorders>
            <w:shd w:val="clear" w:color="auto" w:fill="auto"/>
            <w:vAlign w:val="center"/>
          </w:tcPr>
          <w:p w:rsidRPr="00730611" w:rsidR="00845FD4" w:rsidP="00402450" w:rsidRDefault="00845FD4" w14:paraId="60F9573A" w14:textId="77777777">
            <w:pPr>
              <w:pStyle w:val="Table"/>
              <w:jc w:val="center"/>
              <w:rPr>
                <w:rFonts w:asciiTheme="minorHAnsi" w:hAnsiTheme="minorHAnsi" w:cstheme="minorHAnsi"/>
              </w:rPr>
            </w:pPr>
          </w:p>
        </w:tc>
        <w:tc>
          <w:tcPr>
            <w:tcW w:w="360" w:type="dxa"/>
            <w:tcBorders>
              <w:top w:val="single" w:color="000000" w:sz="4" w:space="0"/>
              <w:left w:val="single" w:color="000000" w:themeColor="text1" w:sz="4" w:space="0"/>
              <w:bottom w:val="single" w:color="auto" w:sz="4" w:space="0"/>
              <w:right w:val="single" w:color="auto" w:sz="4" w:space="0"/>
            </w:tcBorders>
            <w:shd w:val="clear" w:color="auto" w:fill="auto"/>
            <w:vAlign w:val="center"/>
          </w:tcPr>
          <w:p w:rsidRPr="00730611" w:rsidR="00845FD4" w:rsidP="00402450" w:rsidRDefault="00845FD4" w14:paraId="58943B7D" w14:textId="77777777">
            <w:pPr>
              <w:pStyle w:val="Table"/>
              <w:jc w:val="center"/>
              <w:rPr>
                <w:rFonts w:asciiTheme="minorHAnsi" w:hAnsiTheme="minorHAnsi" w:cstheme="minorHAnsi"/>
              </w:rPr>
            </w:pPr>
          </w:p>
        </w:tc>
      </w:tr>
      <w:tr w:rsidRPr="00730611" w:rsidR="00845FD4" w:rsidTr="00AE3CF1" w14:paraId="7237BB3A" w14:textId="77777777">
        <w:trPr>
          <w:trHeight w:val="288"/>
        </w:trPr>
        <w:tc>
          <w:tcPr>
            <w:tcW w:w="585" w:type="dxa"/>
            <w:tcBorders>
              <w:top w:val="double" w:color="auto" w:sz="4" w:space="0"/>
              <w:left w:val="single" w:color="auto" w:sz="4" w:space="0"/>
              <w:bottom w:val="double" w:color="auto" w:sz="4" w:space="0"/>
            </w:tcBorders>
            <w:vAlign w:val="center"/>
          </w:tcPr>
          <w:p w:rsidRPr="00730611" w:rsidR="00845FD4" w:rsidP="00402450" w:rsidRDefault="00845FD4" w14:paraId="27317654" w14:textId="77777777">
            <w:pPr>
              <w:pStyle w:val="Table"/>
              <w:rPr>
                <w:rFonts w:asciiTheme="minorHAnsi" w:hAnsiTheme="minorHAnsi" w:cstheme="minorHAnsi"/>
                <w:b/>
              </w:rPr>
            </w:pPr>
          </w:p>
        </w:tc>
        <w:tc>
          <w:tcPr>
            <w:tcW w:w="585" w:type="dxa"/>
            <w:tcBorders>
              <w:top w:val="double" w:color="auto" w:sz="4" w:space="0"/>
              <w:bottom w:val="double" w:color="auto" w:sz="4" w:space="0"/>
            </w:tcBorders>
            <w:vAlign w:val="center"/>
          </w:tcPr>
          <w:p w:rsidRPr="00730611" w:rsidR="00845FD4" w:rsidP="00402450" w:rsidRDefault="00845FD4" w14:paraId="2F953B8D" w14:textId="77777777">
            <w:pPr>
              <w:pStyle w:val="Table"/>
              <w:rPr>
                <w:rFonts w:asciiTheme="minorHAnsi" w:hAnsiTheme="minorHAnsi" w:cstheme="minorHAnsi"/>
                <w:b/>
              </w:rPr>
            </w:pPr>
          </w:p>
        </w:tc>
        <w:tc>
          <w:tcPr>
            <w:tcW w:w="990" w:type="dxa"/>
            <w:tcBorders>
              <w:top w:val="double" w:color="auto" w:sz="4" w:space="0"/>
              <w:bottom w:val="double" w:color="auto" w:sz="4" w:space="0"/>
            </w:tcBorders>
            <w:vAlign w:val="center"/>
          </w:tcPr>
          <w:p w:rsidRPr="00730611" w:rsidR="00845FD4" w:rsidP="00402450" w:rsidRDefault="00845FD4" w14:paraId="0B1A4B32" w14:textId="77777777">
            <w:pPr>
              <w:pStyle w:val="Table"/>
              <w:rPr>
                <w:rFonts w:asciiTheme="minorHAnsi" w:hAnsiTheme="minorHAnsi" w:cstheme="minorHAnsi"/>
                <w:b/>
              </w:rPr>
            </w:pPr>
          </w:p>
        </w:tc>
        <w:tc>
          <w:tcPr>
            <w:tcW w:w="3627" w:type="dxa"/>
            <w:tcBorders>
              <w:top w:val="double" w:color="auto" w:sz="4" w:space="0"/>
              <w:bottom w:val="double" w:color="auto" w:sz="4" w:space="0"/>
            </w:tcBorders>
            <w:shd w:val="clear" w:color="auto" w:fill="auto"/>
            <w:noWrap/>
            <w:vAlign w:val="center"/>
          </w:tcPr>
          <w:p w:rsidRPr="00730611" w:rsidR="00845FD4" w:rsidP="00402450" w:rsidRDefault="00845FD4" w14:paraId="0AC36EC5" w14:textId="77777777">
            <w:pPr>
              <w:pStyle w:val="Table"/>
              <w:rPr>
                <w:rFonts w:asciiTheme="minorHAnsi" w:hAnsiTheme="minorHAnsi" w:cstheme="minorHAnsi"/>
                <w:b/>
                <w:color w:val="000000"/>
              </w:rPr>
            </w:pPr>
            <w:r w:rsidRPr="00730611">
              <w:rPr>
                <w:rFonts w:asciiTheme="minorHAnsi" w:hAnsiTheme="minorHAnsi" w:cstheme="minorHAnsi"/>
                <w:b/>
              </w:rPr>
              <w:t>New measure additions</w:t>
            </w: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067D387D"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0CECBA60"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70B6B9BB"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2D00385D"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7C7F2451"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34A14424"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29BFF7B7"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448EEAC4"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39D13F64"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shd w:val="clear" w:color="auto" w:fill="auto"/>
            <w:noWrap/>
            <w:vAlign w:val="center"/>
          </w:tcPr>
          <w:p w:rsidRPr="00730611" w:rsidR="00845FD4" w:rsidP="00402450" w:rsidRDefault="00845FD4" w14:paraId="2B799F2B" w14:textId="77777777">
            <w:pPr>
              <w:pStyle w:val="Table"/>
              <w:jc w:val="center"/>
              <w:rPr>
                <w:rFonts w:asciiTheme="minorHAnsi" w:hAnsiTheme="minorHAnsi" w:cstheme="minorHAnsi"/>
                <w:b/>
              </w:rPr>
            </w:pPr>
          </w:p>
        </w:tc>
        <w:tc>
          <w:tcPr>
            <w:tcW w:w="360" w:type="dxa"/>
            <w:tcBorders>
              <w:top w:val="double" w:color="auto" w:sz="4" w:space="0"/>
              <w:bottom w:val="double" w:color="auto" w:sz="4" w:space="0"/>
            </w:tcBorders>
            <w:vAlign w:val="center"/>
          </w:tcPr>
          <w:p w:rsidRPr="00730611" w:rsidR="00845FD4" w:rsidP="00402450" w:rsidRDefault="00845FD4" w14:paraId="73DC052B" w14:textId="77777777">
            <w:pPr>
              <w:pStyle w:val="Table"/>
              <w:jc w:val="center"/>
              <w:rPr>
                <w:rFonts w:asciiTheme="minorHAnsi" w:hAnsiTheme="minorHAnsi" w:cstheme="minorHAnsi"/>
                <w:b/>
              </w:rPr>
            </w:pPr>
          </w:p>
        </w:tc>
        <w:tc>
          <w:tcPr>
            <w:tcW w:w="360" w:type="dxa"/>
            <w:tcBorders>
              <w:top w:val="double" w:color="auto" w:sz="4" w:space="0"/>
              <w:bottom w:val="double" w:color="auto" w:sz="4" w:space="0"/>
              <w:right w:val="single" w:color="auto" w:sz="4" w:space="0"/>
            </w:tcBorders>
            <w:vAlign w:val="center"/>
          </w:tcPr>
          <w:p w:rsidRPr="00730611" w:rsidR="00845FD4" w:rsidP="00402450" w:rsidRDefault="00845FD4" w14:paraId="5ABF2693" w14:textId="77777777">
            <w:pPr>
              <w:pStyle w:val="Table"/>
              <w:jc w:val="center"/>
              <w:rPr>
                <w:rFonts w:asciiTheme="minorHAnsi" w:hAnsiTheme="minorHAnsi" w:cstheme="minorHAnsi"/>
                <w:b/>
              </w:rPr>
            </w:pPr>
          </w:p>
        </w:tc>
      </w:tr>
      <w:tr w:rsidRPr="00730611" w:rsidR="00845FD4" w:rsidTr="00AE3CF1" w14:paraId="3639EC76" w14:textId="77777777">
        <w:trPr>
          <w:trHeight w:val="288"/>
        </w:trPr>
        <w:tc>
          <w:tcPr>
            <w:tcW w:w="585" w:type="dxa"/>
            <w:tcBorders>
              <w:top w:val="double" w:color="auto" w:sz="4" w:space="0"/>
              <w:left w:val="single" w:color="auto" w:sz="4" w:space="0"/>
              <w:bottom w:val="single" w:color="000000" w:sz="4" w:space="0"/>
              <w:right w:val="single" w:color="auto" w:sz="4" w:space="0"/>
            </w:tcBorders>
            <w:shd w:val="clear" w:color="auto" w:fill="auto"/>
            <w:vAlign w:val="center"/>
          </w:tcPr>
          <w:p w:rsidRPr="00730611" w:rsidR="00845FD4" w:rsidP="00402450" w:rsidRDefault="00845FD4" w14:paraId="5F169A80"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double" w:color="auto" w:sz="4" w:space="0"/>
              <w:left w:val="single" w:color="auto" w:sz="4" w:space="0"/>
              <w:bottom w:val="single" w:color="000000" w:sz="4" w:space="0"/>
              <w:right w:val="single" w:color="auto" w:sz="4" w:space="0"/>
            </w:tcBorders>
            <w:shd w:val="clear" w:color="auto" w:fill="auto"/>
            <w:vAlign w:val="center"/>
          </w:tcPr>
          <w:p w:rsidRPr="00730611" w:rsidR="00845FD4" w:rsidP="00402450" w:rsidRDefault="00845FD4" w14:paraId="01321937"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double" w:color="auto" w:sz="4" w:space="0"/>
              <w:left w:val="single" w:color="auto" w:sz="4" w:space="0"/>
              <w:bottom w:val="single" w:color="000000" w:sz="4" w:space="0"/>
              <w:right w:val="single" w:color="auto" w:sz="4" w:space="0"/>
            </w:tcBorders>
            <w:shd w:val="clear" w:color="auto" w:fill="auto"/>
            <w:vAlign w:val="center"/>
          </w:tcPr>
          <w:p w:rsidRPr="00730611" w:rsidR="00845FD4" w:rsidP="00402450" w:rsidRDefault="00845FD4" w14:paraId="79FDF7FE" w14:textId="77777777">
            <w:pPr>
              <w:pStyle w:val="Table"/>
              <w:rPr>
                <w:rFonts w:asciiTheme="minorHAnsi" w:hAnsiTheme="minorHAnsi" w:cstheme="minorHAnsi"/>
              </w:rPr>
            </w:pPr>
            <w:r w:rsidRPr="00730611">
              <w:rPr>
                <w:rFonts w:asciiTheme="minorHAnsi" w:hAnsiTheme="minorHAnsi" w:cstheme="minorHAnsi"/>
              </w:rPr>
              <w:t>2020</w:t>
            </w:r>
          </w:p>
        </w:tc>
        <w:tc>
          <w:tcPr>
            <w:tcW w:w="3627" w:type="dxa"/>
            <w:tcBorders>
              <w:top w:val="double" w:color="auto" w:sz="4" w:space="0"/>
              <w:left w:val="nil"/>
              <w:bottom w:val="single" w:color="000000" w:sz="4" w:space="0"/>
              <w:right w:val="single" w:color="auto" w:sz="4" w:space="0"/>
            </w:tcBorders>
            <w:shd w:val="clear" w:color="auto" w:fill="auto"/>
            <w:noWrap/>
            <w:vAlign w:val="center"/>
          </w:tcPr>
          <w:p w:rsidRPr="00730611" w:rsidR="00845FD4" w:rsidP="00402450" w:rsidRDefault="00845FD4" w14:paraId="1F1FC124" w14:textId="77777777">
            <w:pPr>
              <w:pStyle w:val="Table"/>
              <w:rPr>
                <w:rFonts w:asciiTheme="minorHAnsi" w:hAnsiTheme="minorHAnsi" w:cstheme="minorHAnsi"/>
              </w:rPr>
            </w:pPr>
            <w:r w:rsidRPr="00730611">
              <w:rPr>
                <w:rFonts w:asciiTheme="minorHAnsi" w:hAnsiTheme="minorHAnsi" w:cstheme="minorHAnsi"/>
              </w:rPr>
              <w:t>Fuel-substitution measure framework/adjustments</w:t>
            </w:r>
          </w:p>
        </w:tc>
        <w:tc>
          <w:tcPr>
            <w:tcW w:w="360" w:type="dxa"/>
            <w:tcBorders>
              <w:top w:val="double" w:color="auto" w:sz="4" w:space="0"/>
              <w:left w:val="nil"/>
              <w:bottom w:val="single" w:color="000000" w:sz="4" w:space="0"/>
              <w:right w:val="single" w:color="auto" w:sz="4" w:space="0"/>
            </w:tcBorders>
            <w:shd w:val="clear" w:color="auto" w:fill="auto"/>
            <w:noWrap/>
            <w:vAlign w:val="center"/>
          </w:tcPr>
          <w:p w:rsidRPr="00730611" w:rsidR="00845FD4" w:rsidP="00402450" w:rsidRDefault="00845FD4" w14:paraId="20413675"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double" w:color="auto" w:sz="4" w:space="0"/>
              <w:left w:val="nil"/>
              <w:bottom w:val="single" w:color="000000" w:sz="4" w:space="0"/>
              <w:right w:val="single" w:color="auto" w:sz="4" w:space="0"/>
            </w:tcBorders>
            <w:shd w:val="clear" w:color="auto" w:fill="auto"/>
            <w:noWrap/>
            <w:vAlign w:val="center"/>
          </w:tcPr>
          <w:p w:rsidRPr="00730611" w:rsidR="00845FD4" w:rsidP="00402450" w:rsidRDefault="00845FD4" w14:paraId="00D2D8B6"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double" w:color="auto" w:sz="4" w:space="0"/>
              <w:left w:val="nil"/>
              <w:bottom w:val="single" w:color="000000" w:sz="4" w:space="0"/>
              <w:right w:val="single" w:color="auto" w:sz="4" w:space="0"/>
            </w:tcBorders>
            <w:shd w:val="clear" w:color="auto" w:fill="auto"/>
            <w:noWrap/>
            <w:vAlign w:val="center"/>
          </w:tcPr>
          <w:p w:rsidRPr="00730611" w:rsidR="00845FD4" w:rsidP="00402450" w:rsidRDefault="00845FD4" w14:paraId="33D0660E" w14:textId="77777777">
            <w:pPr>
              <w:pStyle w:val="Table"/>
              <w:jc w:val="center"/>
              <w:rPr>
                <w:rFonts w:asciiTheme="minorHAnsi" w:hAnsiTheme="minorHAnsi" w:cstheme="minorHAnsi"/>
              </w:rPr>
            </w:pPr>
          </w:p>
        </w:tc>
        <w:tc>
          <w:tcPr>
            <w:tcW w:w="360" w:type="dxa"/>
            <w:tcBorders>
              <w:top w:val="double" w:color="auto" w:sz="4" w:space="0"/>
              <w:left w:val="nil"/>
              <w:bottom w:val="single" w:color="000000" w:sz="4" w:space="0"/>
              <w:right w:val="single" w:color="auto" w:sz="4" w:space="0"/>
            </w:tcBorders>
            <w:shd w:val="clear" w:color="auto" w:fill="auto"/>
            <w:noWrap/>
            <w:vAlign w:val="center"/>
          </w:tcPr>
          <w:p w:rsidRPr="00730611" w:rsidR="00845FD4" w:rsidP="00402450" w:rsidRDefault="00845FD4" w14:paraId="5CE7F9CE"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double" w:color="auto" w:sz="4" w:space="0"/>
              <w:left w:val="nil"/>
              <w:bottom w:val="single" w:color="000000" w:sz="4" w:space="0"/>
              <w:right w:val="single" w:color="auto" w:sz="4" w:space="0"/>
            </w:tcBorders>
            <w:shd w:val="clear" w:color="auto" w:fill="auto"/>
            <w:noWrap/>
            <w:vAlign w:val="center"/>
          </w:tcPr>
          <w:p w:rsidRPr="00730611" w:rsidR="00845FD4" w:rsidP="00402450" w:rsidRDefault="00845FD4" w14:paraId="4A674D8E"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double" w:color="auto" w:sz="4" w:space="0"/>
              <w:left w:val="nil"/>
              <w:bottom w:val="single" w:color="000000" w:sz="4" w:space="0"/>
              <w:right w:val="single" w:color="auto" w:sz="4" w:space="0"/>
            </w:tcBorders>
            <w:shd w:val="clear" w:color="auto" w:fill="auto"/>
            <w:noWrap/>
            <w:vAlign w:val="center"/>
          </w:tcPr>
          <w:p w:rsidRPr="00730611" w:rsidR="00845FD4" w:rsidP="00402450" w:rsidRDefault="00845FD4" w14:paraId="78173087" w14:textId="77777777">
            <w:pPr>
              <w:pStyle w:val="Table"/>
              <w:jc w:val="center"/>
              <w:rPr>
                <w:rFonts w:asciiTheme="minorHAnsi" w:hAnsiTheme="minorHAnsi" w:cstheme="minorHAnsi"/>
              </w:rPr>
            </w:pPr>
          </w:p>
        </w:tc>
        <w:tc>
          <w:tcPr>
            <w:tcW w:w="360" w:type="dxa"/>
            <w:tcBorders>
              <w:top w:val="double" w:color="auto" w:sz="4" w:space="0"/>
              <w:left w:val="nil"/>
              <w:bottom w:val="single" w:color="000000" w:sz="4" w:space="0"/>
              <w:right w:val="single" w:color="auto" w:sz="4" w:space="0"/>
            </w:tcBorders>
            <w:shd w:val="clear" w:color="auto" w:fill="auto"/>
            <w:noWrap/>
            <w:vAlign w:val="center"/>
          </w:tcPr>
          <w:p w:rsidRPr="00730611" w:rsidR="00845FD4" w:rsidP="00402450" w:rsidRDefault="00845FD4" w14:paraId="2CAD931F" w14:textId="77777777">
            <w:pPr>
              <w:pStyle w:val="Table"/>
              <w:jc w:val="center"/>
              <w:rPr>
                <w:rFonts w:asciiTheme="minorHAnsi" w:hAnsiTheme="minorHAnsi" w:cstheme="minorHAnsi"/>
              </w:rPr>
            </w:pPr>
          </w:p>
        </w:tc>
        <w:tc>
          <w:tcPr>
            <w:tcW w:w="360" w:type="dxa"/>
            <w:tcBorders>
              <w:top w:val="double" w:color="auto" w:sz="4" w:space="0"/>
              <w:left w:val="nil"/>
              <w:bottom w:val="single" w:color="000000" w:sz="4" w:space="0"/>
              <w:right w:val="single" w:color="auto" w:sz="4" w:space="0"/>
            </w:tcBorders>
            <w:shd w:val="clear" w:color="auto" w:fill="auto"/>
            <w:noWrap/>
            <w:vAlign w:val="center"/>
          </w:tcPr>
          <w:p w:rsidRPr="00730611" w:rsidR="00845FD4" w:rsidP="00402450" w:rsidRDefault="00845FD4" w14:paraId="19F1CB47"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double" w:color="auto" w:sz="4" w:space="0"/>
              <w:left w:val="nil"/>
              <w:bottom w:val="single" w:color="000000" w:sz="4" w:space="0"/>
              <w:right w:val="single" w:color="000000" w:themeColor="text1" w:sz="4" w:space="0"/>
            </w:tcBorders>
            <w:shd w:val="clear" w:color="auto" w:fill="auto"/>
            <w:vAlign w:val="center"/>
          </w:tcPr>
          <w:p w:rsidRPr="00730611" w:rsidR="00845FD4" w:rsidP="00402450" w:rsidRDefault="00845FD4" w14:paraId="6C10336A"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double" w:color="auto" w:sz="4" w:space="0"/>
              <w:left w:val="single" w:color="000000" w:themeColor="text1" w:sz="4" w:space="0"/>
              <w:bottom w:val="single" w:color="000000" w:sz="4" w:space="0"/>
              <w:right w:val="single" w:color="auto" w:sz="4" w:space="0"/>
            </w:tcBorders>
            <w:shd w:val="clear" w:color="auto" w:fill="auto"/>
            <w:noWrap/>
            <w:vAlign w:val="center"/>
          </w:tcPr>
          <w:p w:rsidRPr="00730611" w:rsidR="00845FD4" w:rsidP="00402450" w:rsidRDefault="00845FD4" w14:paraId="4491546E"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double" w:color="auto" w:sz="4" w:space="0"/>
              <w:left w:val="nil"/>
              <w:bottom w:val="single" w:color="000000" w:sz="4" w:space="0"/>
              <w:right w:val="single" w:color="000000" w:themeColor="text1" w:sz="4" w:space="0"/>
            </w:tcBorders>
            <w:shd w:val="clear" w:color="auto" w:fill="auto"/>
            <w:vAlign w:val="center"/>
          </w:tcPr>
          <w:p w:rsidRPr="00730611" w:rsidR="00845FD4" w:rsidP="00402450" w:rsidRDefault="00845FD4" w14:paraId="1660E198" w14:textId="77777777">
            <w:pPr>
              <w:pStyle w:val="Table"/>
              <w:jc w:val="center"/>
              <w:rPr>
                <w:rFonts w:asciiTheme="minorHAnsi" w:hAnsiTheme="minorHAnsi" w:cstheme="minorHAnsi"/>
              </w:rPr>
            </w:pPr>
          </w:p>
        </w:tc>
        <w:tc>
          <w:tcPr>
            <w:tcW w:w="360" w:type="dxa"/>
            <w:tcBorders>
              <w:top w:val="double" w:color="auto" w:sz="4" w:space="0"/>
              <w:left w:val="single" w:color="000000" w:themeColor="text1" w:sz="4" w:space="0"/>
              <w:bottom w:val="single" w:color="000000" w:sz="4" w:space="0"/>
              <w:right w:val="single" w:color="auto" w:sz="4" w:space="0"/>
            </w:tcBorders>
            <w:shd w:val="clear" w:color="auto" w:fill="auto"/>
            <w:vAlign w:val="center"/>
          </w:tcPr>
          <w:p w:rsidRPr="00730611" w:rsidR="00845FD4" w:rsidP="00402450" w:rsidRDefault="00845FD4" w14:paraId="1DBB51B2" w14:textId="77777777">
            <w:pPr>
              <w:pStyle w:val="Table"/>
              <w:jc w:val="center"/>
              <w:rPr>
                <w:rFonts w:asciiTheme="minorHAnsi" w:hAnsiTheme="minorHAnsi" w:cstheme="minorHAnsi"/>
              </w:rPr>
            </w:pPr>
            <w:r w:rsidRPr="00730611">
              <w:rPr>
                <w:rFonts w:asciiTheme="minorHAnsi" w:hAnsiTheme="minorHAnsi" w:cstheme="minorHAnsi"/>
              </w:rPr>
              <w:t>X</w:t>
            </w:r>
          </w:p>
        </w:tc>
      </w:tr>
      <w:tr w:rsidRPr="00730611" w:rsidR="00845FD4" w:rsidTr="00AE3CF1" w14:paraId="6FCA642F" w14:textId="77777777">
        <w:trPr>
          <w:trHeight w:val="288"/>
        </w:trPr>
        <w:tc>
          <w:tcPr>
            <w:tcW w:w="585" w:type="dxa"/>
            <w:tcBorders>
              <w:top w:val="single" w:color="000000" w:sz="4" w:space="0"/>
              <w:left w:val="single" w:color="000000" w:sz="4" w:space="0"/>
              <w:bottom w:val="single" w:color="000000" w:sz="4" w:space="0"/>
              <w:right w:val="single" w:color="auto" w:sz="4" w:space="0"/>
            </w:tcBorders>
            <w:vAlign w:val="center"/>
          </w:tcPr>
          <w:p w:rsidRPr="00730611" w:rsidR="00845FD4" w:rsidP="00402450" w:rsidRDefault="00845FD4" w14:paraId="673139B1"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000000" w:sz="4" w:space="0"/>
              <w:left w:val="single" w:color="auto" w:sz="4" w:space="0"/>
              <w:bottom w:val="single" w:color="000000" w:sz="4" w:space="0"/>
              <w:right w:val="single" w:color="auto" w:sz="4" w:space="0"/>
            </w:tcBorders>
            <w:vAlign w:val="center"/>
          </w:tcPr>
          <w:p w:rsidRPr="00730611" w:rsidR="00845FD4" w:rsidP="00402450" w:rsidRDefault="00845FD4" w14:paraId="667F186F"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000000" w:sz="4" w:space="0"/>
              <w:left w:val="single" w:color="auto" w:sz="4" w:space="0"/>
              <w:bottom w:val="single" w:color="000000" w:sz="4" w:space="0"/>
              <w:right w:val="single" w:color="auto" w:sz="4" w:space="0"/>
            </w:tcBorders>
            <w:vAlign w:val="center"/>
          </w:tcPr>
          <w:p w:rsidRPr="00730611" w:rsidR="00845FD4" w:rsidP="00402450" w:rsidRDefault="00845FD4" w14:paraId="34D95210" w14:textId="77777777">
            <w:pPr>
              <w:pStyle w:val="Table"/>
              <w:rPr>
                <w:rFonts w:asciiTheme="minorHAnsi" w:hAnsiTheme="minorHAnsi" w:cstheme="minorHAnsi"/>
              </w:rPr>
            </w:pPr>
            <w:r w:rsidRPr="00730611">
              <w:rPr>
                <w:rFonts w:asciiTheme="minorHAnsi" w:hAnsiTheme="minorHAnsi" w:cstheme="minorHAnsi"/>
              </w:rPr>
              <w:t>2020</w:t>
            </w:r>
          </w:p>
        </w:tc>
        <w:tc>
          <w:tcPr>
            <w:tcW w:w="3627"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102DED55" w14:textId="77777777">
            <w:pPr>
              <w:pStyle w:val="Table"/>
              <w:rPr>
                <w:rFonts w:asciiTheme="minorHAnsi" w:hAnsiTheme="minorHAnsi" w:cstheme="minorHAnsi"/>
              </w:rPr>
            </w:pPr>
            <w:r w:rsidRPr="00730611">
              <w:rPr>
                <w:rFonts w:asciiTheme="minorHAnsi" w:hAnsiTheme="minorHAnsi" w:cstheme="minorHAnsi"/>
              </w:rPr>
              <w:t>New NTG IDs and values</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4CF68E39"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29BB1153"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08947738"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42AE5F8F"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3694BDFA"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0348EF2C"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200C2C2D"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0E076EE1" w14:textId="77777777">
            <w:pPr>
              <w:pStyle w:val="Table"/>
              <w:jc w:val="center"/>
              <w:rPr>
                <w:rFonts w:asciiTheme="minorHAnsi" w:hAnsiTheme="minorHAnsi" w:cstheme="minorHAnsi"/>
              </w:rPr>
            </w:pPr>
          </w:p>
        </w:tc>
        <w:tc>
          <w:tcPr>
            <w:tcW w:w="360" w:type="dxa"/>
            <w:tcBorders>
              <w:top w:val="single" w:color="000000" w:sz="4" w:space="0"/>
              <w:left w:val="nil"/>
              <w:bottom w:val="single" w:color="000000" w:sz="4" w:space="0"/>
              <w:right w:val="single" w:color="000000" w:themeColor="text1" w:sz="4" w:space="0"/>
            </w:tcBorders>
            <w:vAlign w:val="center"/>
          </w:tcPr>
          <w:p w:rsidRPr="00730611" w:rsidR="00845FD4" w:rsidP="00402450" w:rsidRDefault="00845FD4" w14:paraId="4E355E84"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single" w:color="000000" w:themeColor="text1" w:sz="4" w:space="0"/>
              <w:bottom w:val="single" w:color="000000" w:sz="4" w:space="0"/>
              <w:right w:val="single" w:color="auto" w:sz="4" w:space="0"/>
            </w:tcBorders>
            <w:shd w:val="clear" w:color="auto" w:fill="auto"/>
            <w:noWrap/>
            <w:vAlign w:val="center"/>
          </w:tcPr>
          <w:p w:rsidRPr="00730611" w:rsidR="00845FD4" w:rsidP="00402450" w:rsidRDefault="00845FD4" w14:paraId="7077D14E" w14:textId="77777777">
            <w:pPr>
              <w:pStyle w:val="Table"/>
              <w:jc w:val="center"/>
              <w:rPr>
                <w:rFonts w:asciiTheme="minorHAnsi" w:hAnsiTheme="minorHAnsi" w:cstheme="minorHAnsi"/>
              </w:rPr>
            </w:pPr>
          </w:p>
        </w:tc>
        <w:tc>
          <w:tcPr>
            <w:tcW w:w="360" w:type="dxa"/>
            <w:tcBorders>
              <w:top w:val="single" w:color="000000" w:sz="4" w:space="0"/>
              <w:left w:val="nil"/>
              <w:bottom w:val="single" w:color="000000" w:sz="4" w:space="0"/>
              <w:right w:val="single" w:color="000000" w:themeColor="text1" w:sz="4" w:space="0"/>
            </w:tcBorders>
            <w:vAlign w:val="center"/>
          </w:tcPr>
          <w:p w:rsidRPr="00730611" w:rsidR="00845FD4" w:rsidP="00402450" w:rsidRDefault="00845FD4" w14:paraId="3FA597FE" w14:textId="77777777">
            <w:pPr>
              <w:pStyle w:val="Table"/>
              <w:jc w:val="center"/>
              <w:rPr>
                <w:rFonts w:asciiTheme="minorHAnsi" w:hAnsiTheme="minorHAnsi" w:cstheme="minorHAnsi"/>
              </w:rPr>
            </w:pPr>
          </w:p>
        </w:tc>
        <w:tc>
          <w:tcPr>
            <w:tcW w:w="360" w:type="dxa"/>
            <w:tcBorders>
              <w:top w:val="single" w:color="000000" w:sz="4" w:space="0"/>
              <w:left w:val="single" w:color="000000" w:themeColor="text1" w:sz="4" w:space="0"/>
              <w:bottom w:val="single" w:color="000000" w:sz="4" w:space="0"/>
              <w:right w:val="single" w:color="auto" w:sz="4" w:space="0"/>
            </w:tcBorders>
            <w:vAlign w:val="center"/>
          </w:tcPr>
          <w:p w:rsidRPr="00730611" w:rsidR="00845FD4" w:rsidP="00402450" w:rsidRDefault="00845FD4" w14:paraId="4EC4D273" w14:textId="77777777">
            <w:pPr>
              <w:pStyle w:val="Table"/>
              <w:jc w:val="center"/>
              <w:rPr>
                <w:rFonts w:asciiTheme="minorHAnsi" w:hAnsiTheme="minorHAnsi" w:cstheme="minorHAnsi"/>
              </w:rPr>
            </w:pPr>
          </w:p>
        </w:tc>
      </w:tr>
      <w:tr w:rsidRPr="00730611" w:rsidR="00845FD4" w:rsidTr="00AE3CF1" w14:paraId="65039345" w14:textId="77777777">
        <w:trPr>
          <w:trHeight w:val="288"/>
        </w:trPr>
        <w:tc>
          <w:tcPr>
            <w:tcW w:w="585" w:type="dxa"/>
            <w:tcBorders>
              <w:top w:val="single" w:color="000000" w:sz="4" w:space="0"/>
              <w:left w:val="single" w:color="000000" w:sz="4" w:space="0"/>
              <w:bottom w:val="single" w:color="000000" w:sz="4" w:space="0"/>
              <w:right w:val="single" w:color="auto" w:sz="4" w:space="0"/>
            </w:tcBorders>
            <w:vAlign w:val="center"/>
          </w:tcPr>
          <w:p w:rsidRPr="00730611" w:rsidR="00845FD4" w:rsidP="00402450" w:rsidRDefault="00845FD4" w14:paraId="42725A2E"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000000" w:sz="4" w:space="0"/>
              <w:left w:val="single" w:color="auto" w:sz="4" w:space="0"/>
              <w:bottom w:val="single" w:color="000000" w:sz="4" w:space="0"/>
              <w:right w:val="single" w:color="auto" w:sz="4" w:space="0"/>
            </w:tcBorders>
            <w:vAlign w:val="center"/>
          </w:tcPr>
          <w:p w:rsidRPr="00730611" w:rsidR="00845FD4" w:rsidP="00402450" w:rsidRDefault="00845FD4" w14:paraId="37FA8156"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000000" w:sz="4" w:space="0"/>
              <w:left w:val="single" w:color="auto" w:sz="4" w:space="0"/>
              <w:bottom w:val="single" w:color="000000" w:sz="4" w:space="0"/>
              <w:right w:val="single" w:color="auto" w:sz="4" w:space="0"/>
            </w:tcBorders>
            <w:vAlign w:val="center"/>
          </w:tcPr>
          <w:p w:rsidRPr="00730611" w:rsidR="00845FD4" w:rsidP="00402450" w:rsidRDefault="00845FD4" w14:paraId="204085EE" w14:textId="77777777">
            <w:pPr>
              <w:pStyle w:val="Table"/>
              <w:rPr>
                <w:rFonts w:asciiTheme="minorHAnsi" w:hAnsiTheme="minorHAnsi" w:cstheme="minorHAnsi"/>
              </w:rPr>
            </w:pPr>
            <w:r w:rsidRPr="00730611">
              <w:rPr>
                <w:rFonts w:asciiTheme="minorHAnsi" w:hAnsiTheme="minorHAnsi" w:cstheme="minorHAnsi"/>
              </w:rPr>
              <w:t>2021</w:t>
            </w:r>
          </w:p>
        </w:tc>
        <w:tc>
          <w:tcPr>
            <w:tcW w:w="3627"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665EAC16" w14:textId="77777777">
            <w:pPr>
              <w:pStyle w:val="Table"/>
              <w:rPr>
                <w:rFonts w:asciiTheme="minorHAnsi" w:hAnsiTheme="minorHAnsi" w:cstheme="minorHAnsi"/>
              </w:rPr>
            </w:pPr>
            <w:r w:rsidRPr="00730611">
              <w:rPr>
                <w:rFonts w:asciiTheme="minorHAnsi" w:hAnsiTheme="minorHAnsi" w:cstheme="minorHAnsi"/>
              </w:rPr>
              <w:t>New efficient water heater thresholds</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58FCC3C6"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73EF5F77"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412E3E95" w14:textId="77777777">
            <w:pPr>
              <w:pStyle w:val="Table"/>
              <w:jc w:val="center"/>
              <w:rPr>
                <w:rFonts w:asciiTheme="minorHAnsi" w:hAnsiTheme="minorHAnsi" w:cstheme="minorHAnsi"/>
              </w:rPr>
            </w:pP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2623B8C4" w14:textId="77777777">
            <w:pPr>
              <w:pStyle w:val="Table"/>
              <w:jc w:val="center"/>
              <w:rPr>
                <w:rFonts w:asciiTheme="minorHAnsi" w:hAnsiTheme="minorHAnsi" w:cstheme="minorHAnsi"/>
              </w:rPr>
            </w:pP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4373FA7D"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535D6B98" w14:textId="77777777">
            <w:pPr>
              <w:pStyle w:val="Table"/>
              <w:jc w:val="center"/>
              <w:rPr>
                <w:rFonts w:asciiTheme="minorHAnsi" w:hAnsiTheme="minorHAnsi" w:cstheme="minorHAnsi"/>
              </w:rPr>
            </w:pP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41F58C6C" w14:textId="77777777">
            <w:pPr>
              <w:pStyle w:val="Table"/>
              <w:jc w:val="center"/>
              <w:rPr>
                <w:rFonts w:asciiTheme="minorHAnsi" w:hAnsiTheme="minorHAnsi" w:cstheme="minorHAnsi"/>
              </w:rPr>
            </w:pPr>
          </w:p>
        </w:tc>
        <w:tc>
          <w:tcPr>
            <w:tcW w:w="360" w:type="dxa"/>
            <w:tcBorders>
              <w:top w:val="single" w:color="000000" w:sz="4" w:space="0"/>
              <w:left w:val="nil"/>
              <w:bottom w:val="single" w:color="000000" w:sz="4" w:space="0"/>
              <w:right w:val="single" w:color="auto" w:sz="4" w:space="0"/>
            </w:tcBorders>
            <w:shd w:val="clear" w:color="auto" w:fill="auto"/>
            <w:noWrap/>
            <w:vAlign w:val="center"/>
          </w:tcPr>
          <w:p w:rsidRPr="00730611" w:rsidR="00845FD4" w:rsidP="00402450" w:rsidRDefault="00845FD4" w14:paraId="0418DBC9"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000000" w:sz="4" w:space="0"/>
              <w:right w:val="single" w:color="000000" w:themeColor="text1" w:sz="4" w:space="0"/>
            </w:tcBorders>
            <w:vAlign w:val="center"/>
          </w:tcPr>
          <w:p w:rsidRPr="00730611" w:rsidR="00845FD4" w:rsidP="00402450" w:rsidRDefault="00845FD4" w14:paraId="48B46B9C" w14:textId="77777777">
            <w:pPr>
              <w:pStyle w:val="Table"/>
              <w:jc w:val="center"/>
              <w:rPr>
                <w:rFonts w:asciiTheme="minorHAnsi" w:hAnsiTheme="minorHAnsi" w:cstheme="minorHAnsi"/>
              </w:rPr>
            </w:pPr>
          </w:p>
        </w:tc>
        <w:tc>
          <w:tcPr>
            <w:tcW w:w="360" w:type="dxa"/>
            <w:tcBorders>
              <w:top w:val="single" w:color="000000" w:sz="4" w:space="0"/>
              <w:left w:val="single" w:color="000000" w:themeColor="text1" w:sz="4" w:space="0"/>
              <w:bottom w:val="single" w:color="000000" w:sz="4" w:space="0"/>
              <w:right w:val="single" w:color="auto" w:sz="4" w:space="0"/>
            </w:tcBorders>
            <w:shd w:val="clear" w:color="auto" w:fill="auto"/>
            <w:noWrap/>
            <w:vAlign w:val="center"/>
          </w:tcPr>
          <w:p w:rsidRPr="00730611" w:rsidR="00845FD4" w:rsidP="00402450" w:rsidRDefault="00845FD4" w14:paraId="4C912559" w14:textId="77777777">
            <w:pPr>
              <w:pStyle w:val="Table"/>
              <w:jc w:val="center"/>
              <w:rPr>
                <w:rFonts w:asciiTheme="minorHAnsi" w:hAnsiTheme="minorHAnsi" w:cstheme="minorHAnsi"/>
              </w:rPr>
            </w:pPr>
          </w:p>
        </w:tc>
        <w:tc>
          <w:tcPr>
            <w:tcW w:w="360" w:type="dxa"/>
            <w:tcBorders>
              <w:top w:val="single" w:color="000000" w:sz="4" w:space="0"/>
              <w:left w:val="nil"/>
              <w:bottom w:val="single" w:color="000000" w:sz="4" w:space="0"/>
              <w:right w:val="single" w:color="000000" w:themeColor="text1" w:sz="4" w:space="0"/>
            </w:tcBorders>
            <w:vAlign w:val="center"/>
          </w:tcPr>
          <w:p w:rsidRPr="00730611" w:rsidR="00845FD4" w:rsidP="00402450" w:rsidRDefault="00845FD4" w14:paraId="7752B3D3" w14:textId="77777777">
            <w:pPr>
              <w:pStyle w:val="Table"/>
              <w:jc w:val="center"/>
              <w:rPr>
                <w:rFonts w:asciiTheme="minorHAnsi" w:hAnsiTheme="minorHAnsi" w:cstheme="minorHAnsi"/>
              </w:rPr>
            </w:pPr>
          </w:p>
        </w:tc>
        <w:tc>
          <w:tcPr>
            <w:tcW w:w="360" w:type="dxa"/>
            <w:tcBorders>
              <w:top w:val="single" w:color="000000" w:sz="4" w:space="0"/>
              <w:left w:val="single" w:color="000000" w:themeColor="text1" w:sz="4" w:space="0"/>
              <w:bottom w:val="single" w:color="000000" w:sz="4" w:space="0"/>
              <w:right w:val="single" w:color="auto" w:sz="4" w:space="0"/>
            </w:tcBorders>
            <w:vAlign w:val="center"/>
          </w:tcPr>
          <w:p w:rsidRPr="00730611" w:rsidR="00845FD4" w:rsidP="00402450" w:rsidRDefault="00845FD4" w14:paraId="3AC9A674" w14:textId="77777777">
            <w:pPr>
              <w:pStyle w:val="Table"/>
              <w:jc w:val="center"/>
              <w:rPr>
                <w:rFonts w:asciiTheme="minorHAnsi" w:hAnsiTheme="minorHAnsi" w:cstheme="minorHAnsi"/>
              </w:rPr>
            </w:pPr>
          </w:p>
        </w:tc>
      </w:tr>
      <w:tr w:rsidRPr="00730611" w:rsidR="00845FD4" w:rsidTr="00813B21" w14:paraId="3753692A" w14:textId="77777777">
        <w:trPr>
          <w:trHeight w:val="288"/>
        </w:trPr>
        <w:tc>
          <w:tcPr>
            <w:tcW w:w="585" w:type="dxa"/>
            <w:tcBorders>
              <w:top w:val="single" w:color="000000" w:sz="4" w:space="0"/>
              <w:left w:val="single" w:color="000000" w:sz="4" w:space="0"/>
              <w:bottom w:val="single" w:color="auto" w:sz="4" w:space="0"/>
              <w:right w:val="single" w:color="auto" w:sz="4" w:space="0"/>
            </w:tcBorders>
            <w:vAlign w:val="center"/>
          </w:tcPr>
          <w:p w:rsidRPr="00730611" w:rsidR="00845FD4" w:rsidP="00402450" w:rsidRDefault="00845FD4" w14:paraId="5535A3D1" w14:textId="77777777">
            <w:pPr>
              <w:pStyle w:val="Table"/>
              <w:rPr>
                <w:rFonts w:asciiTheme="minorHAnsi" w:hAnsiTheme="minorHAnsi" w:cstheme="minorHAnsi"/>
              </w:rPr>
            </w:pPr>
            <w:r w:rsidRPr="00730611">
              <w:rPr>
                <w:rFonts w:asciiTheme="minorHAnsi" w:hAnsiTheme="minorHAnsi" w:cstheme="minorHAnsi"/>
              </w:rPr>
              <w:t>!!</w:t>
            </w:r>
          </w:p>
        </w:tc>
        <w:tc>
          <w:tcPr>
            <w:tcW w:w="585" w:type="dxa"/>
            <w:tcBorders>
              <w:top w:val="single" w:color="000000" w:sz="4" w:space="0"/>
              <w:left w:val="single" w:color="auto" w:sz="4" w:space="0"/>
              <w:bottom w:val="single" w:color="auto" w:sz="4" w:space="0"/>
              <w:right w:val="single" w:color="auto" w:sz="4" w:space="0"/>
            </w:tcBorders>
            <w:vAlign w:val="center"/>
          </w:tcPr>
          <w:p w:rsidRPr="00730611" w:rsidR="00845FD4" w:rsidP="00402450" w:rsidRDefault="00845FD4" w14:paraId="05DA7C65" w14:textId="77777777">
            <w:pPr>
              <w:pStyle w:val="Table"/>
              <w:rPr>
                <w:rFonts w:asciiTheme="minorHAnsi" w:hAnsiTheme="minorHAnsi" w:cstheme="minorHAnsi"/>
              </w:rPr>
            </w:pPr>
            <w:r w:rsidRPr="00730611">
              <w:rPr>
                <w:rFonts w:asciiTheme="minorHAnsi" w:hAnsiTheme="minorHAnsi" w:cstheme="minorHAnsi"/>
              </w:rPr>
              <w:t>$$</w:t>
            </w:r>
          </w:p>
        </w:tc>
        <w:tc>
          <w:tcPr>
            <w:tcW w:w="990" w:type="dxa"/>
            <w:tcBorders>
              <w:top w:val="single" w:color="000000" w:sz="4" w:space="0"/>
              <w:left w:val="single" w:color="auto" w:sz="4" w:space="0"/>
              <w:bottom w:val="single" w:color="auto" w:sz="4" w:space="0"/>
              <w:right w:val="single" w:color="auto" w:sz="4" w:space="0"/>
            </w:tcBorders>
            <w:vAlign w:val="center"/>
          </w:tcPr>
          <w:p w:rsidRPr="00730611" w:rsidR="00845FD4" w:rsidP="00402450" w:rsidRDefault="00845FD4" w14:paraId="29E2DEA6" w14:textId="77777777">
            <w:pPr>
              <w:pStyle w:val="Table"/>
              <w:rPr>
                <w:rFonts w:asciiTheme="minorHAnsi" w:hAnsiTheme="minorHAnsi" w:cstheme="minorHAnsi"/>
              </w:rPr>
            </w:pPr>
            <w:r w:rsidRPr="00730611">
              <w:rPr>
                <w:rFonts w:asciiTheme="minorHAnsi" w:hAnsiTheme="minorHAnsi" w:cstheme="minorHAnsi"/>
              </w:rPr>
              <w:t>2022</w:t>
            </w:r>
          </w:p>
        </w:tc>
        <w:tc>
          <w:tcPr>
            <w:tcW w:w="3627"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7F84435E" w14:textId="77777777">
            <w:pPr>
              <w:pStyle w:val="Table"/>
              <w:rPr>
                <w:rFonts w:asciiTheme="minorHAnsi" w:hAnsiTheme="minorHAnsi" w:cstheme="minorHAnsi"/>
              </w:rPr>
            </w:pPr>
            <w:r w:rsidRPr="00730611">
              <w:rPr>
                <w:rFonts w:asciiTheme="minorHAnsi" w:hAnsiTheme="minorHAnsi" w:cstheme="minorHAnsi"/>
              </w:rPr>
              <w:t>Residential heat pumps for SEER ≥19</w:t>
            </w: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10196EC7"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3ABB850F"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46EC7634"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787F75FD" w14:textId="77777777">
            <w:pPr>
              <w:pStyle w:val="Table"/>
              <w:jc w:val="center"/>
              <w:rPr>
                <w:rFonts w:asciiTheme="minorHAnsi" w:hAnsiTheme="minorHAnsi" w:cstheme="minorHAnsi"/>
              </w:rPr>
            </w:pPr>
            <w:r w:rsidRPr="00730611">
              <w:rPr>
                <w:rFonts w:asciiTheme="minorHAnsi" w:hAnsiTheme="minorHAnsi" w:cstheme="minorHAnsi"/>
              </w:rPr>
              <w:t>X</w:t>
            </w: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4CDE6797"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0B38EF4A"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22409EC9"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auto" w:sz="4" w:space="0"/>
            </w:tcBorders>
            <w:shd w:val="clear" w:color="auto" w:fill="auto"/>
            <w:noWrap/>
            <w:vAlign w:val="center"/>
          </w:tcPr>
          <w:p w:rsidRPr="00730611" w:rsidR="00845FD4" w:rsidP="00402450" w:rsidRDefault="00845FD4" w14:paraId="241841A3"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000000" w:themeColor="text1" w:sz="4" w:space="0"/>
            </w:tcBorders>
            <w:vAlign w:val="center"/>
          </w:tcPr>
          <w:p w:rsidRPr="00730611" w:rsidR="00845FD4" w:rsidP="00402450" w:rsidRDefault="00845FD4" w14:paraId="519AE208" w14:textId="77777777">
            <w:pPr>
              <w:pStyle w:val="Table"/>
              <w:jc w:val="center"/>
              <w:rPr>
                <w:rFonts w:asciiTheme="minorHAnsi" w:hAnsiTheme="minorHAnsi" w:cstheme="minorHAnsi"/>
              </w:rPr>
            </w:pPr>
          </w:p>
        </w:tc>
        <w:tc>
          <w:tcPr>
            <w:tcW w:w="360" w:type="dxa"/>
            <w:tcBorders>
              <w:top w:val="single" w:color="000000" w:sz="4" w:space="0"/>
              <w:left w:val="single" w:color="000000" w:themeColor="text1" w:sz="4" w:space="0"/>
              <w:bottom w:val="single" w:color="auto" w:sz="4" w:space="0"/>
              <w:right w:val="single" w:color="auto" w:sz="4" w:space="0"/>
            </w:tcBorders>
            <w:shd w:val="clear" w:color="auto" w:fill="auto"/>
            <w:noWrap/>
            <w:vAlign w:val="center"/>
          </w:tcPr>
          <w:p w:rsidRPr="00730611" w:rsidR="00845FD4" w:rsidP="00402450" w:rsidRDefault="00845FD4" w14:paraId="3DDE2240" w14:textId="77777777">
            <w:pPr>
              <w:pStyle w:val="Table"/>
              <w:jc w:val="center"/>
              <w:rPr>
                <w:rFonts w:asciiTheme="minorHAnsi" w:hAnsiTheme="minorHAnsi" w:cstheme="minorHAnsi"/>
              </w:rPr>
            </w:pPr>
          </w:p>
        </w:tc>
        <w:tc>
          <w:tcPr>
            <w:tcW w:w="360" w:type="dxa"/>
            <w:tcBorders>
              <w:top w:val="single" w:color="000000" w:sz="4" w:space="0"/>
              <w:left w:val="nil"/>
              <w:bottom w:val="single" w:color="auto" w:sz="4" w:space="0"/>
              <w:right w:val="single" w:color="000000" w:themeColor="text1" w:sz="4" w:space="0"/>
            </w:tcBorders>
            <w:vAlign w:val="center"/>
          </w:tcPr>
          <w:p w:rsidRPr="00730611" w:rsidR="00845FD4" w:rsidP="00402450" w:rsidRDefault="00845FD4" w14:paraId="0DD4C6D2" w14:textId="77777777">
            <w:pPr>
              <w:pStyle w:val="Table"/>
              <w:jc w:val="center"/>
              <w:rPr>
                <w:rFonts w:asciiTheme="minorHAnsi" w:hAnsiTheme="minorHAnsi" w:cstheme="minorHAnsi"/>
              </w:rPr>
            </w:pPr>
          </w:p>
        </w:tc>
        <w:tc>
          <w:tcPr>
            <w:tcW w:w="360" w:type="dxa"/>
            <w:tcBorders>
              <w:top w:val="single" w:color="000000" w:sz="4" w:space="0"/>
              <w:left w:val="single" w:color="000000" w:themeColor="text1" w:sz="4" w:space="0"/>
              <w:bottom w:val="single" w:color="auto" w:sz="4" w:space="0"/>
              <w:right w:val="single" w:color="auto" w:sz="4" w:space="0"/>
            </w:tcBorders>
            <w:vAlign w:val="center"/>
          </w:tcPr>
          <w:p w:rsidRPr="00730611" w:rsidR="00845FD4" w:rsidP="00402450" w:rsidRDefault="00845FD4" w14:paraId="36DC2A66" w14:textId="77777777">
            <w:pPr>
              <w:pStyle w:val="Table"/>
              <w:jc w:val="center"/>
              <w:rPr>
                <w:rFonts w:asciiTheme="minorHAnsi" w:hAnsiTheme="minorHAnsi" w:cstheme="minorHAnsi"/>
              </w:rPr>
            </w:pPr>
          </w:p>
        </w:tc>
      </w:tr>
    </w:tbl>
    <w:p w:rsidR="001B384F" w:rsidP="008E2F07" w:rsidRDefault="001B384F" w14:paraId="5F032F20" w14:textId="77777777"/>
    <w:p w:rsidRPr="00D8759A" w:rsidR="00C95F27" w:rsidP="008E2F07" w:rsidRDefault="00C95F27" w14:paraId="270CAEA1" w14:textId="49ABCDCE">
      <w:pPr>
        <w:pStyle w:val="Heading1"/>
        <w:rPr>
          <w:rFonts w:ascii="Palatino Linotype" w:hAnsi="Palatino Linotype"/>
          <w:u w:val="single"/>
        </w:rPr>
      </w:pPr>
      <w:r w:rsidRPr="00D8759A">
        <w:rPr>
          <w:rFonts w:ascii="Palatino Linotype" w:hAnsi="Palatino Linotype"/>
          <w:u w:val="single"/>
        </w:rPr>
        <w:t>DISCUSSION</w:t>
      </w:r>
    </w:p>
    <w:p w:rsidRPr="00D8759A" w:rsidR="00B66F4A" w:rsidP="008E2F07" w:rsidRDefault="00B66F4A" w14:paraId="33A8BC1F" w14:textId="45E8E1DE">
      <w:r w:rsidRPr="00D8759A">
        <w:t>Pursuant to D.15</w:t>
      </w:r>
      <w:r w:rsidRPr="00D8759A" w:rsidR="00E004C0">
        <w:noBreakHyphen/>
      </w:r>
      <w:r w:rsidRPr="00D8759A">
        <w:t>10</w:t>
      </w:r>
      <w:r w:rsidRPr="00D8759A" w:rsidR="00E004C0">
        <w:noBreakHyphen/>
      </w:r>
      <w:r w:rsidRPr="00D8759A">
        <w:t xml:space="preserve">28, the Energy Division published a </w:t>
      </w:r>
      <w:r w:rsidRPr="00D8759A" w:rsidR="0035348C">
        <w:t xml:space="preserve">DEER Update </w:t>
      </w:r>
      <w:r w:rsidR="00FA4413">
        <w:t>Scoping Memo</w:t>
      </w:r>
      <w:r w:rsidRPr="00D8759A">
        <w:t xml:space="preserve"> on the proposed list of updates for DEER202</w:t>
      </w:r>
      <w:r w:rsidRPr="00D8759A" w:rsidR="00961D2B">
        <w:t>2</w:t>
      </w:r>
      <w:r w:rsidRPr="00D8759A">
        <w:t xml:space="preserve"> and revised DEER20</w:t>
      </w:r>
      <w:r w:rsidRPr="00D8759A" w:rsidR="004F1CD2">
        <w:t>2</w:t>
      </w:r>
      <w:r w:rsidRPr="00D8759A" w:rsidR="00961D2B">
        <w:t>1</w:t>
      </w:r>
      <w:r w:rsidRPr="00D8759A">
        <w:t xml:space="preserve"> </w:t>
      </w:r>
      <w:r w:rsidRPr="00D8759A" w:rsidR="005B4A7B">
        <w:t>and DEER20</w:t>
      </w:r>
      <w:r w:rsidRPr="00D8759A" w:rsidR="00961D2B">
        <w:t>20</w:t>
      </w:r>
      <w:r w:rsidRPr="00D8759A">
        <w:t xml:space="preserve"> </w:t>
      </w:r>
      <w:r w:rsidRPr="00D8759A" w:rsidR="004F1CD2">
        <w:t xml:space="preserve">items </w:t>
      </w:r>
      <w:r w:rsidRPr="00D8759A">
        <w:t xml:space="preserve">on </w:t>
      </w:r>
      <w:r w:rsidRPr="00D8759A" w:rsidR="00645DF2">
        <w:t>April 2</w:t>
      </w:r>
      <w:r w:rsidRPr="00D8759A" w:rsidR="00961D2B">
        <w:t>1</w:t>
      </w:r>
      <w:r w:rsidRPr="00D8759A">
        <w:t>, 20</w:t>
      </w:r>
      <w:r w:rsidRPr="00D8759A" w:rsidR="00961D2B">
        <w:t>20</w:t>
      </w:r>
      <w:r w:rsidRPr="00D8759A">
        <w:t xml:space="preserve">. </w:t>
      </w:r>
      <w:r w:rsidRPr="00D8759A" w:rsidR="00A75C2D">
        <w:t>The</w:t>
      </w:r>
      <w:r w:rsidRPr="00D8759A">
        <w:t xml:space="preserve"> </w:t>
      </w:r>
      <w:r w:rsidRPr="00D8759A" w:rsidR="00A75C2D">
        <w:t xml:space="preserve">list of topic areas that this Resolution will incorporate </w:t>
      </w:r>
      <w:r w:rsidRPr="00D8759A" w:rsidR="00903623">
        <w:t>are</w:t>
      </w:r>
      <w:r w:rsidRPr="00D8759A" w:rsidR="0090300E">
        <w:t xml:space="preserve"> summarized below </w:t>
      </w:r>
      <w:r w:rsidRPr="00D8759A" w:rsidR="007732B1">
        <w:t xml:space="preserve">and </w:t>
      </w:r>
      <w:r w:rsidRPr="00D8759A" w:rsidR="0090300E">
        <w:t>described in detail in Attachment</w:t>
      </w:r>
      <w:r w:rsidRPr="00D8759A" w:rsidR="007E546E">
        <w:t xml:space="preserve"> </w:t>
      </w:r>
      <w:r w:rsidRPr="00D8759A" w:rsidR="005B4A7B">
        <w:t>A</w:t>
      </w:r>
      <w:r w:rsidRPr="00D8759A" w:rsidR="00395A32">
        <w:t>, Database for Energy-Efficient Resources Updates for Program Year 2022 DEER2022 Update Statement,</w:t>
      </w:r>
      <w:r w:rsidRPr="00D8759A" w:rsidR="0090300E">
        <w:t xml:space="preserve"> to this Resolution</w:t>
      </w:r>
      <w:r w:rsidRPr="00D8759A" w:rsidR="005D0F30">
        <w:t>.</w:t>
      </w:r>
      <w:r w:rsidRPr="00D8759A" w:rsidDel="005D0F30" w:rsidR="005D0F30">
        <w:t xml:space="preserve"> </w:t>
      </w:r>
    </w:p>
    <w:p w:rsidR="00FA4413" w:rsidP="005B1D66" w:rsidRDefault="00FA4413" w14:paraId="0677C2FF" w14:textId="45A218DD">
      <w:pPr>
        <w:pStyle w:val="Heading3"/>
        <w:numPr>
          <w:ilvl w:val="1"/>
          <w:numId w:val="6"/>
        </w:numPr>
        <w:rPr>
          <w:b/>
          <w:bCs w:val="0"/>
        </w:rPr>
      </w:pPr>
      <w:bookmarkStart w:name="_Ref41481466" w:id="9"/>
      <w:r>
        <w:rPr>
          <w:b/>
          <w:bCs w:val="0"/>
        </w:rPr>
        <w:t>Transition to eTRM</w:t>
      </w:r>
      <w:bookmarkEnd w:id="9"/>
    </w:p>
    <w:p w:rsidR="008272C2" w:rsidP="00A3528E" w:rsidRDefault="0072171B" w14:paraId="76A0A5EE" w14:textId="2E88E1D4">
      <w:r>
        <w:t xml:space="preserve">The DEER database has a 30-year history, </w:t>
      </w:r>
      <w:r w:rsidR="005A3F70">
        <w:t xml:space="preserve">starting in the 1990s under the California Energy Commission (CEC) </w:t>
      </w:r>
      <w:r w:rsidR="00E51401">
        <w:t>where</w:t>
      </w:r>
      <w:r w:rsidR="008C6C60">
        <w:t xml:space="preserve"> </w:t>
      </w:r>
      <w:r w:rsidRPr="00E657D2" w:rsidR="00E657D2">
        <w:t>responsibility for developing energy efficiency measure parameters</w:t>
      </w:r>
      <w:r w:rsidR="00E657D2">
        <w:t xml:space="preserve"> was delegated</w:t>
      </w:r>
      <w:r w:rsidRPr="00E657D2" w:rsidR="00E657D2">
        <w:t xml:space="preserve"> to a broad stakeholder coalition</w:t>
      </w:r>
      <w:r w:rsidR="00E657D2">
        <w:t xml:space="preserve">. </w:t>
      </w:r>
      <w:r w:rsidR="00941F9A">
        <w:t>With</w:t>
      </w:r>
      <w:r w:rsidR="00E80E3C">
        <w:t xml:space="preserve"> </w:t>
      </w:r>
      <w:r w:rsidR="00C34F77">
        <w:t xml:space="preserve">the </w:t>
      </w:r>
      <w:r w:rsidR="003829AC">
        <w:t xml:space="preserve">2006-08 </w:t>
      </w:r>
      <w:r w:rsidR="00556C30">
        <w:t xml:space="preserve">energy-efficiency (EE) </w:t>
      </w:r>
      <w:r w:rsidR="003829AC">
        <w:t xml:space="preserve">portfolio cycle, the CPUC Energy Division took control of the DEER and </w:t>
      </w:r>
      <w:r w:rsidR="000644BB">
        <w:t xml:space="preserve">began </w:t>
      </w:r>
      <w:r w:rsidR="009E2E2C">
        <w:t>hosting it on the “</w:t>
      </w:r>
      <w:proofErr w:type="spellStart"/>
      <w:r w:rsidR="009E2E2C">
        <w:t>Deeresources</w:t>
      </w:r>
      <w:proofErr w:type="spellEnd"/>
      <w:r w:rsidR="009E2E2C">
        <w:t>”</w:t>
      </w:r>
      <w:r w:rsidR="002B46DF">
        <w:t xml:space="preserve"> </w:t>
      </w:r>
      <w:r w:rsidR="009E2E2C">
        <w:t>suite of websites.</w:t>
      </w:r>
      <w:r w:rsidR="00E21328">
        <w:t xml:space="preserve"> The CPUC’s goal was to </w:t>
      </w:r>
      <w:r w:rsidR="00E964DF">
        <w:t xml:space="preserve">maintain a “frozen” set of values as a reference for measure development, </w:t>
      </w:r>
      <w:r w:rsidR="00A63B3D">
        <w:t xml:space="preserve">program tracking </w:t>
      </w:r>
      <w:r w:rsidR="00E964DF">
        <w:t xml:space="preserve">claims and evaluations. </w:t>
      </w:r>
      <w:r w:rsidR="00A3528E">
        <w:t>The Commission also directed the IOUs to reserve a portion of energy efficiency funding for the purpose of maintaining</w:t>
      </w:r>
      <w:r w:rsidR="001112DF">
        <w:t xml:space="preserve"> </w:t>
      </w:r>
      <w:r w:rsidR="00A3528E">
        <w:t xml:space="preserve">and expanding </w:t>
      </w:r>
      <w:r w:rsidR="0042469A">
        <w:t>data systems to support ex ante review and portfolio claims tracking.</w:t>
      </w:r>
      <w:r w:rsidRPr="002B46DF" w:rsidR="002B46DF">
        <w:rPr>
          <w:rStyle w:val="FootnoteReference"/>
        </w:rPr>
        <w:t xml:space="preserve"> </w:t>
      </w:r>
      <w:r w:rsidR="002B46DF">
        <w:rPr>
          <w:rStyle w:val="FootnoteReference"/>
        </w:rPr>
        <w:footnoteReference w:id="10"/>
      </w:r>
      <w:r w:rsidR="002B46DF">
        <w:t xml:space="preserve"> </w:t>
      </w:r>
      <w:r w:rsidR="0042469A">
        <w:t xml:space="preserve">  </w:t>
      </w:r>
      <w:r w:rsidR="00ED3814">
        <w:t xml:space="preserve">Since </w:t>
      </w:r>
      <w:r w:rsidR="007066A1">
        <w:t xml:space="preserve">the 2006-08 portfolio cycle, many technological advancements have occurred </w:t>
      </w:r>
      <w:r w:rsidR="00F821D2">
        <w:t xml:space="preserve">in </w:t>
      </w:r>
      <w:r w:rsidR="00F821D2">
        <w:lastRenderedPageBreak/>
        <w:t xml:space="preserve">the database space, and we seek to now modernize the architecture of the DEER </w:t>
      </w:r>
      <w:r w:rsidR="00B81905">
        <w:t xml:space="preserve">and </w:t>
      </w:r>
      <w:r w:rsidR="008E5DCC">
        <w:t>workpaper project archives (WPA) to create a truly relational database that can be searched</w:t>
      </w:r>
      <w:r w:rsidR="00251CD0">
        <w:t>, referenced and updated more efficiently and reliably.</w:t>
      </w:r>
    </w:p>
    <w:p w:rsidR="00556C30" w:rsidP="00A3528E" w:rsidRDefault="00FF7C01" w14:paraId="30C0D137" w14:textId="0039DE69">
      <w:r w:rsidRPr="00683A3D">
        <w:t>The eTRM was developed in response to the IOUs’ consolidation of territory-specific EE measures into a set of statewide workpapers, or EE measure offerings that share the same value tables across all IOU territories. The effort was conducted under the auspices of the California Technical Forum (Cal TF) and funded by</w:t>
      </w:r>
      <w:r w:rsidR="00556C30">
        <w:t xml:space="preserve"> Pacific Gas &amp; Electric Co.</w:t>
      </w:r>
      <w:r w:rsidRPr="00683A3D">
        <w:t xml:space="preserve"> </w:t>
      </w:r>
      <w:r w:rsidR="00556C30">
        <w:t>(</w:t>
      </w:r>
      <w:r w:rsidRPr="00683A3D">
        <w:t>PG&amp;E</w:t>
      </w:r>
      <w:r w:rsidR="00556C30">
        <w:t>)</w:t>
      </w:r>
      <w:r w:rsidRPr="00683A3D">
        <w:t xml:space="preserve">, </w:t>
      </w:r>
      <w:r w:rsidR="00556C30">
        <w:t>Southern California Edison (</w:t>
      </w:r>
      <w:r w:rsidRPr="00683A3D">
        <w:t>SCE</w:t>
      </w:r>
      <w:r w:rsidR="00556C30">
        <w:t>)</w:t>
      </w:r>
      <w:r w:rsidRPr="00683A3D">
        <w:t xml:space="preserve">, </w:t>
      </w:r>
      <w:r w:rsidR="00556C30">
        <w:t>Southern California Gas Co. (</w:t>
      </w:r>
      <w:r w:rsidRPr="00683A3D">
        <w:t>SoCalGas</w:t>
      </w:r>
      <w:r w:rsidR="00556C30">
        <w:t>)</w:t>
      </w:r>
      <w:r w:rsidRPr="00683A3D">
        <w:t xml:space="preserve"> and </w:t>
      </w:r>
      <w:r w:rsidR="00556C30">
        <w:t>San Diego Gas &amp; Electric Co. (</w:t>
      </w:r>
      <w:r w:rsidRPr="00683A3D">
        <w:t>SDG&amp;E</w:t>
      </w:r>
      <w:r w:rsidR="00556C30">
        <w:t xml:space="preserve">), </w:t>
      </w:r>
      <w:r w:rsidRPr="00683A3D">
        <w:t>referred to collectively as the “IOUs” or “IOU funders</w:t>
      </w:r>
      <w:r w:rsidR="00556C30">
        <w:t>,</w:t>
      </w:r>
      <w:r w:rsidRPr="00683A3D">
        <w:t xml:space="preserve">” and the State’s two large </w:t>
      </w:r>
      <w:r w:rsidR="00556C30">
        <w:t>p</w:t>
      </w:r>
      <w:r w:rsidRPr="00683A3D" w:rsidR="00556C30">
        <w:t>ublicly</w:t>
      </w:r>
      <w:r w:rsidR="00556C30">
        <w:t>-o</w:t>
      </w:r>
      <w:r w:rsidRPr="00683A3D" w:rsidR="00556C30">
        <w:t xml:space="preserve">wned </w:t>
      </w:r>
      <w:r w:rsidR="00556C30">
        <w:t>u</w:t>
      </w:r>
      <w:r w:rsidRPr="00683A3D" w:rsidR="00556C30">
        <w:t xml:space="preserve">tilities </w:t>
      </w:r>
      <w:r w:rsidRPr="00683A3D">
        <w:t xml:space="preserve">(POUs), </w:t>
      </w:r>
      <w:r w:rsidR="00556C30">
        <w:t>Sacramento Municipal Utility District (</w:t>
      </w:r>
      <w:r w:rsidRPr="00683A3D">
        <w:t>SMUD</w:t>
      </w:r>
      <w:r w:rsidR="00556C30">
        <w:t>)</w:t>
      </w:r>
      <w:r w:rsidRPr="00683A3D">
        <w:t xml:space="preserve"> and </w:t>
      </w:r>
      <w:r w:rsidRPr="00556C30" w:rsidR="00556C30">
        <w:t xml:space="preserve">Los Angeles Department of Water and Power </w:t>
      </w:r>
      <w:r w:rsidR="00556C30">
        <w:t>(</w:t>
      </w:r>
      <w:r w:rsidRPr="00683A3D">
        <w:t>LADWP</w:t>
      </w:r>
      <w:r w:rsidR="00556C30">
        <w:t>)</w:t>
      </w:r>
      <w:r w:rsidRPr="00683A3D">
        <w:t xml:space="preserve">. </w:t>
      </w:r>
    </w:p>
    <w:p w:rsidRPr="008272C2" w:rsidR="00FF7C01" w:rsidP="00A3528E" w:rsidRDefault="00FF7C01" w14:paraId="10FE87CF" w14:textId="3A1773C3">
      <w:r w:rsidRPr="00683A3D">
        <w:t xml:space="preserve">During this consolidation effort the </w:t>
      </w:r>
      <w:r w:rsidRPr="00683A3D" w:rsidR="00BD3B57">
        <w:t>Ex-Ante database (</w:t>
      </w:r>
      <w:proofErr w:type="spellStart"/>
      <w:r w:rsidRPr="00683A3D">
        <w:t>EAdb</w:t>
      </w:r>
      <w:proofErr w:type="spellEnd"/>
      <w:r w:rsidRPr="00683A3D" w:rsidR="00BD3B57">
        <w:t>)</w:t>
      </w:r>
      <w:r w:rsidRPr="00683A3D">
        <w:t xml:space="preserve"> tables and WPA file directory were standardized into the eTRM relational database format and made accessible through an online user interface. Similar to technical resource manuals used by other states, the California eTRM enforces a transparent deemed EE measure values data standard, enables global controls and allows users role-based access to different levels of EE measure data.</w:t>
      </w:r>
    </w:p>
    <w:p w:rsidR="003D6035" w:rsidP="00090749" w:rsidRDefault="00090749" w14:paraId="7A8A33A5" w14:textId="471624D5">
      <w:r>
        <w:t xml:space="preserve">CPUC staff is currently </w:t>
      </w:r>
      <w:r w:rsidR="009840F1">
        <w:t>developing</w:t>
      </w:r>
      <w:r>
        <w:t xml:space="preserve"> a multi-year transition plan to progressively transition </w:t>
      </w:r>
      <w:r w:rsidR="003C336E">
        <w:t>exi</w:t>
      </w:r>
      <w:r w:rsidR="00334F7F">
        <w:t>s</w:t>
      </w:r>
      <w:r w:rsidR="003C336E">
        <w:t xml:space="preserve">ting </w:t>
      </w:r>
      <w:r>
        <w:t xml:space="preserve">DEER and workpaper </w:t>
      </w:r>
      <w:r w:rsidR="007367A6">
        <w:t xml:space="preserve">systems </w:t>
      </w:r>
      <w:r>
        <w:t>to a software platform jointly co-funded by the IOUs called the Electronic Technical Resource Manual (eTRM)</w:t>
      </w:r>
      <w:r w:rsidRPr="00943953" w:rsidR="00943953">
        <w:rPr>
          <w:rStyle w:val="FootnoteReference"/>
        </w:rPr>
        <w:t xml:space="preserve"> </w:t>
      </w:r>
      <w:r w:rsidR="00943953">
        <w:rPr>
          <w:rStyle w:val="FootnoteReference"/>
        </w:rPr>
        <w:footnoteReference w:id="11"/>
      </w:r>
      <w:r w:rsidR="00943953">
        <w:t xml:space="preserve"> </w:t>
      </w:r>
      <w:r>
        <w:t xml:space="preserve">with </w:t>
      </w:r>
      <w:r w:rsidR="00625151">
        <w:t>the</w:t>
      </w:r>
      <w:r>
        <w:t xml:space="preserve"> objective of phasing out existing systems by December 31, 2021. </w:t>
      </w:r>
    </w:p>
    <w:p w:rsidR="00090749" w:rsidP="00090749" w:rsidRDefault="00090749" w14:paraId="294C2030" w14:textId="60386009">
      <w:r>
        <w:t xml:space="preserve">CPUC staff has been working with </w:t>
      </w:r>
      <w:r w:rsidR="005701A8">
        <w:t xml:space="preserve">IOUs </w:t>
      </w:r>
      <w:r w:rsidR="00AE2A38">
        <w:t>and consultants</w:t>
      </w:r>
      <w:r>
        <w:t xml:space="preserve"> on development, transition, and adoption activities, and will approach the project in two phases. </w:t>
      </w:r>
      <w:r w:rsidR="00C85A2D">
        <w:t>Phase 1</w:t>
      </w:r>
      <w:r w:rsidR="00874C13">
        <w:t xml:space="preserve"> establishes that </w:t>
      </w:r>
      <w:r w:rsidR="009F7191">
        <w:t xml:space="preserve">the eTRM </w:t>
      </w:r>
      <w:r w:rsidR="002E1E25">
        <w:t xml:space="preserve">reflects official ex ante data and </w:t>
      </w:r>
      <w:r w:rsidR="009F7191">
        <w:t>displays current</w:t>
      </w:r>
      <w:r w:rsidR="002E1E25">
        <w:t xml:space="preserve"> approved</w:t>
      </w:r>
      <w:r w:rsidR="009F7191">
        <w:t xml:space="preserve"> ex ante measure data for statewide measures</w:t>
      </w:r>
      <w:r w:rsidR="00533119">
        <w:t xml:space="preserve"> and will be completed </w:t>
      </w:r>
      <w:r w:rsidRPr="00F81EE0" w:rsidR="00533119">
        <w:t xml:space="preserve">in </w:t>
      </w:r>
      <w:r w:rsidR="00685755">
        <w:t>the third quarter of</w:t>
      </w:r>
      <w:r w:rsidRPr="00F81EE0" w:rsidR="00533119">
        <w:t xml:space="preserve"> 2020</w:t>
      </w:r>
      <w:r w:rsidR="005237FF">
        <w:t>.</w:t>
      </w:r>
      <w:r w:rsidRPr="00A87EE5">
        <w:t xml:space="preserve"> </w:t>
      </w:r>
      <w:r w:rsidR="00C85A2D">
        <w:t>Phase 2</w:t>
      </w:r>
      <w:r w:rsidRPr="00A87EE5">
        <w:t xml:space="preserve"> </w:t>
      </w:r>
      <w:r w:rsidRPr="00A87EE5" w:rsidR="00874C13">
        <w:t>addresses enhancements necessary for the eTRM to meet the Deemed Data Standard</w:t>
      </w:r>
      <w:r w:rsidRPr="00A87EE5" w:rsidR="00F51FFF">
        <w:rPr>
          <w:rStyle w:val="FootnoteReference"/>
        </w:rPr>
        <w:footnoteReference w:id="12"/>
      </w:r>
      <w:r w:rsidRPr="00A87EE5" w:rsidR="00E22E3D">
        <w:t xml:space="preserve"> for review</w:t>
      </w:r>
      <w:r w:rsidRPr="00A87EE5" w:rsidR="00874C13">
        <w:t xml:space="preserve">, described in more detail in Appendix 2, and shall begin </w:t>
      </w:r>
      <w:r w:rsidR="00930FEC">
        <w:t xml:space="preserve">later </w:t>
      </w:r>
      <w:r w:rsidRPr="00A87EE5" w:rsidR="00874C13">
        <w:t xml:space="preserve">in </w:t>
      </w:r>
      <w:r w:rsidR="00344490">
        <w:t xml:space="preserve">2020 and </w:t>
      </w:r>
      <w:r w:rsidR="00AF298D">
        <w:t xml:space="preserve">be </w:t>
      </w:r>
      <w:r w:rsidR="00344490">
        <w:t>complete</w:t>
      </w:r>
      <w:r w:rsidR="00AF298D">
        <w:t>d</w:t>
      </w:r>
      <w:r w:rsidR="00344490">
        <w:t xml:space="preserve"> by June 2021</w:t>
      </w:r>
      <w:r w:rsidRPr="00A87EE5">
        <w:t xml:space="preserve"> </w:t>
      </w:r>
      <w:r w:rsidR="00143748">
        <w:t xml:space="preserve">to </w:t>
      </w:r>
      <w:r w:rsidRPr="00A87EE5">
        <w:t>provide Energy Division adequate time to test and accept before final transition of DEER.</w:t>
      </w:r>
      <w:r>
        <w:t xml:space="preserve"> </w:t>
      </w:r>
      <w:r w:rsidR="00F51FFF">
        <w:t xml:space="preserve"> </w:t>
      </w:r>
    </w:p>
    <w:p w:rsidR="00090749" w:rsidP="00090749" w:rsidRDefault="002329B8" w14:paraId="687B909A" w14:textId="19F445EE">
      <w:r>
        <w:lastRenderedPageBreak/>
        <w:t>T</w:t>
      </w:r>
      <w:r w:rsidR="00816C36">
        <w:t xml:space="preserve">he eTRM uses a modern relational database architecture that can be integrated with the CPUC’s other EE data systems. </w:t>
      </w:r>
      <w:r w:rsidR="00AF298D">
        <w:t xml:space="preserve">The </w:t>
      </w:r>
      <w:r w:rsidR="00816C36">
        <w:t>Energy Division will maintain authority over the values presented in the eTRM</w:t>
      </w:r>
      <w:r w:rsidR="00EE24FE">
        <w:t>:</w:t>
      </w:r>
      <w:r w:rsidR="00816C36">
        <w:t xml:space="preserve"> in </w:t>
      </w:r>
      <w:r w:rsidR="00C85A2D">
        <w:t>Phase 1</w:t>
      </w:r>
      <w:r w:rsidR="00816C36">
        <w:t xml:space="preserve"> this will be accomplished with an a</w:t>
      </w:r>
      <w:r w:rsidRPr="003C136E" w:rsidR="00816C36">
        <w:t xml:space="preserve">pplication </w:t>
      </w:r>
      <w:r w:rsidR="00816C36">
        <w:t>p</w:t>
      </w:r>
      <w:r w:rsidRPr="003C136E" w:rsidR="00816C36">
        <w:t xml:space="preserve">rogramming </w:t>
      </w:r>
      <w:r w:rsidR="00816C36">
        <w:t>i</w:t>
      </w:r>
      <w:r w:rsidRPr="003C136E" w:rsidR="00816C36">
        <w:t>nterface</w:t>
      </w:r>
      <w:r w:rsidR="00816C36">
        <w:rPr>
          <w:rStyle w:val="FootnoteReference"/>
          <w:rFonts w:eastAsia="Garamond"/>
        </w:rPr>
        <w:footnoteReference w:id="13"/>
      </w:r>
      <w:r w:rsidR="00816C36">
        <w:t xml:space="preserve"> (API) data call to the existing ex ante database, while enhancements developed in </w:t>
      </w:r>
      <w:r w:rsidR="00C85A2D">
        <w:t>Phase 2</w:t>
      </w:r>
      <w:r w:rsidR="00816C36">
        <w:t xml:space="preserve"> will enable staff oversight directly within the eTRM itself using a new “CPUC User” role with read/write privileges.   </w:t>
      </w:r>
    </w:p>
    <w:p w:rsidR="00090749" w:rsidP="00090749" w:rsidRDefault="00090749" w14:paraId="67674281" w14:textId="43612DD2">
      <w:pPr>
        <w:pStyle w:val="Heading4"/>
      </w:pPr>
      <w:bookmarkStart w:name="_Ref41481974" w:id="10"/>
      <w:r>
        <w:t>A.1 Designation of eTRM as a Data Source of Record</w:t>
      </w:r>
      <w:bookmarkEnd w:id="10"/>
      <w:r>
        <w:t xml:space="preserve"> </w:t>
      </w:r>
    </w:p>
    <w:p w:rsidR="00090749" w:rsidP="00090749" w:rsidRDefault="00090749" w14:paraId="67CC83CD" w14:textId="58C0AD6A">
      <w:r>
        <w:t>With this resolution, we confer the conditional designation “data source of record” to the eTRM,</w:t>
      </w:r>
      <w:r w:rsidDel="00943953" w:rsidR="00943953">
        <w:rPr>
          <w:rStyle w:val="FootnoteReference"/>
        </w:rPr>
        <w:t xml:space="preserve"> </w:t>
      </w:r>
      <w:r>
        <w:t xml:space="preserve">which has undergone a comprehensive readiness assessment by CPUC staff and consulting teams </w:t>
      </w:r>
      <w:r w:rsidRPr="002973A9">
        <w:t>and meets and maintains the standard</w:t>
      </w:r>
      <w:r>
        <w:t xml:space="preserve"> set forth by the CPUC </w:t>
      </w:r>
      <w:r w:rsidR="002934B2">
        <w:t>s</w:t>
      </w:r>
      <w:r>
        <w:t xml:space="preserve">taff for deemed </w:t>
      </w:r>
      <w:r w:rsidR="00A96B1D">
        <w:t>EE measure</w:t>
      </w:r>
      <w:r>
        <w:t xml:space="preserve"> data.</w:t>
      </w:r>
      <w:r w:rsidR="00A4493D">
        <w:rPr>
          <w:rStyle w:val="FootnoteReference"/>
        </w:rPr>
        <w:footnoteReference w:id="14"/>
      </w:r>
      <w:r>
        <w:t xml:space="preserve"> </w:t>
      </w:r>
    </w:p>
    <w:p w:rsidR="00090749" w:rsidP="00090749" w:rsidRDefault="00090749" w14:paraId="2BE9354D" w14:textId="0BA8E86C">
      <w:r>
        <w:t xml:space="preserve">The CPUC’s present suite of deemed data resources—the current “data source of record”—is maintained by CPUC </w:t>
      </w:r>
      <w:r w:rsidR="002934B2">
        <w:t>s</w:t>
      </w:r>
      <w:r>
        <w:t>taff and resides across various websites, support tables, applications and file directories that can no longer be supported by CPUC IT staff or our consulting teams.</w:t>
      </w:r>
      <w:r w:rsidR="002934B2">
        <w:t xml:space="preserve"> </w:t>
      </w:r>
      <w:r>
        <w:t>Transitioning to the eTRM as data source of record will</w:t>
      </w:r>
      <w:r w:rsidR="0094509A">
        <w:t xml:space="preserve"> </w:t>
      </w:r>
      <w:r>
        <w:t xml:space="preserve">replace these older systems and enable users transparent and efficient access to </w:t>
      </w:r>
      <w:r w:rsidR="00A96B1D">
        <w:t>deemed EE measure</w:t>
      </w:r>
      <w:r>
        <w:t xml:space="preserve"> data in </w:t>
      </w:r>
      <w:r w:rsidR="00586441">
        <w:t>a</w:t>
      </w:r>
      <w:r>
        <w:t xml:space="preserve">n online environment; additional eTRM enhancements will make review and approval of EE measures more efficient, enable a more robust data architecture, and allow for integration with other EE data systems like </w:t>
      </w:r>
      <w:r w:rsidR="007C7D5A">
        <w:t>the California Energy Data and Reporting System (</w:t>
      </w:r>
      <w:r>
        <w:t>CEDARS</w:t>
      </w:r>
      <w:r w:rsidR="007C7D5A">
        <w:t>)</w:t>
      </w:r>
      <w:r w:rsidR="007C7D5A">
        <w:rPr>
          <w:rStyle w:val="FootnoteReference"/>
        </w:rPr>
        <w:footnoteReference w:id="15"/>
      </w:r>
      <w:r>
        <w:t xml:space="preserve"> and the </w:t>
      </w:r>
      <w:r w:rsidR="002934B2">
        <w:t>cost effectiveness tool (</w:t>
      </w:r>
      <w:r>
        <w:t>CET.</w:t>
      </w:r>
      <w:r w:rsidR="002934B2">
        <w:t>)</w:t>
      </w:r>
    </w:p>
    <w:p w:rsidR="008D5D1F" w:rsidP="00AF3B16" w:rsidRDefault="00C85A2D" w14:paraId="169ED757" w14:textId="5CA4DAD9">
      <w:pPr>
        <w:rPr>
          <w:rFonts w:eastAsia="Garamond"/>
        </w:rPr>
      </w:pPr>
      <w:r>
        <w:rPr>
          <w:rFonts w:eastAsia="Garamond"/>
        </w:rPr>
        <w:t>Phase 1</w:t>
      </w:r>
      <w:r w:rsidRPr="001A6020" w:rsidR="00AF3B16">
        <w:rPr>
          <w:rFonts w:eastAsia="Garamond"/>
        </w:rPr>
        <w:t xml:space="preserve"> of the Energy Division’s transition plan involves designating the eTRM as a conditional data source of record to enable public </w:t>
      </w:r>
      <w:proofErr w:type="gramStart"/>
      <w:r w:rsidRPr="001A6020" w:rsidR="00AF3B16">
        <w:rPr>
          <w:rFonts w:eastAsia="Garamond"/>
        </w:rPr>
        <w:t>users</w:t>
      </w:r>
      <w:proofErr w:type="gramEnd"/>
      <w:r w:rsidRPr="001A6020" w:rsidR="00AF3B16">
        <w:rPr>
          <w:rFonts w:eastAsia="Garamond"/>
        </w:rPr>
        <w:t xml:space="preserve"> access to</w:t>
      </w:r>
      <w:r w:rsidR="00CF7AD4">
        <w:rPr>
          <w:rFonts w:eastAsia="Garamond"/>
        </w:rPr>
        <w:t xml:space="preserve"> active</w:t>
      </w:r>
      <w:r w:rsidRPr="001A6020" w:rsidR="00AF3B16">
        <w:rPr>
          <w:rFonts w:eastAsia="Garamond"/>
        </w:rPr>
        <w:t xml:space="preserve"> Commission-approved </w:t>
      </w:r>
      <w:r w:rsidR="004C6675">
        <w:rPr>
          <w:rFonts w:eastAsia="Garamond"/>
        </w:rPr>
        <w:t xml:space="preserve">deemed </w:t>
      </w:r>
      <w:r w:rsidR="00CF7AD4">
        <w:rPr>
          <w:rFonts w:eastAsia="Garamond"/>
        </w:rPr>
        <w:t xml:space="preserve">statewide </w:t>
      </w:r>
      <w:r w:rsidR="004C6675">
        <w:rPr>
          <w:rFonts w:eastAsia="Garamond"/>
        </w:rPr>
        <w:t>measure</w:t>
      </w:r>
      <w:r w:rsidRPr="001A6020" w:rsidR="00AF3B16">
        <w:rPr>
          <w:rFonts w:eastAsia="Garamond"/>
        </w:rPr>
        <w:t xml:space="preserve"> values.</w:t>
      </w:r>
      <w:r w:rsidR="002934B2">
        <w:rPr>
          <w:rFonts w:eastAsia="Garamond"/>
        </w:rPr>
        <w:t xml:space="preserve"> </w:t>
      </w:r>
      <w:r w:rsidRPr="001A6020" w:rsidR="00AF3B16">
        <w:rPr>
          <w:rFonts w:eastAsia="Garamond"/>
        </w:rPr>
        <w:t xml:space="preserve">The conditional designation will remain in place until the </w:t>
      </w:r>
      <w:r w:rsidR="00AF3B16">
        <w:rPr>
          <w:rFonts w:eastAsia="Garamond"/>
        </w:rPr>
        <w:t xml:space="preserve">CPUC </w:t>
      </w:r>
      <w:r w:rsidR="00813B21">
        <w:rPr>
          <w:rFonts w:eastAsia="Garamond"/>
        </w:rPr>
        <w:t>s</w:t>
      </w:r>
      <w:r w:rsidR="00AF3B16">
        <w:rPr>
          <w:rFonts w:eastAsia="Garamond"/>
        </w:rPr>
        <w:t>taff</w:t>
      </w:r>
      <w:r w:rsidRPr="001A6020" w:rsidR="00AF3B16">
        <w:rPr>
          <w:rFonts w:eastAsia="Garamond"/>
        </w:rPr>
        <w:t xml:space="preserve"> determines that the eTRM achieves the milestones described in this resolution. </w:t>
      </w:r>
      <w:r w:rsidRPr="003F13E5" w:rsidR="00AF3B16">
        <w:rPr>
          <w:rFonts w:eastAsia="Garamond"/>
        </w:rPr>
        <w:t xml:space="preserve">By </w:t>
      </w:r>
      <w:r w:rsidRPr="003F13E5" w:rsidR="002F46E8">
        <w:rPr>
          <w:rFonts w:eastAsia="Garamond"/>
        </w:rPr>
        <w:t xml:space="preserve">July </w:t>
      </w:r>
      <w:r w:rsidRPr="003F13E5" w:rsidR="00AF3B16">
        <w:rPr>
          <w:rFonts w:eastAsia="Garamond"/>
        </w:rPr>
        <w:t xml:space="preserve">1, 2021, the eTRM will be the definitive public access portal for </w:t>
      </w:r>
      <w:r w:rsidRPr="003F13E5" w:rsidR="007E476A">
        <w:rPr>
          <w:rFonts w:eastAsia="Garamond"/>
        </w:rPr>
        <w:t>active statewide</w:t>
      </w:r>
      <w:r w:rsidRPr="003F13E5" w:rsidR="004C6675">
        <w:rPr>
          <w:rFonts w:eastAsia="Garamond"/>
        </w:rPr>
        <w:t xml:space="preserve"> </w:t>
      </w:r>
      <w:r w:rsidRPr="003F13E5" w:rsidR="00AF3B16">
        <w:rPr>
          <w:rFonts w:eastAsia="Garamond"/>
        </w:rPr>
        <w:t xml:space="preserve">measure data, and </w:t>
      </w:r>
      <w:r w:rsidRPr="003F13E5" w:rsidR="009F7FA8">
        <w:rPr>
          <w:rFonts w:eastAsia="Garamond"/>
        </w:rPr>
        <w:t>Staff will begin working with the</w:t>
      </w:r>
      <w:r w:rsidRPr="003F13E5" w:rsidR="006F59FF">
        <w:rPr>
          <w:rFonts w:eastAsia="Garamond"/>
        </w:rPr>
        <w:t xml:space="preserve"> IOUs to integrate relevant ex ante data into the eTRM so that </w:t>
      </w:r>
      <w:r w:rsidRPr="003F13E5" w:rsidR="00AF3B16">
        <w:rPr>
          <w:rFonts w:eastAsia="Garamond"/>
        </w:rPr>
        <w:t xml:space="preserve">at a suitable point in 2021 </w:t>
      </w:r>
      <w:r w:rsidRPr="003F13E5" w:rsidR="00AF3B16">
        <w:rPr>
          <w:rFonts w:eastAsia="Garamond"/>
        </w:rPr>
        <w:lastRenderedPageBreak/>
        <w:t xml:space="preserve">the </w:t>
      </w:r>
      <w:r w:rsidRPr="003F13E5" w:rsidR="001141EA">
        <w:rPr>
          <w:rFonts w:eastAsia="Garamond"/>
        </w:rPr>
        <w:t xml:space="preserve">DEER database and </w:t>
      </w:r>
      <w:r w:rsidRPr="003F13E5" w:rsidR="00AF3B16">
        <w:rPr>
          <w:rFonts w:eastAsia="Garamond"/>
        </w:rPr>
        <w:t>READI data viewer will be archived on the Commission’s servers.</w:t>
      </w:r>
      <w:r w:rsidRPr="001A6020" w:rsidR="00AF3B16">
        <w:rPr>
          <w:rFonts w:eastAsia="Garamond"/>
        </w:rPr>
        <w:t xml:space="preserve"> </w:t>
      </w:r>
    </w:p>
    <w:p w:rsidR="003E315D" w:rsidP="00AF3B16" w:rsidRDefault="00AF3B16" w14:paraId="705B4688" w14:textId="653662A9">
      <w:pPr>
        <w:rPr>
          <w:rFonts w:eastAsia="Garamond"/>
        </w:rPr>
      </w:pPr>
      <w:r w:rsidRPr="003F13E5">
        <w:rPr>
          <w:rFonts w:eastAsia="Garamond"/>
        </w:rPr>
        <w:t xml:space="preserve">As a data source of record, the eTRM may be referenced in workpapers submitted for staff review </w:t>
      </w:r>
      <w:r w:rsidRPr="003F13E5" w:rsidR="00FF2282">
        <w:rPr>
          <w:rFonts w:eastAsia="Garamond"/>
        </w:rPr>
        <w:t>and</w:t>
      </w:r>
      <w:r w:rsidRPr="003F13E5" w:rsidR="003E315D">
        <w:rPr>
          <w:rFonts w:eastAsia="Garamond"/>
        </w:rPr>
        <w:t xml:space="preserve"> general</w:t>
      </w:r>
      <w:r w:rsidRPr="003F13E5" w:rsidR="00FF2282">
        <w:rPr>
          <w:rFonts w:eastAsia="Garamond"/>
        </w:rPr>
        <w:t xml:space="preserve"> portfolio planning activities </w:t>
      </w:r>
      <w:r w:rsidRPr="003F13E5" w:rsidR="00625151">
        <w:rPr>
          <w:rFonts w:eastAsia="Garamond"/>
        </w:rPr>
        <w:t>beginning January 1, 2021</w:t>
      </w:r>
      <w:r w:rsidR="00FA02ED">
        <w:rPr>
          <w:rFonts w:eastAsia="Garamond"/>
        </w:rPr>
        <w:t xml:space="preserve">. </w:t>
      </w:r>
      <w:r w:rsidR="005E38E1">
        <w:rPr>
          <w:rFonts w:eastAsia="Garamond"/>
        </w:rPr>
        <w:t xml:space="preserve">CPUC staff plans to </w:t>
      </w:r>
      <w:r w:rsidR="002C1CA7">
        <w:rPr>
          <w:rFonts w:eastAsia="Garamond"/>
        </w:rPr>
        <w:t>begin preparations for</w:t>
      </w:r>
      <w:r w:rsidR="005E38E1">
        <w:rPr>
          <w:rFonts w:eastAsia="Garamond"/>
        </w:rPr>
        <w:t xml:space="preserve"> Phase 2 in 2020</w:t>
      </w:r>
      <w:r w:rsidRPr="001A6020">
        <w:rPr>
          <w:rFonts w:eastAsia="Garamond"/>
        </w:rPr>
        <w:t>, starting with eTRM functionality enhancement</w:t>
      </w:r>
      <w:r w:rsidR="0004340A">
        <w:rPr>
          <w:rFonts w:eastAsia="Garamond"/>
        </w:rPr>
        <w:t>s</w:t>
      </w:r>
      <w:r w:rsidRPr="001A6020">
        <w:rPr>
          <w:rFonts w:eastAsia="Garamond"/>
        </w:rPr>
        <w:t xml:space="preserve"> to facilitate workpaper submission, review, tracking, approval and updates </w:t>
      </w:r>
      <w:r w:rsidR="00FF2282">
        <w:rPr>
          <w:rFonts w:eastAsia="Garamond"/>
        </w:rPr>
        <w:t>directly within</w:t>
      </w:r>
      <w:r w:rsidRPr="001A6020" w:rsidR="00FF2282">
        <w:rPr>
          <w:rFonts w:eastAsia="Garamond"/>
        </w:rPr>
        <w:t xml:space="preserve"> </w:t>
      </w:r>
      <w:r w:rsidRPr="001A6020">
        <w:rPr>
          <w:rFonts w:eastAsia="Garamond"/>
        </w:rPr>
        <w:t xml:space="preserve">the eTRM platform itself. When this </w:t>
      </w:r>
      <w:r w:rsidR="003E315D">
        <w:rPr>
          <w:rFonts w:eastAsia="Garamond"/>
        </w:rPr>
        <w:t xml:space="preserve">workflow enhancement </w:t>
      </w:r>
      <w:r w:rsidRPr="001A6020">
        <w:rPr>
          <w:rFonts w:eastAsia="Garamond"/>
        </w:rPr>
        <w:t>is operational, the WPA will be retired as the workpaper review platform.</w:t>
      </w:r>
      <w:r w:rsidR="002934B2">
        <w:rPr>
          <w:rFonts w:eastAsia="Garamond"/>
        </w:rPr>
        <w:t xml:space="preserve"> </w:t>
      </w:r>
    </w:p>
    <w:p w:rsidRPr="001A6020" w:rsidR="00AF3B16" w:rsidP="00AF3B16" w:rsidRDefault="00AF3B16" w14:paraId="6E382DEE" w14:textId="6C1FC299">
      <w:pPr>
        <w:rPr>
          <w:rFonts w:eastAsia="Garamond"/>
        </w:rPr>
      </w:pPr>
      <w:r>
        <w:rPr>
          <w:rFonts w:eastAsia="Garamond"/>
        </w:rPr>
        <w:t xml:space="preserve">CPUC </w:t>
      </w:r>
      <w:r w:rsidR="00813B21">
        <w:rPr>
          <w:rFonts w:eastAsia="Garamond"/>
        </w:rPr>
        <w:t>s</w:t>
      </w:r>
      <w:r>
        <w:rPr>
          <w:rFonts w:eastAsia="Garamond"/>
        </w:rPr>
        <w:t>taff</w:t>
      </w:r>
      <w:r w:rsidRPr="001A6020">
        <w:rPr>
          <w:rFonts w:eastAsia="Garamond"/>
        </w:rPr>
        <w:t xml:space="preserve"> will also address the DEER structure and integrations with the CEDARS reporting system in </w:t>
      </w:r>
      <w:r w:rsidR="00C85A2D">
        <w:rPr>
          <w:rFonts w:eastAsia="Garamond"/>
        </w:rPr>
        <w:t>Phase 2</w:t>
      </w:r>
      <w:r w:rsidRPr="001A6020">
        <w:rPr>
          <w:rFonts w:eastAsia="Garamond"/>
        </w:rPr>
        <w:t xml:space="preserve">. When milestones in Phases </w:t>
      </w:r>
      <w:r w:rsidR="0057699D">
        <w:rPr>
          <w:rFonts w:eastAsia="Garamond"/>
        </w:rPr>
        <w:t>1</w:t>
      </w:r>
      <w:r w:rsidRPr="001A6020" w:rsidR="0057699D">
        <w:rPr>
          <w:rFonts w:eastAsia="Garamond"/>
        </w:rPr>
        <w:t xml:space="preserve"> </w:t>
      </w:r>
      <w:r w:rsidRPr="001A6020">
        <w:rPr>
          <w:rFonts w:eastAsia="Garamond"/>
        </w:rPr>
        <w:t xml:space="preserve">and </w:t>
      </w:r>
      <w:r w:rsidR="0057699D">
        <w:rPr>
          <w:rFonts w:eastAsia="Garamond"/>
        </w:rPr>
        <w:t>2</w:t>
      </w:r>
      <w:r w:rsidRPr="001A6020" w:rsidR="0057699D">
        <w:rPr>
          <w:rFonts w:eastAsia="Garamond"/>
        </w:rPr>
        <w:t xml:space="preserve"> </w:t>
      </w:r>
      <w:r w:rsidRPr="001A6020">
        <w:rPr>
          <w:rFonts w:eastAsia="Garamond"/>
        </w:rPr>
        <w:t xml:space="preserve">are achieved to the </w:t>
      </w:r>
      <w:r w:rsidR="00813B21">
        <w:rPr>
          <w:rFonts w:eastAsia="Garamond"/>
        </w:rPr>
        <w:t>s</w:t>
      </w:r>
      <w:r>
        <w:rPr>
          <w:rFonts w:eastAsia="Garamond"/>
        </w:rPr>
        <w:t>taff</w:t>
      </w:r>
      <w:r w:rsidRPr="001A6020">
        <w:rPr>
          <w:rFonts w:eastAsia="Garamond"/>
        </w:rPr>
        <w:t xml:space="preserve">’s satisfaction, the </w:t>
      </w:r>
      <w:r w:rsidR="00473304">
        <w:rPr>
          <w:rFonts w:eastAsia="Garamond"/>
        </w:rPr>
        <w:t>“</w:t>
      </w:r>
      <w:r w:rsidRPr="001A6020">
        <w:rPr>
          <w:rFonts w:eastAsia="Garamond"/>
        </w:rPr>
        <w:t>conditional</w:t>
      </w:r>
      <w:r w:rsidR="00473304">
        <w:rPr>
          <w:rFonts w:eastAsia="Garamond"/>
        </w:rPr>
        <w:t>”</w:t>
      </w:r>
      <w:r w:rsidRPr="001A6020">
        <w:rPr>
          <w:rFonts w:eastAsia="Garamond"/>
        </w:rPr>
        <w:t xml:space="preserve"> </w:t>
      </w:r>
      <w:r w:rsidR="00473304">
        <w:rPr>
          <w:rFonts w:eastAsia="Garamond"/>
        </w:rPr>
        <w:t>label</w:t>
      </w:r>
      <w:r w:rsidRPr="001A6020" w:rsidDel="00473304" w:rsidR="00473304">
        <w:rPr>
          <w:rFonts w:eastAsia="Garamond"/>
        </w:rPr>
        <w:t xml:space="preserve"> </w:t>
      </w:r>
      <w:r w:rsidRPr="001A6020">
        <w:rPr>
          <w:rFonts w:eastAsia="Garamond"/>
        </w:rPr>
        <w:t xml:space="preserve">may be removed </w:t>
      </w:r>
      <w:r w:rsidR="003E315D">
        <w:rPr>
          <w:rFonts w:eastAsia="Garamond"/>
        </w:rPr>
        <w:t>in a</w:t>
      </w:r>
      <w:r w:rsidRPr="001A6020" w:rsidR="003E315D">
        <w:rPr>
          <w:rFonts w:eastAsia="Garamond"/>
        </w:rPr>
        <w:t xml:space="preserve"> </w:t>
      </w:r>
      <w:r w:rsidRPr="001A6020">
        <w:rPr>
          <w:rFonts w:eastAsia="Garamond"/>
        </w:rPr>
        <w:t xml:space="preserve">future DEER resolution. Future phased work </w:t>
      </w:r>
      <w:r w:rsidR="00281FA4">
        <w:rPr>
          <w:rFonts w:eastAsia="Garamond"/>
        </w:rPr>
        <w:t xml:space="preserve">and other administrative considerations </w:t>
      </w:r>
      <w:r w:rsidRPr="001A6020">
        <w:rPr>
          <w:rFonts w:eastAsia="Garamond"/>
        </w:rPr>
        <w:t xml:space="preserve">may be considered </w:t>
      </w:r>
      <w:r w:rsidR="004C6675">
        <w:rPr>
          <w:rFonts w:eastAsia="Garamond"/>
        </w:rPr>
        <w:t>after</w:t>
      </w:r>
      <w:r w:rsidRPr="001A6020" w:rsidR="004C6675">
        <w:rPr>
          <w:rFonts w:eastAsia="Garamond"/>
        </w:rPr>
        <w:t xml:space="preserve"> </w:t>
      </w:r>
      <w:r w:rsidR="00C85A2D">
        <w:rPr>
          <w:rFonts w:eastAsia="Garamond"/>
        </w:rPr>
        <w:t>Phase 2</w:t>
      </w:r>
      <w:r w:rsidRPr="001A6020">
        <w:rPr>
          <w:rFonts w:eastAsia="Garamond"/>
        </w:rPr>
        <w:t xml:space="preserve"> deliverables</w:t>
      </w:r>
      <w:r>
        <w:rPr>
          <w:rFonts w:eastAsia="Garamond"/>
        </w:rPr>
        <w:t xml:space="preserve"> are completed</w:t>
      </w:r>
      <w:r w:rsidRPr="001A6020">
        <w:rPr>
          <w:rFonts w:eastAsia="Garamond"/>
        </w:rPr>
        <w:t>.</w:t>
      </w:r>
    </w:p>
    <w:p w:rsidRPr="00BE4980" w:rsidR="0004581D" w:rsidP="0004581D" w:rsidRDefault="003F13E5" w14:paraId="53EFE9B6" w14:textId="1979628B">
      <w:pPr>
        <w:rPr>
          <w:rFonts w:eastAsia="Garamond"/>
          <w:b/>
        </w:rPr>
      </w:pPr>
      <w:r w:rsidRPr="00BE4980">
        <w:rPr>
          <w:rFonts w:eastAsia="Garamond"/>
          <w:b/>
        </w:rPr>
        <w:t xml:space="preserve">Table 2 – Summary of eTRM </w:t>
      </w:r>
      <w:r w:rsidR="0057699D">
        <w:rPr>
          <w:rFonts w:eastAsia="Garamond"/>
          <w:b/>
        </w:rPr>
        <w:t>T</w:t>
      </w:r>
      <w:r w:rsidRPr="00BE4980" w:rsidR="0057699D">
        <w:rPr>
          <w:rFonts w:eastAsia="Garamond"/>
          <w:b/>
        </w:rPr>
        <w:t xml:space="preserve">ransition </w:t>
      </w:r>
    </w:p>
    <w:tbl>
      <w:tblPr>
        <w:tblStyle w:val="TableGrid"/>
        <w:tblW w:w="0" w:type="auto"/>
        <w:tblLook w:val="04A0" w:firstRow="1" w:lastRow="0" w:firstColumn="1" w:lastColumn="0" w:noHBand="0" w:noVBand="1"/>
      </w:tblPr>
      <w:tblGrid>
        <w:gridCol w:w="2425"/>
        <w:gridCol w:w="3808"/>
        <w:gridCol w:w="3117"/>
      </w:tblGrid>
      <w:tr w:rsidR="00BE4980" w:rsidTr="0057699D" w14:paraId="24F57B82" w14:textId="77777777">
        <w:trPr>
          <w:trHeight w:val="144"/>
        </w:trPr>
        <w:tc>
          <w:tcPr>
            <w:tcW w:w="2425" w:type="dxa"/>
            <w:vAlign w:val="center"/>
          </w:tcPr>
          <w:p w:rsidR="00BE4980" w:rsidP="0057699D" w:rsidRDefault="00BE4980" w14:paraId="240C9494" w14:textId="4E81B671">
            <w:pPr>
              <w:spacing w:after="0"/>
              <w:jc w:val="center"/>
            </w:pPr>
            <w:r>
              <w:t>Phase</w:t>
            </w:r>
          </w:p>
        </w:tc>
        <w:tc>
          <w:tcPr>
            <w:tcW w:w="3808" w:type="dxa"/>
            <w:vAlign w:val="center"/>
          </w:tcPr>
          <w:p w:rsidR="00BE4980" w:rsidP="0057699D" w:rsidRDefault="00BE4980" w14:paraId="11ACC41D" w14:textId="4CE37931">
            <w:pPr>
              <w:spacing w:after="0"/>
              <w:jc w:val="center"/>
            </w:pPr>
            <w:r>
              <w:t>Scope</w:t>
            </w:r>
          </w:p>
        </w:tc>
        <w:tc>
          <w:tcPr>
            <w:tcW w:w="3117" w:type="dxa"/>
            <w:vAlign w:val="center"/>
          </w:tcPr>
          <w:p w:rsidR="00BE4980" w:rsidP="0057699D" w:rsidRDefault="00975A3F" w14:paraId="2BEC57EA" w14:textId="3BEA1648">
            <w:pPr>
              <w:spacing w:after="0"/>
              <w:jc w:val="center"/>
            </w:pPr>
            <w:r>
              <w:t>Completion</w:t>
            </w:r>
          </w:p>
        </w:tc>
      </w:tr>
      <w:tr w:rsidR="00E0076A" w:rsidTr="0057699D" w14:paraId="57D1DF7F" w14:textId="77777777">
        <w:tc>
          <w:tcPr>
            <w:tcW w:w="2425" w:type="dxa"/>
          </w:tcPr>
          <w:p w:rsidR="00E0076A" w:rsidP="0057699D" w:rsidRDefault="00C85A2D" w14:paraId="67ED71E3" w14:textId="60C624D1">
            <w:pPr>
              <w:spacing w:after="60"/>
            </w:pPr>
            <w:r>
              <w:t>Phase 1</w:t>
            </w:r>
          </w:p>
        </w:tc>
        <w:tc>
          <w:tcPr>
            <w:tcW w:w="3808" w:type="dxa"/>
          </w:tcPr>
          <w:p w:rsidR="00E0076A" w:rsidP="0057699D" w:rsidRDefault="007C7B83" w14:paraId="3FD917D9" w14:textId="77777777">
            <w:pPr>
              <w:spacing w:after="160"/>
            </w:pPr>
            <w:r>
              <w:t xml:space="preserve">Enable </w:t>
            </w:r>
            <w:r w:rsidR="004D11A7">
              <w:t>eTRM as pu</w:t>
            </w:r>
            <w:r w:rsidR="007750BD">
              <w:t xml:space="preserve">blic source of </w:t>
            </w:r>
            <w:r w:rsidR="00B8286B">
              <w:t xml:space="preserve">deemed estimated </w:t>
            </w:r>
            <w:r w:rsidR="006430E8">
              <w:t>savings values</w:t>
            </w:r>
          </w:p>
          <w:p w:rsidR="00E0076A" w:rsidP="0057699D" w:rsidRDefault="00E0076A" w14:paraId="1B3712CB" w14:textId="51AC432E">
            <w:pPr>
              <w:spacing w:after="160"/>
            </w:pPr>
          </w:p>
        </w:tc>
        <w:tc>
          <w:tcPr>
            <w:tcW w:w="3117" w:type="dxa"/>
          </w:tcPr>
          <w:p w:rsidR="00E0076A" w:rsidP="0057699D" w:rsidRDefault="00FE28D8" w14:paraId="19B2D2ED" w14:textId="2CEEAE00">
            <w:pPr>
              <w:spacing w:after="160"/>
            </w:pPr>
            <w:r>
              <w:t>Q</w:t>
            </w:r>
            <w:r w:rsidR="007231F8">
              <w:t>3</w:t>
            </w:r>
            <w:r>
              <w:t xml:space="preserve"> 2020</w:t>
            </w:r>
          </w:p>
          <w:p w:rsidR="00FE28D8" w:rsidP="0057699D" w:rsidRDefault="00FE28D8" w14:paraId="6F30BC32" w14:textId="77777777">
            <w:pPr>
              <w:spacing w:after="160"/>
            </w:pPr>
          </w:p>
          <w:p w:rsidR="00E0076A" w:rsidP="0057699D" w:rsidRDefault="007D136D" w14:paraId="2AD8BCDB" w14:textId="4FF67DB3">
            <w:pPr>
              <w:spacing w:after="160"/>
            </w:pPr>
            <w:r>
              <w:t xml:space="preserve">Available for </w:t>
            </w:r>
            <w:r w:rsidR="00935DE8">
              <w:t xml:space="preserve">public </w:t>
            </w:r>
            <w:r w:rsidR="00320EAA">
              <w:t>use January 1, 2021</w:t>
            </w:r>
            <w:r w:rsidR="007650E8">
              <w:t xml:space="preserve"> </w:t>
            </w:r>
          </w:p>
        </w:tc>
      </w:tr>
      <w:tr w:rsidR="00AC48DE" w:rsidTr="0057699D" w14:paraId="6FAF6431" w14:textId="77777777">
        <w:tc>
          <w:tcPr>
            <w:tcW w:w="2425" w:type="dxa"/>
          </w:tcPr>
          <w:p w:rsidR="00AC48DE" w:rsidP="0057699D" w:rsidRDefault="00C85A2D" w14:paraId="756BC372" w14:textId="2C7F5A37">
            <w:pPr>
              <w:spacing w:after="60"/>
            </w:pPr>
            <w:r>
              <w:t>Phase 2</w:t>
            </w:r>
          </w:p>
        </w:tc>
        <w:tc>
          <w:tcPr>
            <w:tcW w:w="3808" w:type="dxa"/>
          </w:tcPr>
          <w:p w:rsidR="00AC48DE" w:rsidP="0057699D" w:rsidRDefault="00C307A4" w14:paraId="69853631" w14:textId="2CB4C639">
            <w:pPr>
              <w:spacing w:after="200"/>
              <w:rPr>
                <w:rFonts w:eastAsia="Garamond"/>
              </w:rPr>
            </w:pPr>
            <w:r w:rsidRPr="001A6020">
              <w:rPr>
                <w:rFonts w:eastAsia="Garamond"/>
              </w:rPr>
              <w:t>eTRM functionality enhancement</w:t>
            </w:r>
            <w:r>
              <w:rPr>
                <w:rFonts w:eastAsia="Garamond"/>
              </w:rPr>
              <w:t>s</w:t>
            </w:r>
            <w:r w:rsidRPr="001A6020">
              <w:rPr>
                <w:rFonts w:eastAsia="Garamond"/>
              </w:rPr>
              <w:t xml:space="preserve"> to facilitate workpaper submission, review, tracking, approval and updates </w:t>
            </w:r>
            <w:r>
              <w:rPr>
                <w:rFonts w:eastAsia="Garamond"/>
              </w:rPr>
              <w:t>directly within</w:t>
            </w:r>
            <w:r w:rsidRPr="001A6020">
              <w:rPr>
                <w:rFonts w:eastAsia="Garamond"/>
              </w:rPr>
              <w:t xml:space="preserve"> the eTRM platform itself</w:t>
            </w:r>
          </w:p>
          <w:p w:rsidR="00AA5445" w:rsidP="0057699D" w:rsidRDefault="00A867E4" w14:paraId="513E85A9" w14:textId="77777777">
            <w:pPr>
              <w:spacing w:after="200"/>
              <w:rPr>
                <w:rFonts w:eastAsia="Garamond"/>
              </w:rPr>
            </w:pPr>
            <w:r>
              <w:rPr>
                <w:rFonts w:eastAsia="Garamond"/>
              </w:rPr>
              <w:t>Sunset</w:t>
            </w:r>
            <w:r w:rsidR="00AA5445">
              <w:rPr>
                <w:rFonts w:eastAsia="Garamond"/>
              </w:rPr>
              <w:t>/Archive</w:t>
            </w:r>
            <w:r>
              <w:rPr>
                <w:rFonts w:eastAsia="Garamond"/>
              </w:rPr>
              <w:t xml:space="preserve"> WPA </w:t>
            </w:r>
          </w:p>
          <w:p w:rsidR="009E348F" w:rsidP="0057699D" w:rsidRDefault="008D3EC5" w14:paraId="5C5D46A2" w14:textId="2E25552C">
            <w:pPr>
              <w:spacing w:after="200"/>
              <w:rPr>
                <w:rFonts w:eastAsia="Garamond"/>
              </w:rPr>
            </w:pPr>
            <w:r>
              <w:rPr>
                <w:rFonts w:eastAsia="Garamond"/>
              </w:rPr>
              <w:t>DEER</w:t>
            </w:r>
            <w:r w:rsidR="0031231B">
              <w:rPr>
                <w:rFonts w:eastAsia="Garamond"/>
              </w:rPr>
              <w:t>/Ex Ante Review data</w:t>
            </w:r>
            <w:r>
              <w:rPr>
                <w:rFonts w:eastAsia="Garamond"/>
              </w:rPr>
              <w:t xml:space="preserve"> </w:t>
            </w:r>
            <w:r w:rsidR="0031231B">
              <w:rPr>
                <w:rFonts w:eastAsia="Garamond"/>
              </w:rPr>
              <w:t>re-</w:t>
            </w:r>
            <w:r>
              <w:rPr>
                <w:rFonts w:eastAsia="Garamond"/>
              </w:rPr>
              <w:t>structure</w:t>
            </w:r>
            <w:r w:rsidR="0031231B">
              <w:rPr>
                <w:rFonts w:eastAsia="Garamond"/>
              </w:rPr>
              <w:t>d within eTRM platform</w:t>
            </w:r>
          </w:p>
          <w:p w:rsidR="00AC48DE" w:rsidP="0057699D" w:rsidRDefault="009E348F" w14:paraId="4235D2FE" w14:textId="69413201">
            <w:pPr>
              <w:spacing w:after="200"/>
            </w:pPr>
            <w:r>
              <w:rPr>
                <w:rFonts w:eastAsia="Garamond"/>
              </w:rPr>
              <w:t xml:space="preserve">Integration with </w:t>
            </w:r>
            <w:r w:rsidR="007072D8">
              <w:rPr>
                <w:rFonts w:eastAsia="Garamond"/>
              </w:rPr>
              <w:t xml:space="preserve">CET and </w:t>
            </w:r>
            <w:r w:rsidR="004F1186">
              <w:rPr>
                <w:rFonts w:eastAsia="Garamond"/>
              </w:rPr>
              <w:t>CEDAR</w:t>
            </w:r>
            <w:r>
              <w:rPr>
                <w:rFonts w:eastAsia="Garamond"/>
              </w:rPr>
              <w:t>S</w:t>
            </w:r>
            <w:r w:rsidR="007072D8">
              <w:rPr>
                <w:rFonts w:eastAsia="Garamond"/>
              </w:rPr>
              <w:t xml:space="preserve"> reporting functions</w:t>
            </w:r>
          </w:p>
        </w:tc>
        <w:tc>
          <w:tcPr>
            <w:tcW w:w="3117" w:type="dxa"/>
          </w:tcPr>
          <w:p w:rsidR="00AC48DE" w:rsidP="0057699D" w:rsidRDefault="003D383A" w14:paraId="19E81A3B" w14:textId="07F1D175">
            <w:pPr>
              <w:spacing w:after="160"/>
            </w:pPr>
            <w:r>
              <w:t xml:space="preserve">Workpaper </w:t>
            </w:r>
            <w:r w:rsidR="006D0A5A">
              <w:t xml:space="preserve">functionality </w:t>
            </w:r>
            <w:r w:rsidR="00BB19A9">
              <w:t>–</w:t>
            </w:r>
            <w:r w:rsidR="00C307A4">
              <w:t xml:space="preserve"> </w:t>
            </w:r>
            <w:r w:rsidR="00366E47">
              <w:t>July 2021</w:t>
            </w:r>
          </w:p>
          <w:p w:rsidR="00BB19A9" w:rsidP="0057699D" w:rsidRDefault="00BB19A9" w14:paraId="2495BCCE" w14:textId="77777777">
            <w:pPr>
              <w:spacing w:after="160"/>
            </w:pPr>
          </w:p>
          <w:p w:rsidR="00BB19A9" w:rsidP="0057699D" w:rsidRDefault="00BB19A9" w14:paraId="004DB72E" w14:textId="0D5E1F68">
            <w:pPr>
              <w:spacing w:after="160"/>
            </w:pPr>
            <w:r>
              <w:t>DEER structure and CEDARs integration - TBD</w:t>
            </w:r>
          </w:p>
          <w:p w:rsidR="00AC48DE" w:rsidP="0057699D" w:rsidRDefault="00AC48DE" w14:paraId="25EC2760" w14:textId="027D3F0A">
            <w:pPr>
              <w:spacing w:after="160"/>
            </w:pPr>
          </w:p>
        </w:tc>
      </w:tr>
    </w:tbl>
    <w:p w:rsidRPr="00FC6083" w:rsidR="00FC6083" w:rsidP="00FC6083" w:rsidRDefault="00FC6083" w14:paraId="2E7C2833" w14:textId="77777777"/>
    <w:p w:rsidR="00D260EF" w:rsidP="004E3D21" w:rsidRDefault="004E3D21" w14:paraId="526B6007" w14:textId="5EDACF8A">
      <w:pPr>
        <w:rPr>
          <w:rFonts w:eastAsia="Garamond"/>
        </w:rPr>
      </w:pPr>
      <w:r>
        <w:lastRenderedPageBreak/>
        <w:t>For the list of</w:t>
      </w:r>
      <w:r w:rsidRPr="40AD8E22">
        <w:rPr>
          <w:rFonts w:eastAsia="Garamond"/>
        </w:rPr>
        <w:t xml:space="preserve"> necessary enhancements to the eTRM </w:t>
      </w:r>
      <w:r>
        <w:rPr>
          <w:rFonts w:eastAsia="Garamond"/>
        </w:rPr>
        <w:t>by Phase see</w:t>
      </w:r>
      <w:r w:rsidRPr="40AD8E22">
        <w:rPr>
          <w:rFonts w:eastAsia="Garamond"/>
        </w:rPr>
        <w:t xml:space="preserve"> </w:t>
      </w:r>
      <w:r w:rsidRPr="00474126">
        <w:rPr>
          <w:rFonts w:eastAsia="Garamond"/>
        </w:rPr>
        <w:t xml:space="preserve">Appendix </w:t>
      </w:r>
      <w:r>
        <w:rPr>
          <w:rFonts w:eastAsia="Garamond"/>
        </w:rPr>
        <w:t>1 of Attachment A</w:t>
      </w:r>
      <w:r w:rsidRPr="40AD8E22">
        <w:rPr>
          <w:rFonts w:eastAsia="Garamond"/>
        </w:rPr>
        <w:t>.</w:t>
      </w:r>
    </w:p>
    <w:p w:rsidR="00090749" w:rsidP="00090749" w:rsidRDefault="00090749" w14:paraId="62D7C519" w14:textId="69530E06">
      <w:pPr>
        <w:pStyle w:val="Heading4"/>
      </w:pPr>
      <w:r>
        <w:t xml:space="preserve">A.2 </w:t>
      </w:r>
      <w:r w:rsidR="00A61E81">
        <w:t>Deemed</w:t>
      </w:r>
      <w:r>
        <w:t xml:space="preserve"> Data Standard User Acceptance </w:t>
      </w:r>
    </w:p>
    <w:p w:rsidR="00AF3B16" w:rsidP="00AF3B16" w:rsidRDefault="00AF3B16" w14:paraId="73B52970" w14:textId="55D9EEDB">
      <w:r w:rsidRPr="40AD8E22">
        <w:rPr>
          <w:rFonts w:eastAsia="Garamond"/>
        </w:rPr>
        <w:t xml:space="preserve">To ensure the eTRM platform meets the Energy Division data source of record </w:t>
      </w:r>
      <w:r w:rsidR="008F28A6">
        <w:rPr>
          <w:rFonts w:eastAsia="Garamond"/>
        </w:rPr>
        <w:t xml:space="preserve">(the Standard), </w:t>
      </w:r>
      <w:r>
        <w:rPr>
          <w:rFonts w:eastAsia="Garamond"/>
        </w:rPr>
        <w:t xml:space="preserve">CPUC </w:t>
      </w:r>
      <w:r w:rsidRPr="40AD8E22">
        <w:rPr>
          <w:rFonts w:eastAsia="Garamond"/>
        </w:rPr>
        <w:t xml:space="preserve">staff conducted a critical assessment of the eTRM database and compared this against the required data in the </w:t>
      </w:r>
      <w:r w:rsidR="000D1D60">
        <w:rPr>
          <w:rFonts w:eastAsia="Garamond"/>
        </w:rPr>
        <w:t>Preliminary Ex</w:t>
      </w:r>
      <w:r w:rsidR="00551F23">
        <w:rPr>
          <w:rFonts w:eastAsia="Garamond"/>
        </w:rPr>
        <w:t>-</w:t>
      </w:r>
      <w:r w:rsidR="009B4165">
        <w:rPr>
          <w:rFonts w:eastAsia="Garamond"/>
        </w:rPr>
        <w:t>A</w:t>
      </w:r>
      <w:r w:rsidR="00551F23">
        <w:rPr>
          <w:rFonts w:eastAsia="Garamond"/>
        </w:rPr>
        <w:t>nte</w:t>
      </w:r>
      <w:r w:rsidR="009B4165">
        <w:rPr>
          <w:rFonts w:eastAsia="Garamond"/>
        </w:rPr>
        <w:t xml:space="preserve"> </w:t>
      </w:r>
      <w:r w:rsidR="001937C8">
        <w:rPr>
          <w:rFonts w:eastAsia="Garamond"/>
        </w:rPr>
        <w:t>Review</w:t>
      </w:r>
      <w:r w:rsidR="009B4165">
        <w:rPr>
          <w:rFonts w:eastAsia="Garamond"/>
        </w:rPr>
        <w:t xml:space="preserve"> database</w:t>
      </w:r>
      <w:r w:rsidR="00551F23">
        <w:rPr>
          <w:rFonts w:eastAsia="Garamond"/>
        </w:rPr>
        <w:t xml:space="preserve"> </w:t>
      </w:r>
      <w:r w:rsidR="009B4165">
        <w:rPr>
          <w:rFonts w:eastAsia="Garamond"/>
        </w:rPr>
        <w:t>(</w:t>
      </w:r>
      <w:r w:rsidR="006A2FC0">
        <w:rPr>
          <w:rFonts w:eastAsia="Garamond"/>
        </w:rPr>
        <w:t>PEAR</w:t>
      </w:r>
      <w:r w:rsidR="009B4165">
        <w:rPr>
          <w:rFonts w:eastAsia="Garamond"/>
        </w:rPr>
        <w:t>)</w:t>
      </w:r>
      <w:r w:rsidRPr="40AD8E22">
        <w:rPr>
          <w:rFonts w:eastAsia="Garamond"/>
        </w:rPr>
        <w:t xml:space="preserve"> and </w:t>
      </w:r>
      <w:proofErr w:type="spellStart"/>
      <w:r w:rsidR="006A2FC0">
        <w:rPr>
          <w:rFonts w:eastAsia="Garamond"/>
        </w:rPr>
        <w:t>EAdb</w:t>
      </w:r>
      <w:proofErr w:type="spellEnd"/>
      <w:r w:rsidRPr="40AD8E22">
        <w:rPr>
          <w:rFonts w:eastAsia="Garamond"/>
        </w:rPr>
        <w:t>.</w:t>
      </w:r>
      <w:r w:rsidR="002934B2">
        <w:rPr>
          <w:rFonts w:eastAsia="Garamond"/>
        </w:rPr>
        <w:t xml:space="preserve"> </w:t>
      </w:r>
      <w:r w:rsidRPr="40AD8E22">
        <w:rPr>
          <w:rFonts w:eastAsia="Garamond"/>
        </w:rPr>
        <w:t xml:space="preserve">We are aware that the eTRM uses a more modern data structure than existing systems, so the assessment focused on identifying any gaps in the eTRM data or errors in its content and ensuring that all data necessary for staff review and oversight were represented in the eTRM. </w:t>
      </w:r>
    </w:p>
    <w:p w:rsidR="00F20698" w:rsidP="00AF3B16" w:rsidRDefault="00AF3B16" w14:paraId="74207CBB" w14:textId="6E5CE0B6">
      <w:pPr>
        <w:rPr>
          <w:rFonts w:eastAsia="Garamond"/>
        </w:rPr>
      </w:pPr>
      <w:r>
        <w:rPr>
          <w:rFonts w:eastAsia="Garamond"/>
        </w:rPr>
        <w:t>CPUC</w:t>
      </w:r>
      <w:r w:rsidRPr="40AD8E22">
        <w:rPr>
          <w:rFonts w:eastAsia="Garamond"/>
        </w:rPr>
        <w:t xml:space="preserve"> staff provided the IOU funders with a data dictionary of all relevant deemed </w:t>
      </w:r>
      <w:r w:rsidR="004C6675">
        <w:rPr>
          <w:rFonts w:eastAsia="Garamond"/>
        </w:rPr>
        <w:t>EE measure</w:t>
      </w:r>
      <w:r w:rsidRPr="40AD8E22">
        <w:rPr>
          <w:rFonts w:eastAsia="Garamond"/>
        </w:rPr>
        <w:t xml:space="preserve"> data fields necessary to meet staff requirements</w:t>
      </w:r>
      <w:r w:rsidR="00F20698">
        <w:rPr>
          <w:rFonts w:eastAsia="Garamond"/>
        </w:rPr>
        <w:t xml:space="preserve">, </w:t>
      </w:r>
      <w:r w:rsidR="00232DA1">
        <w:rPr>
          <w:rFonts w:eastAsia="Garamond"/>
        </w:rPr>
        <w:t>related to</w:t>
      </w:r>
      <w:r w:rsidR="00F20698">
        <w:rPr>
          <w:rFonts w:eastAsia="Garamond"/>
        </w:rPr>
        <w:t xml:space="preserve"> the two phases</w:t>
      </w:r>
      <w:r w:rsidR="00232DA1">
        <w:rPr>
          <w:rFonts w:eastAsia="Garamond"/>
        </w:rPr>
        <w:t xml:space="preserve"> of transition</w:t>
      </w:r>
      <w:r w:rsidR="00F20698">
        <w:rPr>
          <w:rFonts w:eastAsia="Garamond"/>
        </w:rPr>
        <w:t>:</w:t>
      </w:r>
    </w:p>
    <w:p w:rsidR="00293181" w:rsidP="004377C4" w:rsidRDefault="00C85A2D" w14:paraId="26C5F963" w14:textId="4721DD24">
      <w:pPr>
        <w:pStyle w:val="ListParagraph"/>
        <w:numPr>
          <w:ilvl w:val="0"/>
          <w:numId w:val="48"/>
        </w:numPr>
        <w:rPr>
          <w:rFonts w:eastAsia="Garamond"/>
        </w:rPr>
      </w:pPr>
      <w:r>
        <w:rPr>
          <w:rFonts w:eastAsia="Garamond"/>
        </w:rPr>
        <w:t>Phase 1</w:t>
      </w:r>
      <w:r w:rsidR="004377C4">
        <w:rPr>
          <w:rFonts w:eastAsia="Garamond"/>
        </w:rPr>
        <w:t xml:space="preserve"> enables </w:t>
      </w:r>
      <w:r w:rsidR="00464548">
        <w:rPr>
          <w:rFonts w:eastAsia="Garamond"/>
        </w:rPr>
        <w:t xml:space="preserve">the </w:t>
      </w:r>
      <w:proofErr w:type="spellStart"/>
      <w:r w:rsidR="00464548">
        <w:rPr>
          <w:rFonts w:eastAsia="Garamond"/>
        </w:rPr>
        <w:t>eTRM’s</w:t>
      </w:r>
      <w:proofErr w:type="spellEnd"/>
      <w:r w:rsidR="00464548">
        <w:rPr>
          <w:rFonts w:eastAsia="Garamond"/>
        </w:rPr>
        <w:t xml:space="preserve"> </w:t>
      </w:r>
      <w:r w:rsidR="004377C4">
        <w:rPr>
          <w:rFonts w:eastAsia="Garamond"/>
        </w:rPr>
        <w:t xml:space="preserve">nightly </w:t>
      </w:r>
      <w:r w:rsidR="008E248A">
        <w:rPr>
          <w:rFonts w:eastAsia="Garamond"/>
        </w:rPr>
        <w:t>synchronization</w:t>
      </w:r>
      <w:r w:rsidR="004377C4">
        <w:rPr>
          <w:rFonts w:eastAsia="Garamond"/>
        </w:rPr>
        <w:t xml:space="preserve"> </w:t>
      </w:r>
      <w:r w:rsidR="008E248A">
        <w:rPr>
          <w:rFonts w:eastAsia="Garamond"/>
        </w:rPr>
        <w:t xml:space="preserve">with </w:t>
      </w:r>
      <w:r w:rsidR="004377C4">
        <w:rPr>
          <w:rFonts w:eastAsia="Garamond"/>
        </w:rPr>
        <w:t xml:space="preserve">the </w:t>
      </w:r>
      <w:proofErr w:type="spellStart"/>
      <w:r w:rsidR="007969B7">
        <w:rPr>
          <w:rFonts w:eastAsia="Garamond"/>
        </w:rPr>
        <w:t>EAdb</w:t>
      </w:r>
      <w:proofErr w:type="spellEnd"/>
      <w:r w:rsidR="007969B7">
        <w:rPr>
          <w:rFonts w:eastAsia="Garamond"/>
        </w:rPr>
        <w:t xml:space="preserve"> </w:t>
      </w:r>
      <w:r w:rsidR="0051072F">
        <w:rPr>
          <w:rFonts w:eastAsia="Garamond"/>
        </w:rPr>
        <w:t>to ensure that current Energy Division updates are captured in the eTRM;</w:t>
      </w:r>
    </w:p>
    <w:p w:rsidRPr="004377C4" w:rsidR="004377C4" w:rsidP="004377C4" w:rsidRDefault="00C85A2D" w14:paraId="2BD38A5E" w14:textId="616843B1">
      <w:pPr>
        <w:pStyle w:val="ListParagraph"/>
        <w:numPr>
          <w:ilvl w:val="0"/>
          <w:numId w:val="48"/>
        </w:numPr>
        <w:rPr>
          <w:rFonts w:eastAsia="Garamond"/>
        </w:rPr>
      </w:pPr>
      <w:r>
        <w:rPr>
          <w:rFonts w:eastAsia="Garamond"/>
        </w:rPr>
        <w:t>Phase 2</w:t>
      </w:r>
      <w:r w:rsidR="00293181">
        <w:rPr>
          <w:rFonts w:eastAsia="Garamond"/>
        </w:rPr>
        <w:t xml:space="preserve"> enables </w:t>
      </w:r>
      <w:r w:rsidR="00464548">
        <w:rPr>
          <w:rFonts w:eastAsia="Garamond"/>
        </w:rPr>
        <w:t>a</w:t>
      </w:r>
      <w:r w:rsidR="004747BF">
        <w:rPr>
          <w:rFonts w:eastAsia="Garamond"/>
        </w:rPr>
        <w:t xml:space="preserve"> build-out of the special “CPUC User” role to enable </w:t>
      </w:r>
      <w:r w:rsidR="00293181">
        <w:rPr>
          <w:rFonts w:eastAsia="Garamond"/>
        </w:rPr>
        <w:t>CPUC review and direct oversight of ex ante values within the eTRM platform</w:t>
      </w:r>
      <w:r w:rsidR="004E30CA">
        <w:rPr>
          <w:rFonts w:eastAsia="Garamond"/>
        </w:rPr>
        <w:t xml:space="preserve">. </w:t>
      </w:r>
    </w:p>
    <w:p w:rsidR="004377C4" w:rsidP="00AF3B16" w:rsidRDefault="004377C4" w14:paraId="7C8C29D1" w14:textId="77777777">
      <w:pPr>
        <w:rPr>
          <w:rFonts w:eastAsia="Garamond"/>
        </w:rPr>
      </w:pPr>
    </w:p>
    <w:p w:rsidR="00AF3B16" w:rsidP="00AF3B16" w:rsidRDefault="00AF3B16" w14:paraId="0803AF78" w14:textId="54040E16">
      <w:r w:rsidRPr="40AD8E22">
        <w:rPr>
          <w:rFonts w:eastAsia="Garamond"/>
        </w:rPr>
        <w:t xml:space="preserve">In addition, </w:t>
      </w:r>
      <w:r>
        <w:rPr>
          <w:rFonts w:eastAsia="Garamond"/>
        </w:rPr>
        <w:t xml:space="preserve">CPUC </w:t>
      </w:r>
      <w:r w:rsidR="00813B21">
        <w:rPr>
          <w:rFonts w:eastAsia="Garamond"/>
        </w:rPr>
        <w:t>s</w:t>
      </w:r>
      <w:r w:rsidRPr="40AD8E22">
        <w:rPr>
          <w:rFonts w:eastAsia="Garamond"/>
        </w:rPr>
        <w:t xml:space="preserve">taff coordinated with the </w:t>
      </w:r>
      <w:r w:rsidR="007F7097">
        <w:rPr>
          <w:rFonts w:eastAsia="Garamond"/>
        </w:rPr>
        <w:t xml:space="preserve">eTRM </w:t>
      </w:r>
      <w:r w:rsidRPr="40AD8E22">
        <w:rPr>
          <w:rFonts w:eastAsia="Garamond"/>
        </w:rPr>
        <w:t xml:space="preserve">technical team on how to meet the standard </w:t>
      </w:r>
      <w:r w:rsidR="00293181">
        <w:rPr>
          <w:rFonts w:eastAsia="Garamond"/>
        </w:rPr>
        <w:t xml:space="preserve">for each phase </w:t>
      </w:r>
      <w:r w:rsidRPr="40AD8E22">
        <w:rPr>
          <w:rFonts w:eastAsia="Garamond"/>
        </w:rPr>
        <w:t xml:space="preserve">and </w:t>
      </w:r>
      <w:r w:rsidR="007F7097">
        <w:rPr>
          <w:rFonts w:eastAsia="Garamond"/>
        </w:rPr>
        <w:t xml:space="preserve">is </w:t>
      </w:r>
      <w:r w:rsidRPr="40AD8E22">
        <w:rPr>
          <w:rFonts w:eastAsia="Garamond"/>
        </w:rPr>
        <w:t>set</w:t>
      </w:r>
      <w:r w:rsidR="007F7097">
        <w:rPr>
          <w:rFonts w:eastAsia="Garamond"/>
        </w:rPr>
        <w:t>ting</w:t>
      </w:r>
      <w:r w:rsidRPr="40AD8E22">
        <w:rPr>
          <w:rFonts w:eastAsia="Garamond"/>
        </w:rPr>
        <w:t xml:space="preserve"> up the proper views and</w:t>
      </w:r>
      <w:r w:rsidR="004C6675">
        <w:rPr>
          <w:rFonts w:eastAsia="Garamond"/>
        </w:rPr>
        <w:t xml:space="preserve"> </w:t>
      </w:r>
      <w:r w:rsidRPr="40AD8E22">
        <w:rPr>
          <w:rFonts w:eastAsia="Garamond"/>
        </w:rPr>
        <w:t>APIs to allow for nightly syncing.</w:t>
      </w:r>
      <w:r>
        <w:rPr>
          <w:rFonts w:eastAsia="Garamond"/>
        </w:rPr>
        <w:t xml:space="preserve"> CPUC</w:t>
      </w:r>
      <w:r w:rsidRPr="40AD8E22">
        <w:rPr>
          <w:rFonts w:eastAsia="Garamond"/>
        </w:rPr>
        <w:t xml:space="preserve"> </w:t>
      </w:r>
      <w:r w:rsidR="00813B21">
        <w:rPr>
          <w:rFonts w:eastAsia="Garamond"/>
        </w:rPr>
        <w:t>s</w:t>
      </w:r>
      <w:r w:rsidRPr="40AD8E22">
        <w:rPr>
          <w:rFonts w:eastAsia="Garamond"/>
        </w:rPr>
        <w:t xml:space="preserve">taff identified some fields that need to be added to the eTRM database and required coding enhancements before the eTRM meets the data source of record standard. This work </w:t>
      </w:r>
      <w:r w:rsidR="00EA60B2">
        <w:rPr>
          <w:rFonts w:eastAsia="Garamond"/>
        </w:rPr>
        <w:t>should</w:t>
      </w:r>
      <w:r w:rsidRPr="40AD8E22" w:rsidR="00EA60B2">
        <w:rPr>
          <w:rFonts w:eastAsia="Garamond"/>
        </w:rPr>
        <w:t xml:space="preserve"> </w:t>
      </w:r>
      <w:r w:rsidRPr="40AD8E22">
        <w:rPr>
          <w:rFonts w:eastAsia="Garamond"/>
        </w:rPr>
        <w:t xml:space="preserve">begin no later than July 2020. Once enhancements </w:t>
      </w:r>
      <w:r w:rsidR="008C0119">
        <w:rPr>
          <w:rFonts w:eastAsia="Garamond"/>
        </w:rPr>
        <w:t xml:space="preserve">for each phase </w:t>
      </w:r>
      <w:r w:rsidRPr="40AD8E22">
        <w:rPr>
          <w:rFonts w:eastAsia="Garamond"/>
        </w:rPr>
        <w:t>are complete and accepted</w:t>
      </w:r>
      <w:r w:rsidR="00F20698">
        <w:rPr>
          <w:rFonts w:eastAsia="Garamond"/>
        </w:rPr>
        <w:t>,</w:t>
      </w:r>
      <w:r w:rsidRPr="40AD8E22">
        <w:rPr>
          <w:rFonts w:eastAsia="Garamond"/>
        </w:rPr>
        <w:t xml:space="preserve"> </w:t>
      </w:r>
      <w:r>
        <w:rPr>
          <w:rFonts w:eastAsia="Garamond"/>
        </w:rPr>
        <w:t>CPUC</w:t>
      </w:r>
      <w:r w:rsidRPr="40AD8E22">
        <w:rPr>
          <w:rFonts w:eastAsia="Garamond"/>
        </w:rPr>
        <w:t xml:space="preserve"> staff </w:t>
      </w:r>
      <w:r w:rsidR="006B0922">
        <w:rPr>
          <w:rFonts w:eastAsia="Garamond"/>
        </w:rPr>
        <w:t xml:space="preserve">will </w:t>
      </w:r>
      <w:r w:rsidR="008C0119">
        <w:rPr>
          <w:rFonts w:eastAsia="Garamond"/>
        </w:rPr>
        <w:t>communicate to the</w:t>
      </w:r>
      <w:r w:rsidR="00DE735C">
        <w:rPr>
          <w:rFonts w:eastAsia="Garamond"/>
        </w:rPr>
        <w:t xml:space="preserve"> energy efficiency proceeding</w:t>
      </w:r>
      <w:r w:rsidR="008C0119">
        <w:rPr>
          <w:rFonts w:eastAsia="Garamond"/>
        </w:rPr>
        <w:t xml:space="preserve"> </w:t>
      </w:r>
      <w:r w:rsidR="00DE735C">
        <w:rPr>
          <w:rFonts w:eastAsia="Garamond"/>
        </w:rPr>
        <w:t>s</w:t>
      </w:r>
      <w:r w:rsidR="008C0119">
        <w:rPr>
          <w:rFonts w:eastAsia="Garamond"/>
        </w:rPr>
        <w:t xml:space="preserve">ervice </w:t>
      </w:r>
      <w:r w:rsidR="00DE735C">
        <w:rPr>
          <w:rFonts w:eastAsia="Garamond"/>
        </w:rPr>
        <w:t>l</w:t>
      </w:r>
      <w:r w:rsidR="008C0119">
        <w:rPr>
          <w:rFonts w:eastAsia="Garamond"/>
        </w:rPr>
        <w:t>ist</w:t>
      </w:r>
      <w:r w:rsidRPr="40AD8E22">
        <w:rPr>
          <w:rFonts w:eastAsia="Garamond"/>
        </w:rPr>
        <w:t xml:space="preserve"> that the eTRM meets and maintains </w:t>
      </w:r>
      <w:r w:rsidR="00F51EE4">
        <w:rPr>
          <w:rFonts w:eastAsia="Garamond"/>
        </w:rPr>
        <w:t>the Standard</w:t>
      </w:r>
      <w:r w:rsidR="008F28A6">
        <w:rPr>
          <w:rFonts w:eastAsia="Garamond"/>
        </w:rPr>
        <w:t>.</w:t>
      </w:r>
      <w:r w:rsidRPr="40AD8E22">
        <w:rPr>
          <w:rFonts w:eastAsia="Garamond"/>
        </w:rPr>
        <w:t xml:space="preserve"> </w:t>
      </w:r>
      <w:r w:rsidR="006B0922">
        <w:rPr>
          <w:rFonts w:eastAsia="Garamond"/>
        </w:rPr>
        <w:t xml:space="preserve"> Staff will offer opportunities for </w:t>
      </w:r>
      <w:r w:rsidR="00DB73E3">
        <w:rPr>
          <w:rFonts w:eastAsia="Garamond"/>
        </w:rPr>
        <w:t xml:space="preserve">online </w:t>
      </w:r>
      <w:r w:rsidR="006B0922">
        <w:rPr>
          <w:rFonts w:eastAsia="Garamond"/>
        </w:rPr>
        <w:t xml:space="preserve">training and feedback when new </w:t>
      </w:r>
      <w:r w:rsidR="00AD416A">
        <w:rPr>
          <w:rFonts w:eastAsia="Garamond"/>
        </w:rPr>
        <w:t>developments are implemented.</w:t>
      </w:r>
    </w:p>
    <w:p w:rsidRPr="005E38E1" w:rsidR="00AF3B16" w:rsidP="00AF3B16" w:rsidRDefault="00AF3B16" w14:paraId="106F32CA" w14:textId="3C9F98CB">
      <w:pPr>
        <w:rPr>
          <w:rFonts w:eastAsia="Garamond"/>
        </w:rPr>
      </w:pPr>
      <w:r w:rsidRPr="40AD8E22">
        <w:rPr>
          <w:rFonts w:eastAsia="Garamond"/>
        </w:rPr>
        <w:t xml:space="preserve">To ensure the eTRM stays current with Energy Division measure value updates, the eTRM will deploy an API to retrieve views of each of the relevant </w:t>
      </w:r>
      <w:r w:rsidR="00A61E81">
        <w:rPr>
          <w:rFonts w:eastAsia="Garamond"/>
        </w:rPr>
        <w:t>data</w:t>
      </w:r>
      <w:r w:rsidRPr="40AD8E22">
        <w:rPr>
          <w:rFonts w:eastAsia="Garamond"/>
        </w:rPr>
        <w:t xml:space="preserve"> fields to be updated nightly, similar to the CEDARS API. Full documentation of the process is maintained on the eTRM website.</w:t>
      </w:r>
      <w:r w:rsidR="00535D08">
        <w:rPr>
          <w:rStyle w:val="FootnoteReference"/>
          <w:rFonts w:eastAsia="Garamond"/>
        </w:rPr>
        <w:footnoteReference w:id="16"/>
      </w:r>
      <w:r w:rsidR="00625151">
        <w:rPr>
          <w:rFonts w:eastAsia="Garamond"/>
        </w:rPr>
        <w:t xml:space="preserve"> The API approach will be used until the support tables are integrated directly with the eTRM platform </w:t>
      </w:r>
      <w:r w:rsidR="00874029">
        <w:rPr>
          <w:rFonts w:eastAsia="Garamond"/>
        </w:rPr>
        <w:t>under Phase 2 work.</w:t>
      </w:r>
    </w:p>
    <w:p w:rsidR="00090749" w:rsidP="00090749" w:rsidRDefault="00090749" w14:paraId="0B4ECCCF" w14:textId="4C4142D7">
      <w:pPr>
        <w:pStyle w:val="Heading4"/>
      </w:pPr>
      <w:r>
        <w:lastRenderedPageBreak/>
        <w:t xml:space="preserve">A.3 Funding </w:t>
      </w:r>
      <w:r w:rsidR="00FB26AD">
        <w:t>and Contracting</w:t>
      </w:r>
    </w:p>
    <w:p w:rsidR="00CE2157" w:rsidP="00090749" w:rsidRDefault="00090749" w14:paraId="5F7C0CB3" w14:textId="549241D2">
      <w:r>
        <w:t>Development of the eTRM was funded by the four IOUs as well as SMUD and LADWP under a competitive bidding process.</w:t>
      </w:r>
      <w:r w:rsidR="002934B2">
        <w:t xml:space="preserve"> </w:t>
      </w:r>
      <w:r>
        <w:t xml:space="preserve">This development was conducted as a proprietary platform and funded from the EE program budgets. </w:t>
      </w:r>
      <w:r w:rsidR="008A5F74">
        <w:t xml:space="preserve">We </w:t>
      </w:r>
      <w:r w:rsidR="00B52124">
        <w:t>direct</w:t>
      </w:r>
      <w:r w:rsidR="008A5F74">
        <w:t xml:space="preserve"> the IOUs to </w:t>
      </w:r>
      <w:r w:rsidRPr="00765653" w:rsidR="00D5019B">
        <w:t>provide</w:t>
      </w:r>
      <w:r w:rsidRPr="00765653" w:rsidR="006768A7">
        <w:t xml:space="preserve"> </w:t>
      </w:r>
      <w:r w:rsidRPr="00765653" w:rsidR="008A5F74">
        <w:t>contrac</w:t>
      </w:r>
      <w:r w:rsidRPr="00765653" w:rsidR="002774AF">
        <w:t xml:space="preserve">ting </w:t>
      </w:r>
      <w:r w:rsidRPr="00765653" w:rsidR="00D5019B">
        <w:t>support</w:t>
      </w:r>
      <w:r w:rsidRPr="00765653" w:rsidR="008A5F74">
        <w:t xml:space="preserve"> while completing</w:t>
      </w:r>
      <w:r w:rsidR="008A5F74">
        <w:t xml:space="preserve"> Phases </w:t>
      </w:r>
      <w:r w:rsidR="00873448">
        <w:t>one</w:t>
      </w:r>
      <w:r w:rsidR="008A5F74">
        <w:t xml:space="preserve"> and </w:t>
      </w:r>
      <w:r w:rsidR="00873448">
        <w:t>two</w:t>
      </w:r>
      <w:r w:rsidR="008A5F74">
        <w:t xml:space="preserve"> of this transition to the eTRM. </w:t>
      </w:r>
      <w:r>
        <w:t xml:space="preserve">In general, activities in support of DEER and </w:t>
      </w:r>
      <w:r w:rsidR="004C6675">
        <w:t>workpaper</w:t>
      </w:r>
      <w:r>
        <w:t xml:space="preserve"> systems are funded from the IOU </w:t>
      </w:r>
      <w:r w:rsidR="008B7AAF">
        <w:t>evaluation</w:t>
      </w:r>
      <w:r>
        <w:t xml:space="preserve">, </w:t>
      </w:r>
      <w:r w:rsidR="008B7AAF">
        <w:t>measurement,</w:t>
      </w:r>
      <w:r>
        <w:t xml:space="preserve"> and </w:t>
      </w:r>
      <w:r w:rsidR="008B7AAF">
        <w:t xml:space="preserve">verification </w:t>
      </w:r>
      <w:r>
        <w:t>(EM&amp;V) budgets.</w:t>
      </w:r>
      <w:r w:rsidR="002934B2">
        <w:t xml:space="preserve"> </w:t>
      </w:r>
      <w:r>
        <w:t>Therefore, similar to oth</w:t>
      </w:r>
      <w:r w:rsidR="003C3294">
        <w:t>e</w:t>
      </w:r>
      <w:r>
        <w:t>r routine estimated data support, this resolution establishes that the IOUs will fund their respective portions of the eTRM going forward from their annual EM&amp;V budgets.</w:t>
      </w:r>
      <w:r w:rsidR="002934B2">
        <w:t xml:space="preserve"> </w:t>
      </w:r>
      <w:r w:rsidR="00CE2157">
        <w:rPr>
          <w:rFonts w:eastAsia="Garamond"/>
        </w:rPr>
        <w:t>Starting with 2021 budget authorization, t</w:t>
      </w:r>
      <w:r w:rsidRPr="00CB5D68" w:rsidR="00CE2157">
        <w:rPr>
          <w:rFonts w:eastAsia="Garamond"/>
        </w:rPr>
        <w:t xml:space="preserve">he </w:t>
      </w:r>
      <w:r w:rsidRPr="00CB5D68" w:rsidR="00AF3B16">
        <w:rPr>
          <w:rFonts w:eastAsia="Garamond"/>
        </w:rPr>
        <w:t>IOUs will include the necessary eTRM administration, maintenance, and next round of enhancement funding in their 2021 Annual Budget Advice Letter filings.</w:t>
      </w:r>
      <w:r w:rsidR="002934B2">
        <w:rPr>
          <w:rFonts w:eastAsia="Garamond"/>
        </w:rPr>
        <w:t xml:space="preserve"> </w:t>
      </w:r>
      <w:r w:rsidR="002934B2">
        <w:t xml:space="preserve"> </w:t>
      </w:r>
    </w:p>
    <w:p w:rsidR="00090749" w:rsidP="00090749" w:rsidRDefault="00CE2157" w14:paraId="6913CDA1" w14:textId="5FFEA987">
      <w:r>
        <w:t xml:space="preserve">As some of the activities necessary to ensure the eTRM meets and maintains the Standard by January 1, 2021 will require completion in 2020, </w:t>
      </w:r>
      <w:r>
        <w:rPr>
          <w:rFonts w:eastAsia="Garamond"/>
        </w:rPr>
        <w:t>we authorize the IOUs to</w:t>
      </w:r>
      <w:r w:rsidRPr="00CB5D68">
        <w:rPr>
          <w:rFonts w:eastAsia="Garamond"/>
        </w:rPr>
        <w:t xml:space="preserve"> shift </w:t>
      </w:r>
      <w:r>
        <w:rPr>
          <w:rFonts w:eastAsia="Garamond"/>
        </w:rPr>
        <w:t xml:space="preserve">authorized 2020 </w:t>
      </w:r>
      <w:r w:rsidRPr="00CB5D68">
        <w:rPr>
          <w:rFonts w:eastAsia="Garamond"/>
        </w:rPr>
        <w:t>funding where available to meet those preparatory needs starting in July 2020.</w:t>
      </w:r>
      <w:r>
        <w:rPr>
          <w:rFonts w:eastAsia="Garamond"/>
        </w:rPr>
        <w:t xml:space="preserve"> The IOUs should file a Tier 1 Advice Letter no later than 30 days after adoption of this resolution to demonstrate 2020 activities’ funding needs and sources. </w:t>
      </w:r>
    </w:p>
    <w:p w:rsidR="00090749" w:rsidP="00AF3B16" w:rsidRDefault="00AF3B16" w14:paraId="37C48EAD" w14:textId="50AF6858">
      <w:pPr>
        <w:pStyle w:val="Heading4"/>
      </w:pPr>
      <w:r>
        <w:t xml:space="preserve">A.4 </w:t>
      </w:r>
      <w:r w:rsidR="00090749">
        <w:t xml:space="preserve">Administration </w:t>
      </w:r>
    </w:p>
    <w:p w:rsidRPr="00CB5D68" w:rsidR="00AF3B16" w:rsidP="00AF3B16" w:rsidRDefault="00AF3B16" w14:paraId="12DDB61D" w14:textId="68010B32">
      <w:pPr>
        <w:rPr>
          <w:rFonts w:eastAsia="Garamond"/>
        </w:rPr>
      </w:pPr>
      <w:r w:rsidRPr="00CB5D68">
        <w:rPr>
          <w:rFonts w:eastAsia="Garamond"/>
        </w:rPr>
        <w:t>The IOU funders will grant the CPUC an irrevocable, royalty-free license to use, copy</w:t>
      </w:r>
      <w:r w:rsidR="008E248A">
        <w:rPr>
          <w:rFonts w:eastAsia="Garamond"/>
        </w:rPr>
        <w:t>,</w:t>
      </w:r>
      <w:r w:rsidRPr="00CB5D68">
        <w:rPr>
          <w:rFonts w:eastAsia="Garamond"/>
        </w:rPr>
        <w:t xml:space="preserve"> and distribute the eTRM in perpetuity while they continue to contract for administration, maintenance</w:t>
      </w:r>
      <w:r w:rsidR="008E248A">
        <w:rPr>
          <w:rFonts w:eastAsia="Garamond"/>
        </w:rPr>
        <w:t>,</w:t>
      </w:r>
      <w:r w:rsidRPr="00CB5D68">
        <w:rPr>
          <w:rFonts w:eastAsia="Garamond"/>
        </w:rPr>
        <w:t xml:space="preserve"> and enhancements of the eTRM.</w:t>
      </w:r>
      <w:r w:rsidR="002934B2">
        <w:rPr>
          <w:rFonts w:eastAsia="Garamond"/>
        </w:rPr>
        <w:t xml:space="preserve"> </w:t>
      </w:r>
      <w:r w:rsidRPr="00CB5D68">
        <w:rPr>
          <w:rFonts w:eastAsia="Garamond"/>
        </w:rPr>
        <w:t>The IOUs will provide the Commission with a copy of the eTRM and all associated data, documentation</w:t>
      </w:r>
      <w:r w:rsidR="008E248A">
        <w:rPr>
          <w:rFonts w:eastAsia="Garamond"/>
        </w:rPr>
        <w:t>,</w:t>
      </w:r>
      <w:r w:rsidRPr="00CB5D68">
        <w:rPr>
          <w:rFonts w:eastAsia="Garamond"/>
        </w:rPr>
        <w:t xml:space="preserve"> and administrative manuals—and any future releases—within 30 days of the release</w:t>
      </w:r>
      <w:r w:rsidR="0036281D">
        <w:rPr>
          <w:rFonts w:eastAsia="Garamond"/>
        </w:rPr>
        <w:t xml:space="preserve"> of any update</w:t>
      </w:r>
      <w:r w:rsidRPr="00CB5D68">
        <w:rPr>
          <w:rFonts w:eastAsia="Garamond"/>
        </w:rPr>
        <w:t>.</w:t>
      </w:r>
      <w:r w:rsidR="002934B2">
        <w:rPr>
          <w:rFonts w:eastAsia="Garamond"/>
        </w:rPr>
        <w:t xml:space="preserve"> </w:t>
      </w:r>
      <w:r w:rsidRPr="00CB5D68">
        <w:rPr>
          <w:rFonts w:eastAsia="Garamond"/>
        </w:rPr>
        <w:t>For continuity, the existing administrative arrangement shall continue until the end of 2021, when the</w:t>
      </w:r>
      <w:r w:rsidR="002934B2">
        <w:rPr>
          <w:rFonts w:eastAsia="Garamond"/>
        </w:rPr>
        <w:t xml:space="preserve"> </w:t>
      </w:r>
      <w:r w:rsidRPr="00CB5D68">
        <w:rPr>
          <w:rFonts w:eastAsia="Garamond"/>
        </w:rPr>
        <w:t>transition will be completed.</w:t>
      </w:r>
      <w:r w:rsidR="0050079C">
        <w:rPr>
          <w:rFonts w:eastAsia="Garamond"/>
        </w:rPr>
        <w:t xml:space="preserve"> The IOUs shall continue to co-fund eTRM administration, maintenance and ongoing enhancements from EM&amp;V budgets thereafter. </w:t>
      </w:r>
      <w:r w:rsidR="003643D0">
        <w:rPr>
          <w:rFonts w:eastAsia="Garamond"/>
        </w:rPr>
        <w:t>T</w:t>
      </w:r>
      <w:r w:rsidRPr="00CB5D68">
        <w:rPr>
          <w:rFonts w:eastAsia="Garamond"/>
        </w:rPr>
        <w:t xml:space="preserve">he CPUC </w:t>
      </w:r>
      <w:r w:rsidR="003643D0">
        <w:rPr>
          <w:rFonts w:eastAsia="Garamond"/>
        </w:rPr>
        <w:t>may consider</w:t>
      </w:r>
      <w:r w:rsidRPr="00CB5D68">
        <w:rPr>
          <w:rFonts w:eastAsia="Garamond"/>
        </w:rPr>
        <w:t xml:space="preserve"> the option of assuming the IOU ownership portion of the eTRM </w:t>
      </w:r>
      <w:r w:rsidR="003643D0">
        <w:rPr>
          <w:rFonts w:eastAsia="Garamond"/>
        </w:rPr>
        <w:t>in a future resolution</w:t>
      </w:r>
      <w:r w:rsidR="009E01A7">
        <w:rPr>
          <w:rFonts w:eastAsia="Garamond"/>
        </w:rPr>
        <w:t xml:space="preserve">, </w:t>
      </w:r>
      <w:r w:rsidR="00C50443">
        <w:rPr>
          <w:rFonts w:eastAsia="Garamond"/>
        </w:rPr>
        <w:t>after</w:t>
      </w:r>
      <w:r w:rsidR="009E01A7">
        <w:rPr>
          <w:rFonts w:eastAsia="Garamond"/>
        </w:rPr>
        <w:t xml:space="preserve"> </w:t>
      </w:r>
      <w:r w:rsidR="00C85A2D">
        <w:rPr>
          <w:rFonts w:eastAsia="Garamond"/>
        </w:rPr>
        <w:t>Phase 1</w:t>
      </w:r>
      <w:r w:rsidR="009E01A7">
        <w:rPr>
          <w:rFonts w:eastAsia="Garamond"/>
        </w:rPr>
        <w:t xml:space="preserve"> and </w:t>
      </w:r>
      <w:r w:rsidR="00C85A2D">
        <w:rPr>
          <w:rFonts w:eastAsia="Garamond"/>
        </w:rPr>
        <w:t xml:space="preserve">2 </w:t>
      </w:r>
      <w:r w:rsidR="009E01A7">
        <w:rPr>
          <w:rFonts w:eastAsia="Garamond"/>
        </w:rPr>
        <w:t>have been completed</w:t>
      </w:r>
      <w:r w:rsidRPr="00CB5D68">
        <w:rPr>
          <w:rFonts w:eastAsia="Garamond"/>
        </w:rPr>
        <w:t>.</w:t>
      </w:r>
    </w:p>
    <w:p w:rsidR="00090749" w:rsidP="00AF3B16" w:rsidRDefault="00AF3B16" w14:paraId="124917EC" w14:textId="0074AA56">
      <w:pPr>
        <w:pStyle w:val="Heading4"/>
      </w:pPr>
      <w:r>
        <w:t xml:space="preserve">A.5 </w:t>
      </w:r>
      <w:r w:rsidR="00090749">
        <w:t>Other Transition Considerations</w:t>
      </w:r>
    </w:p>
    <w:p w:rsidR="00394C71" w:rsidP="00AF3B16" w:rsidRDefault="00AF3B16" w14:paraId="00F3CFB1" w14:textId="305BE8AD">
      <w:pPr>
        <w:rPr>
          <w:rFonts w:eastAsia="Garamond"/>
        </w:rPr>
      </w:pPr>
      <w:r w:rsidRPr="001A6020">
        <w:rPr>
          <w:rFonts w:eastAsia="Garamond"/>
        </w:rPr>
        <w:t>We acknowledge that any transition from one system to another has the potential to be confusing for users.</w:t>
      </w:r>
      <w:r w:rsidR="002934B2">
        <w:rPr>
          <w:rFonts w:eastAsia="Garamond"/>
        </w:rPr>
        <w:t xml:space="preserve"> </w:t>
      </w:r>
      <w:r w:rsidR="00394C71">
        <w:rPr>
          <w:rFonts w:eastAsia="Garamond"/>
        </w:rPr>
        <w:t xml:space="preserve">Staff will </w:t>
      </w:r>
      <w:r w:rsidR="00394C71">
        <w:t>announce changes in process, provide training</w:t>
      </w:r>
      <w:r w:rsidR="00DC6C33">
        <w:t xml:space="preserve">, host </w:t>
      </w:r>
      <w:r w:rsidR="00171D31">
        <w:t>workshops,</w:t>
      </w:r>
      <w:r w:rsidR="00394C71">
        <w:t xml:space="preserve"> and allow for enough time to enable smooth transition. </w:t>
      </w:r>
      <w:r w:rsidRPr="001A6020">
        <w:rPr>
          <w:rFonts w:eastAsia="Garamond"/>
        </w:rPr>
        <w:t>Until the eTRM develops</w:t>
      </w:r>
      <w:r w:rsidR="003643D0">
        <w:rPr>
          <w:rFonts w:eastAsia="Garamond"/>
        </w:rPr>
        <w:t xml:space="preserve"> a new</w:t>
      </w:r>
      <w:r w:rsidRPr="001A6020">
        <w:rPr>
          <w:rFonts w:eastAsia="Garamond"/>
        </w:rPr>
        <w:t xml:space="preserve"> CPUC User role </w:t>
      </w:r>
      <w:r w:rsidR="003643D0">
        <w:rPr>
          <w:rFonts w:eastAsia="Garamond"/>
        </w:rPr>
        <w:t>that will</w:t>
      </w:r>
      <w:r w:rsidRPr="001A6020">
        <w:rPr>
          <w:rFonts w:eastAsia="Garamond"/>
        </w:rPr>
        <w:t xml:space="preserve"> enable staff to manage workpaper review within the platform, IOUs will continue to upload their workpapers to the WPA</w:t>
      </w:r>
      <w:r w:rsidR="00394C71">
        <w:rPr>
          <w:rFonts w:eastAsia="Garamond"/>
        </w:rPr>
        <w:t xml:space="preserve"> using </w:t>
      </w:r>
      <w:r w:rsidR="00394C71">
        <w:rPr>
          <w:rFonts w:eastAsia="Garamond"/>
        </w:rPr>
        <w:lastRenderedPageBreak/>
        <w:t>the existing process</w:t>
      </w:r>
      <w:r w:rsidRPr="001A6020">
        <w:rPr>
          <w:rFonts w:eastAsia="Garamond"/>
        </w:rPr>
        <w:t>.</w:t>
      </w:r>
      <w:r w:rsidR="002934B2">
        <w:rPr>
          <w:rFonts w:eastAsia="Garamond"/>
        </w:rPr>
        <w:t xml:space="preserve"> </w:t>
      </w:r>
      <w:r w:rsidRPr="001A6020">
        <w:rPr>
          <w:rFonts w:eastAsia="Garamond"/>
        </w:rPr>
        <w:t xml:space="preserve">Staff will notify IOUs </w:t>
      </w:r>
      <w:r w:rsidR="00A96B25">
        <w:rPr>
          <w:rFonts w:eastAsia="Garamond"/>
        </w:rPr>
        <w:t>and</w:t>
      </w:r>
      <w:r w:rsidR="0025779D">
        <w:rPr>
          <w:rFonts w:eastAsia="Garamond"/>
        </w:rPr>
        <w:t xml:space="preserve"> stakeholders on </w:t>
      </w:r>
      <w:r w:rsidR="00A96B25">
        <w:rPr>
          <w:rFonts w:eastAsia="Garamond"/>
        </w:rPr>
        <w:t xml:space="preserve">the </w:t>
      </w:r>
      <w:r w:rsidR="0025779D">
        <w:rPr>
          <w:rFonts w:eastAsia="Garamond"/>
        </w:rPr>
        <w:t>R.13</w:t>
      </w:r>
      <w:r w:rsidR="000C5736">
        <w:rPr>
          <w:rFonts w:eastAsia="Garamond"/>
        </w:rPr>
        <w:t>05011</w:t>
      </w:r>
      <w:r w:rsidR="0025779D">
        <w:rPr>
          <w:rFonts w:eastAsia="Garamond"/>
        </w:rPr>
        <w:t xml:space="preserve"> </w:t>
      </w:r>
      <w:r w:rsidR="00A96B25">
        <w:rPr>
          <w:rFonts w:eastAsia="Garamond"/>
        </w:rPr>
        <w:t>Service Lis</w:t>
      </w:r>
      <w:r w:rsidR="0025779D">
        <w:rPr>
          <w:rFonts w:eastAsia="Garamond"/>
        </w:rPr>
        <w:t xml:space="preserve">t </w:t>
      </w:r>
      <w:r w:rsidRPr="001A6020">
        <w:rPr>
          <w:rFonts w:eastAsia="Garamond"/>
        </w:rPr>
        <w:t>when the changeover to the new workpaper review platform will occur</w:t>
      </w:r>
      <w:r w:rsidR="0025779D">
        <w:rPr>
          <w:rFonts w:eastAsia="Garamond"/>
        </w:rPr>
        <w:t>, at which time</w:t>
      </w:r>
      <w:r w:rsidR="00667D00">
        <w:rPr>
          <w:rFonts w:eastAsia="Garamond"/>
        </w:rPr>
        <w:t xml:space="preserve"> </w:t>
      </w:r>
      <w:r w:rsidRPr="001A6020">
        <w:rPr>
          <w:rFonts w:eastAsia="Garamond"/>
        </w:rPr>
        <w:t>they may begin to submit their workpapers for review via the eTRM.</w:t>
      </w:r>
      <w:r w:rsidR="002934B2">
        <w:rPr>
          <w:rFonts w:eastAsia="Garamond"/>
        </w:rPr>
        <w:t xml:space="preserve"> </w:t>
      </w:r>
      <w:r w:rsidR="00394C71">
        <w:rPr>
          <w:rFonts w:eastAsia="Garamond"/>
        </w:rPr>
        <w:t xml:space="preserve">Changes to the workpaper process will be addressed in the </w:t>
      </w:r>
      <w:r w:rsidR="00C85A2D">
        <w:rPr>
          <w:rFonts w:eastAsia="Garamond"/>
        </w:rPr>
        <w:t>Phase 2</w:t>
      </w:r>
      <w:r w:rsidR="00394C71">
        <w:rPr>
          <w:rFonts w:eastAsia="Garamond"/>
        </w:rPr>
        <w:t xml:space="preserve"> transition period in 2021.</w:t>
      </w:r>
    </w:p>
    <w:p w:rsidRPr="001A6020" w:rsidR="00AF3B16" w:rsidP="00AF3B16" w:rsidRDefault="00AF3B16" w14:paraId="1713E356" w14:textId="2569BBBC">
      <w:pPr>
        <w:rPr>
          <w:rFonts w:eastAsia="Garamond"/>
        </w:rPr>
      </w:pPr>
      <w:r w:rsidRPr="001A6020">
        <w:rPr>
          <w:rFonts w:eastAsia="Garamond"/>
        </w:rPr>
        <w:t xml:space="preserve">Energy Division staff will continue </w:t>
      </w:r>
      <w:r w:rsidR="009C01B1">
        <w:rPr>
          <w:rFonts w:eastAsia="Garamond"/>
        </w:rPr>
        <w:t xml:space="preserve">to </w:t>
      </w:r>
      <w:r w:rsidRPr="001A6020">
        <w:rPr>
          <w:rFonts w:eastAsia="Garamond"/>
        </w:rPr>
        <w:t xml:space="preserve">update values in the </w:t>
      </w:r>
      <w:proofErr w:type="spellStart"/>
      <w:r w:rsidR="00293EE4">
        <w:rPr>
          <w:rFonts w:eastAsia="Garamond"/>
        </w:rPr>
        <w:t>EAdb</w:t>
      </w:r>
      <w:proofErr w:type="spellEnd"/>
      <w:r w:rsidRPr="001A6020" w:rsidR="00293EE4">
        <w:rPr>
          <w:rFonts w:eastAsia="Garamond"/>
        </w:rPr>
        <w:t xml:space="preserve"> </w:t>
      </w:r>
      <w:r w:rsidRPr="001A6020">
        <w:rPr>
          <w:rFonts w:eastAsia="Garamond"/>
        </w:rPr>
        <w:t xml:space="preserve">for the </w:t>
      </w:r>
      <w:proofErr w:type="spellStart"/>
      <w:r w:rsidRPr="001A6020">
        <w:rPr>
          <w:rFonts w:eastAsia="Garamond"/>
        </w:rPr>
        <w:t>eTRM</w:t>
      </w:r>
      <w:proofErr w:type="spellEnd"/>
      <w:r w:rsidRPr="001A6020">
        <w:rPr>
          <w:rFonts w:eastAsia="Garamond"/>
        </w:rPr>
        <w:t xml:space="preserve"> to pick up nightly with the API until the capability under the CPUC User role enables staff to perform these updates directly in the eTRM using “write” privileges.</w:t>
      </w:r>
      <w:r w:rsidR="002934B2">
        <w:rPr>
          <w:rFonts w:eastAsia="Garamond"/>
        </w:rPr>
        <w:t xml:space="preserve"> </w:t>
      </w:r>
      <w:r w:rsidR="00560EC2">
        <w:rPr>
          <w:rFonts w:eastAsia="Garamond"/>
        </w:rPr>
        <w:t xml:space="preserve"> </w:t>
      </w:r>
    </w:p>
    <w:p w:rsidR="00090749" w:rsidP="00AF3B16" w:rsidRDefault="00AF3B16" w14:paraId="19F053F6" w14:textId="7F84AC27">
      <w:pPr>
        <w:pStyle w:val="Heading4"/>
      </w:pPr>
      <w:r>
        <w:t xml:space="preserve">A.6 </w:t>
      </w:r>
      <w:r w:rsidR="00090749">
        <w:t xml:space="preserve">Conditions of the Data Source of Record </w:t>
      </w:r>
    </w:p>
    <w:p w:rsidRPr="008E2F07" w:rsidR="00AF3B16" w:rsidP="00AF3B16" w:rsidRDefault="00AF3B16" w14:paraId="086BF129" w14:textId="247CA2D4">
      <w:r w:rsidRPr="40AD8E22">
        <w:rPr>
          <w:rFonts w:eastAsia="Garamond"/>
        </w:rPr>
        <w:t xml:space="preserve">System transitions require time for full deployment; therefore the “conditional” description will remain for the duration of the transition period as we consider a strategy to fully retire the old systems in </w:t>
      </w:r>
      <w:r>
        <w:rPr>
          <w:rFonts w:eastAsia="Garamond"/>
        </w:rPr>
        <w:t>a future DEER resolution</w:t>
      </w:r>
      <w:r w:rsidRPr="40AD8E22">
        <w:rPr>
          <w:rFonts w:eastAsia="Garamond"/>
        </w:rPr>
        <w:t>.</w:t>
      </w:r>
      <w:r w:rsidR="002934B2">
        <w:rPr>
          <w:rFonts w:eastAsia="Garamond"/>
        </w:rPr>
        <w:t xml:space="preserve"> </w:t>
      </w:r>
      <w:r w:rsidR="005D4EE6">
        <w:rPr>
          <w:rFonts w:eastAsia="Garamond"/>
        </w:rPr>
        <w:t xml:space="preserve">Once all activities </w:t>
      </w:r>
      <w:r w:rsidR="008677D0">
        <w:rPr>
          <w:rFonts w:eastAsia="Garamond"/>
        </w:rPr>
        <w:t xml:space="preserve">under </w:t>
      </w:r>
      <w:r w:rsidR="00C85A2D">
        <w:rPr>
          <w:rFonts w:eastAsia="Garamond"/>
        </w:rPr>
        <w:t>Phase 1</w:t>
      </w:r>
      <w:r w:rsidR="008677D0">
        <w:rPr>
          <w:rFonts w:eastAsia="Garamond"/>
        </w:rPr>
        <w:t xml:space="preserve"> and </w:t>
      </w:r>
      <w:r w:rsidR="00C85A2D">
        <w:rPr>
          <w:rFonts w:eastAsia="Garamond"/>
        </w:rPr>
        <w:t xml:space="preserve">2 </w:t>
      </w:r>
      <w:r w:rsidR="008677D0">
        <w:rPr>
          <w:rFonts w:eastAsia="Garamond"/>
        </w:rPr>
        <w:t>are satisfactorily completed, the C</w:t>
      </w:r>
      <w:r w:rsidR="00AA4A33">
        <w:rPr>
          <w:rFonts w:eastAsia="Garamond"/>
        </w:rPr>
        <w:t xml:space="preserve">PUC will remove the “conditional” </w:t>
      </w:r>
      <w:r w:rsidR="007C34FF">
        <w:rPr>
          <w:rFonts w:eastAsia="Garamond"/>
        </w:rPr>
        <w:t>status and adopt the eTRM as the official database of record.</w:t>
      </w:r>
    </w:p>
    <w:p w:rsidRPr="008E2F07" w:rsidR="00AF3B16" w:rsidP="00AF3B16" w:rsidRDefault="00AF3B16" w14:paraId="300F6333" w14:textId="2390BA91">
      <w:r w:rsidRPr="40AD8E22">
        <w:rPr>
          <w:rFonts w:eastAsia="Garamond"/>
        </w:rPr>
        <w:t>The IOUs will ensure that a copy of the eTRM database is provided to the CPUC and that this database is updated to always reflect the current version running on the eTRM.</w:t>
      </w:r>
      <w:r w:rsidR="002934B2">
        <w:rPr>
          <w:rFonts w:eastAsia="Garamond"/>
        </w:rPr>
        <w:t xml:space="preserve"> </w:t>
      </w:r>
      <w:r w:rsidRPr="40AD8E22">
        <w:rPr>
          <w:rFonts w:eastAsia="Garamond"/>
        </w:rPr>
        <w:t xml:space="preserve">If the eTRM, for whatever reason, does not maintain the </w:t>
      </w:r>
      <w:r w:rsidR="00F51EE4">
        <w:rPr>
          <w:rFonts w:eastAsia="Garamond"/>
        </w:rPr>
        <w:t>S</w:t>
      </w:r>
      <w:r w:rsidRPr="40AD8E22" w:rsidR="00F51EE4">
        <w:rPr>
          <w:rFonts w:eastAsia="Garamond"/>
        </w:rPr>
        <w:t xml:space="preserve">tandard </w:t>
      </w:r>
      <w:r w:rsidRPr="40AD8E22">
        <w:rPr>
          <w:rFonts w:eastAsia="Garamond"/>
        </w:rPr>
        <w:t>in today’s or a future Energy D</w:t>
      </w:r>
      <w:r w:rsidR="00B83327">
        <w:rPr>
          <w:rFonts w:eastAsia="Garamond"/>
        </w:rPr>
        <w:t>i</w:t>
      </w:r>
      <w:r w:rsidRPr="40AD8E22">
        <w:rPr>
          <w:rFonts w:eastAsia="Garamond"/>
        </w:rPr>
        <w:t>vision standard then the eTRM will be rendered out of compliance and the Commission shall exert ownership over the database.</w:t>
      </w:r>
      <w:r w:rsidR="002934B2">
        <w:rPr>
          <w:rFonts w:eastAsia="Garamond"/>
        </w:rPr>
        <w:t xml:space="preserve"> </w:t>
      </w:r>
    </w:p>
    <w:p w:rsidRPr="008E2F07" w:rsidR="00AF3B16" w:rsidP="00AF3B16" w:rsidRDefault="00AF3B16" w14:paraId="595D6E6F" w14:textId="025211B0">
      <w:r w:rsidRPr="40AD8E22">
        <w:rPr>
          <w:rFonts w:eastAsia="Garamond"/>
        </w:rPr>
        <w:t xml:space="preserve">The CPUC owns all deemed data submitted to the Energy Division for review and approval; the eTRM is required to make all required data accessible as a condition of compliance. </w:t>
      </w:r>
    </w:p>
    <w:p w:rsidRPr="008E2F07" w:rsidR="00AF3B16" w:rsidP="00AF3B16" w:rsidRDefault="00AF3B16" w14:paraId="706284C8" w14:textId="2EF7E662">
      <w:r w:rsidRPr="40AD8E22">
        <w:rPr>
          <w:rFonts w:eastAsia="Garamond"/>
        </w:rPr>
        <w:t xml:space="preserve">When contracting development or enhancement work for the eTRM, the CPUC’s requirements with respect to the data source of record will take priority over other enhancements. The CPUC role to be created </w:t>
      </w:r>
      <w:r>
        <w:rPr>
          <w:rFonts w:eastAsia="Garamond"/>
        </w:rPr>
        <w:t>will enable CPUC staff</w:t>
      </w:r>
      <w:r w:rsidRPr="40AD8E22">
        <w:rPr>
          <w:rFonts w:eastAsia="Garamond"/>
        </w:rPr>
        <w:t xml:space="preserve"> to </w:t>
      </w:r>
      <w:r w:rsidR="00394C71">
        <w:rPr>
          <w:rFonts w:eastAsia="Garamond"/>
        </w:rPr>
        <w:t>have the same functional oversight of deemed values as the existing systems.</w:t>
      </w:r>
    </w:p>
    <w:p w:rsidRPr="00C51974" w:rsidR="00D745E4" w:rsidP="005B1D66" w:rsidRDefault="00AD706E" w14:paraId="769586A0" w14:textId="122DEA07">
      <w:pPr>
        <w:pStyle w:val="Heading3"/>
        <w:numPr>
          <w:ilvl w:val="1"/>
          <w:numId w:val="6"/>
        </w:numPr>
        <w:rPr>
          <w:b/>
          <w:bCs w:val="0"/>
        </w:rPr>
      </w:pPr>
      <w:r w:rsidRPr="00C51974">
        <w:rPr>
          <w:b/>
          <w:bCs w:val="0"/>
        </w:rPr>
        <w:t>DEER Methodology Updates</w:t>
      </w:r>
      <w:r w:rsidRPr="00C51974" w:rsidR="00A75C2D">
        <w:rPr>
          <w:b/>
          <w:bCs w:val="0"/>
        </w:rPr>
        <w:t xml:space="preserve"> </w:t>
      </w:r>
    </w:p>
    <w:p w:rsidRPr="00F33A49" w:rsidR="0073237C" w:rsidP="008E2F07" w:rsidRDefault="0073237C" w14:paraId="090F3946" w14:textId="18649F8F">
      <w:r w:rsidRPr="00F33A49">
        <w:t xml:space="preserve">DEER methodology updates affect the methods and approaches used to generate measures savings and </w:t>
      </w:r>
      <w:r w:rsidRPr="00F33A49" w:rsidR="00A75C2D">
        <w:t xml:space="preserve">supporting energy savings parameters, such as </w:t>
      </w:r>
      <w:r w:rsidRPr="00F33A49" w:rsidR="007E546E">
        <w:t>net-to-gross (N</w:t>
      </w:r>
      <w:r w:rsidRPr="00F33A49" w:rsidR="00F412AE">
        <w:t>TG</w:t>
      </w:r>
      <w:r w:rsidRPr="00F33A49" w:rsidR="007E546E">
        <w:t>)</w:t>
      </w:r>
      <w:r w:rsidRPr="00F33A49" w:rsidR="00F412AE">
        <w:t xml:space="preserve">, </w:t>
      </w:r>
      <w:r w:rsidRPr="00F33A49" w:rsidR="007E546E">
        <w:t>effective useful life (</w:t>
      </w:r>
      <w:r w:rsidRPr="00F33A49" w:rsidR="00F412AE">
        <w:t>EUL</w:t>
      </w:r>
      <w:r w:rsidRPr="00F33A49" w:rsidR="007E546E">
        <w:t>)</w:t>
      </w:r>
      <w:r w:rsidRPr="00F33A49" w:rsidR="00F412AE">
        <w:t>, unit energy savings (UES), and incremental measure costs (IMC)</w:t>
      </w:r>
      <w:r w:rsidRPr="00F33A49" w:rsidR="0007549E">
        <w:t xml:space="preserve">. An update to DEER </w:t>
      </w:r>
      <w:r w:rsidR="007739CC">
        <w:t>m</w:t>
      </w:r>
      <w:r w:rsidRPr="00F33A49" w:rsidR="007739CC">
        <w:t xml:space="preserve">ethodology </w:t>
      </w:r>
      <w:r w:rsidR="009F01E5">
        <w:t>could</w:t>
      </w:r>
      <w:r w:rsidRPr="00F33A49">
        <w:t xml:space="preserve"> alter </w:t>
      </w:r>
      <w:r w:rsidRPr="00F33A49" w:rsidR="0007549E">
        <w:t>the savings values,</w:t>
      </w:r>
      <w:r w:rsidRPr="00F33A49">
        <w:t xml:space="preserve"> database structure, building prototype models, use of DEER database measures in workpapers, or the effort to move away from utility-specific to statewide measures.</w:t>
      </w:r>
      <w:r w:rsidR="00EC5F6A">
        <w:t xml:space="preserve"> </w:t>
      </w:r>
      <w:r w:rsidRPr="00F33A49">
        <w:t xml:space="preserve">The changes for this cycle include </w:t>
      </w:r>
      <w:r w:rsidRPr="00F33A49" w:rsidR="00D83E24">
        <w:t xml:space="preserve">the inclusion of load shapes in DEER, clarifications to the EUL update </w:t>
      </w:r>
      <w:r w:rsidRPr="00F33A49" w:rsidR="00D83E24">
        <w:lastRenderedPageBreak/>
        <w:t xml:space="preserve">process and the BRO measure classification, redefining chiller measure tiers, reclassifying duct sealing as a building weatherization measure type, and eliminating the </w:t>
      </w:r>
      <w:proofErr w:type="spellStart"/>
      <w:r w:rsidRPr="00F33A49" w:rsidR="00D83E24">
        <w:t>PEAR</w:t>
      </w:r>
      <w:r w:rsidR="007739CC">
        <w:t>db</w:t>
      </w:r>
      <w:proofErr w:type="spellEnd"/>
      <w:r w:rsidRPr="00F33A49" w:rsidR="00792730">
        <w:t>.</w:t>
      </w:r>
    </w:p>
    <w:p w:rsidRPr="00F33A49" w:rsidR="00AD706E" w:rsidP="008E2F07" w:rsidRDefault="00090749" w14:paraId="56234162" w14:textId="1F016E8F">
      <w:pPr>
        <w:pStyle w:val="Heading4"/>
      </w:pPr>
      <w:r>
        <w:t>B</w:t>
      </w:r>
      <w:r w:rsidRPr="00F33A49" w:rsidR="00AD706E">
        <w:t xml:space="preserve">.1 </w:t>
      </w:r>
      <w:r w:rsidRPr="00F33A49" w:rsidR="00483930">
        <w:t xml:space="preserve">Modifications to </w:t>
      </w:r>
      <w:r w:rsidRPr="00F33A49" w:rsidR="00CD552A">
        <w:t>Accommodate Load Shape Updates</w:t>
      </w:r>
    </w:p>
    <w:p w:rsidRPr="00402450" w:rsidR="00AD706E" w:rsidP="008E2F07" w:rsidRDefault="00C76E85" w14:paraId="2466D964" w14:textId="10087D6D">
      <w:r w:rsidRPr="006638D5">
        <w:rPr>
          <w:b/>
          <w:bCs/>
        </w:rPr>
        <w:t xml:space="preserve">A new table (or tables) will be added to DEER to contain </w:t>
      </w:r>
      <w:r w:rsidRPr="006638D5" w:rsidR="00CA5E88">
        <w:rPr>
          <w:b/>
          <w:bCs/>
        </w:rPr>
        <w:t xml:space="preserve">summary-level </w:t>
      </w:r>
      <w:r w:rsidRPr="006638D5">
        <w:rPr>
          <w:b/>
          <w:bCs/>
        </w:rPr>
        <w:t xml:space="preserve">measure savings load shapes and/or load-shape characteristics once updated through </w:t>
      </w:r>
      <w:r w:rsidR="006A19AB">
        <w:rPr>
          <w:b/>
          <w:bCs/>
        </w:rPr>
        <w:t xml:space="preserve">CPUC </w:t>
      </w:r>
      <w:r w:rsidR="00AE674E">
        <w:rPr>
          <w:b/>
          <w:bCs/>
        </w:rPr>
        <w:t>Load Shape Update Study (</w:t>
      </w:r>
      <w:r w:rsidRPr="006638D5">
        <w:rPr>
          <w:b/>
          <w:bCs/>
        </w:rPr>
        <w:t>Deliverable 17</w:t>
      </w:r>
      <w:r w:rsidR="00AE674E">
        <w:rPr>
          <w:b/>
          <w:bCs/>
        </w:rPr>
        <w:t xml:space="preserve"> of Contract A)</w:t>
      </w:r>
      <w:r w:rsidRPr="006638D5">
        <w:rPr>
          <w:b/>
          <w:bCs/>
        </w:rPr>
        <w:t xml:space="preserve"> </w:t>
      </w:r>
      <w:r w:rsidRPr="006638D5" w:rsidR="00CA5E88">
        <w:rPr>
          <w:b/>
          <w:bCs/>
        </w:rPr>
        <w:t xml:space="preserve">or EM&amp;V efforts </w:t>
      </w:r>
      <w:r w:rsidRPr="006638D5">
        <w:rPr>
          <w:b/>
          <w:bCs/>
        </w:rPr>
        <w:t xml:space="preserve">and publicly vetted and reviewed by the </w:t>
      </w:r>
      <w:r w:rsidR="00FA680A">
        <w:rPr>
          <w:b/>
          <w:bCs/>
        </w:rPr>
        <w:t>CPUC staff</w:t>
      </w:r>
      <w:r w:rsidRPr="006638D5">
        <w:rPr>
          <w:b/>
          <w:bCs/>
        </w:rPr>
        <w:t>.</w:t>
      </w:r>
      <w:r w:rsidRPr="00F33A49" w:rsidR="00CA5E88">
        <w:t xml:space="preserve"> Resolution E-4867 ordered a working group to develop a proposal for how the DEER peak period methodology should be adjusted. The working group recommended an adjustment of the peak period times which was implemented in Resolution E-4952. They also recommended a longer-term adjustment called a “no-peak” methodology which would involve eliminating the peak kilowatt savings reporting and would move toward a dynamic peak. This 2022 DEER update lays some of the groundwork necessary to incorporate updated measure savings load</w:t>
      </w:r>
      <w:r w:rsidR="00701DF5">
        <w:t xml:space="preserve"> </w:t>
      </w:r>
      <w:r w:rsidRPr="00F33A49" w:rsidR="00CA5E88">
        <w:t>shapes, a first step toward this longer term dynamic peak goal.</w:t>
      </w:r>
      <w:r w:rsidRPr="00402450" w:rsidR="00CA5E88">
        <w:t xml:space="preserve"> </w:t>
      </w:r>
      <w:r w:rsidRPr="00F33A49" w:rsidR="00CA5E88">
        <w:t>Some new load shapes will be available for use in 2021. Load shapes applicable to measures updated through 2019 EM&amp;V efforts or via DEER 2022 will be available for use in 2022.</w:t>
      </w:r>
      <w:r w:rsidR="00EC5F6A">
        <w:t xml:space="preserve"> </w:t>
      </w:r>
    </w:p>
    <w:p w:rsidRPr="00F33A49" w:rsidR="00483930" w:rsidP="008E2F07" w:rsidRDefault="00090749" w14:paraId="3B11BE6C" w14:textId="24A920A5">
      <w:pPr>
        <w:pStyle w:val="Heading4"/>
      </w:pPr>
      <w:bookmarkStart w:name="_Hlk12356383" w:id="11"/>
      <w:r>
        <w:t>B</w:t>
      </w:r>
      <w:r w:rsidRPr="00F33A49" w:rsidR="00483930">
        <w:t>.</w:t>
      </w:r>
      <w:r w:rsidR="009B7805">
        <w:t>2</w:t>
      </w:r>
      <w:r w:rsidRPr="00F33A49" w:rsidR="00483930">
        <w:t xml:space="preserve"> Chiller </w:t>
      </w:r>
      <w:r w:rsidRPr="00F33A49" w:rsidR="00CD552A">
        <w:t>Measure Tier Definitions</w:t>
      </w:r>
    </w:p>
    <w:p w:rsidRPr="00F33A49" w:rsidR="00483930" w:rsidP="008E2F07" w:rsidRDefault="003E2152" w14:paraId="32C31B83" w14:textId="0A428FDF">
      <w:r w:rsidRPr="003E2152">
        <w:rPr>
          <w:b/>
          <w:bCs/>
        </w:rPr>
        <w:t>This resolution modifies the DEER requirement</w:t>
      </w:r>
      <w:r>
        <w:rPr>
          <w:b/>
          <w:bCs/>
        </w:rPr>
        <w:t xml:space="preserve"> </w:t>
      </w:r>
      <w:r w:rsidRPr="003E2152">
        <w:rPr>
          <w:b/>
          <w:bCs/>
        </w:rPr>
        <w:t>for air cooled Path B</w:t>
      </w:r>
      <w:r>
        <w:rPr>
          <w:rStyle w:val="FootnoteReference"/>
        </w:rPr>
        <w:footnoteReference w:id="17"/>
      </w:r>
      <w:r w:rsidRPr="003E2152">
        <w:rPr>
          <w:b/>
          <w:bCs/>
        </w:rPr>
        <w:t xml:space="preserve"> chillers</w:t>
      </w:r>
      <w:r>
        <w:rPr>
          <w:b/>
          <w:bCs/>
        </w:rPr>
        <w:t xml:space="preserve">. </w:t>
      </w:r>
      <w:r w:rsidRPr="003E2152">
        <w:t xml:space="preserve">We allow a lower full-load efficiency improvement of seven percent for both </w:t>
      </w:r>
      <w:r w:rsidRPr="003E2152" w:rsidR="00066B8F">
        <w:t>tiers but</w:t>
      </w:r>
      <w:r w:rsidRPr="003E2152">
        <w:t xml:space="preserve"> requir</w:t>
      </w:r>
      <w:r>
        <w:t>e</w:t>
      </w:r>
      <w:r w:rsidRPr="003E2152">
        <w:t xml:space="preserve"> a higher part-load efficiency improvement of 12</w:t>
      </w:r>
      <w:r w:rsidR="002364AB">
        <w:t xml:space="preserve"> percent</w:t>
      </w:r>
      <w:r w:rsidRPr="003E2152" w:rsidR="002364AB">
        <w:t xml:space="preserve"> </w:t>
      </w:r>
      <w:r w:rsidRPr="003E2152">
        <w:t>for tier 1 and 20</w:t>
      </w:r>
      <w:r w:rsidR="002364AB">
        <w:t xml:space="preserve"> percent</w:t>
      </w:r>
      <w:r w:rsidRPr="003E2152">
        <w:t xml:space="preserve"> for tier 2 chillers. This change does not apply to any currently existing DEER chiller measures because all of the air-cooled chiller measures in DEER are Path A, </w:t>
      </w:r>
      <w:r w:rsidR="006A19AB">
        <w:t>and</w:t>
      </w:r>
      <w:r w:rsidRPr="003E2152">
        <w:t xml:space="preserve"> </w:t>
      </w:r>
      <w:r>
        <w:t xml:space="preserve">it </w:t>
      </w:r>
      <w:r w:rsidRPr="003E2152">
        <w:t xml:space="preserve">will </w:t>
      </w:r>
      <w:r w:rsidR="006A19AB">
        <w:t xml:space="preserve">not </w:t>
      </w:r>
      <w:r w:rsidRPr="003E2152">
        <w:t>apply to custom projects</w:t>
      </w:r>
      <w:r w:rsidR="006A19AB">
        <w:t xml:space="preserve">. It will apply to </w:t>
      </w:r>
      <w:r w:rsidRPr="003E2152">
        <w:t xml:space="preserve">non-DEER deemed measures supported by workpapers. </w:t>
      </w:r>
    </w:p>
    <w:p w:rsidRPr="00F33A49" w:rsidR="00483930" w:rsidP="008E2F07" w:rsidRDefault="00090749" w14:paraId="6AC59672" w14:textId="07563103">
      <w:pPr>
        <w:pStyle w:val="Heading4"/>
      </w:pPr>
      <w:r>
        <w:t>B</w:t>
      </w:r>
      <w:r w:rsidRPr="00F33A49" w:rsidR="00483930">
        <w:t>.</w:t>
      </w:r>
      <w:r w:rsidR="009B7805">
        <w:t>3</w:t>
      </w:r>
      <w:r w:rsidR="00241E24">
        <w:t xml:space="preserve"> </w:t>
      </w:r>
      <w:r w:rsidRPr="00F33A49" w:rsidR="007D3703">
        <w:t xml:space="preserve">Clarification of BRO </w:t>
      </w:r>
      <w:r w:rsidRPr="00F33A49" w:rsidR="00CD552A">
        <w:t>Measure Application Types</w:t>
      </w:r>
    </w:p>
    <w:p w:rsidRPr="00F33A49" w:rsidR="00483930" w:rsidP="008E2F07" w:rsidRDefault="00043721" w14:paraId="0A89CC27" w14:textId="07D28272">
      <w:r w:rsidRPr="00F33A49">
        <w:rPr>
          <w:b/>
          <w:bCs/>
        </w:rPr>
        <w:t xml:space="preserve">The EULs for BRO measures </w:t>
      </w:r>
      <w:r w:rsidRPr="00F33A49" w:rsidR="00BF2B5A">
        <w:rPr>
          <w:b/>
          <w:bCs/>
        </w:rPr>
        <w:t xml:space="preserve">were established in Decision D.16-08-019 and </w:t>
      </w:r>
      <w:r w:rsidRPr="00F33A49">
        <w:rPr>
          <w:b/>
          <w:bCs/>
        </w:rPr>
        <w:t>can only be updated by a future decision.</w:t>
      </w:r>
      <w:r w:rsidRPr="00F33A49" w:rsidR="00483930">
        <w:t xml:space="preserve"> </w:t>
      </w:r>
      <w:r w:rsidRPr="00F33A49" w:rsidR="00BF2B5A">
        <w:t>There has been some confusion around EULs associated with the Behavioral, Retro</w:t>
      </w:r>
      <w:r w:rsidR="00B41BA7">
        <w:t>-</w:t>
      </w:r>
      <w:r w:rsidRPr="00F33A49" w:rsidR="00BF2B5A">
        <w:t xml:space="preserve">commissioning, or Operational (BRO) measure application type (MAT) classification established in Resolution E-4818 in response to Decision D.16-08-019 and amended in E-4952. Because the EULs for these MATs were </w:t>
      </w:r>
      <w:r w:rsidRPr="00F33A49" w:rsidR="00BF2B5A">
        <w:lastRenderedPageBreak/>
        <w:t xml:space="preserve">adopted by decision they cannot be changed in a Resolution, only through another Decision. </w:t>
      </w:r>
    </w:p>
    <w:p w:rsidRPr="00F33A49" w:rsidR="007D3703" w:rsidP="008E2F07" w:rsidRDefault="00090749" w14:paraId="76ECA114" w14:textId="10A2F61E">
      <w:pPr>
        <w:pStyle w:val="Heading4"/>
      </w:pPr>
      <w:r>
        <w:t>B</w:t>
      </w:r>
      <w:r w:rsidRPr="00F33A49" w:rsidR="007D3703">
        <w:t>.</w:t>
      </w:r>
      <w:r w:rsidR="009B7805">
        <w:t>4</w:t>
      </w:r>
      <w:r w:rsidRPr="00F33A49" w:rsidR="007D3703">
        <w:t xml:space="preserve"> Reclassify </w:t>
      </w:r>
      <w:r w:rsidRPr="00F33A49" w:rsidR="00CD552A">
        <w:t>Duct Sealing</w:t>
      </w:r>
      <w:r w:rsidRPr="00F33A49" w:rsidR="007D3703">
        <w:t xml:space="preserve"> for pre-2006 </w:t>
      </w:r>
      <w:r w:rsidRPr="00F33A49" w:rsidR="00CD552A">
        <w:t>Buildings</w:t>
      </w:r>
      <w:r w:rsidR="00CB2FAE">
        <w:t xml:space="preserve"> </w:t>
      </w:r>
    </w:p>
    <w:p w:rsidR="00BB7660" w:rsidP="008E2F07" w:rsidRDefault="00E7117D" w14:paraId="1783CB76" w14:textId="369621AC">
      <w:r w:rsidRPr="009B7805">
        <w:rPr>
          <w:b/>
          <w:bCs/>
        </w:rPr>
        <w:t xml:space="preserve">The duct sealing measures </w:t>
      </w:r>
      <w:r w:rsidRPr="009B7805" w:rsidR="00BF2B5A">
        <w:rPr>
          <w:b/>
          <w:bCs/>
        </w:rPr>
        <w:t xml:space="preserve">currently existing in DEER </w:t>
      </w:r>
      <w:r w:rsidRPr="009B7805">
        <w:rPr>
          <w:b/>
          <w:bCs/>
        </w:rPr>
        <w:t xml:space="preserve">shall be reclassified as </w:t>
      </w:r>
      <w:r w:rsidRPr="009B7805" w:rsidR="005942C8">
        <w:rPr>
          <w:b/>
          <w:bCs/>
        </w:rPr>
        <w:t>building weatherization</w:t>
      </w:r>
      <w:r w:rsidRPr="009B7805" w:rsidR="00DA4B26">
        <w:rPr>
          <w:b/>
          <w:bCs/>
        </w:rPr>
        <w:t xml:space="preserve"> (</w:t>
      </w:r>
      <w:r w:rsidRPr="009B7805">
        <w:rPr>
          <w:b/>
          <w:bCs/>
        </w:rPr>
        <w:t>BW</w:t>
      </w:r>
      <w:r w:rsidRPr="009B7805" w:rsidR="00DA4B26">
        <w:rPr>
          <w:b/>
          <w:bCs/>
        </w:rPr>
        <w:t>)</w:t>
      </w:r>
      <w:r w:rsidRPr="009B7805">
        <w:rPr>
          <w:b/>
          <w:bCs/>
        </w:rPr>
        <w:t xml:space="preserve"> measures and will only be eligible </w:t>
      </w:r>
      <w:r w:rsidRPr="009B7805" w:rsidR="00BF2B5A">
        <w:rPr>
          <w:b/>
          <w:bCs/>
        </w:rPr>
        <w:t xml:space="preserve">to be installed </w:t>
      </w:r>
      <w:r w:rsidRPr="009B7805">
        <w:rPr>
          <w:b/>
          <w:bCs/>
        </w:rPr>
        <w:t>in buildings constructed pre-2006</w:t>
      </w:r>
      <w:r w:rsidRPr="009B7805">
        <w:t>.</w:t>
      </w:r>
      <w:r w:rsidRPr="009B7805" w:rsidR="007D3703">
        <w:t xml:space="preserve"> </w:t>
      </w:r>
      <w:r w:rsidRPr="009B7805" w:rsidR="00014689">
        <w:t>Duct sealing may</w:t>
      </w:r>
      <w:r w:rsidRPr="009B7805" w:rsidR="000530FC">
        <w:t xml:space="preserve"> still</w:t>
      </w:r>
      <w:r w:rsidRPr="009B7805" w:rsidR="00014689">
        <w:t xml:space="preserve"> be offered as a BRO measure in buildings constructed after 2005</w:t>
      </w:r>
      <w:r w:rsidRPr="009B7805" w:rsidR="00584EDA">
        <w:t xml:space="preserve"> based on exiting workpaper. BW</w:t>
      </w:r>
      <w:r w:rsidRPr="009B7805" w:rsidR="00014689">
        <w:t xml:space="preserve"> measure</w:t>
      </w:r>
      <w:r w:rsidRPr="009B7805" w:rsidR="00584EDA">
        <w:t>s</w:t>
      </w:r>
      <w:r w:rsidRPr="009B7805" w:rsidR="00014689">
        <w:t xml:space="preserve"> require a new workpaper that includes new savings estimates.</w:t>
      </w:r>
      <w:r w:rsidR="00014689">
        <w:t xml:space="preserve"> </w:t>
      </w:r>
      <w:r w:rsidRPr="00F33A49" w:rsidR="007D3703">
        <w:t>Resolution E-4952 (October 11, 2018) classified duct sealing as a BRO</w:t>
      </w:r>
      <w:r w:rsidR="0004070A">
        <w:rPr>
          <w:rStyle w:val="FootnoteReference"/>
        </w:rPr>
        <w:footnoteReference w:id="18"/>
      </w:r>
      <w:r w:rsidRPr="00F33A49" w:rsidR="007D3703">
        <w:t xml:space="preserve"> measure with a </w:t>
      </w:r>
      <w:r w:rsidR="005942C8">
        <w:t>three</w:t>
      </w:r>
      <w:r w:rsidRPr="00F33A49" w:rsidR="00E14E03">
        <w:t>-</w:t>
      </w:r>
      <w:r w:rsidRPr="00F33A49" w:rsidR="007D3703">
        <w:t>year EUL, based on the RCx criteria of being “restorative of performance</w:t>
      </w:r>
      <w:r w:rsidRPr="00F33A49" w:rsidR="009A0E99">
        <w:t>.</w:t>
      </w:r>
      <w:r w:rsidRPr="00F33A49" w:rsidR="007D3703">
        <w:t xml:space="preserve">” </w:t>
      </w:r>
      <w:r w:rsidRPr="00F33A49" w:rsidR="005F2737">
        <w:t xml:space="preserve">This is true for residential and non-residential buildings that were constructed after January 1, 2006 when the 2005 California Building Energy Efficiency Standards (2005 CA T-24) introduced a requirement for </w:t>
      </w:r>
      <w:r w:rsidR="00373A5E">
        <w:t>a</w:t>
      </w:r>
      <w:r w:rsidRPr="00F33A49" w:rsidR="005A5985">
        <w:t xml:space="preserve"> </w:t>
      </w:r>
      <w:r w:rsidRPr="00F33A49" w:rsidR="005F2737">
        <w:t xml:space="preserve">duct leakage rate </w:t>
      </w:r>
      <w:r w:rsidR="00373A5E">
        <w:t xml:space="preserve">of six percent or less, </w:t>
      </w:r>
      <w:r w:rsidRPr="00F33A49" w:rsidR="005F2737">
        <w:t xml:space="preserve">in new buildings. </w:t>
      </w:r>
      <w:r w:rsidRPr="00F33A49" w:rsidR="00FC7C61">
        <w:t>Those</w:t>
      </w:r>
      <w:r w:rsidRPr="00F33A49" w:rsidR="005F2737">
        <w:t xml:space="preserve"> constructed prior to 2006 were not required to have ducts sealed and research shows that ducts in these older homes had leakage rates on the order of 20</w:t>
      </w:r>
      <w:r w:rsidRPr="00F33A49" w:rsidR="005A5985">
        <w:t xml:space="preserve"> percent</w:t>
      </w:r>
      <w:r w:rsidRPr="00F33A49" w:rsidR="005F2737">
        <w:t xml:space="preserve">. </w:t>
      </w:r>
    </w:p>
    <w:p w:rsidRPr="00F33A49" w:rsidR="007D3703" w:rsidP="008E2F07" w:rsidRDefault="005F2737" w14:paraId="0B01EFA9" w14:textId="332FE6D7">
      <w:r w:rsidRPr="00F33A49">
        <w:t xml:space="preserve">For pre-2006 buildings, duct sealing is not restorative in nature, but is an improvement—much like building-shell air sealing and upgrading attic insulation. Since Resolution E-4818 indicated that measures involving non-mechanical building components such as ductwork are eligible for building weatherization treatment, </w:t>
      </w:r>
      <w:r w:rsidRPr="00F33A49">
        <w:rPr>
          <w:u w:val="single"/>
        </w:rPr>
        <w:t>duct sealing at pre-2006 buildings shall be categorized as a BW</w:t>
      </w:r>
      <w:r w:rsidRPr="00F33A49" w:rsidR="00FC7C61">
        <w:rPr>
          <w:sz w:val="18"/>
          <w:szCs w:val="18"/>
          <w:u w:val="single"/>
        </w:rPr>
        <w:t xml:space="preserve"> </w:t>
      </w:r>
      <w:r w:rsidRPr="00F33A49">
        <w:rPr>
          <w:u w:val="single"/>
        </w:rPr>
        <w:t>measure</w:t>
      </w:r>
      <w:r w:rsidRPr="00F33A49">
        <w:t>.</w:t>
      </w:r>
      <w:r w:rsidRPr="00F33A49" w:rsidR="00FC7C61">
        <w:t xml:space="preserve"> This establishes that there shall be two types of duct-sealing measures: those classified with MAT of </w:t>
      </w:r>
      <w:proofErr w:type="spellStart"/>
      <w:r w:rsidRPr="00C708A7" w:rsidR="00FC7C61">
        <w:t>retrocommissioning</w:t>
      </w:r>
      <w:proofErr w:type="spellEnd"/>
      <w:r w:rsidRPr="00C708A7" w:rsidR="00FC7C61">
        <w:t xml:space="preserve"> (BRO-RCx) that are installed in residential or non-residential buildings constructed January 1, 2006 or later and those with MAT of BW</w:t>
      </w:r>
      <w:r w:rsidRPr="00F33A49" w:rsidR="00FC7C61">
        <w:t xml:space="preserve"> installed in residential or non-residential buildings built before January 1, 2006. </w:t>
      </w:r>
      <w:r w:rsidRPr="00F33A49" w:rsidR="00FC7C61">
        <w:rPr>
          <w:u w:val="single"/>
        </w:rPr>
        <w:t xml:space="preserve">Mobile homes do not have a requirement for duct sealing under the </w:t>
      </w:r>
      <w:r w:rsidRPr="005942C8" w:rsidR="005942C8">
        <w:rPr>
          <w:u w:val="single"/>
        </w:rPr>
        <w:t>U.S. Department of Housing and Urban Development</w:t>
      </w:r>
      <w:r w:rsidRPr="00F33A49" w:rsidR="00FC7C61">
        <w:rPr>
          <w:u w:val="single"/>
        </w:rPr>
        <w:t xml:space="preserve"> code, so duct sealing measures in all mobile homes shall be classified as BW types.</w:t>
      </w:r>
      <w:r w:rsidRPr="00F33A49" w:rsidR="00FC7C61">
        <w:rPr>
          <w:sz w:val="18"/>
          <w:szCs w:val="18"/>
        </w:rPr>
        <w:t xml:space="preserve"> </w:t>
      </w:r>
      <w:r w:rsidRPr="00F33A49" w:rsidR="00FC7C61">
        <w:t>The EUL for duct sealing classified as a BW measure shall revert to the previous value of 18 years, provided the materials and quality of the duct sealing installation is consistent with industry best practice.</w:t>
      </w:r>
      <w:r w:rsidRPr="00F33A49" w:rsidR="007D3703">
        <w:rPr>
          <w:highlight w:val="yellow"/>
        </w:rPr>
        <w:t xml:space="preserve"> </w:t>
      </w:r>
    </w:p>
    <w:p w:rsidRPr="00373A5E" w:rsidR="00EF6CE0" w:rsidP="005B1D66" w:rsidRDefault="00AF6DA0" w14:paraId="719EE8C0" w14:textId="3D003F42">
      <w:pPr>
        <w:pStyle w:val="Heading3"/>
        <w:numPr>
          <w:ilvl w:val="1"/>
          <w:numId w:val="6"/>
        </w:numPr>
        <w:rPr>
          <w:b/>
          <w:bCs w:val="0"/>
        </w:rPr>
      </w:pPr>
      <w:bookmarkStart w:name="_Ref39067179" w:id="12"/>
      <w:bookmarkEnd w:id="11"/>
      <w:r w:rsidRPr="00373A5E">
        <w:rPr>
          <w:b/>
          <w:bCs w:val="0"/>
        </w:rPr>
        <w:t xml:space="preserve">DEER Error </w:t>
      </w:r>
      <w:r w:rsidRPr="00373A5E" w:rsidR="00526B51">
        <w:rPr>
          <w:b/>
          <w:bCs w:val="0"/>
        </w:rPr>
        <w:t>Correction</w:t>
      </w:r>
      <w:r w:rsidRPr="00373A5E">
        <w:rPr>
          <w:b/>
          <w:bCs w:val="0"/>
        </w:rPr>
        <w:t>s</w:t>
      </w:r>
      <w:bookmarkEnd w:id="12"/>
      <w:r w:rsidRPr="00373A5E" w:rsidR="00526B51">
        <w:rPr>
          <w:b/>
          <w:bCs w:val="0"/>
        </w:rPr>
        <w:t xml:space="preserve"> </w:t>
      </w:r>
    </w:p>
    <w:p w:rsidRPr="00F33A49" w:rsidR="0073237C" w:rsidP="008E2F07" w:rsidRDefault="0000654C" w14:paraId="37175276" w14:textId="0F0D96F2">
      <w:r w:rsidRPr="00F33A49">
        <w:t xml:space="preserve">Major changes were made to the DEER system under the DEER2020 Update; for example, the building prototypes and modeling approach were completely </w:t>
      </w:r>
      <w:proofErr w:type="gramStart"/>
      <w:r w:rsidR="008A7A1D">
        <w:t>modified</w:t>
      </w:r>
      <w:proofErr w:type="gramEnd"/>
      <w:r w:rsidR="009F01E5">
        <w:t xml:space="preserve"> </w:t>
      </w:r>
      <w:r w:rsidRPr="00F33A49">
        <w:lastRenderedPageBreak/>
        <w:t>and the peak demand period was changed, but without a chance to thoroughly vet those updates. Although many errors and issues identified after the adoption of Resolution E-4952 DEER2020 Update were previously addressed, several more issues were uncovered or remain as described in the sub-sections that follow.</w:t>
      </w:r>
    </w:p>
    <w:p w:rsidRPr="00F33A49" w:rsidR="00A42B90" w:rsidP="008E2F07" w:rsidRDefault="00090749" w14:paraId="771EAE61" w14:textId="3593AE68">
      <w:pPr>
        <w:pStyle w:val="Heading4"/>
      </w:pPr>
      <w:r>
        <w:t>C</w:t>
      </w:r>
      <w:r w:rsidRPr="00F33A49" w:rsidR="00A42B90">
        <w:t xml:space="preserve">.1 </w:t>
      </w:r>
      <w:r w:rsidRPr="00F33A49" w:rsidR="007D3703">
        <w:t>Corrected/</w:t>
      </w:r>
      <w:r w:rsidRPr="00F33A49" w:rsidR="00CD552A">
        <w:t>Updated Water Heater Calculator</w:t>
      </w:r>
    </w:p>
    <w:p w:rsidRPr="00F33A49" w:rsidR="007D3703" w:rsidP="008E2F07" w:rsidRDefault="00566A98" w14:paraId="5B5EA79F" w14:textId="6DDE56A8">
      <w:pPr>
        <w:rPr>
          <w:b/>
          <w:bCs/>
          <w:highlight w:val="yellow"/>
        </w:rPr>
      </w:pPr>
      <w:r w:rsidRPr="00F33A49">
        <w:rPr>
          <w:b/>
          <w:bCs/>
        </w:rPr>
        <w:t>This</w:t>
      </w:r>
      <w:r w:rsidRPr="00F33A49" w:rsidR="007D3703">
        <w:rPr>
          <w:b/>
          <w:bCs/>
        </w:rPr>
        <w:t xml:space="preserve"> Update correct</w:t>
      </w:r>
      <w:r w:rsidRPr="00F33A49">
        <w:rPr>
          <w:b/>
          <w:bCs/>
        </w:rPr>
        <w:t>s</w:t>
      </w:r>
      <w:r w:rsidRPr="00F33A49" w:rsidR="007D3703">
        <w:rPr>
          <w:b/>
          <w:bCs/>
        </w:rPr>
        <w:t xml:space="preserve"> inconsistencies and missing information discovered in the water heater calculators.</w:t>
      </w:r>
      <w:r w:rsidR="00EC5F6A">
        <w:rPr>
          <w:b/>
          <w:bCs/>
        </w:rPr>
        <w:t xml:space="preserve"> </w:t>
      </w:r>
      <w:r w:rsidRPr="00F33A49">
        <w:t>The PAs reported several issues and submitted a memo</w:t>
      </w:r>
      <w:r w:rsidRPr="00F33A49">
        <w:rPr>
          <w:rStyle w:val="FootnoteReference"/>
          <w:rFonts w:ascii="Palatino Linotype" w:hAnsi="Palatino Linotype"/>
        </w:rPr>
        <w:footnoteReference w:id="19"/>
      </w:r>
      <w:r w:rsidRPr="00F33A49">
        <w:t xml:space="preserve"> to CPUC </w:t>
      </w:r>
      <w:r w:rsidR="00813B21">
        <w:t>s</w:t>
      </w:r>
      <w:r w:rsidRPr="00F33A49">
        <w:t>taff describing requested updates, improvements, and error corrections to the 2019 water heater calculator</w:t>
      </w:r>
      <w:r w:rsidRPr="00440B2F">
        <w:t>.</w:t>
      </w:r>
      <w:r w:rsidRPr="00440B2F">
        <w:rPr>
          <w:rStyle w:val="FootnoteReference"/>
          <w:rFonts w:ascii="Palatino Linotype" w:hAnsi="Palatino Linotype"/>
        </w:rPr>
        <w:footnoteReference w:id="20"/>
      </w:r>
      <w:r w:rsidRPr="00440B2F">
        <w:rPr>
          <w:b/>
          <w:bCs/>
        </w:rPr>
        <w:t xml:space="preserve"> </w:t>
      </w:r>
      <w:r w:rsidRPr="00440B2F" w:rsidR="005D67A2">
        <w:t xml:space="preserve">A </w:t>
      </w:r>
      <w:r w:rsidRPr="00440B2F" w:rsidR="007D3703">
        <w:t>revised water heater calculator</w:t>
      </w:r>
      <w:r w:rsidRPr="00440B2F" w:rsidR="007D3703">
        <w:rPr>
          <w:rStyle w:val="FootnoteReference"/>
          <w:rFonts w:ascii="Palatino Linotype" w:hAnsi="Palatino Linotype"/>
        </w:rPr>
        <w:footnoteReference w:id="21"/>
      </w:r>
      <w:r w:rsidRPr="00440B2F" w:rsidR="007D3703">
        <w:t xml:space="preserve"> </w:t>
      </w:r>
      <w:r w:rsidRPr="00440B2F" w:rsidR="005D67A2">
        <w:t>has been released</w:t>
      </w:r>
      <w:r w:rsidRPr="00440B2F" w:rsidR="007D3703">
        <w:t xml:space="preserve">. </w:t>
      </w:r>
      <w:r w:rsidRPr="00F33A49" w:rsidR="008A2870">
        <w:t xml:space="preserve">Subsequently, statewide workpapers for DEER2021 will need to be updated and resubmitted. </w:t>
      </w:r>
      <w:r w:rsidRPr="00F33A49" w:rsidR="007D3703">
        <w:t xml:space="preserve">The program administrators are required to work closely with </w:t>
      </w:r>
      <w:r w:rsidR="00813B21">
        <w:t>s</w:t>
      </w:r>
      <w:r w:rsidRPr="00F33A49" w:rsidR="007D3703">
        <w:t>taff and its team of contractors–DEER and Workpaper review to ensure PY2021 workpapers are filed at least six months prior to effective date.</w:t>
      </w:r>
      <w:r w:rsidR="002934B2">
        <w:t xml:space="preserve"> </w:t>
      </w:r>
    </w:p>
    <w:p w:rsidRPr="00F33A49" w:rsidR="008E37DE" w:rsidP="008E2F07" w:rsidRDefault="00090749" w14:paraId="4461CBA7" w14:textId="13744371">
      <w:pPr>
        <w:pStyle w:val="Heading4"/>
      </w:pPr>
      <w:r>
        <w:t>C</w:t>
      </w:r>
      <w:r w:rsidRPr="00F33A49" w:rsidR="008E37DE">
        <w:t xml:space="preserve">.2 </w:t>
      </w:r>
      <w:r w:rsidRPr="00F33A49" w:rsidR="007D3703">
        <w:t xml:space="preserve">Added </w:t>
      </w:r>
      <w:r w:rsidRPr="00F33A49" w:rsidR="00CD552A">
        <w:t xml:space="preserve">Missing Values </w:t>
      </w:r>
      <w:r w:rsidRPr="00F33A49" w:rsidR="007D3703">
        <w:t xml:space="preserve">for </w:t>
      </w:r>
      <w:r w:rsidRPr="00F33A49" w:rsidR="00CD552A">
        <w:t>Ceiling</w:t>
      </w:r>
      <w:r w:rsidRPr="00F33A49" w:rsidR="007D3703">
        <w:t xml:space="preserve"> and </w:t>
      </w:r>
      <w:r w:rsidRPr="00F33A49" w:rsidR="00CD552A">
        <w:t>Wall Insulation</w:t>
      </w:r>
    </w:p>
    <w:p w:rsidRPr="006638D5" w:rsidR="007D3703" w:rsidP="008E2F07" w:rsidRDefault="008A2870" w14:paraId="7F2C8CA6" w14:textId="28C36A11">
      <w:pPr>
        <w:rPr>
          <w:b/>
          <w:bCs/>
        </w:rPr>
      </w:pPr>
      <w:r w:rsidRPr="006638D5">
        <w:rPr>
          <w:b/>
          <w:bCs/>
        </w:rPr>
        <w:t>Missing ceiling and wall insulation measure records for some climate</w:t>
      </w:r>
      <w:r w:rsidR="00E339D2">
        <w:rPr>
          <w:b/>
        </w:rPr>
        <w:t>-</w:t>
      </w:r>
      <w:r w:rsidRPr="006638D5">
        <w:rPr>
          <w:b/>
        </w:rPr>
        <w:t>zone</w:t>
      </w:r>
      <w:r w:rsidR="00E339D2">
        <w:rPr>
          <w:b/>
        </w:rPr>
        <w:t>/building-type combinations</w:t>
      </w:r>
      <w:r w:rsidRPr="006638D5">
        <w:rPr>
          <w:b/>
          <w:bCs/>
        </w:rPr>
        <w:t xml:space="preserve"> were added</w:t>
      </w:r>
      <w:r w:rsidRPr="006638D5" w:rsidR="007D3703">
        <w:rPr>
          <w:b/>
          <w:bCs/>
        </w:rPr>
        <w:t>.</w:t>
      </w:r>
      <w:r w:rsidRPr="006638D5">
        <w:rPr>
          <w:b/>
          <w:bCs/>
        </w:rPr>
        <w:t xml:space="preserve"> </w:t>
      </w:r>
    </w:p>
    <w:p w:rsidRPr="00F33A49" w:rsidR="008E37DE" w:rsidP="008E2F07" w:rsidRDefault="00090749" w14:paraId="025066CF" w14:textId="75D868E2">
      <w:pPr>
        <w:pStyle w:val="Heading4"/>
      </w:pPr>
      <w:r>
        <w:t>C</w:t>
      </w:r>
      <w:r w:rsidRPr="00F33A49" w:rsidR="008E37DE">
        <w:t>.</w:t>
      </w:r>
      <w:r w:rsidRPr="00F33A49" w:rsidR="001875D5">
        <w:t>3</w:t>
      </w:r>
      <w:r w:rsidRPr="00F33A49" w:rsidR="008E37DE">
        <w:t xml:space="preserve"> </w:t>
      </w:r>
      <w:r w:rsidRPr="00F33A49" w:rsidR="007D3703">
        <w:t xml:space="preserve">Added </w:t>
      </w:r>
      <w:r w:rsidRPr="00F33A49" w:rsidR="00CD552A">
        <w:t xml:space="preserve">Missing Values </w:t>
      </w:r>
      <w:r w:rsidRPr="00F33A49" w:rsidR="007D3703">
        <w:t>for Commercial b</w:t>
      </w:r>
      <w:r w:rsidRPr="00F33A49" w:rsidR="00CD552A">
        <w:t>uilding Type Chiller</w:t>
      </w:r>
    </w:p>
    <w:p w:rsidRPr="006638D5" w:rsidR="008A2870" w:rsidP="008E2F07" w:rsidRDefault="00A4493D" w14:paraId="47201A3B" w14:textId="145881DE">
      <w:pPr>
        <w:rPr>
          <w:b/>
          <w:bCs/>
        </w:rPr>
      </w:pPr>
      <w:r>
        <w:rPr>
          <w:b/>
        </w:rPr>
        <w:t>A</w:t>
      </w:r>
      <w:r w:rsidRPr="006638D5">
        <w:rPr>
          <w:b/>
        </w:rPr>
        <w:t>ggregated</w:t>
      </w:r>
      <w:r w:rsidRPr="006638D5">
        <w:rPr>
          <w:b/>
          <w:bCs/>
        </w:rPr>
        <w:t xml:space="preserve"> </w:t>
      </w:r>
      <w:r>
        <w:rPr>
          <w:b/>
          <w:bCs/>
        </w:rPr>
        <w:t>Commercial</w:t>
      </w:r>
      <w:r w:rsidRPr="006638D5">
        <w:rPr>
          <w:b/>
          <w:bCs/>
        </w:rPr>
        <w:t xml:space="preserve"> </w:t>
      </w:r>
      <w:r>
        <w:rPr>
          <w:b/>
          <w:bCs/>
        </w:rPr>
        <w:t>(</w:t>
      </w:r>
      <w:r w:rsidRPr="006638D5">
        <w:rPr>
          <w:b/>
          <w:bCs/>
        </w:rPr>
        <w:t>“Com”</w:t>
      </w:r>
      <w:r>
        <w:rPr>
          <w:b/>
          <w:bCs/>
        </w:rPr>
        <w:t xml:space="preserve">) </w:t>
      </w:r>
      <w:r w:rsidRPr="006638D5">
        <w:rPr>
          <w:b/>
          <w:bCs/>
        </w:rPr>
        <w:t xml:space="preserve">building type </w:t>
      </w:r>
      <w:r>
        <w:rPr>
          <w:b/>
        </w:rPr>
        <w:t>records</w:t>
      </w:r>
      <w:r w:rsidRPr="006638D5">
        <w:rPr>
          <w:b/>
        </w:rPr>
        <w:t xml:space="preserve"> </w:t>
      </w:r>
      <w:r>
        <w:rPr>
          <w:b/>
        </w:rPr>
        <w:t>were</w:t>
      </w:r>
      <w:r w:rsidRPr="006638D5">
        <w:rPr>
          <w:b/>
          <w:bCs/>
        </w:rPr>
        <w:t xml:space="preserve"> added for DEER2020 air-cooled chiller measures </w:t>
      </w:r>
      <w:r>
        <w:rPr>
          <w:b/>
          <w:bCs/>
        </w:rPr>
        <w:t xml:space="preserve">where they </w:t>
      </w:r>
      <w:r w:rsidRPr="006638D5">
        <w:rPr>
          <w:b/>
          <w:bCs/>
        </w:rPr>
        <w:t>were missing</w:t>
      </w:r>
      <w:r>
        <w:rPr>
          <w:b/>
          <w:bCs/>
        </w:rPr>
        <w:t xml:space="preserve">. </w:t>
      </w:r>
      <w:r w:rsidRPr="00A4493D">
        <w:t>The “Com” building type</w:t>
      </w:r>
      <w:r>
        <w:t xml:space="preserve"> refers to </w:t>
      </w:r>
      <w:r w:rsidR="00203D39">
        <w:t>an aggregated commercial building type composed of a weighted average of all the other commercial building types</w:t>
      </w:r>
      <w:r w:rsidRPr="006638D5">
        <w:rPr>
          <w:b/>
          <w:bCs/>
        </w:rPr>
        <w:t>.</w:t>
      </w:r>
      <w:r w:rsidRPr="006638D5" w:rsidR="008A2870">
        <w:rPr>
          <w:b/>
          <w:bCs/>
        </w:rPr>
        <w:t xml:space="preserve"> </w:t>
      </w:r>
    </w:p>
    <w:p w:rsidRPr="00F33A49" w:rsidR="007D3703" w:rsidP="008E2F07" w:rsidRDefault="00090749" w14:paraId="71EA853F" w14:textId="502179FC">
      <w:pPr>
        <w:pStyle w:val="Heading4"/>
      </w:pPr>
      <w:r>
        <w:t>C</w:t>
      </w:r>
      <w:r w:rsidRPr="00F33A49" w:rsidR="007D3703">
        <w:t xml:space="preserve">.4 Expired DEER2020 </w:t>
      </w:r>
      <w:r w:rsidRPr="00F33A49" w:rsidR="00CD552A">
        <w:t>Lighting Measures</w:t>
      </w:r>
    </w:p>
    <w:p w:rsidRPr="00F33A49" w:rsidR="007D3703" w:rsidP="008E2F07" w:rsidRDefault="00A33746" w14:paraId="14CFBADF" w14:textId="05AF6E29">
      <w:r>
        <w:rPr>
          <w:b/>
          <w:bCs/>
        </w:rPr>
        <w:t>A total of 474</w:t>
      </w:r>
      <w:r w:rsidRPr="00D45BC3" w:rsidR="001E6A94">
        <w:rPr>
          <w:b/>
          <w:bCs/>
        </w:rPr>
        <w:t xml:space="preserve"> DEER2020 lighting measures</w:t>
      </w:r>
      <w:r w:rsidRPr="00D45BC3" w:rsidR="00E339D2">
        <w:rPr>
          <w:b/>
          <w:bCs/>
        </w:rPr>
        <w:t>—</w:t>
      </w:r>
      <w:r w:rsidRPr="00D45BC3" w:rsidR="001E6A94">
        <w:rPr>
          <w:b/>
          <w:bCs/>
        </w:rPr>
        <w:t>having a start date of January 1, 2020</w:t>
      </w:r>
      <w:r w:rsidRPr="00D45BC3" w:rsidR="00E339D2">
        <w:rPr>
          <w:b/>
          <w:bCs/>
        </w:rPr>
        <w:t>—</w:t>
      </w:r>
      <w:r w:rsidRPr="00D45BC3" w:rsidR="001E6A94">
        <w:rPr>
          <w:b/>
          <w:bCs/>
        </w:rPr>
        <w:t>were expire</w:t>
      </w:r>
      <w:r w:rsidRPr="00D45BC3" w:rsidR="00E339D2">
        <w:rPr>
          <w:b/>
          <w:bCs/>
        </w:rPr>
        <w:t>d</w:t>
      </w:r>
      <w:r w:rsidRPr="00D45BC3" w:rsidR="001E6A94">
        <w:rPr>
          <w:b/>
          <w:bCs/>
        </w:rPr>
        <w:t xml:space="preserve"> on March 18, 2020.</w:t>
      </w:r>
      <w:r w:rsidRPr="00F33A49" w:rsidR="007D3703">
        <w:t xml:space="preserve"> </w:t>
      </w:r>
    </w:p>
    <w:p w:rsidRPr="00F33A49" w:rsidR="007D3703" w:rsidP="008E2F07" w:rsidRDefault="00090749" w14:paraId="0FE58F46" w14:textId="67445351">
      <w:pPr>
        <w:pStyle w:val="Heading4"/>
      </w:pPr>
      <w:r>
        <w:t>C</w:t>
      </w:r>
      <w:r w:rsidRPr="00F33A49" w:rsidR="007D3703">
        <w:t xml:space="preserve">.5 Corrected </w:t>
      </w:r>
      <w:r w:rsidRPr="00F33A49" w:rsidR="00CD552A">
        <w:t>Interactive Effects Table</w:t>
      </w:r>
    </w:p>
    <w:p w:rsidRPr="00F33A49" w:rsidR="002A1D18" w:rsidP="008E2F07" w:rsidRDefault="001E6A94" w14:paraId="69B3E0A2" w14:textId="0E30AA25">
      <w:r w:rsidRPr="00F33A49">
        <w:rPr>
          <w:b/>
          <w:bCs/>
        </w:rPr>
        <w:t xml:space="preserve">Records in the commercial interactive-effects table that were found to contain errors </w:t>
      </w:r>
      <w:r w:rsidR="00E339D2">
        <w:rPr>
          <w:b/>
          <w:bCs/>
        </w:rPr>
        <w:t xml:space="preserve">that </w:t>
      </w:r>
      <w:r w:rsidRPr="00F33A49">
        <w:rPr>
          <w:b/>
          <w:bCs/>
        </w:rPr>
        <w:t>were corrected and updated</w:t>
      </w:r>
      <w:r w:rsidRPr="00F33A49" w:rsidR="00EC2A04">
        <w:rPr>
          <w:b/>
          <w:bCs/>
        </w:rPr>
        <w:t>.</w:t>
      </w:r>
      <w:r w:rsidRPr="00F33A49">
        <w:rPr>
          <w:b/>
          <w:bCs/>
        </w:rPr>
        <w:t xml:space="preserve"> </w:t>
      </w:r>
      <w:r w:rsidRPr="00F33A49" w:rsidR="00EC2A04">
        <w:t>Numerous tables were updated as part of the PA-</w:t>
      </w:r>
      <w:r w:rsidRPr="00F33A49" w:rsidR="00EC2A04">
        <w:lastRenderedPageBreak/>
        <w:t>consolidation effort that was completed per Resolution E-5009. Some of the newly generated records were found to contain errors which were corrected.</w:t>
      </w:r>
      <w:r w:rsidRPr="00F33A49" w:rsidR="007D3703">
        <w:t xml:space="preserve"> </w:t>
      </w:r>
    </w:p>
    <w:p w:rsidRPr="00E15FB7" w:rsidR="00EF6CE0" w:rsidP="005B1D66" w:rsidRDefault="009D4206" w14:paraId="49C44BA6" w14:textId="27202BA4">
      <w:pPr>
        <w:pStyle w:val="Heading3"/>
        <w:numPr>
          <w:ilvl w:val="1"/>
          <w:numId w:val="6"/>
        </w:numPr>
        <w:rPr>
          <w:b/>
          <w:bCs w:val="0"/>
        </w:rPr>
      </w:pPr>
      <w:r w:rsidRPr="00E15FB7">
        <w:rPr>
          <w:b/>
          <w:bCs w:val="0"/>
        </w:rPr>
        <w:t>Updates Based on</w:t>
      </w:r>
      <w:r w:rsidRPr="00E15FB7" w:rsidR="00526B51">
        <w:rPr>
          <w:b/>
          <w:bCs w:val="0"/>
        </w:rPr>
        <w:t xml:space="preserve"> </w:t>
      </w:r>
      <w:r w:rsidRPr="00E15FB7" w:rsidR="00BC47BB">
        <w:rPr>
          <w:b/>
          <w:bCs w:val="0"/>
        </w:rPr>
        <w:t>Review of</w:t>
      </w:r>
      <w:r w:rsidRPr="00E15FB7" w:rsidR="00FF3CC6">
        <w:rPr>
          <w:b/>
          <w:bCs w:val="0"/>
        </w:rPr>
        <w:t xml:space="preserve"> </w:t>
      </w:r>
      <w:r w:rsidRPr="00E15FB7" w:rsidR="00BC47BB">
        <w:rPr>
          <w:b/>
          <w:bCs w:val="0"/>
        </w:rPr>
        <w:t>EM&amp;V</w:t>
      </w:r>
      <w:r w:rsidRPr="00E15FB7" w:rsidR="006860EE">
        <w:rPr>
          <w:b/>
          <w:bCs w:val="0"/>
        </w:rPr>
        <w:t xml:space="preserve"> </w:t>
      </w:r>
      <w:r w:rsidRPr="00E15FB7" w:rsidR="00FF3CC6">
        <w:rPr>
          <w:b/>
          <w:bCs w:val="0"/>
        </w:rPr>
        <w:t>Studies</w:t>
      </w:r>
    </w:p>
    <w:p w:rsidRPr="00AF2C49" w:rsidR="00831E72" w:rsidP="008E2F07" w:rsidRDefault="000F596C" w14:paraId="6AB8D8D0" w14:textId="048A62A4">
      <w:pPr>
        <w:rPr>
          <w:szCs w:val="24"/>
        </w:rPr>
      </w:pPr>
      <w:r w:rsidRPr="00AF2C49">
        <w:rPr>
          <w:szCs w:val="24"/>
        </w:rPr>
        <w:t xml:space="preserve">Commission </w:t>
      </w:r>
      <w:r w:rsidR="00843134">
        <w:rPr>
          <w:szCs w:val="24"/>
        </w:rPr>
        <w:t>s</w:t>
      </w:r>
      <w:r w:rsidRPr="00AF2C49">
        <w:rPr>
          <w:szCs w:val="24"/>
        </w:rPr>
        <w:t xml:space="preserve">taff reviewed recent EM&amp;V findings and updated </w:t>
      </w:r>
      <w:r w:rsidRPr="00AF2C49" w:rsidR="00424F0F">
        <w:rPr>
          <w:szCs w:val="24"/>
        </w:rPr>
        <w:t xml:space="preserve">savings estimate parameters or approaches and </w:t>
      </w:r>
      <w:r w:rsidRPr="00AF2C49">
        <w:rPr>
          <w:szCs w:val="24"/>
        </w:rPr>
        <w:t xml:space="preserve">NTG values where they indicate a substantial difference from current DEER values. </w:t>
      </w:r>
      <w:r w:rsidRPr="00AF2C49" w:rsidR="00EC2A04">
        <w:rPr>
          <w:szCs w:val="24"/>
        </w:rPr>
        <w:t xml:space="preserve">EM&amp;V </w:t>
      </w:r>
      <w:r w:rsidR="00B11F8F">
        <w:rPr>
          <w:szCs w:val="24"/>
        </w:rPr>
        <w:t>s</w:t>
      </w:r>
      <w:r w:rsidRPr="00AF2C49" w:rsidR="00B11F8F">
        <w:rPr>
          <w:szCs w:val="24"/>
        </w:rPr>
        <w:t xml:space="preserve">ector </w:t>
      </w:r>
      <w:r w:rsidRPr="00AF2C49" w:rsidR="00EC2A04">
        <w:rPr>
          <w:szCs w:val="24"/>
        </w:rPr>
        <w:t xml:space="preserve">evaluation results and/or special studies will continue to be some of the primary sources for DEER measure and workpaper updates. Evaluation results with </w:t>
      </w:r>
      <w:r w:rsidRPr="00AF2C49" w:rsidR="00424F0F">
        <w:rPr>
          <w:szCs w:val="24"/>
        </w:rPr>
        <w:t xml:space="preserve">acceptable </w:t>
      </w:r>
      <w:r w:rsidRPr="00AF2C49" w:rsidR="00EC2A04">
        <w:rPr>
          <w:szCs w:val="24"/>
        </w:rPr>
        <w:t>rigor and precision are used to update DEER and workpaper assumptions.</w:t>
      </w:r>
    </w:p>
    <w:p w:rsidRPr="00F33A49" w:rsidR="00E81998" w:rsidP="00E81998" w:rsidRDefault="00090749" w14:paraId="4FBFD455" w14:textId="1DDB5CE6">
      <w:pPr>
        <w:pStyle w:val="Heading4"/>
      </w:pPr>
      <w:r>
        <w:t>D</w:t>
      </w:r>
      <w:r w:rsidRPr="00F33A49" w:rsidR="00E81998">
        <w:t xml:space="preserve">.1 </w:t>
      </w:r>
      <w:r w:rsidR="00E81998">
        <w:t>Overarching/General Changes Needed</w:t>
      </w:r>
    </w:p>
    <w:p w:rsidRPr="00E81998" w:rsidR="00E81998" w:rsidP="00E81998" w:rsidRDefault="00E81998" w14:paraId="0D419FD1" w14:textId="3D22771F">
      <w:r w:rsidRPr="00E81998">
        <w:t xml:space="preserve">In reviewing the 2018 EM&amp;V reports and discussion with EM&amp;V teams, there were </w:t>
      </w:r>
      <w:r w:rsidR="00CE6760">
        <w:t>several</w:t>
      </w:r>
      <w:r w:rsidRPr="00E81998">
        <w:t xml:space="preserve"> overarching issues that need to be addressed in the deemed savings system. Although 2022 is the target year for making these changes, we encourage the PAs and </w:t>
      </w:r>
      <w:r w:rsidR="00B23E6F">
        <w:t xml:space="preserve">the </w:t>
      </w:r>
      <w:r w:rsidRPr="00E81998" w:rsidR="00B23E6F">
        <w:t>Cal TF</w:t>
      </w:r>
      <w:r w:rsidR="00B23E6F">
        <w:rPr>
          <w:rStyle w:val="FootnoteReference"/>
        </w:rPr>
        <w:footnoteReference w:id="22"/>
      </w:r>
      <w:r w:rsidRPr="00E81998" w:rsidR="00B23E6F">
        <w:t xml:space="preserve"> </w:t>
      </w:r>
      <w:r w:rsidRPr="00E81998">
        <w:t xml:space="preserve">to adopt these updates </w:t>
      </w:r>
      <w:r w:rsidR="00AF2C49">
        <w:t xml:space="preserve">for the </w:t>
      </w:r>
      <w:r w:rsidRPr="00E81998">
        <w:t>2021</w:t>
      </w:r>
      <w:r w:rsidR="00AF2C49">
        <w:t xml:space="preserve"> Program Year</w:t>
      </w:r>
      <w:r w:rsidRPr="00E81998">
        <w:t xml:space="preserve">. </w:t>
      </w:r>
      <w:r w:rsidR="00782787">
        <w:t xml:space="preserve">The updates </w:t>
      </w:r>
      <w:r w:rsidR="00ED4864">
        <w:t>include:</w:t>
      </w:r>
    </w:p>
    <w:p w:rsidR="00BB7660" w:rsidP="00782787" w:rsidRDefault="00782787" w14:paraId="318D0D2F" w14:textId="77777777">
      <w:r w:rsidRPr="009B7805">
        <w:rPr>
          <w:b/>
          <w:bCs/>
        </w:rPr>
        <w:t xml:space="preserve">Add program tracking data and evaluation requirements to </w:t>
      </w:r>
      <w:r w:rsidRPr="009B7805" w:rsidR="00DB29FA">
        <w:rPr>
          <w:b/>
          <w:bCs/>
        </w:rPr>
        <w:t xml:space="preserve">the </w:t>
      </w:r>
      <w:r w:rsidRPr="009B7805">
        <w:rPr>
          <w:b/>
          <w:bCs/>
        </w:rPr>
        <w:t>deemed workpaper</w:t>
      </w:r>
      <w:r w:rsidRPr="009B7805" w:rsidR="00DB29FA">
        <w:rPr>
          <w:b/>
          <w:bCs/>
        </w:rPr>
        <w:t xml:space="preserve"> template</w:t>
      </w:r>
      <w:r w:rsidRPr="009B7805">
        <w:rPr>
          <w:b/>
          <w:bCs/>
        </w:rPr>
        <w:t>.</w:t>
      </w:r>
      <w:r w:rsidRPr="009B7805" w:rsidR="00E81998">
        <w:t xml:space="preserve"> </w:t>
      </w:r>
      <w:r w:rsidRPr="009B7805">
        <w:t xml:space="preserve">A number of EM&amp;V reports expressed issues with obtaining the data needed to effectively evaluate upstream and midstream programs, yet the PAs appear to be turning more often to this delivery method. To systematically capture </w:t>
      </w:r>
      <w:r w:rsidRPr="009B7805" w:rsidR="00DB29FA">
        <w:t xml:space="preserve">the needed data, </w:t>
      </w:r>
      <w:r w:rsidRPr="009B7805" w:rsidR="00B23E6F">
        <w:t>we</w:t>
      </w:r>
      <w:r w:rsidRPr="009B7805">
        <w:t xml:space="preserve"> direct the PAs to add a “Program Tracking Data and Evaluation Requirements” section to the deemed workpaper template, and </w:t>
      </w:r>
      <w:r w:rsidRPr="009B7805" w:rsidR="00B23E6F">
        <w:t>CPUC staff</w:t>
      </w:r>
      <w:r w:rsidRPr="009B7805">
        <w:t xml:space="preserve"> will work with the </w:t>
      </w:r>
      <w:r w:rsidRPr="009B7805" w:rsidR="00B23E6F">
        <w:t>Cal TF</w:t>
      </w:r>
      <w:r w:rsidRPr="009B7805">
        <w:t>, PAs, and evaluation staff to develop the specification.</w:t>
      </w:r>
      <w:r w:rsidRPr="009B7805" w:rsidR="00C03BF0">
        <w:t xml:space="preserve"> </w:t>
      </w:r>
    </w:p>
    <w:p w:rsidR="00DB29FA" w:rsidP="00782787" w:rsidRDefault="00DB29FA" w14:paraId="40DE5B2E" w14:textId="117BBAF4">
      <w:r w:rsidRPr="009B7805">
        <w:rPr>
          <w:b/>
          <w:bCs/>
        </w:rPr>
        <w:t>PAs should use a full or representative set of available DEER values whenever possible.</w:t>
      </w:r>
      <w:r w:rsidRPr="009B7805">
        <w:t xml:space="preserve"> Proper application of the full or at least a weighted representative set of DEER values can help reduce a significant divergence of EM&amp;V </w:t>
      </w:r>
      <w:r w:rsidRPr="009B7805" w:rsidR="00E14777">
        <w:t>Gross Realization Rates</w:t>
      </w:r>
      <w:r w:rsidRPr="009B7805" w:rsidR="00B23E6F">
        <w:rPr>
          <w:rStyle w:val="FootnoteReference"/>
        </w:rPr>
        <w:footnoteReference w:id="23"/>
      </w:r>
      <w:r w:rsidRPr="009B7805" w:rsidR="00E14777">
        <w:t xml:space="preserve"> (</w:t>
      </w:r>
      <w:r w:rsidRPr="009B7805">
        <w:t>GRRs</w:t>
      </w:r>
      <w:r w:rsidRPr="009B7805" w:rsidR="00E14777">
        <w:t>)</w:t>
      </w:r>
      <w:r w:rsidRPr="009B7805">
        <w:t xml:space="preserve"> from 100</w:t>
      </w:r>
      <w:r w:rsidR="002364AB">
        <w:t xml:space="preserve"> percent</w:t>
      </w:r>
      <w:r w:rsidRPr="009B7805">
        <w:t>.</w:t>
      </w:r>
      <w:r w:rsidRPr="009B7805" w:rsidR="002934B2">
        <w:t xml:space="preserve"> </w:t>
      </w:r>
      <w:r w:rsidRPr="009B7805">
        <w:t>For example, if DEER has measure values for multifamily and manufactured homes</w:t>
      </w:r>
      <w:r w:rsidRPr="009B7805" w:rsidR="00E14777">
        <w:t xml:space="preserve"> </w:t>
      </w:r>
      <w:r w:rsidRPr="009B7805">
        <w:t>but PAs only use the single-family</w:t>
      </w:r>
      <w:r w:rsidRPr="009B7805" w:rsidR="00E14777">
        <w:t xml:space="preserve"> </w:t>
      </w:r>
      <w:r w:rsidRPr="009B7805">
        <w:t xml:space="preserve">value for claims, but still offer the program to </w:t>
      </w:r>
      <w:r w:rsidR="008E6D0A">
        <w:t>multifamily</w:t>
      </w:r>
      <w:r w:rsidRPr="009B7805" w:rsidR="008E6D0A">
        <w:t xml:space="preserve"> </w:t>
      </w:r>
      <w:r w:rsidRPr="009B7805">
        <w:t xml:space="preserve">and </w:t>
      </w:r>
      <w:r w:rsidR="008E6D0A">
        <w:t>manufactured homes</w:t>
      </w:r>
      <w:r w:rsidRPr="009B7805" w:rsidR="008E6D0A">
        <w:t xml:space="preserve"> </w:t>
      </w:r>
      <w:r w:rsidRPr="009B7805">
        <w:t>customers, then the GRR is going to be divergent from 100</w:t>
      </w:r>
      <w:r w:rsidR="002364AB">
        <w:t xml:space="preserve"> percent</w:t>
      </w:r>
      <w:r w:rsidRPr="009B7805">
        <w:t xml:space="preserve"> (high or low depends on the relationship of the </w:t>
      </w:r>
      <w:r w:rsidR="008E6D0A">
        <w:t>single family</w:t>
      </w:r>
      <w:r w:rsidRPr="009B7805" w:rsidR="008E6D0A">
        <w:t xml:space="preserve"> </w:t>
      </w:r>
      <w:r w:rsidRPr="009B7805">
        <w:t xml:space="preserve">to </w:t>
      </w:r>
      <w:r w:rsidR="008E6D0A">
        <w:t>multifamily</w:t>
      </w:r>
      <w:r w:rsidRPr="009B7805" w:rsidR="008E6D0A">
        <w:t xml:space="preserve"> </w:t>
      </w:r>
      <w:r w:rsidRPr="009B7805">
        <w:t xml:space="preserve">and </w:t>
      </w:r>
      <w:r w:rsidR="008E6D0A">
        <w:t>manufactured homes</w:t>
      </w:r>
      <w:r w:rsidRPr="009B7805" w:rsidR="008E6D0A">
        <w:t xml:space="preserve"> </w:t>
      </w:r>
      <w:r w:rsidRPr="009B7805">
        <w:t xml:space="preserve">savings). We direct the PAs to </w:t>
      </w:r>
      <w:r w:rsidRPr="009B7805">
        <w:lastRenderedPageBreak/>
        <w:t xml:space="preserve">wherever possible use DEER savings at the same level as the programs are offered, especially where DEER permutation savings vary significantly across primary characteristics. This action will produce </w:t>
      </w:r>
      <w:r w:rsidRPr="009B7805" w:rsidR="009E3210">
        <w:t>more accurate savings estimates (</w:t>
      </w:r>
      <w:r w:rsidRPr="009B7805">
        <w:t>GRR</w:t>
      </w:r>
      <w:r w:rsidRPr="009B7805" w:rsidR="009E3210">
        <w:t>s less divergent</w:t>
      </w:r>
      <w:r w:rsidRPr="009B7805">
        <w:t xml:space="preserve"> from 100</w:t>
      </w:r>
      <w:r w:rsidR="002364AB">
        <w:t xml:space="preserve"> percent</w:t>
      </w:r>
      <w:r w:rsidRPr="009B7805" w:rsidR="009E3210">
        <w:t>)</w:t>
      </w:r>
      <w:r w:rsidRPr="009B7805">
        <w:t xml:space="preserve"> and will also allow program and EM&amp;V data to be more directly used to improve deemed measure UES savings</w:t>
      </w:r>
      <w:r w:rsidRPr="009B7805" w:rsidR="009E3210">
        <w:t>,</w:t>
      </w:r>
      <w:r w:rsidRPr="009B7805">
        <w:t xml:space="preserve"> approaches and assumptions.</w:t>
      </w:r>
    </w:p>
    <w:p w:rsidRPr="00F33A49" w:rsidR="00831E72" w:rsidP="008E2F07" w:rsidRDefault="00090749" w14:paraId="2F907950" w14:textId="2061B255">
      <w:pPr>
        <w:pStyle w:val="Heading4"/>
      </w:pPr>
      <w:r>
        <w:t>D</w:t>
      </w:r>
      <w:r w:rsidRPr="00F33A49" w:rsidR="00831E72">
        <w:t>.</w:t>
      </w:r>
      <w:r w:rsidR="00AF3B16">
        <w:t>2</w:t>
      </w:r>
      <w:r w:rsidRPr="00F33A49" w:rsidR="00831E72">
        <w:t xml:space="preserve"> Residential Sector EM&amp;V Updates</w:t>
      </w:r>
    </w:p>
    <w:p w:rsidR="004F7F50" w:rsidP="008E2F07" w:rsidRDefault="00EC2A04" w14:paraId="2EE86014" w14:textId="0A171E52">
      <w:r w:rsidRPr="00F33A49">
        <w:rPr>
          <w:b/>
          <w:bCs/>
        </w:rPr>
        <w:t xml:space="preserve">The </w:t>
      </w:r>
      <w:r w:rsidR="004F7F50">
        <w:rPr>
          <w:b/>
          <w:bCs/>
        </w:rPr>
        <w:t xml:space="preserve">only </w:t>
      </w:r>
      <w:r w:rsidRPr="00F33A49">
        <w:rPr>
          <w:b/>
          <w:bCs/>
        </w:rPr>
        <w:t>update to residential sector measures</w:t>
      </w:r>
      <w:r w:rsidR="004F7F50">
        <w:rPr>
          <w:b/>
          <w:bCs/>
        </w:rPr>
        <w:t xml:space="preserve"> is for smart thermostats</w:t>
      </w:r>
      <w:r w:rsidRPr="00F33A49">
        <w:rPr>
          <w:b/>
          <w:bCs/>
        </w:rPr>
        <w:t xml:space="preserve">. </w:t>
      </w:r>
      <w:r w:rsidRPr="0057767F" w:rsidR="004F7F50">
        <w:t xml:space="preserve">There were </w:t>
      </w:r>
      <w:r w:rsidR="004F7F50">
        <w:t>four</w:t>
      </w:r>
      <w:r w:rsidRPr="0057767F" w:rsidR="004F7F50">
        <w:t xml:space="preserve"> </w:t>
      </w:r>
      <w:r w:rsidR="004F7F50">
        <w:t xml:space="preserve">separate </w:t>
      </w:r>
      <w:r w:rsidR="00B11F8F">
        <w:t>r</w:t>
      </w:r>
      <w:r w:rsidRPr="0057767F" w:rsidR="00B11F8F">
        <w:t xml:space="preserve">esidential </w:t>
      </w:r>
      <w:r w:rsidR="00B11F8F">
        <w:t>s</w:t>
      </w:r>
      <w:r w:rsidRPr="0057767F" w:rsidR="00B11F8F">
        <w:t xml:space="preserve">ector </w:t>
      </w:r>
      <w:r w:rsidR="004F7F50">
        <w:t>EM&amp;V r</w:t>
      </w:r>
      <w:r w:rsidRPr="0057767F" w:rsidR="004F7F50">
        <w:t>eports for PY2018</w:t>
      </w:r>
      <w:r w:rsidR="004F7F50">
        <w:t xml:space="preserve"> – hot water low-flow devices, smart thermostats, </w:t>
      </w:r>
      <w:r w:rsidR="00B11F8F">
        <w:t>variable frequency drive (</w:t>
      </w:r>
      <w:r w:rsidR="004F7F50">
        <w:t>VFD</w:t>
      </w:r>
      <w:r w:rsidR="00B11F8F">
        <w:t>)</w:t>
      </w:r>
      <w:r w:rsidR="004F7F50">
        <w:t xml:space="preserve"> pool pumps, and Home Energy Reports</w:t>
      </w:r>
      <w:r w:rsidR="00B11F8F">
        <w:t xml:space="preserve">. However, </w:t>
      </w:r>
      <w:r w:rsidR="004F7F50">
        <w:t xml:space="preserve">only three of those were reviewed for potential deemed measure updates, and only the smart controllable thermostats (SCT) will be updated. The SCT is </w:t>
      </w:r>
      <w:r w:rsidR="00B23E6F">
        <w:t>a non-DEER measure, and an update for PY2021 based on 2018 EM&amp;V results will be considered via a workpaper update.</w:t>
      </w:r>
    </w:p>
    <w:p w:rsidRPr="00F33A49" w:rsidR="00831E72" w:rsidP="008E2F07" w:rsidRDefault="00090749" w14:paraId="2CBE04A1" w14:textId="19BFD110">
      <w:pPr>
        <w:pStyle w:val="Heading4"/>
      </w:pPr>
      <w:r>
        <w:t>D</w:t>
      </w:r>
      <w:r w:rsidRPr="00F33A49" w:rsidR="00831E72">
        <w:t>.</w:t>
      </w:r>
      <w:r w:rsidR="00AF3B16">
        <w:t>3</w:t>
      </w:r>
      <w:r w:rsidRPr="00F33A49" w:rsidR="00831E72">
        <w:t xml:space="preserve"> Lighting Market EM&amp;V Updates</w:t>
      </w:r>
    </w:p>
    <w:p w:rsidR="00EC2A04" w:rsidP="008E2F07" w:rsidRDefault="00EC2A04" w14:paraId="397B8FA9" w14:textId="1398CACA">
      <w:r w:rsidRPr="00F33A49">
        <w:rPr>
          <w:b/>
          <w:bCs/>
        </w:rPr>
        <w:t xml:space="preserve">There were no updates to the lighting sector DEER measures. </w:t>
      </w:r>
      <w:r w:rsidR="00E35C3D">
        <w:t>The majority of the LED lighting measures have been retired due to a 100</w:t>
      </w:r>
      <w:r w:rsidR="002364AB">
        <w:t xml:space="preserve"> percent</w:t>
      </w:r>
      <w:r w:rsidR="00E35C3D">
        <w:t xml:space="preserve"> LED baseline and an expansion of </w:t>
      </w:r>
      <w:r w:rsidR="00B11F8F">
        <w:t xml:space="preserve">general service lamp </w:t>
      </w:r>
      <w:r w:rsidR="000E0078">
        <w:t>(</w:t>
      </w:r>
      <w:r w:rsidR="00E35C3D">
        <w:t>GSL</w:t>
      </w:r>
      <w:r w:rsidR="000E0078">
        <w:t>)</w:t>
      </w:r>
      <w:r w:rsidR="00E35C3D">
        <w:t xml:space="preserve"> Standards to include reflectors, globes, and candelabras effective </w:t>
      </w:r>
      <w:r w:rsidR="00B11F8F">
        <w:t xml:space="preserve">January 1, </w:t>
      </w:r>
      <w:r w:rsidR="00E35C3D">
        <w:t>2020.</w:t>
      </w:r>
    </w:p>
    <w:p w:rsidRPr="00F33A49" w:rsidR="00831E72" w:rsidP="008E2F07" w:rsidRDefault="00090749" w14:paraId="00CF8249" w14:textId="738ADB86">
      <w:pPr>
        <w:pStyle w:val="Heading4"/>
      </w:pPr>
      <w:r>
        <w:t>D</w:t>
      </w:r>
      <w:r w:rsidRPr="00F33A49" w:rsidR="00831E72">
        <w:t>.</w:t>
      </w:r>
      <w:r w:rsidR="00AF3B16">
        <w:t>4</w:t>
      </w:r>
      <w:r w:rsidRPr="00F33A49" w:rsidR="00831E72">
        <w:t xml:space="preserve"> HVAC Market EM&amp;V Updates</w:t>
      </w:r>
    </w:p>
    <w:p w:rsidRPr="00DE30B2" w:rsidR="00DE30B2" w:rsidP="008E2F07" w:rsidRDefault="00DE30B2" w14:paraId="074581B6" w14:textId="006FC120">
      <w:bookmarkStart w:name="_Hlk40795770" w:id="13"/>
      <w:r w:rsidRPr="00DE30B2">
        <w:t>A</w:t>
      </w:r>
      <w:r>
        <w:t xml:space="preserve"> number of updates are recommended for the HVAC measure groups that were evaluated for PY2018. EM&amp;V results from PY017 were also reviewed. The updates are:</w:t>
      </w:r>
    </w:p>
    <w:bookmarkEnd w:id="13"/>
    <w:p w:rsidR="007E24FD" w:rsidP="008E2F07" w:rsidRDefault="00DE30B2" w14:paraId="05FD1A96" w14:textId="54CA0064">
      <w:r>
        <w:rPr>
          <w:b/>
          <w:bCs/>
        </w:rPr>
        <w:t>Rooftop and</w:t>
      </w:r>
      <w:r w:rsidR="006F6484">
        <w:rPr>
          <w:b/>
          <w:bCs/>
        </w:rPr>
        <w:t xml:space="preserve"> split-syste</w:t>
      </w:r>
      <w:r>
        <w:rPr>
          <w:b/>
          <w:bCs/>
        </w:rPr>
        <w:t xml:space="preserve">m </w:t>
      </w:r>
      <w:r w:rsidR="00256E76">
        <w:rPr>
          <w:b/>
          <w:bCs/>
        </w:rPr>
        <w:t xml:space="preserve">NTG updates and </w:t>
      </w:r>
      <w:r>
        <w:rPr>
          <w:b/>
          <w:bCs/>
        </w:rPr>
        <w:t>additional tracking data requirements</w:t>
      </w:r>
      <w:r w:rsidRPr="00F33A49" w:rsidR="00EC2A04">
        <w:rPr>
          <w:b/>
          <w:bCs/>
        </w:rPr>
        <w:t xml:space="preserve">. </w:t>
      </w:r>
      <w:r>
        <w:t>The EM&amp;V studies revealed several significant issues with both UES and NTG values, producing low GRRs and NTG values</w:t>
      </w:r>
      <w:r w:rsidRPr="00F33A49" w:rsidR="00EC2A04">
        <w:t xml:space="preserve">. </w:t>
      </w:r>
      <w:r>
        <w:t>However, the UES issues involve a more extensive effort to identify the source of the errors</w:t>
      </w:r>
      <w:r w:rsidR="00F26423">
        <w:t xml:space="preserve">. The evaluated </w:t>
      </w:r>
      <w:r>
        <w:t>NTG values</w:t>
      </w:r>
      <w:r w:rsidR="00F26423">
        <w:t xml:space="preserve"> for 2017 and 2018 </w:t>
      </w:r>
      <w:r w:rsidR="00DD0173">
        <w:t xml:space="preserve">significantly different </w:t>
      </w:r>
      <w:r w:rsidR="00E6514B">
        <w:t xml:space="preserve">but are </w:t>
      </w:r>
      <w:r w:rsidR="00F26423">
        <w:t xml:space="preserve">lower than the </w:t>
      </w:r>
      <w:r w:rsidR="001D7FA0">
        <w:t>forecasted</w:t>
      </w:r>
      <w:r w:rsidR="00F26423">
        <w:t xml:space="preserve"> </w:t>
      </w:r>
      <w:r w:rsidR="00DD0173">
        <w:t xml:space="preserve">NTG </w:t>
      </w:r>
      <w:r w:rsidR="00F26423">
        <w:t>value.</w:t>
      </w:r>
      <w:r w:rsidRPr="00E6514B" w:rsidR="00E6514B">
        <w:t xml:space="preserve"> Therefore, we direct the use of the 2018 EM&amp;V average electric NTG value of 0.50 and natural gas NTG value of 0.60</w:t>
      </w:r>
      <w:r w:rsidR="00C02227">
        <w:t xml:space="preserve"> from the current values of 0.76-0.77</w:t>
      </w:r>
      <w:r w:rsidRPr="00E6514B" w:rsidR="00E6514B">
        <w:t>.</w:t>
      </w:r>
      <w:r w:rsidR="00F26423">
        <w:t xml:space="preserve"> </w:t>
      </w:r>
      <w:r w:rsidR="00E6514B">
        <w:t>Another</w:t>
      </w:r>
      <w:r w:rsidR="00F26423">
        <w:t xml:space="preserve"> critical issue for this midstream program is that additional data should be collected from the distributors to better inform the UES values used for claims. To ensure that goal, we direct the PAs and Cal TF</w:t>
      </w:r>
      <w:r w:rsidR="00557FBF">
        <w:t xml:space="preserve"> </w:t>
      </w:r>
      <w:r w:rsidR="00BB7660">
        <w:t xml:space="preserve"> to</w:t>
      </w:r>
      <w:r w:rsidR="00D72BF2">
        <w:t xml:space="preserve"> </w:t>
      </w:r>
      <w:r w:rsidRPr="007E24FD" w:rsidR="007E24FD">
        <w:t>add a section to the workpaper template to specify the tracking and evaluation data required for a deemed measure</w:t>
      </w:r>
      <w:r w:rsidR="007E24FD">
        <w:t>.</w:t>
      </w:r>
    </w:p>
    <w:p w:rsidRPr="00F33A49" w:rsidR="007E24FD" w:rsidP="007E24FD" w:rsidRDefault="007E24FD" w14:paraId="49A9E5FD" w14:textId="4BFFFA04">
      <w:r w:rsidRPr="00256E76">
        <w:rPr>
          <w:b/>
          <w:bCs/>
        </w:rPr>
        <w:lastRenderedPageBreak/>
        <w:t xml:space="preserve">Fan motor replacements </w:t>
      </w:r>
      <w:r w:rsidRPr="00256E76" w:rsidR="00256E76">
        <w:rPr>
          <w:b/>
          <w:bCs/>
        </w:rPr>
        <w:t xml:space="preserve">NTG </w:t>
      </w:r>
      <w:r w:rsidRPr="00256E76">
        <w:rPr>
          <w:b/>
          <w:bCs/>
        </w:rPr>
        <w:t xml:space="preserve">update. </w:t>
      </w:r>
      <w:r w:rsidR="00256E76">
        <w:t>20</w:t>
      </w:r>
      <w:r w:rsidRPr="00256E76" w:rsidR="00256E76">
        <w:t xml:space="preserve">18 EM&amp;V results indicated a significant change </w:t>
      </w:r>
      <w:r w:rsidR="008B7883">
        <w:t>in</w:t>
      </w:r>
      <w:r w:rsidRPr="00256E76" w:rsidR="00256E76">
        <w:t xml:space="preserve"> </w:t>
      </w:r>
      <w:r w:rsidRPr="00256E76" w:rsidR="00AB4F51">
        <w:t xml:space="preserve">the UES </w:t>
      </w:r>
      <w:r w:rsidR="008B7883">
        <w:t xml:space="preserve">with an </w:t>
      </w:r>
      <w:r w:rsidRPr="00256E76" w:rsidR="00256E76">
        <w:t xml:space="preserve">evaluated average GRR for electric savings </w:t>
      </w:r>
      <w:r w:rsidR="008B7883">
        <w:t>of</w:t>
      </w:r>
      <w:r w:rsidRPr="00256E76" w:rsidR="008B7883">
        <w:t xml:space="preserve"> </w:t>
      </w:r>
      <w:r w:rsidRPr="00256E76" w:rsidR="00256E76">
        <w:t>124</w:t>
      </w:r>
      <w:r w:rsidR="002364AB">
        <w:t xml:space="preserve"> percent</w:t>
      </w:r>
      <w:r w:rsidR="008B7883">
        <w:t>.</w:t>
      </w:r>
      <w:r w:rsidR="00256E76">
        <w:t xml:space="preserve"> </w:t>
      </w:r>
      <w:r w:rsidR="008B7883">
        <w:t>A</w:t>
      </w:r>
      <w:r w:rsidR="00256E76">
        <w:t xml:space="preserve"> </w:t>
      </w:r>
      <w:r w:rsidRPr="00256E76" w:rsidR="00256E76">
        <w:t xml:space="preserve">change to the DEER prototype modeling parameters </w:t>
      </w:r>
      <w:r w:rsidR="008B2402">
        <w:t xml:space="preserve">will </w:t>
      </w:r>
      <w:r w:rsidR="00B767FF">
        <w:t>b</w:t>
      </w:r>
      <w:r w:rsidR="008B2402">
        <w:t>e investigated further</w:t>
      </w:r>
      <w:r w:rsidRPr="00256E76" w:rsidR="00AB4F51">
        <w:t xml:space="preserve"> </w:t>
      </w:r>
      <w:r w:rsidR="00256E76">
        <w:t xml:space="preserve">but </w:t>
      </w:r>
      <w:r w:rsidRPr="00256E76" w:rsidR="00256E76">
        <w:t>the</w:t>
      </w:r>
      <w:r w:rsidR="00B767FF">
        <w:t xml:space="preserve"> primary reason for the difference is </w:t>
      </w:r>
      <w:r w:rsidR="00500FE6">
        <w:t>inaccuracy of claimed savings</w:t>
      </w:r>
      <w:r w:rsidR="00B767FF">
        <w:t>: Single-family UES values were used for multifamily and mobile homes</w:t>
      </w:r>
      <w:r w:rsidRPr="00256E76" w:rsidR="00256E76">
        <w:t>.</w:t>
      </w:r>
      <w:r w:rsidR="00256E76">
        <w:t xml:space="preserve"> </w:t>
      </w:r>
      <w:r w:rsidRPr="00256E76" w:rsidR="00256E76">
        <w:t xml:space="preserve">The average evaluated NTG </w:t>
      </w:r>
      <w:r w:rsidR="00256E76">
        <w:t xml:space="preserve">was </w:t>
      </w:r>
      <w:r w:rsidRPr="00256E76" w:rsidR="00256E76">
        <w:t xml:space="preserve">significantly higher than the current </w:t>
      </w:r>
      <w:r w:rsidR="00AB4F51">
        <w:t>estimated</w:t>
      </w:r>
      <w:r w:rsidRPr="00256E76" w:rsidR="00256E76">
        <w:t xml:space="preserve"> value for all utilities</w:t>
      </w:r>
      <w:r w:rsidR="00256E76">
        <w:t xml:space="preserve"> and reflects </w:t>
      </w:r>
      <w:r w:rsidRPr="00256E76" w:rsidR="00256E76">
        <w:t xml:space="preserve">the </w:t>
      </w:r>
      <w:r w:rsidR="00256E76">
        <w:t xml:space="preserve">direct install </w:t>
      </w:r>
      <w:r w:rsidRPr="00256E76" w:rsidR="00256E76">
        <w:t>program delivery approach</w:t>
      </w:r>
      <w:r w:rsidR="00256E76">
        <w:t xml:space="preserve"> and </w:t>
      </w:r>
      <w:r w:rsidRPr="00256E76" w:rsidR="00256E76">
        <w:t>free service</w:t>
      </w:r>
      <w:r w:rsidR="00256E76">
        <w:t>s. W</w:t>
      </w:r>
      <w:r w:rsidRPr="00256E76" w:rsidR="00256E76">
        <w:t xml:space="preserve">e direct the NTG value </w:t>
      </w:r>
      <w:r w:rsidR="00256E76">
        <w:t>be updated to</w:t>
      </w:r>
      <w:r w:rsidRPr="00256E76" w:rsidR="00256E76">
        <w:t xml:space="preserve"> 0.85 </w:t>
      </w:r>
      <w:r w:rsidR="00256E76">
        <w:t xml:space="preserve">from the </w:t>
      </w:r>
      <w:r w:rsidR="00C02227">
        <w:t>current</w:t>
      </w:r>
      <w:r w:rsidR="00256E76">
        <w:t xml:space="preserve"> lower range of utility specific values (0.55-0.</w:t>
      </w:r>
      <w:r w:rsidR="00351299">
        <w:t>74</w:t>
      </w:r>
      <w:r w:rsidR="00256E76">
        <w:t xml:space="preserve">) </w:t>
      </w:r>
      <w:r w:rsidRPr="00256E76" w:rsidR="00256E76">
        <w:t>for direct install fan motor replacement programs</w:t>
      </w:r>
      <w:r w:rsidRPr="00256E76">
        <w:t>.</w:t>
      </w:r>
      <w:r w:rsidRPr="007E24FD">
        <w:rPr>
          <w:highlight w:val="yellow"/>
        </w:rPr>
        <w:t xml:space="preserve"> </w:t>
      </w:r>
    </w:p>
    <w:p w:rsidR="0073617F" w:rsidP="005F266D" w:rsidRDefault="005F266D" w14:paraId="0AB363F0" w14:textId="400BC318">
      <w:r w:rsidRPr="0073617F">
        <w:rPr>
          <w:b/>
          <w:bCs/>
        </w:rPr>
        <w:t xml:space="preserve">Duct </w:t>
      </w:r>
      <w:r w:rsidRPr="0073617F" w:rsidR="009319C7">
        <w:rPr>
          <w:b/>
          <w:bCs/>
        </w:rPr>
        <w:t xml:space="preserve">testing and sealing </w:t>
      </w:r>
      <w:r w:rsidRPr="0073617F">
        <w:rPr>
          <w:b/>
          <w:bCs/>
        </w:rPr>
        <w:t xml:space="preserve">NTG update. </w:t>
      </w:r>
      <w:r w:rsidR="0073617F">
        <w:t>B</w:t>
      </w:r>
      <w:r>
        <w:t>ased on 2018 EM&amp;V results</w:t>
      </w:r>
      <w:r w:rsidR="0073617F">
        <w:t>,</w:t>
      </w:r>
      <w:r w:rsidRPr="0073617F" w:rsidR="0073617F">
        <w:t xml:space="preserve"> </w:t>
      </w:r>
      <w:r w:rsidR="0073617F">
        <w:t>n</w:t>
      </w:r>
      <w:r w:rsidRPr="0073617F" w:rsidR="0073617F">
        <w:t>o</w:t>
      </w:r>
      <w:r w:rsidRPr="005F266D" w:rsidR="0073617F">
        <w:t xml:space="preserve"> </w:t>
      </w:r>
      <w:r w:rsidR="0073617F">
        <w:t>electric or gas UES updates</w:t>
      </w:r>
      <w:r>
        <w:t xml:space="preserve"> </w:t>
      </w:r>
      <w:r w:rsidRPr="005F266D">
        <w:t xml:space="preserve">are recommended </w:t>
      </w:r>
      <w:r>
        <w:t>because results</w:t>
      </w:r>
      <w:r w:rsidR="0073617F">
        <w:t xml:space="preserve"> varied widely by utility and could </w:t>
      </w:r>
      <w:r>
        <w:t xml:space="preserve">not be applied at a </w:t>
      </w:r>
      <w:r w:rsidR="009319C7">
        <w:t xml:space="preserve">statewide </w:t>
      </w:r>
      <w:r>
        <w:t>level.</w:t>
      </w:r>
      <w:r w:rsidR="002934B2">
        <w:t xml:space="preserve"> </w:t>
      </w:r>
      <w:r w:rsidR="0073617F">
        <w:t>However, t</w:t>
      </w:r>
      <w:r w:rsidRPr="005F266D">
        <w:t xml:space="preserve">he </w:t>
      </w:r>
      <w:r w:rsidRPr="00256E76" w:rsidR="0073617F">
        <w:t xml:space="preserve">average evaluated NTG </w:t>
      </w:r>
      <w:r w:rsidR="0073617F">
        <w:t xml:space="preserve">was </w:t>
      </w:r>
      <w:r w:rsidRPr="00256E76" w:rsidR="0073617F">
        <w:t xml:space="preserve">significantly higher than the current </w:t>
      </w:r>
      <w:r w:rsidR="00AB4F51">
        <w:t>estimated</w:t>
      </w:r>
      <w:r w:rsidRPr="00256E76" w:rsidR="0073617F">
        <w:t xml:space="preserve"> value for all utilities</w:t>
      </w:r>
      <w:r w:rsidR="0073617F">
        <w:t xml:space="preserve"> and reflects </w:t>
      </w:r>
      <w:r w:rsidRPr="00256E76" w:rsidR="0073617F">
        <w:t xml:space="preserve">the </w:t>
      </w:r>
      <w:r w:rsidR="0073617F">
        <w:t xml:space="preserve">direct install </w:t>
      </w:r>
      <w:r w:rsidRPr="00256E76" w:rsidR="0073617F">
        <w:t>program delivery approach</w:t>
      </w:r>
      <w:r w:rsidR="0073617F">
        <w:t xml:space="preserve"> </w:t>
      </w:r>
      <w:r w:rsidRPr="005F266D" w:rsidR="00396CA2">
        <w:t xml:space="preserve">and </w:t>
      </w:r>
      <w:r w:rsidR="00396CA2">
        <w:t xml:space="preserve">free </w:t>
      </w:r>
      <w:r w:rsidRPr="005F266D" w:rsidR="00396CA2">
        <w:t>service</w:t>
      </w:r>
      <w:r w:rsidR="00396CA2">
        <w:t>s</w:t>
      </w:r>
      <w:r w:rsidRPr="005F266D" w:rsidR="00396CA2">
        <w:t xml:space="preserve"> which the customer would not have otherwise found out about or considered doing on their own. Therefore, </w:t>
      </w:r>
      <w:r w:rsidR="00396CA2">
        <w:t>we</w:t>
      </w:r>
      <w:r w:rsidRPr="00256E76" w:rsidR="0073617F">
        <w:t xml:space="preserve"> direct the NTG value </w:t>
      </w:r>
      <w:r w:rsidR="0073617F">
        <w:t>be updated to</w:t>
      </w:r>
      <w:r w:rsidRPr="00256E76" w:rsidR="0073617F">
        <w:t xml:space="preserve"> 0.</w:t>
      </w:r>
      <w:r w:rsidR="00396CA2">
        <w:t>9</w:t>
      </w:r>
      <w:r w:rsidRPr="00256E76" w:rsidR="0073617F">
        <w:t xml:space="preserve">5 </w:t>
      </w:r>
      <w:r w:rsidR="0073617F">
        <w:t xml:space="preserve">from the </w:t>
      </w:r>
      <w:r w:rsidR="00C02227">
        <w:t>current</w:t>
      </w:r>
      <w:r w:rsidR="0073617F">
        <w:t xml:space="preserve"> lower range of utility specific values (0.</w:t>
      </w:r>
      <w:r w:rsidR="00396CA2">
        <w:t>78</w:t>
      </w:r>
      <w:r w:rsidR="0073617F">
        <w:t>-0.</w:t>
      </w:r>
      <w:r w:rsidR="00396CA2">
        <w:t>85</w:t>
      </w:r>
      <w:r w:rsidR="0073617F">
        <w:t>)</w:t>
      </w:r>
      <w:r w:rsidRPr="005F266D" w:rsidR="00396CA2">
        <w:t xml:space="preserve"> for duct testing and sealing offered under this direct install program</w:t>
      </w:r>
      <w:r w:rsidRPr="00256E76" w:rsidR="0073617F">
        <w:t>.</w:t>
      </w:r>
    </w:p>
    <w:p w:rsidR="001004BB" w:rsidP="001004BB" w:rsidRDefault="007E24FD" w14:paraId="0244EF40" w14:textId="36AF1EC6">
      <w:r w:rsidRPr="009319C7">
        <w:rPr>
          <w:b/>
          <w:bCs/>
          <w:szCs w:val="24"/>
        </w:rPr>
        <w:t xml:space="preserve">Water-cooled chiller </w:t>
      </w:r>
      <w:r w:rsidRPr="009319C7" w:rsidR="001004BB">
        <w:rPr>
          <w:b/>
          <w:bCs/>
          <w:szCs w:val="24"/>
        </w:rPr>
        <w:t>NTG update and additional tracking data requirements.</w:t>
      </w:r>
      <w:r w:rsidRPr="00310EC7">
        <w:rPr>
          <w:b/>
          <w:bCs/>
          <w:sz w:val="22"/>
          <w:szCs w:val="20"/>
        </w:rPr>
        <w:t xml:space="preserve"> </w:t>
      </w:r>
      <w:r w:rsidRPr="009319C7" w:rsidR="001004BB">
        <w:rPr>
          <w:szCs w:val="24"/>
        </w:rPr>
        <w:t>Only SCE reported savings for water-cooled chillers in 2018 and they were delivered as a midstream program.</w:t>
      </w:r>
      <w:r w:rsidRPr="009319C7" w:rsidR="002934B2">
        <w:rPr>
          <w:szCs w:val="24"/>
        </w:rPr>
        <w:t xml:space="preserve"> </w:t>
      </w:r>
      <w:r w:rsidRPr="009319C7" w:rsidR="001004BB">
        <w:rPr>
          <w:szCs w:val="24"/>
        </w:rPr>
        <w:t>2018 EM&amp;V results indicated t</w:t>
      </w:r>
      <w:r w:rsidR="001004BB">
        <w:t>hat no change was needed for DEER UES</w:t>
      </w:r>
      <w:r w:rsidR="009319C7">
        <w:t xml:space="preserve"> </w:t>
      </w:r>
      <w:r w:rsidR="001004BB">
        <w:t xml:space="preserve">values but a change to the NTG value </w:t>
      </w:r>
      <w:r w:rsidR="00CD74F4">
        <w:t xml:space="preserve">was </w:t>
      </w:r>
      <w:r w:rsidR="001004BB">
        <w:t>warranted. The evaluated GRR for electric savings was 221</w:t>
      </w:r>
      <w:r w:rsidR="00CD74F4">
        <w:t xml:space="preserve"> percent. However</w:t>
      </w:r>
      <w:r w:rsidR="001004BB">
        <w:t xml:space="preserve">, the primary issue was due to PAs using savings for a “commercial” building instead of savings for explicit building types. The operating hours vary significantly by building type (hospital, primary school, office) </w:t>
      </w:r>
      <w:r w:rsidR="00BB1F77">
        <w:t>and the evaluation used the actual building type</w:t>
      </w:r>
      <w:r w:rsidR="001004BB">
        <w:t>.</w:t>
      </w:r>
      <w:r w:rsidR="002934B2">
        <w:t xml:space="preserve"> </w:t>
      </w:r>
      <w:r w:rsidR="001004BB">
        <w:t xml:space="preserve">Although tracking building type for an upstream or midstream program may be considered a burden on the distributor, the </w:t>
      </w:r>
      <w:r w:rsidR="005930BF">
        <w:t>forecasted</w:t>
      </w:r>
      <w:r w:rsidR="001004BB">
        <w:t xml:space="preserve"> savings will always be incorrectly estimated by a sector average, and in this case</w:t>
      </w:r>
      <w:r w:rsidR="00310EC7">
        <w:t>,</w:t>
      </w:r>
      <w:r w:rsidR="001004BB">
        <w:t xml:space="preserve"> they were grossly underestimated. To address this issue, we direct the PAs and Cal TF to implement an overarching change to add a section to the workpaper template to specify the tracking and evaluation data required for a deemed measure.</w:t>
      </w:r>
    </w:p>
    <w:p w:rsidRPr="00F33A49" w:rsidR="007E24FD" w:rsidP="007E24FD" w:rsidRDefault="001004BB" w14:paraId="101DD9BE" w14:textId="630201B2">
      <w:r>
        <w:t xml:space="preserve">The average evaluated NTG value of </w:t>
      </w:r>
      <w:r w:rsidR="008B7883">
        <w:t>0.81</w:t>
      </w:r>
      <w:r w:rsidR="00BB1F77">
        <w:t xml:space="preserve"> </w:t>
      </w:r>
      <w:r>
        <w:t xml:space="preserve">for energy is significantly higher than the current </w:t>
      </w:r>
      <w:r w:rsidR="00AB4F51">
        <w:t>estimated</w:t>
      </w:r>
      <w:r>
        <w:t xml:space="preserve"> value of </w:t>
      </w:r>
      <w:r w:rsidR="000E6B57">
        <w:t>0.</w:t>
      </w:r>
      <w:r>
        <w:t xml:space="preserve">60. Distributors reported that the program improved the sale of high efficiency chillers as the incentives helped them to offset some of the incremental cost for the end users. The evaluation also showed that the installed chillers were actually even higher efficiency than reported in the PA tracking data. Although the 2018 sample size and uptake for this measure was small, the distributor survey </w:t>
      </w:r>
      <w:r>
        <w:lastRenderedPageBreak/>
        <w:t>results indicate a strong influence on higher-efficiency chillers sales.</w:t>
      </w:r>
      <w:r w:rsidR="002934B2">
        <w:t xml:space="preserve"> </w:t>
      </w:r>
      <w:r>
        <w:t xml:space="preserve">We therefore direct the use of an updated NTG value for water-cooled chillers offered via a midstream program from </w:t>
      </w:r>
      <w:r w:rsidR="00C02227">
        <w:t xml:space="preserve">the current value of </w:t>
      </w:r>
      <w:r>
        <w:t>0.60 to 0.80, rounding off to the nearest 0.05.</w:t>
      </w:r>
      <w:r w:rsidRPr="007E24FD" w:rsidR="007E24FD">
        <w:rPr>
          <w:highlight w:val="yellow"/>
        </w:rPr>
        <w:t xml:space="preserve"> </w:t>
      </w:r>
    </w:p>
    <w:p w:rsidRPr="00F33A49" w:rsidR="00EC2A04" w:rsidP="008E2F07" w:rsidRDefault="002544AB" w14:paraId="147C5B66" w14:textId="75C77460">
      <w:r w:rsidRPr="00B4626D">
        <w:rPr>
          <w:b/>
          <w:bCs/>
        </w:rPr>
        <w:t xml:space="preserve">Natural gas boilers </w:t>
      </w:r>
      <w:r w:rsidR="00BD19E3">
        <w:rPr>
          <w:b/>
          <w:bCs/>
        </w:rPr>
        <w:t xml:space="preserve">NTG </w:t>
      </w:r>
      <w:r w:rsidRPr="00B4626D">
        <w:rPr>
          <w:b/>
          <w:bCs/>
        </w:rPr>
        <w:t xml:space="preserve">updates. </w:t>
      </w:r>
      <w:r w:rsidRPr="00B20F0E" w:rsidR="00557FBF">
        <w:t>SCG</w:t>
      </w:r>
      <w:r w:rsidRPr="00B20F0E" w:rsidR="00B4626D">
        <w:t xml:space="preserve"> </w:t>
      </w:r>
      <w:r w:rsidRPr="00B4626D" w:rsidR="00B4626D">
        <w:t>is the only PA that reported savings for boilers. The UES values had been previously evaluated in 2017 and the GRR was close to 100</w:t>
      </w:r>
      <w:r w:rsidR="002364AB">
        <w:t xml:space="preserve"> percent</w:t>
      </w:r>
      <w:r w:rsidRPr="00B4626D" w:rsidR="00B4626D">
        <w:t xml:space="preserve"> (102</w:t>
      </w:r>
      <w:r w:rsidR="00B20F0E">
        <w:t xml:space="preserve"> percent</w:t>
      </w:r>
      <w:r w:rsidRPr="00B4626D" w:rsidR="00B20F0E">
        <w:t xml:space="preserve">) </w:t>
      </w:r>
      <w:r w:rsidRPr="00B4626D" w:rsidR="00B4626D">
        <w:t xml:space="preserve">so savings were not evaluated in 2018. However, the NTG was evaluated for </w:t>
      </w:r>
      <w:r w:rsidR="00BD19E3">
        <w:t xml:space="preserve">the </w:t>
      </w:r>
      <w:r w:rsidRPr="00B4626D" w:rsidR="00B4626D">
        <w:t xml:space="preserve">2018 </w:t>
      </w:r>
      <w:r w:rsidR="00BD19E3">
        <w:t>EM&amp;V</w:t>
      </w:r>
      <w:r w:rsidR="00B20F0E">
        <w:t>,</w:t>
      </w:r>
      <w:r w:rsidR="00BD19E3">
        <w:t xml:space="preserve"> which found </w:t>
      </w:r>
      <w:r w:rsidR="00066B8F">
        <w:t>an</w:t>
      </w:r>
      <w:r w:rsidR="00BD19E3">
        <w:t xml:space="preserve"> NTG</w:t>
      </w:r>
      <w:r w:rsidRPr="00B4626D" w:rsidR="00B4626D">
        <w:t xml:space="preserve"> of </w:t>
      </w:r>
      <w:r w:rsidR="000E6B57">
        <w:t>0.</w:t>
      </w:r>
      <w:r w:rsidRPr="00B4626D" w:rsidR="00B4626D">
        <w:t>1</w:t>
      </w:r>
      <w:r w:rsidR="000E6B57">
        <w:t>9.</w:t>
      </w:r>
      <w:r w:rsidR="00BD19E3">
        <w:t xml:space="preserve"> This is </w:t>
      </w:r>
      <w:r w:rsidRPr="00B4626D" w:rsidR="00B4626D">
        <w:t xml:space="preserve">significantly lower than the current </w:t>
      </w:r>
      <w:r w:rsidR="000E6B57">
        <w:t>estimated</w:t>
      </w:r>
      <w:r w:rsidRPr="00B4626D" w:rsidR="00B4626D">
        <w:t xml:space="preserve"> value of </w:t>
      </w:r>
      <w:r w:rsidR="000E6B57">
        <w:t>0.</w:t>
      </w:r>
      <w:r w:rsidRPr="00B4626D" w:rsidR="00B4626D">
        <w:t>65. The measure is offered as a deemed measure and 70</w:t>
      </w:r>
      <w:r w:rsidR="00B20F0E">
        <w:t xml:space="preserve"> percent</w:t>
      </w:r>
      <w:r w:rsidRPr="00B4626D" w:rsidR="00B20F0E">
        <w:t xml:space="preserve"> </w:t>
      </w:r>
      <w:r w:rsidRPr="00B4626D" w:rsidR="00B4626D">
        <w:t xml:space="preserve">of survey respondents said they learned about the program </w:t>
      </w:r>
      <w:r w:rsidRPr="00BD19E3" w:rsidR="00B4626D">
        <w:rPr>
          <w:i/>
        </w:rPr>
        <w:t>after</w:t>
      </w:r>
      <w:r w:rsidRPr="00B4626D" w:rsidR="00B4626D">
        <w:t xml:space="preserve"> making the decision to purchase a high efficiency boiler. This is also </w:t>
      </w:r>
      <w:r w:rsidR="00BD19E3">
        <w:t>a strong</w:t>
      </w:r>
      <w:r w:rsidRPr="00B4626D" w:rsidR="00B4626D">
        <w:t xml:space="preserve"> indication that high-efficiency boilers are already standard practice for many customers. We therefore direct the use of an updated NTG value for gas boilers offered via a downstream program from </w:t>
      </w:r>
      <w:r w:rsidR="00C02227">
        <w:t xml:space="preserve">the current value of </w:t>
      </w:r>
      <w:r w:rsidRPr="00B4626D" w:rsidR="00B4626D">
        <w:t>0.65 to 0.20, rounding off to the nearest 0.05.</w:t>
      </w:r>
      <w:r w:rsidRPr="00B4626D">
        <w:t xml:space="preserve"> </w:t>
      </w:r>
    </w:p>
    <w:p w:rsidRPr="00F33A49" w:rsidR="00831E72" w:rsidP="008E2F07" w:rsidRDefault="00090749" w14:paraId="33C2B1A5" w14:textId="7D39855E">
      <w:pPr>
        <w:pStyle w:val="Heading4"/>
      </w:pPr>
      <w:r>
        <w:t>D</w:t>
      </w:r>
      <w:r w:rsidRPr="00F33A49" w:rsidR="00831E72">
        <w:t>.</w:t>
      </w:r>
      <w:r w:rsidR="00AF3B16">
        <w:t>5</w:t>
      </w:r>
      <w:r w:rsidRPr="00F33A49" w:rsidR="00831E72">
        <w:t xml:space="preserve"> Small/Medium Commercial Sector EM&amp;V Updates</w:t>
      </w:r>
    </w:p>
    <w:p w:rsidRPr="003C05FB" w:rsidR="003C05FB" w:rsidP="008E2F07" w:rsidRDefault="003C05FB" w14:paraId="15E9D217" w14:textId="7B6382FE">
      <w:r w:rsidRPr="00DE30B2">
        <w:t>A</w:t>
      </w:r>
      <w:r>
        <w:t xml:space="preserve"> number of </w:t>
      </w:r>
      <w:r w:rsidR="00EC2A04">
        <w:t xml:space="preserve">updates </w:t>
      </w:r>
      <w:r>
        <w:t>are specified for</w:t>
      </w:r>
      <w:r w:rsidR="00EC2A04">
        <w:t xml:space="preserve"> the </w:t>
      </w:r>
      <w:r w:rsidR="00B20F0E">
        <w:t>small</w:t>
      </w:r>
      <w:r>
        <w:t>/</w:t>
      </w:r>
      <w:r w:rsidR="00B20F0E">
        <w:t xml:space="preserve">medium commercial </w:t>
      </w:r>
      <w:r>
        <w:t xml:space="preserve">measure groups that were evaluated for PY2018. EM&amp;V results from PY2017 were also reviewed if they </w:t>
      </w:r>
      <w:r w:rsidRPr="003C05FB">
        <w:t>were available. The</w:t>
      </w:r>
      <w:r w:rsidRPr="003C05FB" w:rsidR="00EC2A04">
        <w:t xml:space="preserve"> measures</w:t>
      </w:r>
      <w:r w:rsidRPr="003C05FB">
        <w:t xml:space="preserve"> selected for evaluation represent the most significant percent of the savings encompassed by this market/sector evaluation group. Results are strongly dependent on the delivery method used (upstream, midstream, downstream, </w:t>
      </w:r>
      <w:r w:rsidR="00B20F0E">
        <w:t xml:space="preserve">and </w:t>
      </w:r>
      <w:r w:rsidRPr="003C05FB">
        <w:t>direct install). The updates are:</w:t>
      </w:r>
    </w:p>
    <w:p w:rsidR="000D2A9E" w:rsidP="008E2F07" w:rsidRDefault="00637F84" w14:paraId="3A42A662" w14:textId="20E72965">
      <w:r w:rsidRPr="00637F84">
        <w:rPr>
          <w:b/>
        </w:rPr>
        <w:t xml:space="preserve">No updates for </w:t>
      </w:r>
      <w:r w:rsidRPr="00637F84" w:rsidR="00B20F0E">
        <w:rPr>
          <w:b/>
        </w:rPr>
        <w:t>refrigeration case</w:t>
      </w:r>
      <w:r w:rsidRPr="00637F84">
        <w:rPr>
          <w:b/>
        </w:rPr>
        <w:t xml:space="preserve"> LED </w:t>
      </w:r>
      <w:r w:rsidRPr="00637F84" w:rsidR="00B20F0E">
        <w:rPr>
          <w:b/>
        </w:rPr>
        <w:t>l</w:t>
      </w:r>
      <w:r w:rsidRPr="00637F84">
        <w:rPr>
          <w:b/>
        </w:rPr>
        <w:t>ighting</w:t>
      </w:r>
      <w:r w:rsidRPr="00637F84" w:rsidR="00EC2A04">
        <w:rPr>
          <w:b/>
        </w:rPr>
        <w:t xml:space="preserve">. </w:t>
      </w:r>
      <w:r w:rsidRPr="00637F84" w:rsidR="00EC2A04">
        <w:t xml:space="preserve">No </w:t>
      </w:r>
      <w:r w:rsidR="002D715A">
        <w:t xml:space="preserve">DEER </w:t>
      </w:r>
      <w:r w:rsidRPr="00637F84" w:rsidR="00EC2A04">
        <w:t xml:space="preserve">updates </w:t>
      </w:r>
      <w:r w:rsidR="002D715A">
        <w:t>are needed for this measure. The current NTG value was validated by 2018 EM&amp;V</w:t>
      </w:r>
      <w:r w:rsidRPr="00637F84" w:rsidR="000D2A9E">
        <w:t xml:space="preserve"> </w:t>
      </w:r>
      <w:r w:rsidR="002D715A">
        <w:t xml:space="preserve">results, and although the GRR was 0.77 this </w:t>
      </w:r>
      <w:r w:rsidR="004D030B">
        <w:t>i</w:t>
      </w:r>
      <w:r w:rsidR="002D715A">
        <w:t>s not due to underlying UES assumptions.</w:t>
      </w:r>
    </w:p>
    <w:p w:rsidR="00637F84" w:rsidP="00637F84" w:rsidRDefault="00637F84" w14:paraId="1727C348" w14:textId="2BDAB0BE">
      <w:r w:rsidRPr="00637F84">
        <w:rPr>
          <w:b/>
        </w:rPr>
        <w:t xml:space="preserve">No updates for </w:t>
      </w:r>
      <w:r w:rsidR="00B20F0E">
        <w:rPr>
          <w:b/>
        </w:rPr>
        <w:t>tankless water hea</w:t>
      </w:r>
      <w:r>
        <w:rPr>
          <w:b/>
        </w:rPr>
        <w:t>ters</w:t>
      </w:r>
      <w:r w:rsidRPr="00637F84">
        <w:rPr>
          <w:b/>
        </w:rPr>
        <w:t xml:space="preserve">. </w:t>
      </w:r>
      <w:r w:rsidRPr="00637F84" w:rsidR="002D715A">
        <w:t xml:space="preserve">No </w:t>
      </w:r>
      <w:r w:rsidR="002D715A">
        <w:t xml:space="preserve">DEER </w:t>
      </w:r>
      <w:r w:rsidRPr="00637F84" w:rsidR="002D715A">
        <w:t xml:space="preserve">updates </w:t>
      </w:r>
      <w:r w:rsidR="002D715A">
        <w:t>are needed for this measure. The current NTG value was validated by 2018 EM&amp;V</w:t>
      </w:r>
      <w:r w:rsidRPr="00637F84" w:rsidR="002D715A">
        <w:t xml:space="preserve"> </w:t>
      </w:r>
      <w:r w:rsidR="002D715A">
        <w:t>results</w:t>
      </w:r>
      <w:r w:rsidR="00252052">
        <w:t>. Some issues were identified with open/closed system type and system temperature assumptions</w:t>
      </w:r>
      <w:r w:rsidR="00F24CD7">
        <w:t>,</w:t>
      </w:r>
      <w:r w:rsidR="00FF5DB1">
        <w:t xml:space="preserve"> and we will review these findings and integrate into the DEER water heating calculator if warranted.</w:t>
      </w:r>
      <w:r w:rsidRPr="00637F84">
        <w:t xml:space="preserve"> </w:t>
      </w:r>
    </w:p>
    <w:p w:rsidR="00637F84" w:rsidP="00637F84" w:rsidRDefault="00637F84" w14:paraId="21C58F9D" w14:textId="33A53892">
      <w:r>
        <w:rPr>
          <w:b/>
        </w:rPr>
        <w:t xml:space="preserve">Process </w:t>
      </w:r>
      <w:r w:rsidR="00B20F0E">
        <w:rPr>
          <w:b/>
        </w:rPr>
        <w:t>pu</w:t>
      </w:r>
      <w:r>
        <w:rPr>
          <w:b/>
        </w:rPr>
        <w:t>mping VFD NTG update</w:t>
      </w:r>
      <w:r w:rsidRPr="00637F84">
        <w:rPr>
          <w:b/>
        </w:rPr>
        <w:t>.</w:t>
      </w:r>
      <w:r w:rsidRPr="00644EDE">
        <w:rPr>
          <w:bCs/>
        </w:rPr>
        <w:t xml:space="preserve"> </w:t>
      </w:r>
      <w:r w:rsidRPr="00644EDE" w:rsidR="00644EDE">
        <w:rPr>
          <w:bCs/>
        </w:rPr>
        <w:t xml:space="preserve">Process Pumping VFDs were only evaluated in 2018 not 2017. The evaluation found that most differences were due to incorrect utility calculations, so no UES changes are needed. However, the </w:t>
      </w:r>
      <w:r w:rsidR="00644EDE">
        <w:rPr>
          <w:bCs/>
        </w:rPr>
        <w:t>evaluated</w:t>
      </w:r>
      <w:r w:rsidRPr="00644EDE" w:rsidR="00644EDE">
        <w:rPr>
          <w:bCs/>
        </w:rPr>
        <w:t xml:space="preserve"> NTG value of 0.39 is significantly lower than the forecasted value of 0.60. Therefore, we direct the NTG value for process pumping VFD to be changed to 0.40 (40</w:t>
      </w:r>
      <w:r w:rsidR="00B20F0E">
        <w:rPr>
          <w:bCs/>
        </w:rPr>
        <w:t xml:space="preserve"> percent</w:t>
      </w:r>
      <w:r w:rsidRPr="00644EDE" w:rsidR="00B20F0E">
        <w:rPr>
          <w:bCs/>
        </w:rPr>
        <w:t xml:space="preserve">), </w:t>
      </w:r>
      <w:r w:rsidRPr="00644EDE" w:rsidR="00644EDE">
        <w:rPr>
          <w:bCs/>
        </w:rPr>
        <w:t>rounding to the nearest 0.05.</w:t>
      </w:r>
      <w:r w:rsidRPr="00644EDE">
        <w:rPr>
          <w:bCs/>
        </w:rPr>
        <w:t xml:space="preserve"> </w:t>
      </w:r>
    </w:p>
    <w:p w:rsidRPr="00F33A49" w:rsidR="002544AB" w:rsidP="008E2F07" w:rsidRDefault="00637F84" w14:paraId="5749B1DD" w14:textId="69E13CCB">
      <w:r>
        <w:rPr>
          <w:b/>
        </w:rPr>
        <w:lastRenderedPageBreak/>
        <w:t>Agricultura</w:t>
      </w:r>
      <w:r w:rsidR="0025219C">
        <w:rPr>
          <w:b/>
        </w:rPr>
        <w:t>l</w:t>
      </w:r>
      <w:r>
        <w:rPr>
          <w:b/>
        </w:rPr>
        <w:t xml:space="preserve"> </w:t>
      </w:r>
      <w:r w:rsidR="00B20F0E">
        <w:rPr>
          <w:b/>
        </w:rPr>
        <w:t>irrigation</w:t>
      </w:r>
      <w:r w:rsidRPr="00637F84">
        <w:rPr>
          <w:b/>
        </w:rPr>
        <w:t xml:space="preserve">. </w:t>
      </w:r>
      <w:r w:rsidR="0025219C">
        <w:t>No updates to the UES values and approach can be recommended for this cycle even though updates are needed</w:t>
      </w:r>
      <w:r w:rsidR="00F24CD7">
        <w:t>.</w:t>
      </w:r>
      <w:r w:rsidR="0025219C">
        <w:t xml:space="preserve"> </w:t>
      </w:r>
      <w:r w:rsidR="00F24CD7">
        <w:t>F</w:t>
      </w:r>
      <w:r w:rsidR="0025219C">
        <w:t xml:space="preserve">uture EM&amp;V efforts and PAs should focus on collecting the data needed to improve UES estimates. </w:t>
      </w:r>
      <w:r w:rsidR="0025219C">
        <w:rPr>
          <w:szCs w:val="24"/>
        </w:rPr>
        <w:t xml:space="preserve">Commission staff </w:t>
      </w:r>
      <w:r w:rsidRPr="00BC16B7" w:rsidR="0025219C">
        <w:rPr>
          <w:szCs w:val="24"/>
        </w:rPr>
        <w:t xml:space="preserve">direct </w:t>
      </w:r>
      <w:r w:rsidR="0025219C">
        <w:rPr>
          <w:szCs w:val="24"/>
        </w:rPr>
        <w:t xml:space="preserve">the </w:t>
      </w:r>
      <w:r w:rsidRPr="00BC16B7" w:rsidR="0025219C">
        <w:rPr>
          <w:szCs w:val="24"/>
        </w:rPr>
        <w:t xml:space="preserve">NTG value for </w:t>
      </w:r>
      <w:r w:rsidR="0025219C">
        <w:rPr>
          <w:szCs w:val="24"/>
        </w:rPr>
        <w:t xml:space="preserve">agricultural irrigation to be changed from </w:t>
      </w:r>
      <w:r w:rsidRPr="00BC16B7" w:rsidR="0025219C">
        <w:rPr>
          <w:szCs w:val="24"/>
        </w:rPr>
        <w:t>0.</w:t>
      </w:r>
      <w:r w:rsidR="0025219C">
        <w:rPr>
          <w:szCs w:val="24"/>
        </w:rPr>
        <w:t>60</w:t>
      </w:r>
      <w:r w:rsidRPr="00BC16B7" w:rsidR="0025219C">
        <w:rPr>
          <w:szCs w:val="24"/>
        </w:rPr>
        <w:t xml:space="preserve"> to 0.</w:t>
      </w:r>
      <w:r w:rsidR="0025219C">
        <w:rPr>
          <w:szCs w:val="24"/>
        </w:rPr>
        <w:t>30</w:t>
      </w:r>
      <w:r w:rsidRPr="00BC16B7" w:rsidR="0025219C">
        <w:rPr>
          <w:szCs w:val="24"/>
        </w:rPr>
        <w:t xml:space="preserve"> (</w:t>
      </w:r>
      <w:r w:rsidR="0025219C">
        <w:rPr>
          <w:szCs w:val="24"/>
        </w:rPr>
        <w:t>30</w:t>
      </w:r>
      <w:r w:rsidR="00B20F0E">
        <w:rPr>
          <w:szCs w:val="24"/>
        </w:rPr>
        <w:t xml:space="preserve"> percent</w:t>
      </w:r>
      <w:r w:rsidRPr="00BC16B7" w:rsidR="00B20F0E">
        <w:rPr>
          <w:szCs w:val="24"/>
        </w:rPr>
        <w:t xml:space="preserve">), </w:t>
      </w:r>
      <w:r w:rsidRPr="00BC16B7" w:rsidR="0025219C">
        <w:rPr>
          <w:szCs w:val="24"/>
        </w:rPr>
        <w:t>rounding to the nearest 0.05</w:t>
      </w:r>
      <w:r w:rsidRPr="00637F84">
        <w:t xml:space="preserve"> </w:t>
      </w:r>
    </w:p>
    <w:p w:rsidRPr="000E28F7" w:rsidR="00541468" w:rsidP="005B1D66" w:rsidRDefault="00541468" w14:paraId="3DD22CB0" w14:textId="77777777">
      <w:pPr>
        <w:pStyle w:val="Heading3"/>
        <w:numPr>
          <w:ilvl w:val="1"/>
          <w:numId w:val="6"/>
        </w:numPr>
        <w:rPr>
          <w:b/>
          <w:bCs w:val="0"/>
        </w:rPr>
      </w:pPr>
      <w:r w:rsidRPr="000E28F7">
        <w:rPr>
          <w:b/>
          <w:bCs w:val="0"/>
        </w:rPr>
        <w:t>New Code Revisions or Code Revisions Not Covered in Previous DEER Updates</w:t>
      </w:r>
    </w:p>
    <w:p w:rsidRPr="00F33A49" w:rsidR="00EC2A04" w:rsidP="008E2F07" w:rsidRDefault="00EC2A04" w14:paraId="6604D355" w14:textId="6ABD7FAF">
      <w:r w:rsidRPr="00DD03B8">
        <w:rPr>
          <w:b/>
        </w:rPr>
        <w:t xml:space="preserve">There were no updates to </w:t>
      </w:r>
      <w:r w:rsidRPr="00DD03B8" w:rsidR="007E24FD">
        <w:rPr>
          <w:b/>
          <w:bCs/>
        </w:rPr>
        <w:t xml:space="preserve">deemed </w:t>
      </w:r>
      <w:r w:rsidRPr="00DD03B8">
        <w:rPr>
          <w:b/>
        </w:rPr>
        <w:t>measures based o</w:t>
      </w:r>
      <w:r w:rsidRPr="00DD03B8" w:rsidR="0089117A">
        <w:rPr>
          <w:b/>
        </w:rPr>
        <w:t xml:space="preserve">n code revisions. </w:t>
      </w:r>
      <w:r w:rsidRPr="00DD03B8">
        <w:t xml:space="preserve">No updates were performed because </w:t>
      </w:r>
      <w:r w:rsidRPr="00DD03B8" w:rsidR="0089117A">
        <w:t>relevant codes have not been updated</w:t>
      </w:r>
      <w:r w:rsidRPr="00DD03B8">
        <w:t>.</w:t>
      </w:r>
      <w:r w:rsidRPr="00F33A49">
        <w:t xml:space="preserve"> </w:t>
      </w:r>
      <w:r w:rsidR="00DD03B8">
        <w:t xml:space="preserve">Some code updates, such as the CA 2019 Title 24 were already accounted for under Resolution E-4952. </w:t>
      </w:r>
      <w:r w:rsidRPr="004F6A96" w:rsidR="00DD03B8">
        <w:t xml:space="preserve">Scheduled updates of </w:t>
      </w:r>
      <w:r w:rsidR="00542574">
        <w:t>f</w:t>
      </w:r>
      <w:r w:rsidRPr="004F6A96" w:rsidR="00542574">
        <w:t xml:space="preserve">ederal </w:t>
      </w:r>
      <w:r w:rsidR="00542574">
        <w:t xml:space="preserve">appliance </w:t>
      </w:r>
      <w:r w:rsidR="00DD03B8">
        <w:t xml:space="preserve">and </w:t>
      </w:r>
      <w:r w:rsidR="00542574">
        <w:t>e</w:t>
      </w:r>
      <w:r w:rsidRPr="004F6A96" w:rsidR="00542574">
        <w:t xml:space="preserve">quipment </w:t>
      </w:r>
      <w:r w:rsidR="00542574">
        <w:t>s</w:t>
      </w:r>
      <w:r w:rsidRPr="004F6A96" w:rsidR="00542574">
        <w:t>tandards</w:t>
      </w:r>
      <w:r w:rsidRPr="004F6A96" w:rsidR="00DD03B8">
        <w:t xml:space="preserve"> have all missed their intended deadlines</w:t>
      </w:r>
      <w:r w:rsidR="00DD03B8">
        <w:t xml:space="preserve"> </w:t>
      </w:r>
      <w:r w:rsidR="00A66E98">
        <w:t>resulting in no relevant updates.</w:t>
      </w:r>
      <w:r w:rsidR="00DD03B8">
        <w:t xml:space="preserve"> </w:t>
      </w:r>
      <w:r w:rsidR="00A66E98">
        <w:t>Though not relevant to DEER, t</w:t>
      </w:r>
      <w:r w:rsidR="00DD03B8">
        <w:t xml:space="preserve">he </w:t>
      </w:r>
      <w:r w:rsidR="00A66E98">
        <w:t xml:space="preserve">new </w:t>
      </w:r>
      <w:r w:rsidR="00542574">
        <w:t xml:space="preserve">federal requirement for </w:t>
      </w:r>
      <w:r w:rsidR="00BA67BB">
        <w:t>variable</w:t>
      </w:r>
      <w:r w:rsidR="00A66E98">
        <w:t xml:space="preserve"> speed </w:t>
      </w:r>
      <w:r w:rsidR="00542574">
        <w:t xml:space="preserve">drive </w:t>
      </w:r>
      <w:r w:rsidR="00A66E98">
        <w:t>pool pump</w:t>
      </w:r>
      <w:r w:rsidR="00542574">
        <w:t>s</w:t>
      </w:r>
      <w:r w:rsidR="00A66E98">
        <w:t xml:space="preserve"> effective July 1</w:t>
      </w:r>
      <w:r w:rsidR="00BA67BB">
        <w:t>9</w:t>
      </w:r>
      <w:r w:rsidR="00A66E98">
        <w:t>, 2021 is mentioned as a courtesy for workpaper updates</w:t>
      </w:r>
      <w:r w:rsidR="00DD03B8">
        <w:t xml:space="preserve">. </w:t>
      </w:r>
      <w:r w:rsidR="000E0946">
        <w:t xml:space="preserve"> </w:t>
      </w:r>
    </w:p>
    <w:p w:rsidRPr="00F33A49" w:rsidR="00A673D9" w:rsidP="005B1D66" w:rsidRDefault="00A673D9" w14:paraId="28A6EEAE" w14:textId="016D3752">
      <w:pPr>
        <w:pStyle w:val="Heading3"/>
        <w:numPr>
          <w:ilvl w:val="1"/>
          <w:numId w:val="6"/>
        </w:numPr>
      </w:pPr>
      <w:r w:rsidRPr="00F33A49">
        <w:t xml:space="preserve">Review of </w:t>
      </w:r>
      <w:r w:rsidRPr="00F33A49" w:rsidR="00CD552A">
        <w:t>Mar</w:t>
      </w:r>
      <w:r w:rsidRPr="00F33A49">
        <w:t xml:space="preserve">ket and </w:t>
      </w:r>
      <w:r w:rsidRPr="00F33A49" w:rsidR="00CD552A">
        <w:t>Research Studies</w:t>
      </w:r>
    </w:p>
    <w:p w:rsidRPr="00F33A49" w:rsidR="00A673D9" w:rsidP="008E2F07" w:rsidRDefault="0089117A" w14:paraId="271F635A" w14:textId="17695FFF">
      <w:pPr>
        <w:rPr>
          <w:highlight w:val="yellow"/>
        </w:rPr>
      </w:pPr>
      <w:r w:rsidRPr="00F33A49">
        <w:rPr>
          <w:b/>
          <w:bCs/>
        </w:rPr>
        <w:t xml:space="preserve">There were no updates to measures based on market and research studies. </w:t>
      </w:r>
      <w:r w:rsidRPr="00F33A49">
        <w:t>No updates were performed because no relevant market or research studies have been performed.</w:t>
      </w:r>
      <w:r w:rsidR="00EC5F6A">
        <w:rPr>
          <w:highlight w:val="yellow"/>
        </w:rPr>
        <w:t xml:space="preserve"> </w:t>
      </w:r>
    </w:p>
    <w:p w:rsidRPr="000E28F7" w:rsidR="00B97596" w:rsidP="005B1D66" w:rsidRDefault="00B97596" w14:paraId="36DAC769" w14:textId="71FFFB47">
      <w:pPr>
        <w:pStyle w:val="Heading3"/>
        <w:numPr>
          <w:ilvl w:val="1"/>
          <w:numId w:val="6"/>
        </w:numPr>
        <w:rPr>
          <w:b/>
          <w:bCs w:val="0"/>
        </w:rPr>
      </w:pPr>
      <w:r w:rsidRPr="000E28F7">
        <w:rPr>
          <w:b/>
          <w:bCs w:val="0"/>
        </w:rPr>
        <w:t xml:space="preserve">New </w:t>
      </w:r>
      <w:r w:rsidRPr="000E28F7" w:rsidR="00CD552A">
        <w:rPr>
          <w:b/>
          <w:bCs w:val="0"/>
        </w:rPr>
        <w:t>Measure Additions</w:t>
      </w:r>
    </w:p>
    <w:p w:rsidRPr="00F33A49" w:rsidR="00B97596" w:rsidP="008E2F07" w:rsidRDefault="00BA67BB" w14:paraId="0220E136" w14:textId="4A65435A">
      <w:r>
        <w:t>CPUC staff</w:t>
      </w:r>
      <w:r w:rsidRPr="006638D5" w:rsidR="0089117A">
        <w:t xml:space="preserve"> will be implementing several new DEER database measures for 2022.</w:t>
      </w:r>
      <w:r w:rsidRPr="00F33A49" w:rsidR="0089117A">
        <w:t xml:space="preserve"> As a result of the statewide workpaper consolidation effort and the increased participation of </w:t>
      </w:r>
      <w:r w:rsidRPr="00F33A49" w:rsidR="00542574">
        <w:t>third</w:t>
      </w:r>
      <w:r w:rsidR="00542574">
        <w:t>-</w:t>
      </w:r>
      <w:r w:rsidRPr="00F33A49" w:rsidR="0089117A">
        <w:t>party implementers, we anticipate that new measures may be proposed via workpapers and in response to this Resolution</w:t>
      </w:r>
      <w:r w:rsidRPr="00F33A49" w:rsidR="00B97596">
        <w:t>.</w:t>
      </w:r>
      <w:r w:rsidR="00EC5F6A">
        <w:t xml:space="preserve"> </w:t>
      </w:r>
    </w:p>
    <w:p w:rsidRPr="00F33A49" w:rsidR="00C2576C" w:rsidP="008E2F07" w:rsidRDefault="00090749" w14:paraId="44516EAD" w14:textId="3486B0AF">
      <w:pPr>
        <w:pStyle w:val="Heading4"/>
      </w:pPr>
      <w:r>
        <w:t>G</w:t>
      </w:r>
      <w:r w:rsidRPr="00F33A49" w:rsidR="00C2576C">
        <w:t>.</w:t>
      </w:r>
      <w:r w:rsidRPr="00F33A49" w:rsidR="003132F6">
        <w:t>1</w:t>
      </w:r>
      <w:r w:rsidRPr="00F33A49" w:rsidR="00C2576C">
        <w:t xml:space="preserve"> Normalized Metered Energy Consumption (NMEC)</w:t>
      </w:r>
    </w:p>
    <w:p w:rsidRPr="00F33A49" w:rsidR="00C2576C" w:rsidP="008E2F07" w:rsidRDefault="00C2576C" w14:paraId="0DC67D9D" w14:textId="5B771FA3">
      <w:r w:rsidRPr="006638D5">
        <w:rPr>
          <w:b/>
          <w:bCs/>
        </w:rPr>
        <w:t>The introduction of NMEC measures to the demand-side management portfolios requires the addition of new records to existing support tables in the DEER database.</w:t>
      </w:r>
      <w:r w:rsidRPr="00F33A49">
        <w:t xml:space="preserve"> No other effects on the DEER databases are anticipated. </w:t>
      </w:r>
    </w:p>
    <w:p w:rsidRPr="00F33A49" w:rsidR="00B97596" w:rsidP="008E2F07" w:rsidRDefault="00090749" w14:paraId="575A7D5D" w14:textId="3E83DCB6">
      <w:pPr>
        <w:pStyle w:val="Heading4"/>
      </w:pPr>
      <w:r>
        <w:t>G</w:t>
      </w:r>
      <w:r w:rsidRPr="00F33A49" w:rsidR="00B97596">
        <w:t>.</w:t>
      </w:r>
      <w:r w:rsidRPr="00F33A49" w:rsidR="00C2576C">
        <w:t>2</w:t>
      </w:r>
      <w:r w:rsidRPr="00F33A49" w:rsidR="00B97596">
        <w:t xml:space="preserve"> </w:t>
      </w:r>
      <w:bookmarkStart w:name="_Hlk36584780" w:id="14"/>
      <w:r w:rsidRPr="00F33A49" w:rsidR="00B97596">
        <w:t>Fuel-</w:t>
      </w:r>
      <w:r w:rsidRPr="00F33A49" w:rsidR="006432F6">
        <w:t>S</w:t>
      </w:r>
      <w:r w:rsidRPr="00F33A49" w:rsidR="00B97596">
        <w:t xml:space="preserve">ubstitution </w:t>
      </w:r>
      <w:r w:rsidRPr="00F33A49" w:rsidR="00CD552A">
        <w:t>Measure</w:t>
      </w:r>
      <w:r w:rsidRPr="00F33A49" w:rsidR="00C2576C">
        <w:t>s</w:t>
      </w:r>
      <w:bookmarkEnd w:id="14"/>
    </w:p>
    <w:p w:rsidRPr="00F33A49" w:rsidR="00B97596" w:rsidP="008E2F07" w:rsidRDefault="00CE33D8" w14:paraId="15EE0B95" w14:textId="0618CAD1">
      <w:r w:rsidRPr="006638D5">
        <w:rPr>
          <w:b/>
          <w:bCs/>
        </w:rPr>
        <w:t xml:space="preserve">The introduction of fuel substitution energy efficiency measures to the deemed portfolio </w:t>
      </w:r>
      <w:r w:rsidRPr="006638D5">
        <w:rPr>
          <w:b/>
        </w:rPr>
        <w:t>require</w:t>
      </w:r>
      <w:r w:rsidRPr="006638D5">
        <w:rPr>
          <w:b/>
          <w:bCs/>
        </w:rPr>
        <w:t xml:space="preserve"> the addition of new fields to the workpaper Ex Ante </w:t>
      </w:r>
      <w:r w:rsidR="00CF6BFE">
        <w:rPr>
          <w:b/>
          <w:bCs/>
        </w:rPr>
        <w:t>d</w:t>
      </w:r>
      <w:r w:rsidRPr="006638D5" w:rsidR="00CF6BFE">
        <w:rPr>
          <w:b/>
          <w:bCs/>
        </w:rPr>
        <w:t xml:space="preserve">ata </w:t>
      </w:r>
      <w:r w:rsidRPr="006638D5">
        <w:rPr>
          <w:b/>
          <w:bCs/>
        </w:rPr>
        <w:t>(EAD) tables and the DEER database</w:t>
      </w:r>
      <w:r w:rsidR="006638D5">
        <w:t>.</w:t>
      </w:r>
      <w:r w:rsidRPr="006638D5">
        <w:t xml:space="preserve"> </w:t>
      </w:r>
      <w:r w:rsidRPr="00F33A49">
        <w:t>These fields are important for future reporting of California greenhouse gas (GHG) reduction goals and include lifecycle CO2 emissions reduction, lifecycle source energy savings, and infrastructure cost.</w:t>
      </w:r>
      <w:r w:rsidRPr="00F33A49" w:rsidR="00ED3A96">
        <w:t xml:space="preserve"> The changes </w:t>
      </w:r>
      <w:r w:rsidRPr="00F33A49" w:rsidR="00ED3A96">
        <w:lastRenderedPageBreak/>
        <w:t xml:space="preserve">included addition of a “Fuel Sub-Deemed” measure impact type, addition of two EULs, addition of a </w:t>
      </w:r>
      <w:r w:rsidRPr="00F33A49" w:rsidR="00CF6BFE">
        <w:t>fuel</w:t>
      </w:r>
      <w:r w:rsidR="00CF6BFE">
        <w:t>-</w:t>
      </w:r>
      <w:r w:rsidRPr="00F33A49" w:rsidR="00ED3A96">
        <w:t>substitution NTG</w:t>
      </w:r>
      <w:r w:rsidR="000E6B57">
        <w:t xml:space="preserve"> ratio</w:t>
      </w:r>
      <w:r w:rsidRPr="00F33A49" w:rsidR="00ED3A96">
        <w:t xml:space="preserve"> of 1.0, and modifications to the Energy</w:t>
      </w:r>
      <w:r w:rsidR="006638D5">
        <w:t xml:space="preserve"> </w:t>
      </w:r>
      <w:r w:rsidRPr="00F33A49" w:rsidR="00ED3A96">
        <w:t>Impact tables in the DEER database.</w:t>
      </w:r>
      <w:r w:rsidRPr="00F33A49" w:rsidR="00B97596">
        <w:t xml:space="preserve"> </w:t>
      </w:r>
    </w:p>
    <w:p w:rsidRPr="00F33A49" w:rsidR="00B97596" w:rsidP="008E2F07" w:rsidRDefault="00090749" w14:paraId="58F6F497" w14:textId="01131F04">
      <w:pPr>
        <w:pStyle w:val="Heading4"/>
      </w:pPr>
      <w:r>
        <w:t>G</w:t>
      </w:r>
      <w:r w:rsidRPr="00F33A49" w:rsidR="00B97596">
        <w:t xml:space="preserve">.3 </w:t>
      </w:r>
      <w:r w:rsidR="00A6350E">
        <w:t>Updated</w:t>
      </w:r>
      <w:r w:rsidRPr="00F33A49" w:rsidR="00CD552A">
        <w:t xml:space="preserve"> Water Heater Thresholds</w:t>
      </w:r>
    </w:p>
    <w:p w:rsidRPr="00F33A49" w:rsidR="00B97596" w:rsidP="008E2F07" w:rsidRDefault="00ED4864" w14:paraId="75134E9B" w14:textId="64917AE4">
      <w:r>
        <w:rPr>
          <w:b/>
        </w:rPr>
        <w:t>Some</w:t>
      </w:r>
      <w:r w:rsidRPr="006638D5" w:rsidR="00563590">
        <w:rPr>
          <w:b/>
          <w:bCs/>
        </w:rPr>
        <w:t xml:space="preserve"> threshold values for </w:t>
      </w:r>
      <w:r>
        <w:rPr>
          <w:b/>
        </w:rPr>
        <w:t xml:space="preserve">baseline and </w:t>
      </w:r>
      <w:r w:rsidRPr="006638D5" w:rsidR="00563590">
        <w:rPr>
          <w:b/>
          <w:bCs/>
        </w:rPr>
        <w:t xml:space="preserve">efficient water heaters </w:t>
      </w:r>
      <w:r w:rsidR="00A6350E">
        <w:rPr>
          <w:b/>
          <w:bCs/>
        </w:rPr>
        <w:t>were updated based upon recent manufacturer data</w:t>
      </w:r>
      <w:r w:rsidRPr="006638D5" w:rsidR="00563590">
        <w:rPr>
          <w:b/>
          <w:bCs/>
        </w:rPr>
        <w:t>, hence defining new efficient water heater measures</w:t>
      </w:r>
      <w:r w:rsidR="00A6350E">
        <w:rPr>
          <w:b/>
          <w:bCs/>
        </w:rPr>
        <w:t xml:space="preserve"> and energy impacts</w:t>
      </w:r>
      <w:r w:rsidRPr="006638D5" w:rsidR="00563590">
        <w:rPr>
          <w:b/>
          <w:bCs/>
        </w:rPr>
        <w:t>.</w:t>
      </w:r>
      <w:r w:rsidRPr="00F33A49" w:rsidR="00563590">
        <w:t xml:space="preserve"> The new threshold values are available as part of the new water heater calculator.</w:t>
      </w:r>
      <w:r w:rsidR="00DA515E">
        <w:t xml:space="preserve"> When new thresholds were not defined, the calculator provides new UES values for existing water heater measures.</w:t>
      </w:r>
      <w:r w:rsidRPr="00F33A49" w:rsidR="00B97596">
        <w:t xml:space="preserve"> </w:t>
      </w:r>
    </w:p>
    <w:p w:rsidRPr="00F33A49" w:rsidR="00B97596" w:rsidP="008E2F07" w:rsidRDefault="00090749" w14:paraId="6109E39A" w14:textId="7DFFDCF8">
      <w:pPr>
        <w:pStyle w:val="Heading4"/>
      </w:pPr>
      <w:r>
        <w:t>G</w:t>
      </w:r>
      <w:r w:rsidRPr="00F33A49" w:rsidR="00B97596">
        <w:t xml:space="preserve">.4 Residential </w:t>
      </w:r>
      <w:r w:rsidRPr="00F33A49" w:rsidR="00CD552A">
        <w:t xml:space="preserve">Heat Pumps </w:t>
      </w:r>
      <w:r w:rsidRPr="00F33A49" w:rsidR="00B97596">
        <w:t>for SEER ≥19 SEER</w:t>
      </w:r>
    </w:p>
    <w:p w:rsidRPr="00F33A49" w:rsidR="00B97596" w:rsidP="008E2F07" w:rsidRDefault="00563590" w14:paraId="29BFC22A" w14:textId="002959FE">
      <w:r w:rsidRPr="00F33A49">
        <w:rPr>
          <w:b/>
          <w:bCs/>
        </w:rPr>
        <w:t xml:space="preserve">Because the efficiency of heat pump technology has improved, </w:t>
      </w:r>
      <w:r w:rsidRPr="00F33A49" w:rsidR="00EE3CA8">
        <w:rPr>
          <w:b/>
          <w:bCs/>
        </w:rPr>
        <w:t>high</w:t>
      </w:r>
      <w:r w:rsidR="00EE3CA8">
        <w:rPr>
          <w:b/>
          <w:bCs/>
        </w:rPr>
        <w:t>-</w:t>
      </w:r>
      <w:r w:rsidRPr="00F33A49">
        <w:rPr>
          <w:b/>
          <w:bCs/>
        </w:rPr>
        <w:t xml:space="preserve">efficiency heat pump measures were added. </w:t>
      </w:r>
      <w:r w:rsidRPr="00F33A49" w:rsidR="00C2576C">
        <w:t>New measures for high-efficiency heat pumps (SEER 19, 20, and 21) were created using DEER2020 building prototypes and MASControl3.</w:t>
      </w:r>
      <w:r w:rsidRPr="00F33A49" w:rsidR="00B97596">
        <w:t xml:space="preserve"> </w:t>
      </w:r>
    </w:p>
    <w:p w:rsidRPr="001B4236" w:rsidR="00EF6CE0" w:rsidP="008E2F07" w:rsidRDefault="000B317B" w14:paraId="41071155" w14:textId="77777777">
      <w:pPr>
        <w:pStyle w:val="Heading1"/>
      </w:pPr>
      <w:bookmarkStart w:name="_Toc518983879" w:id="15"/>
      <w:bookmarkStart w:name="_Toc519764447" w:id="16"/>
      <w:r w:rsidRPr="001B4236">
        <w:t>COMMENTS</w:t>
      </w:r>
      <w:bookmarkEnd w:id="15"/>
      <w:bookmarkEnd w:id="16"/>
    </w:p>
    <w:p w:rsidRPr="00F33A49" w:rsidR="00AA15E5" w:rsidP="008E2F07" w:rsidRDefault="00AA15E5" w14:paraId="44AF8ACF" w14:textId="048E170D">
      <w:r w:rsidRPr="00F33A49">
        <w:t>Public Utilities Code section 311(g)(1) provides that this resolution must be served on all parties and subject to at least 30 days public review.</w:t>
      </w:r>
      <w:r w:rsidR="00EC5F6A">
        <w:t xml:space="preserve"> </w:t>
      </w:r>
      <w:r w:rsidRPr="00F33A49">
        <w:t xml:space="preserve">Please note that comments are due 20 days from the mailing date of this resolution. Section 311(g)(2) provides that this 30-day review period and 20-day comment period may be reduced or waived upon the stipulation of all parties in the proceeding. </w:t>
      </w:r>
    </w:p>
    <w:p w:rsidRPr="00F33A49" w:rsidR="00AA15E5" w:rsidP="008E2F07" w:rsidRDefault="00AA15E5" w14:paraId="0B2DAD12" w14:textId="57156CC6">
      <w:r w:rsidRPr="00F33A49">
        <w:t>The 30-day review and 20-day comment period for the draft of this resolution was neither waived nor reduced.</w:t>
      </w:r>
      <w:r w:rsidR="00EC5F6A">
        <w:t xml:space="preserve"> </w:t>
      </w:r>
      <w:r w:rsidRPr="00F33A49">
        <w:t xml:space="preserve">Accordingly, this draft resolution was mailed to parties for comments, and will be placed on </w:t>
      </w:r>
      <w:r w:rsidR="003B76D0">
        <w:t>our</w:t>
      </w:r>
      <w:r w:rsidRPr="00F33A49">
        <w:t xml:space="preserve"> agenda no earlier than 30 days from today.</w:t>
      </w:r>
    </w:p>
    <w:p w:rsidRPr="001B4236" w:rsidR="00EF6CE0" w:rsidP="008E2F07" w:rsidRDefault="000B317B" w14:paraId="24BB6DC3" w14:textId="4CCFA070">
      <w:pPr>
        <w:pStyle w:val="Heading1"/>
      </w:pPr>
      <w:r w:rsidRPr="001B4236">
        <w:t>FINDINGS</w:t>
      </w:r>
    </w:p>
    <w:p w:rsidRPr="00F33A49" w:rsidR="00EF6CE0" w:rsidP="008E2F07" w:rsidRDefault="00EF6CE0" w14:paraId="456E85D7" w14:textId="4826A1FD">
      <w:pPr>
        <w:pStyle w:val="ListParagraph"/>
        <w:numPr>
          <w:ilvl w:val="0"/>
          <w:numId w:val="3"/>
        </w:numPr>
      </w:pPr>
      <w:r w:rsidRPr="00F33A49">
        <w:t xml:space="preserve">Decision D.15-10-028 requires that </w:t>
      </w:r>
      <w:r w:rsidRPr="00F33A49" w:rsidR="00F87B61">
        <w:t xml:space="preserve">CPUC </w:t>
      </w:r>
      <w:r w:rsidR="00813B21">
        <w:t>s</w:t>
      </w:r>
      <w:r w:rsidRPr="00F33A49">
        <w:t xml:space="preserve">taff propose changes to the Database of Energy Efficient Resources once annually via </w:t>
      </w:r>
      <w:r w:rsidRPr="00F33A49" w:rsidR="0083651E">
        <w:t>Resolution</w:t>
      </w:r>
      <w:r w:rsidRPr="00F33A49">
        <w:t>, with the associated comment/protest period p</w:t>
      </w:r>
      <w:r w:rsidRPr="00F33A49" w:rsidR="002236E6">
        <w:t>rovided by General Order 96-B.</w:t>
      </w:r>
    </w:p>
    <w:p w:rsidRPr="00F33A49" w:rsidR="00EF6CE0" w:rsidP="008E2F07" w:rsidRDefault="00EF6CE0" w14:paraId="3C116531" w14:textId="77777777">
      <w:pPr>
        <w:pStyle w:val="ListParagraph"/>
        <w:numPr>
          <w:ilvl w:val="0"/>
          <w:numId w:val="3"/>
        </w:numPr>
      </w:pPr>
      <w:r w:rsidRPr="00F33A49">
        <w:t>Decision D.15-10-028 retains the direction from D.12-05-015 that DEER values be updated to be consistent with existing and updated state and federal codes and standards.</w:t>
      </w:r>
    </w:p>
    <w:p w:rsidRPr="00F33A49" w:rsidR="00EF6CE0" w:rsidP="008E2F07" w:rsidRDefault="005504FB" w14:paraId="0263EBB6" w14:textId="5181231E">
      <w:pPr>
        <w:pStyle w:val="ListParagraph"/>
        <w:numPr>
          <w:ilvl w:val="0"/>
          <w:numId w:val="3"/>
        </w:numPr>
      </w:pPr>
      <w:r w:rsidRPr="00F33A49">
        <w:lastRenderedPageBreak/>
        <w:t>Decision D.15-10-028 also states that</w:t>
      </w:r>
      <w:r w:rsidRPr="00F33A49" w:rsidR="00BF7136">
        <w:t xml:space="preserve"> </w:t>
      </w:r>
      <w:r w:rsidRPr="00F33A49" w:rsidR="00F87B61">
        <w:t xml:space="preserve">CPUC </w:t>
      </w:r>
      <w:r w:rsidR="00813B21">
        <w:t>s</w:t>
      </w:r>
      <w:r w:rsidRPr="00F33A49" w:rsidR="00F87B61">
        <w:t>taff</w:t>
      </w:r>
      <w:r w:rsidRPr="00F33A49">
        <w:t xml:space="preserve"> may make changes at any time without a Resolution to fix errors or to change documentation.</w:t>
      </w:r>
    </w:p>
    <w:p w:rsidR="009D4206" w:rsidP="008E2F07" w:rsidRDefault="00EF6CE0" w14:paraId="4E564F9A" w14:textId="094E4D1E">
      <w:pPr>
        <w:pStyle w:val="ListParagraph"/>
        <w:numPr>
          <w:ilvl w:val="0"/>
          <w:numId w:val="3"/>
        </w:numPr>
      </w:pPr>
      <w:r w:rsidRPr="00F33A49">
        <w:t xml:space="preserve">The </w:t>
      </w:r>
      <w:r w:rsidRPr="00F33A49" w:rsidR="005504FB">
        <w:t xml:space="preserve">proposed </w:t>
      </w:r>
      <w:r w:rsidRPr="00F33A49">
        <w:t xml:space="preserve">updates </w:t>
      </w:r>
      <w:r w:rsidRPr="00F33A49" w:rsidR="00E609AF">
        <w:t xml:space="preserve">to the DEER values </w:t>
      </w:r>
      <w:r w:rsidRPr="00F33A49">
        <w:t xml:space="preserve">are a result of </w:t>
      </w:r>
      <w:r w:rsidRPr="00F33A49" w:rsidR="00016016">
        <w:t xml:space="preserve">a) </w:t>
      </w:r>
      <w:r w:rsidR="006A181B">
        <w:t>u</w:t>
      </w:r>
      <w:r w:rsidRPr="00F33A49" w:rsidR="006A181B">
        <w:t xml:space="preserve">pdates </w:t>
      </w:r>
      <w:r w:rsidRPr="00F33A49" w:rsidR="00016016">
        <w:t xml:space="preserve">to </w:t>
      </w:r>
      <w:r w:rsidR="006A181B">
        <w:t>u</w:t>
      </w:r>
      <w:r w:rsidRPr="00F33A49" w:rsidR="006A181B">
        <w:t xml:space="preserve">nderlying </w:t>
      </w:r>
      <w:r w:rsidR="006A181B">
        <w:t>m</w:t>
      </w:r>
      <w:r w:rsidRPr="00F33A49" w:rsidR="006A181B">
        <w:t xml:space="preserve">ethodology </w:t>
      </w:r>
      <w:r w:rsidRPr="00F33A49" w:rsidR="00016016">
        <w:t xml:space="preserve">or </w:t>
      </w:r>
      <w:r w:rsidR="006A181B">
        <w:t>c</w:t>
      </w:r>
      <w:r w:rsidRPr="00F33A49" w:rsidR="006A181B">
        <w:t xml:space="preserve">orrection </w:t>
      </w:r>
      <w:r w:rsidRPr="00F33A49" w:rsidR="00016016">
        <w:t xml:space="preserve">of </w:t>
      </w:r>
      <w:r w:rsidR="006A181B">
        <w:t>e</w:t>
      </w:r>
      <w:r w:rsidRPr="00F33A49" w:rsidR="006A181B">
        <w:t>rrors</w:t>
      </w:r>
      <w:r w:rsidRPr="00F33A49" w:rsidR="00016016">
        <w:t>, b</w:t>
      </w:r>
      <w:r w:rsidRPr="00F33A49">
        <w:t xml:space="preserve">) </w:t>
      </w:r>
      <w:r w:rsidR="006A181B">
        <w:t>u</w:t>
      </w:r>
      <w:r w:rsidRPr="00F33A49" w:rsidR="006A181B">
        <w:t xml:space="preserve">pdates </w:t>
      </w:r>
      <w:r w:rsidRPr="00F33A49" w:rsidR="005133CC">
        <w:t>for corrections</w:t>
      </w:r>
      <w:r w:rsidRPr="00F33A49" w:rsidR="00613551">
        <w:t xml:space="preserve"> and cla</w:t>
      </w:r>
      <w:r w:rsidRPr="00F33A49" w:rsidR="00016016">
        <w:t xml:space="preserve">rifications, c) </w:t>
      </w:r>
      <w:r w:rsidR="006A181B">
        <w:t>u</w:t>
      </w:r>
      <w:r w:rsidRPr="00F33A49" w:rsidR="006A181B">
        <w:t xml:space="preserve">pdates </w:t>
      </w:r>
      <w:r w:rsidR="006A181B">
        <w:t>b</w:t>
      </w:r>
      <w:r w:rsidRPr="00F33A49" w:rsidR="006A181B">
        <w:t xml:space="preserve">ased </w:t>
      </w:r>
      <w:r w:rsidRPr="00F33A49" w:rsidR="00016016">
        <w:t xml:space="preserve">on </w:t>
      </w:r>
      <w:r w:rsidR="006A181B">
        <w:t>e</w:t>
      </w:r>
      <w:r w:rsidRPr="00F33A49" w:rsidR="006A181B">
        <w:t xml:space="preserve">valuation </w:t>
      </w:r>
      <w:r w:rsidR="006A181B">
        <w:t>s</w:t>
      </w:r>
      <w:r w:rsidRPr="00F33A49" w:rsidR="006A181B">
        <w:t xml:space="preserve">tudy </w:t>
      </w:r>
      <w:r w:rsidR="006A181B">
        <w:t>r</w:t>
      </w:r>
      <w:r w:rsidRPr="00F33A49" w:rsidR="006A181B">
        <w:t>esults</w:t>
      </w:r>
      <w:r w:rsidRPr="00F33A49">
        <w:t xml:space="preserve">, </w:t>
      </w:r>
      <w:r w:rsidRPr="00F33A49" w:rsidR="00016016">
        <w:t>d</w:t>
      </w:r>
      <w:r w:rsidRPr="00F33A49">
        <w:t xml:space="preserve">) </w:t>
      </w:r>
      <w:r w:rsidR="006A181B">
        <w:t>n</w:t>
      </w:r>
      <w:r w:rsidRPr="00F33A49" w:rsidR="006A181B">
        <w:t xml:space="preserve">ew </w:t>
      </w:r>
      <w:r w:rsidR="006A181B">
        <w:t>c</w:t>
      </w:r>
      <w:r w:rsidRPr="00F33A49" w:rsidR="006A181B">
        <w:t xml:space="preserve">ode </w:t>
      </w:r>
      <w:r w:rsidR="006A181B">
        <w:t>u</w:t>
      </w:r>
      <w:r w:rsidRPr="00F33A49" w:rsidR="006A181B">
        <w:t>pdates</w:t>
      </w:r>
      <w:r w:rsidRPr="00F33A49" w:rsidR="00613551">
        <w:t xml:space="preserve">, e) </w:t>
      </w:r>
      <w:r w:rsidR="006A181B">
        <w:t>r</w:t>
      </w:r>
      <w:r w:rsidRPr="00F33A49" w:rsidR="006A181B">
        <w:t xml:space="preserve">eview </w:t>
      </w:r>
      <w:r w:rsidRPr="00F33A49" w:rsidR="00613551">
        <w:t xml:space="preserve">of </w:t>
      </w:r>
      <w:r w:rsidR="006A181B">
        <w:t>m</w:t>
      </w:r>
      <w:r w:rsidRPr="00F33A49" w:rsidR="006A181B">
        <w:t xml:space="preserve">arket </w:t>
      </w:r>
      <w:r w:rsidRPr="00F33A49" w:rsidR="00613551">
        <w:t xml:space="preserve">and </w:t>
      </w:r>
      <w:r w:rsidR="006A181B">
        <w:t>r</w:t>
      </w:r>
      <w:r w:rsidRPr="00F33A49" w:rsidR="006A181B">
        <w:t xml:space="preserve">esearch </w:t>
      </w:r>
      <w:r w:rsidR="006A181B">
        <w:t>s</w:t>
      </w:r>
      <w:r w:rsidRPr="00F33A49" w:rsidR="006A181B">
        <w:t>tudies</w:t>
      </w:r>
      <w:r w:rsidRPr="00F33A49" w:rsidR="009D4206">
        <w:t>,</w:t>
      </w:r>
      <w:r w:rsidRPr="00F33A49" w:rsidR="00353F5D">
        <w:t xml:space="preserve"> f</w:t>
      </w:r>
      <w:r w:rsidRPr="00F33A49">
        <w:t xml:space="preserve">) </w:t>
      </w:r>
      <w:r w:rsidR="006A181B">
        <w:t>a</w:t>
      </w:r>
      <w:r w:rsidRPr="00F33A49" w:rsidR="006A181B">
        <w:t xml:space="preserve">ddition </w:t>
      </w:r>
      <w:r w:rsidRPr="00F33A49" w:rsidR="009D4206">
        <w:t xml:space="preserve">of </w:t>
      </w:r>
      <w:r w:rsidR="006A181B">
        <w:t>n</w:t>
      </w:r>
      <w:r w:rsidRPr="00F33A49" w:rsidR="006A181B">
        <w:t xml:space="preserve">ew </w:t>
      </w:r>
      <w:r w:rsidR="006A181B">
        <w:t>m</w:t>
      </w:r>
      <w:r w:rsidRPr="00F33A49" w:rsidR="006A181B">
        <w:t>easures</w:t>
      </w:r>
      <w:r w:rsidRPr="00F33A49" w:rsidR="00774635">
        <w:t xml:space="preserve">, and g) </w:t>
      </w:r>
      <w:r w:rsidR="006A181B">
        <w:t>t</w:t>
      </w:r>
      <w:r w:rsidRPr="00F33A49" w:rsidR="006A181B">
        <w:t xml:space="preserve">ransition </w:t>
      </w:r>
      <w:r w:rsidRPr="00F33A49" w:rsidR="00774635">
        <w:t>to the eTRM</w:t>
      </w:r>
      <w:r w:rsidRPr="00F33A49" w:rsidR="00156B07">
        <w:t>.</w:t>
      </w:r>
    </w:p>
    <w:p w:rsidRPr="00DC0427" w:rsidR="013F9ADF" w:rsidP="00FA4413" w:rsidRDefault="00B003D5" w14:paraId="013F9ADF" w14:textId="5F5AD4EA">
      <w:pPr>
        <w:pStyle w:val="ListParagraph"/>
        <w:numPr>
          <w:ilvl w:val="0"/>
          <w:numId w:val="3"/>
        </w:numPr>
      </w:pPr>
      <w:r w:rsidRPr="00DC0427">
        <w:t>Decision D.</w:t>
      </w:r>
      <w:r w:rsidRPr="00DC0427" w:rsidR="00DC0427">
        <w:t>05-01-055</w:t>
      </w:r>
      <w:r w:rsidRPr="00DC0427">
        <w:t xml:space="preserve"> establishes the Energy Division</w:t>
      </w:r>
      <w:r w:rsidRPr="00DC0427" w:rsidR="003E565D">
        <w:t xml:space="preserve"> staff </w:t>
      </w:r>
      <w:r w:rsidRPr="00DC0427">
        <w:t xml:space="preserve">authority to review and approve workpapers, including authority to designate a set of values as the </w:t>
      </w:r>
      <w:r w:rsidRPr="00DC0427" w:rsidR="00A61E81">
        <w:t xml:space="preserve">deemed </w:t>
      </w:r>
      <w:r w:rsidRPr="00DC0427">
        <w:t>data source of record.</w:t>
      </w:r>
    </w:p>
    <w:p w:rsidR="0C62D6CD" w:rsidP="0C62D6CD" w:rsidRDefault="0C62D6CD" w14:paraId="0C62D6CD" w14:textId="006C89A0">
      <w:pPr>
        <w:pStyle w:val="ListParagraph"/>
        <w:numPr>
          <w:ilvl w:val="0"/>
          <w:numId w:val="3"/>
        </w:numPr>
      </w:pPr>
      <w:r>
        <w:t xml:space="preserve">The CPUC owns all data submitted for deemed </w:t>
      </w:r>
      <w:r w:rsidR="00A61E81">
        <w:t>EE measure</w:t>
      </w:r>
      <w:r>
        <w:t xml:space="preserve"> review and approval.</w:t>
      </w:r>
    </w:p>
    <w:p w:rsidR="0C62D6CD" w:rsidP="0C62D6CD" w:rsidRDefault="0C62D6CD" w14:paraId="0858CB74" w14:textId="3AA70866">
      <w:pPr>
        <w:pStyle w:val="ListParagraph"/>
        <w:numPr>
          <w:ilvl w:val="0"/>
          <w:numId w:val="3"/>
        </w:numPr>
      </w:pPr>
      <w:r>
        <w:t xml:space="preserve">The Energy Division maintains a suite of data resources that make up the "data source of record" of approved </w:t>
      </w:r>
      <w:r w:rsidR="00A61E81">
        <w:t>deemed</w:t>
      </w:r>
      <w:r>
        <w:t xml:space="preserve"> values. The data </w:t>
      </w:r>
      <w:r w:rsidR="00332CE3">
        <w:t>used for Energy Division ex ante review</w:t>
      </w:r>
      <w:r>
        <w:t xml:space="preserve"> are available in a data dictionary known as the Deemed Data Standard.</w:t>
      </w:r>
    </w:p>
    <w:p w:rsidRPr="00B003D5" w:rsidR="00B003D5" w:rsidP="008E2F07" w:rsidRDefault="0C62D6CD" w14:paraId="2B9B0C1F" w14:textId="538B42FB">
      <w:pPr>
        <w:pStyle w:val="ListParagraph"/>
        <w:numPr>
          <w:ilvl w:val="0"/>
          <w:numId w:val="3"/>
        </w:numPr>
      </w:pPr>
      <w:r w:rsidRPr="00B003D5">
        <w:t>The</w:t>
      </w:r>
      <w:r w:rsidRPr="00B003D5" w:rsidR="00B003D5">
        <w:t xml:space="preserve"> </w:t>
      </w:r>
      <w:r w:rsidRPr="00B003D5">
        <w:t>deemed data resources currently in use</w:t>
      </w:r>
      <w:r w:rsidR="002934B2">
        <w:t xml:space="preserve"> </w:t>
      </w:r>
      <w:r w:rsidR="00CB24EF">
        <w:t xml:space="preserve">on Deeresources.com/.info/.net </w:t>
      </w:r>
      <w:r w:rsidR="00002E3A">
        <w:t>can</w:t>
      </w:r>
      <w:r w:rsidRPr="00B003D5" w:rsidR="00002E3A">
        <w:t xml:space="preserve"> </w:t>
      </w:r>
      <w:r w:rsidRPr="00B003D5" w:rsidR="00B003D5">
        <w:t xml:space="preserve">no longer </w:t>
      </w:r>
      <w:r w:rsidR="00002E3A">
        <w:t>be supported by the Commission’s IT</w:t>
      </w:r>
      <w:r w:rsidR="001B2FAE">
        <w:t xml:space="preserve"> department</w:t>
      </w:r>
      <w:r w:rsidRPr="00B003D5" w:rsidR="00002E3A">
        <w:t xml:space="preserve"> </w:t>
      </w:r>
      <w:r w:rsidRPr="00B003D5" w:rsidR="00B003D5">
        <w:t xml:space="preserve">and require modernization. </w:t>
      </w:r>
    </w:p>
    <w:p w:rsidRPr="00B003D5" w:rsidR="00B003D5" w:rsidP="008E2F07" w:rsidRDefault="00B003D5" w14:paraId="762CD15B" w14:textId="7EAA5568">
      <w:pPr>
        <w:pStyle w:val="ListParagraph"/>
        <w:numPr>
          <w:ilvl w:val="0"/>
          <w:numId w:val="3"/>
        </w:numPr>
      </w:pPr>
      <w:r w:rsidRPr="00B003D5">
        <w:t xml:space="preserve">The eTRM is a </w:t>
      </w:r>
      <w:r w:rsidRPr="00B003D5" w:rsidR="0C62D6CD">
        <w:t xml:space="preserve">modern, </w:t>
      </w:r>
      <w:r w:rsidRPr="00B003D5">
        <w:t>proprietary data s</w:t>
      </w:r>
      <w:r w:rsidRPr="00B003D5" w:rsidR="0C62D6CD">
        <w:t xml:space="preserve">oftware platform funded and </w:t>
      </w:r>
      <w:r w:rsidRPr="00B003D5">
        <w:t>built under competitive contract by the IOU</w:t>
      </w:r>
      <w:r w:rsidRPr="00B003D5" w:rsidR="0C62D6CD">
        <w:t>s</w:t>
      </w:r>
      <w:r w:rsidRPr="00B003D5">
        <w:t>, LADWP</w:t>
      </w:r>
      <w:r w:rsidR="006A181B">
        <w:t>,</w:t>
      </w:r>
      <w:r w:rsidRPr="00B003D5">
        <w:t xml:space="preserve"> and SMUD to facilitate </w:t>
      </w:r>
      <w:r w:rsidR="00A61E81">
        <w:t>deemed EE measure</w:t>
      </w:r>
      <w:r w:rsidRPr="00B003D5">
        <w:t xml:space="preserve"> review. </w:t>
      </w:r>
    </w:p>
    <w:p w:rsidR="00B003D5" w:rsidP="008E2F07" w:rsidRDefault="00F4112A" w14:paraId="17EC88BC" w14:textId="26CF2B7E">
      <w:pPr>
        <w:pStyle w:val="ListParagraph"/>
        <w:numPr>
          <w:ilvl w:val="0"/>
          <w:numId w:val="3"/>
        </w:numPr>
      </w:pPr>
      <w:r>
        <w:t xml:space="preserve">The eTRM will be under development </w:t>
      </w:r>
      <w:r w:rsidR="00CB1213">
        <w:t>from</w:t>
      </w:r>
      <w:r>
        <w:t xml:space="preserve"> July</w:t>
      </w:r>
      <w:r w:rsidR="00CB1213">
        <w:t xml:space="preserve"> 2020</w:t>
      </w:r>
      <w:r>
        <w:t xml:space="preserve"> to ensure that it meets the Energy Division Deemed Data Standard by </w:t>
      </w:r>
      <w:r w:rsidRPr="00F4112A">
        <w:t>January 1, 2021</w:t>
      </w:r>
      <w:r w:rsidRPr="00F4112A" w:rsidR="0C62D6CD">
        <w:t>.</w:t>
      </w:r>
    </w:p>
    <w:p w:rsidRPr="00140AFB" w:rsidR="00EF6CE0" w:rsidP="008E2F07" w:rsidRDefault="00045799" w14:paraId="5136C783" w14:textId="4E4F009A">
      <w:pPr>
        <w:pStyle w:val="Heading1"/>
        <w:rPr>
          <w:rFonts w:ascii="Palatino Linotype" w:hAnsi="Palatino Linotype"/>
        </w:rPr>
      </w:pPr>
      <w:bookmarkStart w:name="_Toc518983881" w:id="17"/>
      <w:bookmarkStart w:name="_Toc519764457" w:id="18"/>
      <w:r w:rsidRPr="00140AFB">
        <w:rPr>
          <w:rFonts w:ascii="Palatino Linotype" w:hAnsi="Palatino Linotype"/>
        </w:rPr>
        <w:t>THEREFORE,</w:t>
      </w:r>
      <w:r w:rsidRPr="00140AFB" w:rsidR="000B317B">
        <w:rPr>
          <w:rFonts w:ascii="Palatino Linotype" w:hAnsi="Palatino Linotype"/>
        </w:rPr>
        <w:t xml:space="preserve"> IT IS ORDERED THAT:</w:t>
      </w:r>
      <w:bookmarkEnd w:id="17"/>
      <w:bookmarkEnd w:id="18"/>
    </w:p>
    <w:p w:rsidRPr="00F33A49" w:rsidR="00EF6CE0" w:rsidP="008E2F07" w:rsidRDefault="00EF6CE0" w14:paraId="77414E4F" w14:textId="1BF13EC8">
      <w:pPr>
        <w:pStyle w:val="ListParagraph"/>
        <w:numPr>
          <w:ilvl w:val="0"/>
          <w:numId w:val="2"/>
        </w:numPr>
      </w:pPr>
      <w:r w:rsidRPr="00F33A49">
        <w:t>The DEER20</w:t>
      </w:r>
      <w:r w:rsidRPr="00F33A49" w:rsidR="00D278D6">
        <w:t>2</w:t>
      </w:r>
      <w:r w:rsidRPr="00F33A49" w:rsidR="00470D7A">
        <w:t>2</w:t>
      </w:r>
      <w:r w:rsidRPr="00F33A49">
        <w:t xml:space="preserve"> and </w:t>
      </w:r>
      <w:r w:rsidRPr="00F33A49" w:rsidR="009D4206">
        <w:t xml:space="preserve">Revised </w:t>
      </w:r>
      <w:r w:rsidRPr="00F33A49">
        <w:t>DEER20</w:t>
      </w:r>
      <w:r w:rsidRPr="00F33A49" w:rsidR="00016016">
        <w:t>2</w:t>
      </w:r>
      <w:r w:rsidRPr="00F33A49" w:rsidR="00470D7A">
        <w:t>1</w:t>
      </w:r>
      <w:r w:rsidRPr="00F33A49" w:rsidR="00774635">
        <w:t xml:space="preserve"> and DEER2020</w:t>
      </w:r>
      <w:r w:rsidRPr="00F33A49" w:rsidR="009D4206">
        <w:t xml:space="preserve"> </w:t>
      </w:r>
      <w:r w:rsidRPr="00F33A49">
        <w:t>Updates, listed in</w:t>
      </w:r>
      <w:r w:rsidRPr="00F33A49" w:rsidR="0075320D">
        <w:t xml:space="preserve"> </w:t>
      </w:r>
      <w:r w:rsidR="006A681F">
        <w:fldChar w:fldCharType="begin"/>
      </w:r>
      <w:r w:rsidR="006A681F">
        <w:instrText xml:space="preserve"> REF _Ref11940666 \h </w:instrText>
      </w:r>
      <w:r w:rsidR="006A681F">
        <w:fldChar w:fldCharType="separate"/>
      </w:r>
      <w:r w:rsidRPr="00084A8E" w:rsidR="006A681F">
        <w:t>Table 1</w:t>
      </w:r>
      <w:r w:rsidR="006A681F">
        <w:fldChar w:fldCharType="end"/>
      </w:r>
      <w:r w:rsidRPr="00F33A49">
        <w:t xml:space="preserve">, </w:t>
      </w:r>
      <w:r w:rsidRPr="00F33A49" w:rsidR="003022DE">
        <w:t xml:space="preserve">as </w:t>
      </w:r>
      <w:r w:rsidRPr="00F33A49">
        <w:t xml:space="preserve">described in </w:t>
      </w:r>
      <w:r w:rsidRPr="00F33A49" w:rsidR="009E46CD">
        <w:fldChar w:fldCharType="begin"/>
      </w:r>
      <w:r w:rsidRPr="00F33A49" w:rsidR="009E46CD">
        <w:instrText xml:space="preserve"> Ref </w:instrText>
      </w:r>
      <w:r w:rsidRPr="00F33A49">
        <w:instrText>Attachment</w:instrText>
      </w:r>
      <w:r w:rsidRPr="00F33A49" w:rsidR="005A12BE">
        <w:instrText xml:space="preserve"> </w:instrText>
      </w:r>
      <w:r w:rsidRPr="00F33A49" w:rsidR="009E46CD">
        <w:instrText xml:space="preserve">\r \h \# "'Attachment'" </w:instrText>
      </w:r>
      <w:r w:rsidRPr="00F33A49" w:rsidR="00016016">
        <w:instrText xml:space="preserve"> \* MERGEFORMAT </w:instrText>
      </w:r>
      <w:r w:rsidRPr="00F33A49" w:rsidR="009E46CD">
        <w:fldChar w:fldCharType="separate"/>
      </w:r>
      <w:r w:rsidRPr="00F33A49" w:rsidR="001F485B">
        <w:t>Attachment</w:t>
      </w:r>
      <w:r w:rsidRPr="00F33A49" w:rsidR="009E46CD">
        <w:fldChar w:fldCharType="end"/>
      </w:r>
      <w:r w:rsidRPr="00F33A49" w:rsidR="009E46CD">
        <w:t xml:space="preserve"> </w:t>
      </w:r>
      <w:r w:rsidR="001710EA">
        <w:t xml:space="preserve">A </w:t>
      </w:r>
      <w:r w:rsidRPr="00F33A49" w:rsidR="005A12BE">
        <w:t>and supporting documentation</w:t>
      </w:r>
      <w:r w:rsidRPr="00F33A49">
        <w:t xml:space="preserve"> available on </w:t>
      </w:r>
      <w:r w:rsidRPr="00F33A49" w:rsidR="00DE7697">
        <w:t xml:space="preserve">the </w:t>
      </w:r>
      <w:r w:rsidRPr="008E2F07" w:rsidR="00470D7A">
        <w:rPr>
          <w:i/>
          <w:iCs/>
        </w:rPr>
        <w:t>deer</w:t>
      </w:r>
      <w:r w:rsidRPr="008E2F07" w:rsidR="00DE7697">
        <w:rPr>
          <w:i/>
          <w:iCs/>
        </w:rPr>
        <w:t>esources.com</w:t>
      </w:r>
      <w:r w:rsidRPr="00F33A49" w:rsidR="00DE7697">
        <w:t xml:space="preserve"> website</w:t>
      </w:r>
      <w:r w:rsidRPr="00F33A49">
        <w:t>, are approved</w:t>
      </w:r>
      <w:r w:rsidRPr="00F33A49" w:rsidR="00DE7697">
        <w:t xml:space="preserve"> with effective dates as listed</w:t>
      </w:r>
      <w:r w:rsidRPr="00F33A49">
        <w:t>.</w:t>
      </w:r>
    </w:p>
    <w:p w:rsidR="00C463B9" w:rsidP="008E2F07" w:rsidRDefault="00EF6CE0" w14:paraId="4D66E3D3" w14:textId="4CFD128E">
      <w:pPr>
        <w:pStyle w:val="ListParagraph"/>
        <w:numPr>
          <w:ilvl w:val="0"/>
          <w:numId w:val="2"/>
        </w:numPr>
      </w:pPr>
      <w:r w:rsidRPr="00F33A49">
        <w:t xml:space="preserve">Pacific Gas and Electric Company (PG&amp;E), Southern California Electric Company (SCE), Southern California Gas Company (SoCalGas), and San Diego Gas &amp; Electric (SDG&amp;E), the </w:t>
      </w:r>
      <w:r w:rsidRPr="00F33A49" w:rsidR="00F5217B">
        <w:t>San Francisco Bay Area Regional Energy Network (BayREN), Southern California Regional Energy Network (</w:t>
      </w:r>
      <w:proofErr w:type="spellStart"/>
      <w:r w:rsidRPr="00F33A49" w:rsidR="00F5217B">
        <w:t>SoCalREN</w:t>
      </w:r>
      <w:proofErr w:type="spellEnd"/>
      <w:r w:rsidRPr="00F33A49" w:rsidR="00F5217B">
        <w:t>)</w:t>
      </w:r>
      <w:r w:rsidRPr="00F33A49" w:rsidR="00197F0B">
        <w:t>,</w:t>
      </w:r>
      <w:r w:rsidRPr="00F33A49" w:rsidR="00F5217B">
        <w:t xml:space="preserve"> Tri-County Regional Energy Network (3CREN)</w:t>
      </w:r>
      <w:r w:rsidRPr="00F33A49" w:rsidR="000D49DD">
        <w:t xml:space="preserve">, </w:t>
      </w:r>
      <w:r w:rsidRPr="00F33A49" w:rsidR="00F5217B">
        <w:t>Local Government Sustainable Energy Coalition (LGSEC),</w:t>
      </w:r>
      <w:r w:rsidRPr="00F33A49" w:rsidR="005504FB">
        <w:t xml:space="preserve"> Lancaster Choice Energy (LCE),</w:t>
      </w:r>
      <w:r w:rsidRPr="00F33A49" w:rsidR="00F5217B">
        <w:t xml:space="preserve"> </w:t>
      </w:r>
      <w:r w:rsidRPr="00F33A49">
        <w:t xml:space="preserve">and Marin Clean Energy (MCE) </w:t>
      </w:r>
      <w:r w:rsidRPr="00F33A49" w:rsidR="005504FB">
        <w:t>must use</w:t>
      </w:r>
      <w:r w:rsidRPr="00F33A49">
        <w:t xml:space="preserve"> the updated assumptions, methods and values for</w:t>
      </w:r>
      <w:r w:rsidR="00FE728D">
        <w:t xml:space="preserve"> 2020 and</w:t>
      </w:r>
      <w:r w:rsidRPr="00F33A49">
        <w:t xml:space="preserve"> </w:t>
      </w:r>
      <w:r w:rsidRPr="00F33A49" w:rsidR="000D49DD">
        <w:t>20</w:t>
      </w:r>
      <w:r w:rsidRPr="00F33A49" w:rsidR="00EC658E">
        <w:t>2</w:t>
      </w:r>
      <w:r w:rsidRPr="00F33A49" w:rsidR="00470D7A">
        <w:t>1</w:t>
      </w:r>
      <w:r w:rsidRPr="00F33A49">
        <w:t xml:space="preserve"> </w:t>
      </w:r>
      <w:r w:rsidRPr="00F33A49" w:rsidR="006D09BA">
        <w:t xml:space="preserve">planning and </w:t>
      </w:r>
      <w:r w:rsidRPr="00F33A49" w:rsidR="00156B07">
        <w:t>savings claims</w:t>
      </w:r>
      <w:r w:rsidRPr="00F33A49" w:rsidR="006D09BA">
        <w:t>,</w:t>
      </w:r>
      <w:r w:rsidRPr="00F33A49" w:rsidR="00156B07">
        <w:t xml:space="preserve"> </w:t>
      </w:r>
      <w:r w:rsidRPr="00F33A49">
        <w:t>and 20</w:t>
      </w:r>
      <w:r w:rsidRPr="00F33A49" w:rsidR="00D278D6">
        <w:t>2</w:t>
      </w:r>
      <w:r w:rsidRPr="00F33A49" w:rsidR="00470D7A">
        <w:t>2</w:t>
      </w:r>
      <w:r w:rsidRPr="00F33A49">
        <w:t xml:space="preserve"> planning, implementation and reporting.</w:t>
      </w:r>
    </w:p>
    <w:p w:rsidRPr="00B003D5" w:rsidR="00B003D5" w:rsidP="008E2F07" w:rsidRDefault="00B003D5" w14:paraId="1DA1F64E" w14:textId="340CE66E">
      <w:pPr>
        <w:pStyle w:val="ListParagraph"/>
        <w:numPr>
          <w:ilvl w:val="0"/>
          <w:numId w:val="2"/>
        </w:numPr>
      </w:pPr>
      <w:r w:rsidRPr="00B003D5">
        <w:lastRenderedPageBreak/>
        <w:t xml:space="preserve">The eTRM is adopted as the </w:t>
      </w:r>
      <w:r w:rsidR="005C2FA0">
        <w:t xml:space="preserve">conditional </w:t>
      </w:r>
      <w:r w:rsidRPr="00B003D5">
        <w:t xml:space="preserve">Energy Division </w:t>
      </w:r>
      <w:r w:rsidR="005C2FA0">
        <w:t xml:space="preserve">Deemed </w:t>
      </w:r>
      <w:r w:rsidRPr="00B003D5">
        <w:t>Data Source of Record effective January 1, 2021.</w:t>
      </w:r>
      <w:r w:rsidR="002934B2">
        <w:t xml:space="preserve"> </w:t>
      </w:r>
    </w:p>
    <w:p w:rsidRPr="00B003D5" w:rsidR="00B003D5" w:rsidP="008E2F07" w:rsidRDefault="00B003D5" w14:paraId="6972C721" w14:textId="1102520E">
      <w:pPr>
        <w:pStyle w:val="ListParagraph"/>
        <w:numPr>
          <w:ilvl w:val="0"/>
          <w:numId w:val="2"/>
        </w:numPr>
      </w:pPr>
      <w:r w:rsidRPr="00B003D5">
        <w:t>The Energy Division will transition from existing systems to the eTRM by December 31, 2021</w:t>
      </w:r>
      <w:r w:rsidR="002934B2">
        <w:t xml:space="preserve"> </w:t>
      </w:r>
      <w:r w:rsidRPr="00B003D5">
        <w:t xml:space="preserve">and ensure that necessary archival needs are met. </w:t>
      </w:r>
    </w:p>
    <w:p w:rsidRPr="00B003D5" w:rsidR="00B003D5" w:rsidP="008E2F07" w:rsidRDefault="00B003D5" w14:paraId="734E310D" w14:textId="11F74F5E">
      <w:pPr>
        <w:pStyle w:val="ListParagraph"/>
        <w:numPr>
          <w:ilvl w:val="0"/>
          <w:numId w:val="2"/>
        </w:numPr>
      </w:pPr>
      <w:r w:rsidRPr="00B003D5">
        <w:t>The</w:t>
      </w:r>
      <w:r w:rsidR="005C2FA0">
        <w:t xml:space="preserve"> DEER databases and</w:t>
      </w:r>
      <w:r w:rsidRPr="00B003D5">
        <w:t xml:space="preserve"> eTRM </w:t>
      </w:r>
      <w:r w:rsidRPr="00B003D5" w:rsidR="013F9ADF">
        <w:t xml:space="preserve">shall </w:t>
      </w:r>
      <w:r w:rsidRPr="00B003D5">
        <w:t xml:space="preserve">continue to be administered and maintained </w:t>
      </w:r>
      <w:r w:rsidRPr="00B003D5" w:rsidR="0C62D6CD">
        <w:t xml:space="preserve">by the IOU funders </w:t>
      </w:r>
      <w:r w:rsidR="00665B0C">
        <w:t xml:space="preserve">without changes to </w:t>
      </w:r>
      <w:r w:rsidR="00342DD9">
        <w:t xml:space="preserve">contract management </w:t>
      </w:r>
      <w:r w:rsidRPr="00B003D5">
        <w:t xml:space="preserve">until completion of both </w:t>
      </w:r>
      <w:r w:rsidR="00C85A2D">
        <w:t>Phase 1</w:t>
      </w:r>
      <w:r w:rsidRPr="00B003D5">
        <w:t xml:space="preserve"> and </w:t>
      </w:r>
      <w:r w:rsidR="00C85A2D">
        <w:t>Phase 2</w:t>
      </w:r>
      <w:r w:rsidRPr="00B003D5">
        <w:t xml:space="preserve"> activities</w:t>
      </w:r>
      <w:r w:rsidR="00342DD9">
        <w:t>, or December 31, 2021</w:t>
      </w:r>
      <w:r w:rsidRPr="00B003D5">
        <w:t>.</w:t>
      </w:r>
    </w:p>
    <w:p w:rsidRPr="00A22D05" w:rsidR="0C62D6CD" w:rsidP="0C62D6CD" w:rsidRDefault="00B003D5" w14:paraId="205CC082" w14:textId="3A77BDC0">
      <w:pPr>
        <w:pStyle w:val="ListParagraph"/>
        <w:numPr>
          <w:ilvl w:val="0"/>
          <w:numId w:val="2"/>
        </w:numPr>
      </w:pPr>
      <w:r w:rsidRPr="00B003D5">
        <w:t xml:space="preserve">The IOUs </w:t>
      </w:r>
      <w:r w:rsidRPr="00B003D5" w:rsidR="013F9ADF">
        <w:t xml:space="preserve">shall </w:t>
      </w:r>
      <w:r w:rsidRPr="00B003D5">
        <w:t xml:space="preserve">fund eTRM enhancement activities </w:t>
      </w:r>
      <w:r w:rsidRPr="00B003D5" w:rsidR="0C62D6CD">
        <w:t xml:space="preserve">identified in </w:t>
      </w:r>
      <w:r w:rsidRPr="002F66F0" w:rsidR="0C62D6CD">
        <w:t xml:space="preserve">Appendix </w:t>
      </w:r>
      <w:r w:rsidRPr="002F66F0" w:rsidR="002F66F0">
        <w:t>1</w:t>
      </w:r>
      <w:r w:rsidRPr="00B003D5" w:rsidR="0C62D6CD">
        <w:t xml:space="preserve"> </w:t>
      </w:r>
      <w:r w:rsidRPr="00B003D5">
        <w:t xml:space="preserve">from their </w:t>
      </w:r>
      <w:r w:rsidRPr="00B003D5" w:rsidR="0C62D6CD">
        <w:t xml:space="preserve">approved </w:t>
      </w:r>
      <w:r w:rsidRPr="00B003D5">
        <w:t>2020 budgets</w:t>
      </w:r>
      <w:r w:rsidRPr="00B003D5" w:rsidR="0C62D6CD">
        <w:t xml:space="preserve"> under their existing vendor contract. </w:t>
      </w:r>
      <w:r w:rsidRPr="0C62D6CD" w:rsidR="0C62D6CD">
        <w:rPr>
          <w:color w:val="000000" w:themeColor="text1"/>
        </w:rPr>
        <w:t xml:space="preserve">The enhancements will begin in July 2020 and </w:t>
      </w:r>
      <w:r w:rsidRPr="0C62D6CD" w:rsidR="013F9ADF">
        <w:rPr>
          <w:color w:val="000000" w:themeColor="text1"/>
        </w:rPr>
        <w:t xml:space="preserve">shall be </w:t>
      </w:r>
      <w:r w:rsidRPr="0C62D6CD" w:rsidR="0C62D6CD">
        <w:rPr>
          <w:color w:val="000000" w:themeColor="text1"/>
        </w:rPr>
        <w:t>complete</w:t>
      </w:r>
      <w:r w:rsidRPr="0C62D6CD" w:rsidR="013F9ADF">
        <w:rPr>
          <w:color w:val="000000" w:themeColor="text1"/>
        </w:rPr>
        <w:t>d</w:t>
      </w:r>
      <w:r w:rsidRPr="0C62D6CD" w:rsidR="0C62D6CD">
        <w:rPr>
          <w:color w:val="000000" w:themeColor="text1"/>
        </w:rPr>
        <w:t xml:space="preserve"> no later than June </w:t>
      </w:r>
      <w:r w:rsidRPr="0C62D6CD" w:rsidR="013F9ADF">
        <w:rPr>
          <w:color w:val="000000" w:themeColor="text1"/>
        </w:rPr>
        <w:t xml:space="preserve">30, </w:t>
      </w:r>
      <w:r w:rsidRPr="0C62D6CD" w:rsidR="0C62D6CD">
        <w:rPr>
          <w:color w:val="000000" w:themeColor="text1"/>
        </w:rPr>
        <w:t>2021</w:t>
      </w:r>
      <w:r w:rsidRPr="0C62D6CD" w:rsidR="013F9ADF">
        <w:rPr>
          <w:color w:val="000000" w:themeColor="text1"/>
        </w:rPr>
        <w:t xml:space="preserve"> to enable comprehensive user testing and acceptance of </w:t>
      </w:r>
      <w:r w:rsidRPr="0C62D6CD" w:rsidR="0C62D6CD">
        <w:rPr>
          <w:color w:val="000000" w:themeColor="text1"/>
        </w:rPr>
        <w:t>the enhancements before transitioning fully</w:t>
      </w:r>
      <w:r w:rsidRPr="0C62D6CD" w:rsidR="013F9ADF">
        <w:rPr>
          <w:color w:val="000000" w:themeColor="text1"/>
        </w:rPr>
        <w:t xml:space="preserve"> by</w:t>
      </w:r>
      <w:r w:rsidRPr="0C62D6CD" w:rsidR="0C62D6CD">
        <w:rPr>
          <w:color w:val="000000" w:themeColor="text1"/>
        </w:rPr>
        <w:t xml:space="preserve"> 12/31/2021.</w:t>
      </w:r>
    </w:p>
    <w:p w:rsidR="00A22D05" w:rsidP="0C62D6CD" w:rsidRDefault="00A22D05" w14:paraId="43741F56" w14:textId="7CCF5923">
      <w:pPr>
        <w:pStyle w:val="ListParagraph"/>
        <w:numPr>
          <w:ilvl w:val="0"/>
          <w:numId w:val="2"/>
        </w:numPr>
      </w:pPr>
      <w:r>
        <w:rPr>
          <w:color w:val="000000" w:themeColor="text1"/>
        </w:rPr>
        <w:t>The IOUs shall file a Tier 1 Adv</w:t>
      </w:r>
      <w:r w:rsidR="00A6231C">
        <w:rPr>
          <w:color w:val="000000" w:themeColor="text1"/>
        </w:rPr>
        <w:t xml:space="preserve">ice Letter no later than 30 days after the adoption of this Resolution outlining Phase 1 2020 activities </w:t>
      </w:r>
      <w:r w:rsidR="00AF4ED6">
        <w:rPr>
          <w:color w:val="000000" w:themeColor="text1"/>
        </w:rPr>
        <w:t>funding needs and funding sources.</w:t>
      </w:r>
    </w:p>
    <w:p w:rsidRPr="00B003D5" w:rsidR="00B003D5" w:rsidP="008E2F07" w:rsidRDefault="00B003D5" w14:paraId="756FC30E" w14:textId="48AD41CD">
      <w:pPr>
        <w:pStyle w:val="ListParagraph"/>
        <w:numPr>
          <w:ilvl w:val="0"/>
          <w:numId w:val="2"/>
        </w:numPr>
      </w:pPr>
      <w:r w:rsidRPr="00B003D5">
        <w:t xml:space="preserve">The IOUs </w:t>
      </w:r>
      <w:r w:rsidRPr="00B003D5" w:rsidR="013F9ADF">
        <w:t xml:space="preserve">shall </w:t>
      </w:r>
      <w:r w:rsidRPr="00B003D5">
        <w:t xml:space="preserve">fund </w:t>
      </w:r>
      <w:r w:rsidR="00C85A2D">
        <w:t>Phase 2</w:t>
      </w:r>
      <w:r w:rsidRPr="00B003D5">
        <w:t xml:space="preserve"> eTRM enhancements, administration and maintenance from their 2021 EM&amp;V budgets, to be submitted in their Annual Budget Advice Letter Filings.</w:t>
      </w:r>
    </w:p>
    <w:p w:rsidR="0C62D6CD" w:rsidP="0C62D6CD" w:rsidRDefault="0C62D6CD" w14:paraId="38CD3EDB" w14:textId="1190ED66">
      <w:pPr>
        <w:numPr>
          <w:ilvl w:val="0"/>
          <w:numId w:val="2"/>
        </w:numPr>
      </w:pPr>
      <w:r w:rsidRPr="0C62D6CD">
        <w:rPr>
          <w:color w:val="000000" w:themeColor="text1"/>
        </w:rPr>
        <w:t>The IOU funders will grant the CPUC an irrevocable, royalty-free license to use, copy and distribute the eTRM in perpetuity while they continue to contract for administration, maintenance and enhancements of the eTRM.</w:t>
      </w:r>
      <w:r w:rsidR="002934B2">
        <w:rPr>
          <w:color w:val="000000" w:themeColor="text1"/>
        </w:rPr>
        <w:t xml:space="preserve"> </w:t>
      </w:r>
    </w:p>
    <w:p w:rsidR="0C62D6CD" w:rsidP="0C62D6CD" w:rsidRDefault="0C62D6CD" w14:paraId="6D8B08BF" w14:textId="38C47096">
      <w:pPr>
        <w:numPr>
          <w:ilvl w:val="0"/>
          <w:numId w:val="2"/>
        </w:numPr>
      </w:pPr>
      <w:r w:rsidRPr="0C62D6CD">
        <w:rPr>
          <w:color w:val="000000" w:themeColor="text1"/>
        </w:rPr>
        <w:t>The IOUs will provide the Commission with a copy of the eTRM and all associated data, documentation and administrative manuals—and any future releases—within 30 days of the release.</w:t>
      </w:r>
      <w:r w:rsidR="002934B2">
        <w:rPr>
          <w:color w:val="000000" w:themeColor="text1"/>
        </w:rPr>
        <w:t xml:space="preserve"> </w:t>
      </w:r>
    </w:p>
    <w:p w:rsidRPr="00B003D5" w:rsidR="00B003D5" w:rsidP="008E2F07" w:rsidRDefault="00B003D5" w14:paraId="7A179487" w14:textId="63CDD4BB">
      <w:pPr>
        <w:pStyle w:val="ListParagraph"/>
        <w:numPr>
          <w:ilvl w:val="0"/>
          <w:numId w:val="2"/>
        </w:numPr>
      </w:pPr>
      <w:r w:rsidRPr="00B003D5">
        <w:t>The Commission reserves the right to exert ownership of the IOU funded portions of the eTRM with agreement from the IOU funders.</w:t>
      </w:r>
    </w:p>
    <w:p w:rsidRPr="00F33A49" w:rsidR="00A00966" w:rsidP="008E2F07" w:rsidRDefault="00A00966" w14:paraId="2D6550A3" w14:textId="77777777"/>
    <w:p w:rsidR="00934F77" w:rsidP="008E2F07" w:rsidRDefault="00934F77" w14:paraId="097EACD5" w14:textId="77777777">
      <w:r>
        <w:br/>
      </w:r>
    </w:p>
    <w:p w:rsidR="00934F77" w:rsidRDefault="00934F77" w14:paraId="66C99AEB" w14:textId="77777777">
      <w:pPr>
        <w:spacing w:after="200" w:line="276" w:lineRule="auto"/>
      </w:pPr>
      <w:r>
        <w:br w:type="page"/>
      </w:r>
    </w:p>
    <w:p w:rsidRPr="00F33A49" w:rsidR="00EF6CE0" w:rsidP="008E2F07" w:rsidRDefault="00EF6CE0" w14:paraId="22D33783" w14:textId="5BB9178E">
      <w:r w:rsidRPr="00F33A49">
        <w:lastRenderedPageBreak/>
        <w:t>This Resolution is effective today.</w:t>
      </w:r>
    </w:p>
    <w:p w:rsidRPr="00F33A49" w:rsidR="002A3E54" w:rsidP="008E2F07" w:rsidRDefault="002A3E54" w14:paraId="1C055C35" w14:textId="58E1A556"/>
    <w:p w:rsidRPr="00F33A49" w:rsidR="00EF6CE0" w:rsidP="008E2F07" w:rsidRDefault="00EF6CE0" w14:paraId="14AF18E6" w14:textId="467B0166">
      <w:r w:rsidRPr="00F33A49">
        <w:t xml:space="preserve">I certify that the foregoing </w:t>
      </w:r>
      <w:r w:rsidR="000D10EF">
        <w:t>r</w:t>
      </w:r>
      <w:r w:rsidRPr="00F33A49" w:rsidR="0083651E">
        <w:t xml:space="preserve">esolution </w:t>
      </w:r>
      <w:r w:rsidRPr="00F33A49">
        <w:t xml:space="preserve">was duly introduced, passed and adopted at a conference of the Public Utilities Commission of the State of California held on </w:t>
      </w:r>
      <w:r w:rsidRPr="00F33A49" w:rsidR="00784E1E">
        <w:t>August</w:t>
      </w:r>
      <w:r w:rsidR="000D10EF">
        <w:t> </w:t>
      </w:r>
      <w:r w:rsidRPr="00F33A49" w:rsidR="00470D7A">
        <w:t>27</w:t>
      </w:r>
      <w:r w:rsidRPr="00F33A49">
        <w:t xml:space="preserve">, </w:t>
      </w:r>
      <w:r w:rsidRPr="00F33A49" w:rsidR="0083651E">
        <w:t>20</w:t>
      </w:r>
      <w:r w:rsidRPr="00F33A49" w:rsidR="00351E67">
        <w:t>20</w:t>
      </w:r>
      <w:r w:rsidRPr="00F33A49">
        <w:t>; the following Commissioners voting favorably thereon:</w:t>
      </w:r>
    </w:p>
    <w:p w:rsidRPr="0059337D" w:rsidR="000C4028" w:rsidP="007472F2" w:rsidRDefault="007472F2" w14:paraId="4B066BBA" w14:textId="1C17E821">
      <w:pPr>
        <w:tabs>
          <w:tab w:val="left" w:pos="3420"/>
        </w:tabs>
      </w:pPr>
      <w:r>
        <w:tab/>
      </w:r>
    </w:p>
    <w:p w:rsidRPr="0059337D" w:rsidR="000C4028" w:rsidP="008E2F07" w:rsidRDefault="000C4028" w14:paraId="505F9530" w14:textId="77777777">
      <w:r w:rsidRPr="0059337D">
        <w:tab/>
        <w:t xml:space="preserve"> </w:t>
      </w:r>
    </w:p>
    <w:p w:rsidRPr="00B04AB6" w:rsidR="000C4028" w:rsidP="00B04AB6" w:rsidRDefault="000C4028" w14:paraId="7DEB2B60" w14:textId="4BE37050">
      <w:pPr>
        <w:tabs>
          <w:tab w:val="center" w:pos="7200"/>
        </w:tabs>
        <w:spacing w:after="0"/>
        <w:rPr>
          <w:u w:val="single"/>
        </w:rPr>
      </w:pPr>
      <w:r w:rsidRPr="0059337D">
        <w:tab/>
      </w:r>
      <w:r w:rsidRPr="00B04AB6">
        <w:rPr>
          <w:u w:val="single"/>
        </w:rPr>
        <w:t>ALICE STEBBINS</w:t>
      </w:r>
    </w:p>
    <w:p w:rsidRPr="0059337D" w:rsidR="000C4028" w:rsidP="00B04AB6" w:rsidRDefault="000C4028" w14:paraId="41EBF304" w14:textId="6F587ECF">
      <w:pPr>
        <w:tabs>
          <w:tab w:val="center" w:pos="7200"/>
        </w:tabs>
        <w:spacing w:after="0"/>
        <w:ind w:right="1170"/>
        <w:jc w:val="right"/>
      </w:pPr>
      <w:r w:rsidRPr="0059337D">
        <w:tab/>
        <w:t>Executive Director</w:t>
      </w:r>
    </w:p>
    <w:p w:rsidRPr="0059337D" w:rsidR="000C4028" w:rsidP="00B04AB6" w:rsidRDefault="000C4028" w14:paraId="13D6C516" w14:textId="77777777">
      <w:pPr>
        <w:tabs>
          <w:tab w:val="center" w:pos="7200"/>
        </w:tabs>
      </w:pPr>
    </w:p>
    <w:p w:rsidR="00934F77" w:rsidP="00934F77" w:rsidRDefault="00934F77" w14:paraId="21B925DF" w14:textId="77777777">
      <w:pPr>
        <w:ind w:left="4590"/>
      </w:pPr>
      <w:r>
        <w:br/>
      </w:r>
      <w:r>
        <w:br/>
      </w:r>
    </w:p>
    <w:p w:rsidR="00934F77" w:rsidRDefault="00934F77" w14:paraId="19373DC2" w14:textId="77777777">
      <w:pPr>
        <w:spacing w:after="200" w:line="276" w:lineRule="auto"/>
      </w:pPr>
      <w:r>
        <w:br w:type="page"/>
      </w:r>
    </w:p>
    <w:p w:rsidR="000C4028" w:rsidP="00934F77" w:rsidRDefault="000C4028" w14:paraId="2299787B" w14:textId="4170B138">
      <w:pPr>
        <w:ind w:left="4590"/>
      </w:pPr>
      <w:r w:rsidRPr="0059337D">
        <w:lastRenderedPageBreak/>
        <w:tab/>
      </w:r>
    </w:p>
    <w:p w:rsidR="00934F77" w:rsidP="00934F77" w:rsidRDefault="00934F77" w14:paraId="1B4B9AFF" w14:textId="3E85E075">
      <w:pPr>
        <w:ind w:left="4590"/>
      </w:pPr>
    </w:p>
    <w:p w:rsidR="00934F77" w:rsidP="00934F77" w:rsidRDefault="00934F77" w14:paraId="3100CEB5" w14:textId="77777777">
      <w:pPr>
        <w:ind w:left="4590"/>
        <w:rPr>
          <w:b/>
        </w:rPr>
      </w:pPr>
    </w:p>
    <w:p w:rsidRPr="00F33A49" w:rsidR="00D932D5" w:rsidP="008E2F07" w:rsidRDefault="00D932D5" w14:paraId="3EBAC042" w14:textId="77777777">
      <w:bookmarkStart w:name="_Hlk523209058" w:id="19"/>
    </w:p>
    <w:bookmarkEnd w:id="19"/>
    <w:p w:rsidRPr="00114885" w:rsidR="00FA04C8" w:rsidP="008E2F07" w:rsidRDefault="00FA04C8" w14:paraId="5C4DA5EB" w14:textId="77777777">
      <w:pPr>
        <w:sectPr w:rsidRPr="00114885" w:rsidR="00FA04C8" w:rsidSect="002B57D8">
          <w:headerReference w:type="default" r:id="rId12"/>
          <w:footerReference w:type="default" r:id="rId13"/>
          <w:headerReference w:type="first" r:id="rId14"/>
          <w:footerReference w:type="first" r:id="rId15"/>
          <w:pgSz w:w="12240" w:h="15840"/>
          <w:pgMar w:top="1440" w:right="1440" w:bottom="1260" w:left="1440" w:header="720" w:footer="720" w:gutter="0"/>
          <w:pgNumType w:start="1"/>
          <w:cols w:space="720"/>
          <w:titlePg/>
          <w:docGrid w:linePitch="360"/>
        </w:sectPr>
      </w:pPr>
    </w:p>
    <w:p w:rsidRPr="00934F77" w:rsidR="000F176D" w:rsidP="00934F77" w:rsidRDefault="005242E8" w14:paraId="010BF094" w14:textId="77777777">
      <w:pPr>
        <w:pStyle w:val="Title"/>
        <w:jc w:val="center"/>
        <w:rPr>
          <w:rFonts w:ascii="Palatino Linotype" w:hAnsi="Palatino Linotype"/>
          <w:sz w:val="52"/>
        </w:rPr>
      </w:pPr>
      <w:r w:rsidRPr="00934F77">
        <w:rPr>
          <w:rFonts w:ascii="Palatino Linotype" w:hAnsi="Palatino Linotype"/>
          <w:sz w:val="52"/>
        </w:rPr>
        <w:t>Attachment</w:t>
      </w:r>
      <w:r w:rsidRPr="00934F77" w:rsidR="002F7272">
        <w:rPr>
          <w:rFonts w:ascii="Palatino Linotype" w:hAnsi="Palatino Linotype"/>
          <w:sz w:val="52"/>
        </w:rPr>
        <w:t xml:space="preserve"> A</w:t>
      </w:r>
    </w:p>
    <w:p w:rsidR="00B04AB6" w:rsidP="00B04AB6" w:rsidRDefault="00B04AB6" w14:paraId="4EDCF2BE" w14:textId="4EACD131">
      <w:pPr>
        <w:spacing w:after="200" w:line="276" w:lineRule="auto"/>
      </w:pPr>
      <w:r>
        <w:br w:type="page"/>
      </w:r>
    </w:p>
    <w:p w:rsidR="00B04AB6" w:rsidP="00B04AB6" w:rsidRDefault="00BB19EE" w14:paraId="0D593560" w14:textId="6DC13922">
      <w:r>
        <w:rPr>
          <w:noProof/>
        </w:rPr>
        <w:lastRenderedPageBreak/>
        <w:drawing>
          <wp:anchor distT="0" distB="0" distL="114300" distR="114300" simplePos="0" relativeHeight="251658240" behindDoc="0" locked="0" layoutInCell="1" allowOverlap="1" wp14:editId="7613CCFD" wp14:anchorId="4BFCE5C0">
            <wp:simplePos x="0" y="0"/>
            <wp:positionH relativeFrom="margin">
              <wp:posOffset>1466850</wp:posOffset>
            </wp:positionH>
            <wp:positionV relativeFrom="paragraph">
              <wp:posOffset>69850</wp:posOffset>
            </wp:positionV>
            <wp:extent cx="2879725" cy="2707005"/>
            <wp:effectExtent l="0" t="0" r="0" b="0"/>
            <wp:wrapThrough wrapText="bothSides">
              <wp:wrapPolygon edited="0">
                <wp:start x="0" y="0"/>
                <wp:lineTo x="0" y="21433"/>
                <wp:lineTo x="21433" y="21433"/>
                <wp:lineTo x="214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725" cy="2707005"/>
                    </a:xfrm>
                    <a:prstGeom prst="rect">
                      <a:avLst/>
                    </a:prstGeom>
                    <a:noFill/>
                  </pic:spPr>
                </pic:pic>
              </a:graphicData>
            </a:graphic>
            <wp14:sizeRelH relativeFrom="page">
              <wp14:pctWidth>0</wp14:pctWidth>
            </wp14:sizeRelH>
            <wp14:sizeRelV relativeFrom="page">
              <wp14:pctHeight>0</wp14:pctHeight>
            </wp14:sizeRelV>
          </wp:anchor>
        </w:drawing>
      </w:r>
    </w:p>
    <w:p w:rsidR="00B04AB6" w:rsidP="00B04AB6" w:rsidRDefault="00B04AB6" w14:paraId="326148E4" w14:textId="3B038C05"/>
    <w:p w:rsidR="00B04AB6" w:rsidP="00B04AB6" w:rsidRDefault="00B04AB6" w14:paraId="59362253" w14:textId="61E01CE4"/>
    <w:p w:rsidR="00B04AB6" w:rsidP="00B04AB6" w:rsidRDefault="00B04AB6" w14:paraId="0CCFBFA5" w14:textId="06C48C13"/>
    <w:p w:rsidR="00B04AB6" w:rsidP="00B04AB6" w:rsidRDefault="00B04AB6" w14:paraId="18F7C93A" w14:textId="4C512BC6"/>
    <w:p w:rsidR="00B04AB6" w:rsidP="00B04AB6" w:rsidRDefault="00B04AB6" w14:paraId="74EF76F5" w14:textId="0B13C21C"/>
    <w:p w:rsidR="00B04AB6" w:rsidP="00B04AB6" w:rsidRDefault="00B04AB6" w14:paraId="21B37A62" w14:textId="006A0ADE"/>
    <w:p w:rsidR="00B04AB6" w:rsidP="00B04AB6" w:rsidRDefault="00B04AB6" w14:paraId="7D6AD24C" w14:textId="01A3B685"/>
    <w:p w:rsidR="00B04AB6" w:rsidP="00B04AB6" w:rsidRDefault="00B04AB6" w14:paraId="06129F81" w14:textId="1722F73A"/>
    <w:p w:rsidR="00B04AB6" w:rsidP="00B04AB6" w:rsidRDefault="00B04AB6" w14:paraId="137DCEF0" w14:textId="461208F8"/>
    <w:p w:rsidR="00B04AB6" w:rsidP="00B04AB6" w:rsidRDefault="00B04AB6" w14:paraId="5C789411" w14:textId="77777777"/>
    <w:p w:rsidR="00B04AB6" w:rsidP="00B04AB6" w:rsidRDefault="00B04AB6" w14:paraId="18D549F0" w14:textId="77777777"/>
    <w:p w:rsidR="00B04AB6" w:rsidP="00B04AB6" w:rsidRDefault="00B04AB6" w14:paraId="49823608" w14:textId="77777777"/>
    <w:p w:rsidR="00B04AB6" w:rsidP="00B04AB6" w:rsidRDefault="00B04AB6" w14:paraId="235FB370" w14:textId="77777777"/>
    <w:p w:rsidR="00B04AB6" w:rsidP="00B04AB6" w:rsidRDefault="00B04AB6" w14:paraId="2973A40F" w14:textId="77777777"/>
    <w:p w:rsidRPr="00EB1897" w:rsidR="00B04AB6" w:rsidP="00B04AB6" w:rsidRDefault="00B04AB6" w14:paraId="54699B28" w14:textId="77777777">
      <w:pPr>
        <w:pStyle w:val="CenturyGothicHeader"/>
        <w:rPr>
          <w:b/>
          <w:bCs/>
        </w:rPr>
      </w:pPr>
      <w:r w:rsidRPr="00EB1897">
        <w:rPr>
          <w:b/>
          <w:bCs/>
        </w:rPr>
        <w:t xml:space="preserve">Database </w:t>
      </w:r>
      <w:r w:rsidRPr="00EB1897">
        <w:rPr>
          <w:rStyle w:val="AttachmentStyleChar"/>
          <w:b/>
          <w:bCs/>
        </w:rPr>
        <w:t>for En</w:t>
      </w:r>
      <w:r w:rsidRPr="00EB1897">
        <w:rPr>
          <w:b/>
          <w:bCs/>
        </w:rPr>
        <w:t>ergy-Efficient Resources Updates for Program Year 2022</w:t>
      </w:r>
    </w:p>
    <w:p w:rsidRPr="00EB1897" w:rsidR="00B04AB6" w:rsidP="00B04AB6" w:rsidRDefault="00B04AB6" w14:paraId="727220D9" w14:textId="77777777">
      <w:pPr>
        <w:pStyle w:val="CenturyGothicHeader"/>
        <w:rPr>
          <w:rFonts w:eastAsia="Calibri"/>
          <w:b/>
          <w:bCs/>
        </w:rPr>
      </w:pPr>
    </w:p>
    <w:p w:rsidRPr="00EB1897" w:rsidR="00B04AB6" w:rsidP="00B04AB6" w:rsidRDefault="00B04AB6" w14:paraId="1F632470" w14:textId="77777777">
      <w:pPr>
        <w:pStyle w:val="CenturyGothicHeader"/>
        <w:rPr>
          <w:rFonts w:eastAsia="Calibri"/>
          <w:b/>
          <w:bCs/>
        </w:rPr>
      </w:pPr>
      <w:r w:rsidRPr="00EB1897">
        <w:rPr>
          <w:rFonts w:eastAsia="Calibri"/>
          <w:b/>
          <w:bCs/>
        </w:rPr>
        <w:t>DEER2022 Update Statement</w:t>
      </w:r>
    </w:p>
    <w:p w:rsidRPr="00EB1897" w:rsidR="00B04AB6" w:rsidP="00B04AB6" w:rsidRDefault="00B04AB6" w14:paraId="39799D0D" w14:textId="77777777">
      <w:pPr>
        <w:pStyle w:val="CenturyGothicHeader"/>
        <w:rPr>
          <w:rFonts w:eastAsia="Calibri"/>
          <w:b/>
          <w:bCs/>
          <w:sz w:val="22"/>
        </w:rPr>
      </w:pPr>
      <w:r w:rsidRPr="00EB1897">
        <w:rPr>
          <w:rFonts w:eastAsia="Calibri"/>
          <w:b/>
          <w:bCs/>
        </w:rPr>
        <w:t>August 27, 2020</w:t>
      </w:r>
    </w:p>
    <w:p w:rsidRPr="00EB1897" w:rsidR="00B04AB6" w:rsidP="00B04AB6" w:rsidRDefault="00B04AB6" w14:paraId="098AD6B0" w14:textId="77777777">
      <w:pPr>
        <w:pStyle w:val="CenturyGothicHeader"/>
        <w:rPr>
          <w:rFonts w:eastAsia="Calibri"/>
          <w:b/>
          <w:bCs/>
        </w:rPr>
      </w:pPr>
    </w:p>
    <w:p w:rsidRPr="00EB1897" w:rsidR="00B04AB6" w:rsidP="00B04AB6" w:rsidRDefault="00B04AB6" w14:paraId="2E5AE50C" w14:textId="77777777">
      <w:pPr>
        <w:pStyle w:val="CenturyGothicHeader"/>
        <w:rPr>
          <w:rFonts w:eastAsia="Calibri"/>
          <w:b/>
          <w:bCs/>
        </w:rPr>
      </w:pPr>
    </w:p>
    <w:p w:rsidRPr="00EB1897" w:rsidR="00B04AB6" w:rsidP="00B04AB6" w:rsidRDefault="00B04AB6" w14:paraId="7011BF4B" w14:textId="77777777">
      <w:pPr>
        <w:pStyle w:val="CenturyGothicHeader"/>
        <w:rPr>
          <w:rFonts w:eastAsia="Calibri"/>
          <w:b/>
          <w:bCs/>
        </w:rPr>
      </w:pPr>
      <w:r w:rsidRPr="00EB1897">
        <w:rPr>
          <w:rFonts w:eastAsia="Calibri"/>
          <w:b/>
          <w:bCs/>
        </w:rPr>
        <w:t>Energy Division</w:t>
      </w:r>
    </w:p>
    <w:p w:rsidRPr="00EB1897" w:rsidR="00B04AB6" w:rsidP="00B04AB6" w:rsidRDefault="00B04AB6" w14:paraId="73E49A74" w14:textId="77777777">
      <w:pPr>
        <w:pStyle w:val="CenturyGothicHeader"/>
        <w:rPr>
          <w:rFonts w:eastAsia="Calibri"/>
          <w:b/>
          <w:bCs/>
        </w:rPr>
      </w:pPr>
      <w:r w:rsidRPr="00EB1897">
        <w:rPr>
          <w:rFonts w:eastAsia="Calibri"/>
          <w:b/>
          <w:bCs/>
        </w:rPr>
        <w:t>California Public Utilities Commission</w:t>
      </w:r>
    </w:p>
    <w:p w:rsidR="002D180B" w:rsidRDefault="002D180B" w14:paraId="240637DF" w14:textId="26256DAD">
      <w:pPr>
        <w:spacing w:after="200" w:line="276" w:lineRule="auto"/>
        <w:rPr>
          <w:rFonts w:ascii="Garamond" w:hAnsi="Garamond"/>
        </w:rPr>
      </w:pPr>
      <w:r>
        <w:br w:type="page"/>
      </w:r>
    </w:p>
    <w:p w:rsidRPr="002F6E99" w:rsidR="00B04AB6" w:rsidP="00B04AB6" w:rsidRDefault="00B04AB6" w14:paraId="29B8FE29" w14:textId="77777777">
      <w:pPr>
        <w:sectPr w:rsidRPr="002F6E99" w:rsidR="00B04AB6" w:rsidSect="00A1165B">
          <w:headerReference w:type="default" r:id="rId17"/>
          <w:footerReference w:type="default" r:id="rId18"/>
          <w:footerReference w:type="first" r:id="rId19"/>
          <w:type w:val="continuous"/>
          <w:pgSz w:w="12240" w:h="15840"/>
          <w:pgMar w:top="1440" w:right="1440" w:bottom="1260" w:left="1440" w:header="720" w:footer="720" w:gutter="0"/>
          <w:pgNumType w:start="0"/>
          <w:cols w:space="720"/>
          <w:titlePg/>
          <w:docGrid w:linePitch="354"/>
        </w:sectPr>
      </w:pPr>
    </w:p>
    <w:p w:rsidRPr="00114885" w:rsidR="00B04AB6" w:rsidP="00B04AB6" w:rsidRDefault="00B04AB6" w14:paraId="38FB3287" w14:textId="77777777">
      <w:pPr>
        <w:pStyle w:val="AttachmentTitle"/>
      </w:pPr>
      <w:bookmarkStart w:name="_Toc40806724" w:id="20"/>
      <w:bookmarkStart w:name="_Toc40806971" w:id="21"/>
      <w:bookmarkStart w:name="_Toc45023414" w:id="22"/>
      <w:r>
        <w:lastRenderedPageBreak/>
        <w:t>DEER2022</w:t>
      </w:r>
      <w:r w:rsidRPr="00114885">
        <w:t xml:space="preserve"> </w:t>
      </w:r>
      <w:r>
        <w:t>UPDATE</w:t>
      </w:r>
      <w:r w:rsidRPr="00114885">
        <w:t xml:space="preserve"> </w:t>
      </w:r>
      <w:r>
        <w:t>STATEMENT</w:t>
      </w:r>
      <w:bookmarkEnd w:id="20"/>
      <w:bookmarkEnd w:id="21"/>
      <w:bookmarkEnd w:id="22"/>
    </w:p>
    <w:p w:rsidRPr="00731546" w:rsidR="00B04AB6" w:rsidP="00B04AB6" w:rsidRDefault="00B04AB6" w14:paraId="17CE3166" w14:textId="77777777">
      <w:pPr>
        <w:pStyle w:val="CenturyGothicTOCHeader"/>
      </w:pPr>
      <w:bookmarkStart w:name="Attachment" w:id="23"/>
      <w:r w:rsidRPr="00731546">
        <w:t>Contents</w:t>
      </w:r>
    </w:p>
    <w:p w:rsidR="00B04AB6" w:rsidP="00B04AB6" w:rsidRDefault="00B04AB6" w14:paraId="5C49CD0D" w14:textId="77777777">
      <w:pPr>
        <w:pStyle w:val="TOC1"/>
        <w:rPr>
          <w:rFonts w:asciiTheme="minorHAnsi" w:hAnsiTheme="minorHAnsi" w:eastAsiaTheme="minorEastAsia" w:cstheme="minorBidi"/>
          <w:sz w:val="22"/>
        </w:rPr>
      </w:pPr>
      <w:r w:rsidRPr="00AD0B67">
        <w:rPr>
          <w:noProof/>
          <w:szCs w:val="24"/>
        </w:rPr>
        <w:fldChar w:fldCharType="begin"/>
      </w:r>
      <w:r w:rsidRPr="00AD0B67">
        <w:rPr>
          <w:szCs w:val="24"/>
        </w:rPr>
        <w:instrText xml:space="preserve"> TOC \o "1-3" \h \z \u </w:instrText>
      </w:r>
      <w:r w:rsidRPr="00AD0B67">
        <w:rPr>
          <w:noProof/>
          <w:szCs w:val="24"/>
        </w:rPr>
        <w:fldChar w:fldCharType="separate"/>
      </w:r>
      <w:hyperlink w:history="1" w:anchor="_Toc45023414">
        <w:r w:rsidRPr="006D596F">
          <w:rPr>
            <w:rStyle w:val="Hyperlink"/>
          </w:rPr>
          <w:t>DEER2022 UPDATE STATEMENT</w:t>
        </w:r>
        <w:r>
          <w:rPr>
            <w:webHidden/>
          </w:rPr>
          <w:tab/>
        </w:r>
        <w:r>
          <w:rPr>
            <w:webHidden/>
          </w:rPr>
          <w:fldChar w:fldCharType="begin"/>
        </w:r>
        <w:r>
          <w:rPr>
            <w:webHidden/>
          </w:rPr>
          <w:instrText xml:space="preserve"> PAGEREF _Toc45023414 \h </w:instrText>
        </w:r>
        <w:r>
          <w:rPr>
            <w:webHidden/>
          </w:rPr>
        </w:r>
        <w:r>
          <w:rPr>
            <w:webHidden/>
          </w:rPr>
          <w:fldChar w:fldCharType="separate"/>
        </w:r>
        <w:r>
          <w:rPr>
            <w:webHidden/>
          </w:rPr>
          <w:t>2</w:t>
        </w:r>
        <w:r>
          <w:rPr>
            <w:webHidden/>
          </w:rPr>
          <w:fldChar w:fldCharType="end"/>
        </w:r>
      </w:hyperlink>
    </w:p>
    <w:p w:rsidR="00B04AB6" w:rsidP="00B04AB6" w:rsidRDefault="00A21F6B" w14:paraId="164C5201" w14:textId="77777777">
      <w:pPr>
        <w:pStyle w:val="TOC1"/>
        <w:rPr>
          <w:rFonts w:asciiTheme="minorHAnsi" w:hAnsiTheme="minorHAnsi" w:eastAsiaTheme="minorEastAsia" w:cstheme="minorBidi"/>
          <w:sz w:val="22"/>
        </w:rPr>
      </w:pPr>
      <w:hyperlink w:history="1" w:anchor="_Toc45023415">
        <w:r w:rsidRPr="006D596F" w:rsidR="00B04AB6">
          <w:rPr>
            <w:rStyle w:val="Hyperlink"/>
          </w:rPr>
          <w:t>1.</w:t>
        </w:r>
        <w:r w:rsidR="00B04AB6">
          <w:rPr>
            <w:rFonts w:asciiTheme="minorHAnsi" w:hAnsiTheme="minorHAnsi" w:eastAsiaTheme="minorEastAsia" w:cstheme="minorBidi"/>
            <w:sz w:val="22"/>
          </w:rPr>
          <w:tab/>
        </w:r>
        <w:r w:rsidRPr="006D596F" w:rsidR="00B04AB6">
          <w:rPr>
            <w:rStyle w:val="Hyperlink"/>
          </w:rPr>
          <w:t>Transition to eTRM</w:t>
        </w:r>
        <w:r w:rsidR="00B04AB6">
          <w:rPr>
            <w:webHidden/>
          </w:rPr>
          <w:tab/>
        </w:r>
        <w:r w:rsidR="00B04AB6">
          <w:rPr>
            <w:webHidden/>
          </w:rPr>
          <w:fldChar w:fldCharType="begin"/>
        </w:r>
        <w:r w:rsidR="00B04AB6">
          <w:rPr>
            <w:webHidden/>
          </w:rPr>
          <w:instrText xml:space="preserve"> PAGEREF _Toc45023415 \h </w:instrText>
        </w:r>
        <w:r w:rsidR="00B04AB6">
          <w:rPr>
            <w:webHidden/>
          </w:rPr>
        </w:r>
        <w:r w:rsidR="00B04AB6">
          <w:rPr>
            <w:webHidden/>
          </w:rPr>
          <w:fldChar w:fldCharType="separate"/>
        </w:r>
        <w:r w:rsidR="00B04AB6">
          <w:rPr>
            <w:webHidden/>
          </w:rPr>
          <w:t>4</w:t>
        </w:r>
        <w:r w:rsidR="00B04AB6">
          <w:rPr>
            <w:webHidden/>
          </w:rPr>
          <w:fldChar w:fldCharType="end"/>
        </w:r>
      </w:hyperlink>
    </w:p>
    <w:p w:rsidR="00B04AB6" w:rsidP="00B04AB6" w:rsidRDefault="00A21F6B" w14:paraId="08F2A185" w14:textId="77777777">
      <w:pPr>
        <w:pStyle w:val="TOC1"/>
        <w:rPr>
          <w:rFonts w:asciiTheme="minorHAnsi" w:hAnsiTheme="minorHAnsi" w:eastAsiaTheme="minorEastAsia" w:cstheme="minorBidi"/>
          <w:sz w:val="22"/>
        </w:rPr>
      </w:pPr>
      <w:hyperlink w:history="1" w:anchor="_Toc45023416">
        <w:r w:rsidRPr="006D596F" w:rsidR="00B04AB6">
          <w:rPr>
            <w:rStyle w:val="Hyperlink"/>
          </w:rPr>
          <w:t>2.</w:t>
        </w:r>
        <w:r w:rsidR="00B04AB6">
          <w:rPr>
            <w:rFonts w:asciiTheme="minorHAnsi" w:hAnsiTheme="minorHAnsi" w:eastAsiaTheme="minorEastAsia" w:cstheme="minorBidi"/>
            <w:sz w:val="22"/>
          </w:rPr>
          <w:tab/>
        </w:r>
        <w:r w:rsidRPr="006D596F" w:rsidR="00B04AB6">
          <w:rPr>
            <w:rStyle w:val="Hyperlink"/>
          </w:rPr>
          <w:t>DEER Methodology Updates</w:t>
        </w:r>
        <w:r w:rsidR="00B04AB6">
          <w:rPr>
            <w:webHidden/>
          </w:rPr>
          <w:tab/>
        </w:r>
        <w:r w:rsidR="00B04AB6">
          <w:rPr>
            <w:webHidden/>
          </w:rPr>
          <w:fldChar w:fldCharType="begin"/>
        </w:r>
        <w:r w:rsidR="00B04AB6">
          <w:rPr>
            <w:webHidden/>
          </w:rPr>
          <w:instrText xml:space="preserve"> PAGEREF _Toc45023416 \h </w:instrText>
        </w:r>
        <w:r w:rsidR="00B04AB6">
          <w:rPr>
            <w:webHidden/>
          </w:rPr>
        </w:r>
        <w:r w:rsidR="00B04AB6">
          <w:rPr>
            <w:webHidden/>
          </w:rPr>
          <w:fldChar w:fldCharType="separate"/>
        </w:r>
        <w:r w:rsidR="00B04AB6">
          <w:rPr>
            <w:webHidden/>
          </w:rPr>
          <w:t>4</w:t>
        </w:r>
        <w:r w:rsidR="00B04AB6">
          <w:rPr>
            <w:webHidden/>
          </w:rPr>
          <w:fldChar w:fldCharType="end"/>
        </w:r>
      </w:hyperlink>
    </w:p>
    <w:p w:rsidR="00B04AB6" w:rsidP="00B04AB6" w:rsidRDefault="00A21F6B" w14:paraId="5F2B24C9" w14:textId="77777777">
      <w:pPr>
        <w:pStyle w:val="TOC2"/>
        <w:rPr>
          <w:rFonts w:asciiTheme="minorHAnsi" w:hAnsiTheme="minorHAnsi" w:eastAsiaTheme="minorEastAsia" w:cstheme="minorBidi"/>
          <w:noProof/>
          <w:sz w:val="22"/>
        </w:rPr>
      </w:pPr>
      <w:hyperlink w:history="1" w:anchor="_Toc45023417">
        <w:r w:rsidRPr="006D596F" w:rsidR="00B04AB6">
          <w:rPr>
            <w:rStyle w:val="Hyperlink"/>
            <w:noProof/>
          </w:rPr>
          <w:t>2.1.</w:t>
        </w:r>
        <w:r w:rsidR="00B04AB6">
          <w:rPr>
            <w:rFonts w:asciiTheme="minorHAnsi" w:hAnsiTheme="minorHAnsi" w:eastAsiaTheme="minorEastAsia" w:cstheme="minorBidi"/>
            <w:noProof/>
            <w:sz w:val="22"/>
          </w:rPr>
          <w:tab/>
        </w:r>
        <w:r w:rsidRPr="006D596F" w:rsidR="00B04AB6">
          <w:rPr>
            <w:rStyle w:val="Hyperlink"/>
            <w:noProof/>
          </w:rPr>
          <w:t>Modification to Accommodate Load Shape Updates</w:t>
        </w:r>
        <w:r w:rsidR="00B04AB6">
          <w:rPr>
            <w:noProof/>
            <w:webHidden/>
          </w:rPr>
          <w:tab/>
        </w:r>
        <w:r w:rsidR="00B04AB6">
          <w:rPr>
            <w:noProof/>
            <w:webHidden/>
          </w:rPr>
          <w:fldChar w:fldCharType="begin"/>
        </w:r>
        <w:r w:rsidR="00B04AB6">
          <w:rPr>
            <w:noProof/>
            <w:webHidden/>
          </w:rPr>
          <w:instrText xml:space="preserve"> PAGEREF _Toc45023417 \h </w:instrText>
        </w:r>
        <w:r w:rsidR="00B04AB6">
          <w:rPr>
            <w:noProof/>
            <w:webHidden/>
          </w:rPr>
        </w:r>
        <w:r w:rsidR="00B04AB6">
          <w:rPr>
            <w:noProof/>
            <w:webHidden/>
          </w:rPr>
          <w:fldChar w:fldCharType="separate"/>
        </w:r>
        <w:r w:rsidR="00B04AB6">
          <w:rPr>
            <w:noProof/>
            <w:webHidden/>
          </w:rPr>
          <w:t>4</w:t>
        </w:r>
        <w:r w:rsidR="00B04AB6">
          <w:rPr>
            <w:noProof/>
            <w:webHidden/>
          </w:rPr>
          <w:fldChar w:fldCharType="end"/>
        </w:r>
      </w:hyperlink>
    </w:p>
    <w:p w:rsidR="00B04AB6" w:rsidP="00B04AB6" w:rsidRDefault="00A21F6B" w14:paraId="152F1913" w14:textId="77777777">
      <w:pPr>
        <w:pStyle w:val="TOC2"/>
        <w:rPr>
          <w:rFonts w:asciiTheme="minorHAnsi" w:hAnsiTheme="minorHAnsi" w:eastAsiaTheme="minorEastAsia" w:cstheme="minorBidi"/>
          <w:noProof/>
          <w:sz w:val="22"/>
        </w:rPr>
      </w:pPr>
      <w:hyperlink w:history="1" w:anchor="_Toc45023418">
        <w:r w:rsidRPr="006D596F" w:rsidR="00B04AB6">
          <w:rPr>
            <w:rStyle w:val="Hyperlink"/>
            <w:noProof/>
          </w:rPr>
          <w:t>2.2.</w:t>
        </w:r>
        <w:r w:rsidR="00B04AB6">
          <w:rPr>
            <w:rFonts w:asciiTheme="minorHAnsi" w:hAnsiTheme="minorHAnsi" w:eastAsiaTheme="minorEastAsia" w:cstheme="minorBidi"/>
            <w:noProof/>
            <w:sz w:val="22"/>
          </w:rPr>
          <w:tab/>
        </w:r>
        <w:r w:rsidRPr="006D596F" w:rsidR="00B04AB6">
          <w:rPr>
            <w:rStyle w:val="Hyperlink"/>
            <w:noProof/>
          </w:rPr>
          <w:t>Chiller-Measure Tier Definitions</w:t>
        </w:r>
        <w:r w:rsidR="00B04AB6">
          <w:rPr>
            <w:noProof/>
            <w:webHidden/>
          </w:rPr>
          <w:tab/>
        </w:r>
        <w:r w:rsidR="00B04AB6">
          <w:rPr>
            <w:noProof/>
            <w:webHidden/>
          </w:rPr>
          <w:fldChar w:fldCharType="begin"/>
        </w:r>
        <w:r w:rsidR="00B04AB6">
          <w:rPr>
            <w:noProof/>
            <w:webHidden/>
          </w:rPr>
          <w:instrText xml:space="preserve"> PAGEREF _Toc45023418 \h </w:instrText>
        </w:r>
        <w:r w:rsidR="00B04AB6">
          <w:rPr>
            <w:noProof/>
            <w:webHidden/>
          </w:rPr>
        </w:r>
        <w:r w:rsidR="00B04AB6">
          <w:rPr>
            <w:noProof/>
            <w:webHidden/>
          </w:rPr>
          <w:fldChar w:fldCharType="separate"/>
        </w:r>
        <w:r w:rsidR="00B04AB6">
          <w:rPr>
            <w:noProof/>
            <w:webHidden/>
          </w:rPr>
          <w:t>5</w:t>
        </w:r>
        <w:r w:rsidR="00B04AB6">
          <w:rPr>
            <w:noProof/>
            <w:webHidden/>
          </w:rPr>
          <w:fldChar w:fldCharType="end"/>
        </w:r>
      </w:hyperlink>
    </w:p>
    <w:p w:rsidR="00B04AB6" w:rsidP="00B04AB6" w:rsidRDefault="00A21F6B" w14:paraId="4AE1B083" w14:textId="77777777">
      <w:pPr>
        <w:pStyle w:val="TOC2"/>
        <w:rPr>
          <w:rFonts w:asciiTheme="minorHAnsi" w:hAnsiTheme="minorHAnsi" w:eastAsiaTheme="minorEastAsia" w:cstheme="minorBidi"/>
          <w:noProof/>
          <w:sz w:val="22"/>
        </w:rPr>
      </w:pPr>
      <w:hyperlink w:history="1" w:anchor="_Toc45023419">
        <w:r w:rsidRPr="006D596F" w:rsidR="00B04AB6">
          <w:rPr>
            <w:rStyle w:val="Hyperlink"/>
            <w:noProof/>
          </w:rPr>
          <w:t>2.3.</w:t>
        </w:r>
        <w:r w:rsidR="00B04AB6">
          <w:rPr>
            <w:rFonts w:asciiTheme="minorHAnsi" w:hAnsiTheme="minorHAnsi" w:eastAsiaTheme="minorEastAsia" w:cstheme="minorBidi"/>
            <w:noProof/>
            <w:sz w:val="22"/>
          </w:rPr>
          <w:tab/>
        </w:r>
        <w:r w:rsidRPr="006D596F" w:rsidR="00B04AB6">
          <w:rPr>
            <w:rStyle w:val="Hyperlink"/>
            <w:noProof/>
          </w:rPr>
          <w:t>Clarification of BRO Measure Application Type EUL</w:t>
        </w:r>
        <w:r w:rsidR="00B04AB6">
          <w:rPr>
            <w:noProof/>
            <w:webHidden/>
          </w:rPr>
          <w:tab/>
        </w:r>
        <w:r w:rsidR="00B04AB6">
          <w:rPr>
            <w:noProof/>
            <w:webHidden/>
          </w:rPr>
          <w:fldChar w:fldCharType="begin"/>
        </w:r>
        <w:r w:rsidR="00B04AB6">
          <w:rPr>
            <w:noProof/>
            <w:webHidden/>
          </w:rPr>
          <w:instrText xml:space="preserve"> PAGEREF _Toc45023419 \h </w:instrText>
        </w:r>
        <w:r w:rsidR="00B04AB6">
          <w:rPr>
            <w:noProof/>
            <w:webHidden/>
          </w:rPr>
        </w:r>
        <w:r w:rsidR="00B04AB6">
          <w:rPr>
            <w:noProof/>
            <w:webHidden/>
          </w:rPr>
          <w:fldChar w:fldCharType="separate"/>
        </w:r>
        <w:r w:rsidR="00B04AB6">
          <w:rPr>
            <w:noProof/>
            <w:webHidden/>
          </w:rPr>
          <w:t>6</w:t>
        </w:r>
        <w:r w:rsidR="00B04AB6">
          <w:rPr>
            <w:noProof/>
            <w:webHidden/>
          </w:rPr>
          <w:fldChar w:fldCharType="end"/>
        </w:r>
      </w:hyperlink>
    </w:p>
    <w:p w:rsidR="00B04AB6" w:rsidP="00B04AB6" w:rsidRDefault="00A21F6B" w14:paraId="4F3D7DC9" w14:textId="77777777">
      <w:pPr>
        <w:pStyle w:val="TOC2"/>
        <w:rPr>
          <w:rFonts w:asciiTheme="minorHAnsi" w:hAnsiTheme="minorHAnsi" w:eastAsiaTheme="minorEastAsia" w:cstheme="minorBidi"/>
          <w:noProof/>
          <w:sz w:val="22"/>
        </w:rPr>
      </w:pPr>
      <w:hyperlink w:history="1" w:anchor="_Toc45023420">
        <w:r w:rsidRPr="006D596F" w:rsidR="00B04AB6">
          <w:rPr>
            <w:rStyle w:val="Hyperlink"/>
            <w:noProof/>
          </w:rPr>
          <w:t>2.4.</w:t>
        </w:r>
        <w:r w:rsidR="00B04AB6">
          <w:rPr>
            <w:rFonts w:asciiTheme="minorHAnsi" w:hAnsiTheme="minorHAnsi" w:eastAsiaTheme="minorEastAsia" w:cstheme="minorBidi"/>
            <w:noProof/>
            <w:sz w:val="22"/>
          </w:rPr>
          <w:tab/>
        </w:r>
        <w:r w:rsidRPr="006D596F" w:rsidR="00B04AB6">
          <w:rPr>
            <w:rStyle w:val="Hyperlink"/>
            <w:noProof/>
          </w:rPr>
          <w:t>Reclassify Duct Sealing for Pre-2006 Buildings</w:t>
        </w:r>
        <w:r w:rsidR="00B04AB6">
          <w:rPr>
            <w:noProof/>
            <w:webHidden/>
          </w:rPr>
          <w:tab/>
        </w:r>
        <w:r w:rsidR="00B04AB6">
          <w:rPr>
            <w:noProof/>
            <w:webHidden/>
          </w:rPr>
          <w:fldChar w:fldCharType="begin"/>
        </w:r>
        <w:r w:rsidR="00B04AB6">
          <w:rPr>
            <w:noProof/>
            <w:webHidden/>
          </w:rPr>
          <w:instrText xml:space="preserve"> PAGEREF _Toc45023420 \h </w:instrText>
        </w:r>
        <w:r w:rsidR="00B04AB6">
          <w:rPr>
            <w:noProof/>
            <w:webHidden/>
          </w:rPr>
        </w:r>
        <w:r w:rsidR="00B04AB6">
          <w:rPr>
            <w:noProof/>
            <w:webHidden/>
          </w:rPr>
          <w:fldChar w:fldCharType="separate"/>
        </w:r>
        <w:r w:rsidR="00B04AB6">
          <w:rPr>
            <w:noProof/>
            <w:webHidden/>
          </w:rPr>
          <w:t>7</w:t>
        </w:r>
        <w:r w:rsidR="00B04AB6">
          <w:rPr>
            <w:noProof/>
            <w:webHidden/>
          </w:rPr>
          <w:fldChar w:fldCharType="end"/>
        </w:r>
      </w:hyperlink>
    </w:p>
    <w:p w:rsidR="00B04AB6" w:rsidP="00B04AB6" w:rsidRDefault="00A21F6B" w14:paraId="050F6CF4" w14:textId="77777777">
      <w:pPr>
        <w:pStyle w:val="TOC1"/>
        <w:rPr>
          <w:rFonts w:asciiTheme="minorHAnsi" w:hAnsiTheme="minorHAnsi" w:eastAsiaTheme="minorEastAsia" w:cstheme="minorBidi"/>
          <w:sz w:val="22"/>
        </w:rPr>
      </w:pPr>
      <w:hyperlink w:history="1" w:anchor="_Toc45023421">
        <w:r w:rsidRPr="006D596F" w:rsidR="00B04AB6">
          <w:rPr>
            <w:rStyle w:val="Hyperlink"/>
          </w:rPr>
          <w:t>3.</w:t>
        </w:r>
        <w:r w:rsidR="00B04AB6">
          <w:rPr>
            <w:rFonts w:asciiTheme="minorHAnsi" w:hAnsiTheme="minorHAnsi" w:eastAsiaTheme="minorEastAsia" w:cstheme="minorBidi"/>
            <w:sz w:val="22"/>
          </w:rPr>
          <w:tab/>
        </w:r>
        <w:r w:rsidRPr="006D596F" w:rsidR="00B04AB6">
          <w:rPr>
            <w:rStyle w:val="Hyperlink"/>
          </w:rPr>
          <w:t>DEER Error Corrections</w:t>
        </w:r>
        <w:r w:rsidR="00B04AB6">
          <w:rPr>
            <w:webHidden/>
          </w:rPr>
          <w:tab/>
        </w:r>
        <w:r w:rsidR="00B04AB6">
          <w:rPr>
            <w:webHidden/>
          </w:rPr>
          <w:fldChar w:fldCharType="begin"/>
        </w:r>
        <w:r w:rsidR="00B04AB6">
          <w:rPr>
            <w:webHidden/>
          </w:rPr>
          <w:instrText xml:space="preserve"> PAGEREF _Toc45023421 \h </w:instrText>
        </w:r>
        <w:r w:rsidR="00B04AB6">
          <w:rPr>
            <w:webHidden/>
          </w:rPr>
        </w:r>
        <w:r w:rsidR="00B04AB6">
          <w:rPr>
            <w:webHidden/>
          </w:rPr>
          <w:fldChar w:fldCharType="separate"/>
        </w:r>
        <w:r w:rsidR="00B04AB6">
          <w:rPr>
            <w:webHidden/>
          </w:rPr>
          <w:t>9</w:t>
        </w:r>
        <w:r w:rsidR="00B04AB6">
          <w:rPr>
            <w:webHidden/>
          </w:rPr>
          <w:fldChar w:fldCharType="end"/>
        </w:r>
      </w:hyperlink>
    </w:p>
    <w:p w:rsidR="00B04AB6" w:rsidP="00B04AB6" w:rsidRDefault="00A21F6B" w14:paraId="3BD37374" w14:textId="77777777">
      <w:pPr>
        <w:pStyle w:val="TOC2"/>
        <w:rPr>
          <w:rFonts w:asciiTheme="minorHAnsi" w:hAnsiTheme="minorHAnsi" w:eastAsiaTheme="minorEastAsia" w:cstheme="minorBidi"/>
          <w:noProof/>
          <w:sz w:val="22"/>
        </w:rPr>
      </w:pPr>
      <w:hyperlink w:history="1" w:anchor="_Toc45023422">
        <w:r w:rsidRPr="006D596F" w:rsidR="00B04AB6">
          <w:rPr>
            <w:rStyle w:val="Hyperlink"/>
            <w:noProof/>
          </w:rPr>
          <w:t>3.1.</w:t>
        </w:r>
        <w:r w:rsidR="00B04AB6">
          <w:rPr>
            <w:rFonts w:asciiTheme="minorHAnsi" w:hAnsiTheme="minorHAnsi" w:eastAsiaTheme="minorEastAsia" w:cstheme="minorBidi"/>
            <w:noProof/>
            <w:sz w:val="22"/>
          </w:rPr>
          <w:tab/>
        </w:r>
        <w:r w:rsidRPr="006D596F" w:rsidR="00B04AB6">
          <w:rPr>
            <w:rStyle w:val="Hyperlink"/>
            <w:noProof/>
          </w:rPr>
          <w:t>Updated Water Heater Calculator and Resulting Energy Impacts</w:t>
        </w:r>
        <w:r w:rsidR="00B04AB6">
          <w:rPr>
            <w:noProof/>
            <w:webHidden/>
          </w:rPr>
          <w:tab/>
        </w:r>
        <w:r w:rsidR="00B04AB6">
          <w:rPr>
            <w:noProof/>
            <w:webHidden/>
          </w:rPr>
          <w:fldChar w:fldCharType="begin"/>
        </w:r>
        <w:r w:rsidR="00B04AB6">
          <w:rPr>
            <w:noProof/>
            <w:webHidden/>
          </w:rPr>
          <w:instrText xml:space="preserve"> PAGEREF _Toc45023422 \h </w:instrText>
        </w:r>
        <w:r w:rsidR="00B04AB6">
          <w:rPr>
            <w:noProof/>
            <w:webHidden/>
          </w:rPr>
        </w:r>
        <w:r w:rsidR="00B04AB6">
          <w:rPr>
            <w:noProof/>
            <w:webHidden/>
          </w:rPr>
          <w:fldChar w:fldCharType="separate"/>
        </w:r>
        <w:r w:rsidR="00B04AB6">
          <w:rPr>
            <w:noProof/>
            <w:webHidden/>
          </w:rPr>
          <w:t>9</w:t>
        </w:r>
        <w:r w:rsidR="00B04AB6">
          <w:rPr>
            <w:noProof/>
            <w:webHidden/>
          </w:rPr>
          <w:fldChar w:fldCharType="end"/>
        </w:r>
      </w:hyperlink>
    </w:p>
    <w:p w:rsidR="00B04AB6" w:rsidP="00B04AB6" w:rsidRDefault="00A21F6B" w14:paraId="3A01066D" w14:textId="77777777">
      <w:pPr>
        <w:pStyle w:val="TOC2"/>
        <w:rPr>
          <w:rFonts w:asciiTheme="minorHAnsi" w:hAnsiTheme="minorHAnsi" w:eastAsiaTheme="minorEastAsia" w:cstheme="minorBidi"/>
          <w:noProof/>
          <w:sz w:val="22"/>
        </w:rPr>
      </w:pPr>
      <w:hyperlink w:history="1" w:anchor="_Toc45023423">
        <w:r w:rsidRPr="006D596F" w:rsidR="00B04AB6">
          <w:rPr>
            <w:rStyle w:val="Hyperlink"/>
            <w:noProof/>
          </w:rPr>
          <w:t>3.2.</w:t>
        </w:r>
        <w:r w:rsidR="00B04AB6">
          <w:rPr>
            <w:rFonts w:asciiTheme="minorHAnsi" w:hAnsiTheme="minorHAnsi" w:eastAsiaTheme="minorEastAsia" w:cstheme="minorBidi"/>
            <w:noProof/>
            <w:sz w:val="22"/>
          </w:rPr>
          <w:tab/>
        </w:r>
        <w:r w:rsidRPr="006D596F" w:rsidR="00B04AB6">
          <w:rPr>
            <w:rStyle w:val="Hyperlink"/>
            <w:noProof/>
          </w:rPr>
          <w:t>Addition of Missing Energy Impacts for Ceiling and Wall Insulation</w:t>
        </w:r>
        <w:r w:rsidR="00B04AB6">
          <w:rPr>
            <w:noProof/>
            <w:webHidden/>
          </w:rPr>
          <w:tab/>
        </w:r>
        <w:r w:rsidR="00B04AB6">
          <w:rPr>
            <w:noProof/>
            <w:webHidden/>
          </w:rPr>
          <w:fldChar w:fldCharType="begin"/>
        </w:r>
        <w:r w:rsidR="00B04AB6">
          <w:rPr>
            <w:noProof/>
            <w:webHidden/>
          </w:rPr>
          <w:instrText xml:space="preserve"> PAGEREF _Toc45023423 \h </w:instrText>
        </w:r>
        <w:r w:rsidR="00B04AB6">
          <w:rPr>
            <w:noProof/>
            <w:webHidden/>
          </w:rPr>
        </w:r>
        <w:r w:rsidR="00B04AB6">
          <w:rPr>
            <w:noProof/>
            <w:webHidden/>
          </w:rPr>
          <w:fldChar w:fldCharType="separate"/>
        </w:r>
        <w:r w:rsidR="00B04AB6">
          <w:rPr>
            <w:noProof/>
            <w:webHidden/>
          </w:rPr>
          <w:t>9</w:t>
        </w:r>
        <w:r w:rsidR="00B04AB6">
          <w:rPr>
            <w:noProof/>
            <w:webHidden/>
          </w:rPr>
          <w:fldChar w:fldCharType="end"/>
        </w:r>
      </w:hyperlink>
    </w:p>
    <w:p w:rsidR="00B04AB6" w:rsidP="00B04AB6" w:rsidRDefault="00A21F6B" w14:paraId="546062E8" w14:textId="77777777">
      <w:pPr>
        <w:pStyle w:val="TOC2"/>
        <w:rPr>
          <w:rFonts w:asciiTheme="minorHAnsi" w:hAnsiTheme="minorHAnsi" w:eastAsiaTheme="minorEastAsia" w:cstheme="minorBidi"/>
          <w:noProof/>
          <w:sz w:val="22"/>
        </w:rPr>
      </w:pPr>
      <w:hyperlink w:history="1" w:anchor="_Toc45023424">
        <w:r w:rsidRPr="006D596F" w:rsidR="00B04AB6">
          <w:rPr>
            <w:rStyle w:val="Hyperlink"/>
            <w:noProof/>
          </w:rPr>
          <w:t>3.3.</w:t>
        </w:r>
        <w:r w:rsidR="00B04AB6">
          <w:rPr>
            <w:rFonts w:asciiTheme="minorHAnsi" w:hAnsiTheme="minorHAnsi" w:eastAsiaTheme="minorEastAsia" w:cstheme="minorBidi"/>
            <w:noProof/>
            <w:sz w:val="22"/>
          </w:rPr>
          <w:tab/>
        </w:r>
        <w:r w:rsidRPr="006D596F" w:rsidR="00B04AB6">
          <w:rPr>
            <w:rStyle w:val="Hyperlink"/>
            <w:noProof/>
          </w:rPr>
          <w:t>Addition of Missing Chiller Records for Commercial Building Type</w:t>
        </w:r>
        <w:r w:rsidR="00B04AB6">
          <w:rPr>
            <w:noProof/>
            <w:webHidden/>
          </w:rPr>
          <w:tab/>
        </w:r>
        <w:r w:rsidR="00B04AB6">
          <w:rPr>
            <w:noProof/>
            <w:webHidden/>
          </w:rPr>
          <w:fldChar w:fldCharType="begin"/>
        </w:r>
        <w:r w:rsidR="00B04AB6">
          <w:rPr>
            <w:noProof/>
            <w:webHidden/>
          </w:rPr>
          <w:instrText xml:space="preserve"> PAGEREF _Toc45023424 \h </w:instrText>
        </w:r>
        <w:r w:rsidR="00B04AB6">
          <w:rPr>
            <w:noProof/>
            <w:webHidden/>
          </w:rPr>
        </w:r>
        <w:r w:rsidR="00B04AB6">
          <w:rPr>
            <w:noProof/>
            <w:webHidden/>
          </w:rPr>
          <w:fldChar w:fldCharType="separate"/>
        </w:r>
        <w:r w:rsidR="00B04AB6">
          <w:rPr>
            <w:noProof/>
            <w:webHidden/>
          </w:rPr>
          <w:t>10</w:t>
        </w:r>
        <w:r w:rsidR="00B04AB6">
          <w:rPr>
            <w:noProof/>
            <w:webHidden/>
          </w:rPr>
          <w:fldChar w:fldCharType="end"/>
        </w:r>
      </w:hyperlink>
    </w:p>
    <w:p w:rsidR="00B04AB6" w:rsidP="00B04AB6" w:rsidRDefault="00A21F6B" w14:paraId="10BF39EC" w14:textId="77777777">
      <w:pPr>
        <w:pStyle w:val="TOC2"/>
        <w:rPr>
          <w:rFonts w:asciiTheme="minorHAnsi" w:hAnsiTheme="minorHAnsi" w:eastAsiaTheme="minorEastAsia" w:cstheme="minorBidi"/>
          <w:noProof/>
          <w:sz w:val="22"/>
        </w:rPr>
      </w:pPr>
      <w:hyperlink w:history="1" w:anchor="_Toc45023425">
        <w:r w:rsidRPr="006D596F" w:rsidR="00B04AB6">
          <w:rPr>
            <w:rStyle w:val="Hyperlink"/>
            <w:noProof/>
          </w:rPr>
          <w:t>3.4.</w:t>
        </w:r>
        <w:r w:rsidR="00B04AB6">
          <w:rPr>
            <w:rFonts w:asciiTheme="minorHAnsi" w:hAnsiTheme="minorHAnsi" w:eastAsiaTheme="minorEastAsia" w:cstheme="minorBidi"/>
            <w:noProof/>
            <w:sz w:val="22"/>
          </w:rPr>
          <w:tab/>
        </w:r>
        <w:r w:rsidRPr="006D596F" w:rsidR="00B04AB6">
          <w:rPr>
            <w:rStyle w:val="Hyperlink"/>
            <w:noProof/>
          </w:rPr>
          <w:t>Expiration of all DEER2020 Lighting Measures</w:t>
        </w:r>
        <w:r w:rsidR="00B04AB6">
          <w:rPr>
            <w:noProof/>
            <w:webHidden/>
          </w:rPr>
          <w:tab/>
        </w:r>
        <w:r w:rsidR="00B04AB6">
          <w:rPr>
            <w:noProof/>
            <w:webHidden/>
          </w:rPr>
          <w:fldChar w:fldCharType="begin"/>
        </w:r>
        <w:r w:rsidR="00B04AB6">
          <w:rPr>
            <w:noProof/>
            <w:webHidden/>
          </w:rPr>
          <w:instrText xml:space="preserve"> PAGEREF _Toc45023425 \h </w:instrText>
        </w:r>
        <w:r w:rsidR="00B04AB6">
          <w:rPr>
            <w:noProof/>
            <w:webHidden/>
          </w:rPr>
        </w:r>
        <w:r w:rsidR="00B04AB6">
          <w:rPr>
            <w:noProof/>
            <w:webHidden/>
          </w:rPr>
          <w:fldChar w:fldCharType="separate"/>
        </w:r>
        <w:r w:rsidR="00B04AB6">
          <w:rPr>
            <w:noProof/>
            <w:webHidden/>
          </w:rPr>
          <w:t>10</w:t>
        </w:r>
        <w:r w:rsidR="00B04AB6">
          <w:rPr>
            <w:noProof/>
            <w:webHidden/>
          </w:rPr>
          <w:fldChar w:fldCharType="end"/>
        </w:r>
      </w:hyperlink>
    </w:p>
    <w:p w:rsidR="00B04AB6" w:rsidP="00B04AB6" w:rsidRDefault="00A21F6B" w14:paraId="131DCBD5" w14:textId="77777777">
      <w:pPr>
        <w:pStyle w:val="TOC2"/>
        <w:rPr>
          <w:rFonts w:asciiTheme="minorHAnsi" w:hAnsiTheme="minorHAnsi" w:eastAsiaTheme="minorEastAsia" w:cstheme="minorBidi"/>
          <w:noProof/>
          <w:sz w:val="22"/>
        </w:rPr>
      </w:pPr>
      <w:hyperlink w:history="1" w:anchor="_Toc45023426">
        <w:r w:rsidRPr="006D596F" w:rsidR="00B04AB6">
          <w:rPr>
            <w:rStyle w:val="Hyperlink"/>
            <w:noProof/>
          </w:rPr>
          <w:t>3.5.</w:t>
        </w:r>
        <w:r w:rsidR="00B04AB6">
          <w:rPr>
            <w:rFonts w:asciiTheme="minorHAnsi" w:hAnsiTheme="minorHAnsi" w:eastAsiaTheme="minorEastAsia" w:cstheme="minorBidi"/>
            <w:noProof/>
            <w:sz w:val="22"/>
          </w:rPr>
          <w:tab/>
        </w:r>
        <w:r w:rsidRPr="006D596F" w:rsidR="00B04AB6">
          <w:rPr>
            <w:rStyle w:val="Hyperlink"/>
            <w:noProof/>
          </w:rPr>
          <w:t>Corrections to DEER2020 Interactive Effects Table</w:t>
        </w:r>
        <w:r w:rsidR="00B04AB6">
          <w:rPr>
            <w:noProof/>
            <w:webHidden/>
          </w:rPr>
          <w:tab/>
        </w:r>
        <w:r w:rsidR="00B04AB6">
          <w:rPr>
            <w:noProof/>
            <w:webHidden/>
          </w:rPr>
          <w:fldChar w:fldCharType="begin"/>
        </w:r>
        <w:r w:rsidR="00B04AB6">
          <w:rPr>
            <w:noProof/>
            <w:webHidden/>
          </w:rPr>
          <w:instrText xml:space="preserve"> PAGEREF _Toc45023426 \h </w:instrText>
        </w:r>
        <w:r w:rsidR="00B04AB6">
          <w:rPr>
            <w:noProof/>
            <w:webHidden/>
          </w:rPr>
        </w:r>
        <w:r w:rsidR="00B04AB6">
          <w:rPr>
            <w:noProof/>
            <w:webHidden/>
          </w:rPr>
          <w:fldChar w:fldCharType="separate"/>
        </w:r>
        <w:r w:rsidR="00B04AB6">
          <w:rPr>
            <w:noProof/>
            <w:webHidden/>
          </w:rPr>
          <w:t>10</w:t>
        </w:r>
        <w:r w:rsidR="00B04AB6">
          <w:rPr>
            <w:noProof/>
            <w:webHidden/>
          </w:rPr>
          <w:fldChar w:fldCharType="end"/>
        </w:r>
      </w:hyperlink>
    </w:p>
    <w:p w:rsidR="00B04AB6" w:rsidP="00B04AB6" w:rsidRDefault="00A21F6B" w14:paraId="79216D96" w14:textId="77777777">
      <w:pPr>
        <w:pStyle w:val="TOC1"/>
        <w:rPr>
          <w:rFonts w:asciiTheme="minorHAnsi" w:hAnsiTheme="minorHAnsi" w:eastAsiaTheme="minorEastAsia" w:cstheme="minorBidi"/>
          <w:sz w:val="22"/>
        </w:rPr>
      </w:pPr>
      <w:hyperlink w:history="1" w:anchor="_Toc45023427">
        <w:r w:rsidRPr="006D596F" w:rsidR="00B04AB6">
          <w:rPr>
            <w:rStyle w:val="Hyperlink"/>
          </w:rPr>
          <w:t>4.</w:t>
        </w:r>
        <w:r w:rsidR="00B04AB6">
          <w:rPr>
            <w:rFonts w:asciiTheme="minorHAnsi" w:hAnsiTheme="minorHAnsi" w:eastAsiaTheme="minorEastAsia" w:cstheme="minorBidi"/>
            <w:sz w:val="22"/>
          </w:rPr>
          <w:tab/>
        </w:r>
        <w:r w:rsidRPr="006D596F" w:rsidR="00B04AB6">
          <w:rPr>
            <w:rStyle w:val="Hyperlink"/>
          </w:rPr>
          <w:t>Review of Energy Efficiency Evaluation, Measurement, and Verification (EM&amp;V) studies</w:t>
        </w:r>
        <w:r w:rsidR="00B04AB6">
          <w:rPr>
            <w:webHidden/>
          </w:rPr>
          <w:tab/>
        </w:r>
        <w:r w:rsidR="00B04AB6">
          <w:rPr>
            <w:webHidden/>
          </w:rPr>
          <w:fldChar w:fldCharType="begin"/>
        </w:r>
        <w:r w:rsidR="00B04AB6">
          <w:rPr>
            <w:webHidden/>
          </w:rPr>
          <w:instrText xml:space="preserve"> PAGEREF _Toc45023427 \h </w:instrText>
        </w:r>
        <w:r w:rsidR="00B04AB6">
          <w:rPr>
            <w:webHidden/>
          </w:rPr>
        </w:r>
        <w:r w:rsidR="00B04AB6">
          <w:rPr>
            <w:webHidden/>
          </w:rPr>
          <w:fldChar w:fldCharType="separate"/>
        </w:r>
        <w:r w:rsidR="00B04AB6">
          <w:rPr>
            <w:webHidden/>
          </w:rPr>
          <w:t>10</w:t>
        </w:r>
        <w:r w:rsidR="00B04AB6">
          <w:rPr>
            <w:webHidden/>
          </w:rPr>
          <w:fldChar w:fldCharType="end"/>
        </w:r>
      </w:hyperlink>
    </w:p>
    <w:p w:rsidR="00B04AB6" w:rsidP="00B04AB6" w:rsidRDefault="00A21F6B" w14:paraId="12761113" w14:textId="77777777">
      <w:pPr>
        <w:pStyle w:val="TOC2"/>
        <w:rPr>
          <w:rFonts w:asciiTheme="minorHAnsi" w:hAnsiTheme="minorHAnsi" w:eastAsiaTheme="minorEastAsia" w:cstheme="minorBidi"/>
          <w:noProof/>
          <w:sz w:val="22"/>
        </w:rPr>
      </w:pPr>
      <w:hyperlink w:history="1" w:anchor="_Toc45023428">
        <w:r w:rsidRPr="006D596F" w:rsidR="00B04AB6">
          <w:rPr>
            <w:rStyle w:val="Hyperlink"/>
            <w:noProof/>
          </w:rPr>
          <w:t>4.1.</w:t>
        </w:r>
        <w:r w:rsidR="00B04AB6">
          <w:rPr>
            <w:rFonts w:asciiTheme="minorHAnsi" w:hAnsiTheme="minorHAnsi" w:eastAsiaTheme="minorEastAsia" w:cstheme="minorBidi"/>
            <w:noProof/>
            <w:sz w:val="22"/>
          </w:rPr>
          <w:tab/>
        </w:r>
        <w:r w:rsidRPr="006D596F" w:rsidR="00B04AB6">
          <w:rPr>
            <w:rStyle w:val="Hyperlink"/>
            <w:noProof/>
          </w:rPr>
          <w:t>Overarching/General Changes Needed</w:t>
        </w:r>
        <w:r w:rsidR="00B04AB6">
          <w:rPr>
            <w:noProof/>
            <w:webHidden/>
          </w:rPr>
          <w:tab/>
        </w:r>
        <w:r w:rsidR="00B04AB6">
          <w:rPr>
            <w:noProof/>
            <w:webHidden/>
          </w:rPr>
          <w:fldChar w:fldCharType="begin"/>
        </w:r>
        <w:r w:rsidR="00B04AB6">
          <w:rPr>
            <w:noProof/>
            <w:webHidden/>
          </w:rPr>
          <w:instrText xml:space="preserve"> PAGEREF _Toc45023428 \h </w:instrText>
        </w:r>
        <w:r w:rsidR="00B04AB6">
          <w:rPr>
            <w:noProof/>
            <w:webHidden/>
          </w:rPr>
        </w:r>
        <w:r w:rsidR="00B04AB6">
          <w:rPr>
            <w:noProof/>
            <w:webHidden/>
          </w:rPr>
          <w:fldChar w:fldCharType="separate"/>
        </w:r>
        <w:r w:rsidR="00B04AB6">
          <w:rPr>
            <w:noProof/>
            <w:webHidden/>
          </w:rPr>
          <w:t>11</w:t>
        </w:r>
        <w:r w:rsidR="00B04AB6">
          <w:rPr>
            <w:noProof/>
            <w:webHidden/>
          </w:rPr>
          <w:fldChar w:fldCharType="end"/>
        </w:r>
      </w:hyperlink>
    </w:p>
    <w:p w:rsidR="00B04AB6" w:rsidP="00B04AB6" w:rsidRDefault="00A21F6B" w14:paraId="5679C9DC" w14:textId="77777777">
      <w:pPr>
        <w:pStyle w:val="TOC2"/>
        <w:rPr>
          <w:rFonts w:asciiTheme="minorHAnsi" w:hAnsiTheme="minorHAnsi" w:eastAsiaTheme="minorEastAsia" w:cstheme="minorBidi"/>
          <w:noProof/>
          <w:sz w:val="22"/>
        </w:rPr>
      </w:pPr>
      <w:hyperlink w:history="1" w:anchor="_Toc45023429">
        <w:r w:rsidRPr="006D596F" w:rsidR="00B04AB6">
          <w:rPr>
            <w:rStyle w:val="Hyperlink"/>
            <w:noProof/>
          </w:rPr>
          <w:t>4.2.</w:t>
        </w:r>
        <w:r w:rsidR="00B04AB6">
          <w:rPr>
            <w:rFonts w:asciiTheme="minorHAnsi" w:hAnsiTheme="minorHAnsi" w:eastAsiaTheme="minorEastAsia" w:cstheme="minorBidi"/>
            <w:noProof/>
            <w:sz w:val="22"/>
          </w:rPr>
          <w:tab/>
        </w:r>
        <w:r w:rsidRPr="006D596F" w:rsidR="00B04AB6">
          <w:rPr>
            <w:rStyle w:val="Hyperlink"/>
            <w:noProof/>
          </w:rPr>
          <w:t>Residential Sector 2018 EM&amp;V Updates</w:t>
        </w:r>
        <w:r w:rsidR="00B04AB6">
          <w:rPr>
            <w:noProof/>
            <w:webHidden/>
          </w:rPr>
          <w:tab/>
        </w:r>
        <w:r w:rsidR="00B04AB6">
          <w:rPr>
            <w:noProof/>
            <w:webHidden/>
          </w:rPr>
          <w:fldChar w:fldCharType="begin"/>
        </w:r>
        <w:r w:rsidR="00B04AB6">
          <w:rPr>
            <w:noProof/>
            <w:webHidden/>
          </w:rPr>
          <w:instrText xml:space="preserve"> PAGEREF _Toc45023429 \h </w:instrText>
        </w:r>
        <w:r w:rsidR="00B04AB6">
          <w:rPr>
            <w:noProof/>
            <w:webHidden/>
          </w:rPr>
        </w:r>
        <w:r w:rsidR="00B04AB6">
          <w:rPr>
            <w:noProof/>
            <w:webHidden/>
          </w:rPr>
          <w:fldChar w:fldCharType="separate"/>
        </w:r>
        <w:r w:rsidR="00B04AB6">
          <w:rPr>
            <w:noProof/>
            <w:webHidden/>
          </w:rPr>
          <w:t>12</w:t>
        </w:r>
        <w:r w:rsidR="00B04AB6">
          <w:rPr>
            <w:noProof/>
            <w:webHidden/>
          </w:rPr>
          <w:fldChar w:fldCharType="end"/>
        </w:r>
      </w:hyperlink>
    </w:p>
    <w:p w:rsidR="00B04AB6" w:rsidP="00B04AB6" w:rsidRDefault="00A21F6B" w14:paraId="1941F376" w14:textId="77777777">
      <w:pPr>
        <w:pStyle w:val="TOC3"/>
        <w:tabs>
          <w:tab w:val="left" w:pos="1540"/>
        </w:tabs>
        <w:rPr>
          <w:rFonts w:asciiTheme="minorHAnsi" w:hAnsiTheme="minorHAnsi" w:eastAsiaTheme="minorEastAsia" w:cstheme="minorBidi"/>
          <w:noProof/>
          <w:sz w:val="22"/>
        </w:rPr>
      </w:pPr>
      <w:hyperlink w:history="1" w:anchor="_Toc45023430">
        <w:r w:rsidRPr="006D596F" w:rsidR="00B04AB6">
          <w:rPr>
            <w:rStyle w:val="Hyperlink"/>
            <w:noProof/>
          </w:rPr>
          <w:t>4.2.1.</w:t>
        </w:r>
        <w:r w:rsidR="00B04AB6">
          <w:rPr>
            <w:rFonts w:asciiTheme="minorHAnsi" w:hAnsiTheme="minorHAnsi" w:eastAsiaTheme="minorEastAsia" w:cstheme="minorBidi"/>
            <w:noProof/>
            <w:sz w:val="22"/>
          </w:rPr>
          <w:tab/>
        </w:r>
        <w:r w:rsidRPr="006D596F" w:rsidR="00B04AB6">
          <w:rPr>
            <w:rStyle w:val="Hyperlink"/>
            <w:noProof/>
          </w:rPr>
          <w:t>Hot Water Low-Flow Add-on Devices</w:t>
        </w:r>
        <w:r w:rsidR="00B04AB6">
          <w:rPr>
            <w:noProof/>
            <w:webHidden/>
          </w:rPr>
          <w:tab/>
        </w:r>
        <w:r w:rsidR="00B04AB6">
          <w:rPr>
            <w:noProof/>
            <w:webHidden/>
          </w:rPr>
          <w:fldChar w:fldCharType="begin"/>
        </w:r>
        <w:r w:rsidR="00B04AB6">
          <w:rPr>
            <w:noProof/>
            <w:webHidden/>
          </w:rPr>
          <w:instrText xml:space="preserve"> PAGEREF _Toc45023430 \h </w:instrText>
        </w:r>
        <w:r w:rsidR="00B04AB6">
          <w:rPr>
            <w:noProof/>
            <w:webHidden/>
          </w:rPr>
        </w:r>
        <w:r w:rsidR="00B04AB6">
          <w:rPr>
            <w:noProof/>
            <w:webHidden/>
          </w:rPr>
          <w:fldChar w:fldCharType="separate"/>
        </w:r>
        <w:r w:rsidR="00B04AB6">
          <w:rPr>
            <w:noProof/>
            <w:webHidden/>
          </w:rPr>
          <w:t>12</w:t>
        </w:r>
        <w:r w:rsidR="00B04AB6">
          <w:rPr>
            <w:noProof/>
            <w:webHidden/>
          </w:rPr>
          <w:fldChar w:fldCharType="end"/>
        </w:r>
      </w:hyperlink>
    </w:p>
    <w:p w:rsidR="00B04AB6" w:rsidP="00B04AB6" w:rsidRDefault="00A21F6B" w14:paraId="1225B6FC" w14:textId="77777777">
      <w:pPr>
        <w:pStyle w:val="TOC3"/>
        <w:tabs>
          <w:tab w:val="left" w:pos="1540"/>
        </w:tabs>
        <w:rPr>
          <w:rFonts w:asciiTheme="minorHAnsi" w:hAnsiTheme="minorHAnsi" w:eastAsiaTheme="minorEastAsia" w:cstheme="minorBidi"/>
          <w:noProof/>
          <w:sz w:val="22"/>
        </w:rPr>
      </w:pPr>
      <w:hyperlink w:history="1" w:anchor="_Toc45023431">
        <w:r w:rsidRPr="006D596F" w:rsidR="00B04AB6">
          <w:rPr>
            <w:rStyle w:val="Hyperlink"/>
            <w:noProof/>
          </w:rPr>
          <w:t>4.2.2.</w:t>
        </w:r>
        <w:r w:rsidR="00B04AB6">
          <w:rPr>
            <w:rFonts w:asciiTheme="minorHAnsi" w:hAnsiTheme="minorHAnsi" w:eastAsiaTheme="minorEastAsia" w:cstheme="minorBidi"/>
            <w:noProof/>
            <w:sz w:val="22"/>
          </w:rPr>
          <w:tab/>
        </w:r>
        <w:r w:rsidRPr="006D596F" w:rsidR="00B04AB6">
          <w:rPr>
            <w:rStyle w:val="Hyperlink"/>
            <w:noProof/>
          </w:rPr>
          <w:t>Variable Frequency Drive (VFD) Pool Pump</w:t>
        </w:r>
        <w:r w:rsidR="00B04AB6">
          <w:rPr>
            <w:noProof/>
            <w:webHidden/>
          </w:rPr>
          <w:tab/>
        </w:r>
        <w:r w:rsidR="00B04AB6">
          <w:rPr>
            <w:noProof/>
            <w:webHidden/>
          </w:rPr>
          <w:fldChar w:fldCharType="begin"/>
        </w:r>
        <w:r w:rsidR="00B04AB6">
          <w:rPr>
            <w:noProof/>
            <w:webHidden/>
          </w:rPr>
          <w:instrText xml:space="preserve"> PAGEREF _Toc45023431 \h </w:instrText>
        </w:r>
        <w:r w:rsidR="00B04AB6">
          <w:rPr>
            <w:noProof/>
            <w:webHidden/>
          </w:rPr>
        </w:r>
        <w:r w:rsidR="00B04AB6">
          <w:rPr>
            <w:noProof/>
            <w:webHidden/>
          </w:rPr>
          <w:fldChar w:fldCharType="separate"/>
        </w:r>
        <w:r w:rsidR="00B04AB6">
          <w:rPr>
            <w:noProof/>
            <w:webHidden/>
          </w:rPr>
          <w:t>13</w:t>
        </w:r>
        <w:r w:rsidR="00B04AB6">
          <w:rPr>
            <w:noProof/>
            <w:webHidden/>
          </w:rPr>
          <w:fldChar w:fldCharType="end"/>
        </w:r>
      </w:hyperlink>
    </w:p>
    <w:p w:rsidR="00B04AB6" w:rsidP="00B04AB6" w:rsidRDefault="00A21F6B" w14:paraId="4BE98F1A" w14:textId="77777777">
      <w:pPr>
        <w:pStyle w:val="TOC3"/>
        <w:tabs>
          <w:tab w:val="left" w:pos="1540"/>
        </w:tabs>
        <w:rPr>
          <w:rFonts w:asciiTheme="minorHAnsi" w:hAnsiTheme="minorHAnsi" w:eastAsiaTheme="minorEastAsia" w:cstheme="minorBidi"/>
          <w:noProof/>
          <w:sz w:val="22"/>
        </w:rPr>
      </w:pPr>
      <w:hyperlink w:history="1" w:anchor="_Toc45023432">
        <w:r w:rsidRPr="006D596F" w:rsidR="00B04AB6">
          <w:rPr>
            <w:rStyle w:val="Hyperlink"/>
            <w:noProof/>
          </w:rPr>
          <w:t>4.2.3.</w:t>
        </w:r>
        <w:r w:rsidR="00B04AB6">
          <w:rPr>
            <w:rFonts w:asciiTheme="minorHAnsi" w:hAnsiTheme="minorHAnsi" w:eastAsiaTheme="minorEastAsia" w:cstheme="minorBidi"/>
            <w:noProof/>
            <w:sz w:val="22"/>
          </w:rPr>
          <w:tab/>
        </w:r>
        <w:r w:rsidRPr="006D596F" w:rsidR="00B04AB6">
          <w:rPr>
            <w:rStyle w:val="Hyperlink"/>
            <w:noProof/>
          </w:rPr>
          <w:t>Smart Controllable Thermostats</w:t>
        </w:r>
        <w:r w:rsidR="00B04AB6">
          <w:rPr>
            <w:noProof/>
            <w:webHidden/>
          </w:rPr>
          <w:tab/>
        </w:r>
        <w:r w:rsidR="00B04AB6">
          <w:rPr>
            <w:noProof/>
            <w:webHidden/>
          </w:rPr>
          <w:fldChar w:fldCharType="begin"/>
        </w:r>
        <w:r w:rsidR="00B04AB6">
          <w:rPr>
            <w:noProof/>
            <w:webHidden/>
          </w:rPr>
          <w:instrText xml:space="preserve"> PAGEREF _Toc45023432 \h </w:instrText>
        </w:r>
        <w:r w:rsidR="00B04AB6">
          <w:rPr>
            <w:noProof/>
            <w:webHidden/>
          </w:rPr>
        </w:r>
        <w:r w:rsidR="00B04AB6">
          <w:rPr>
            <w:noProof/>
            <w:webHidden/>
          </w:rPr>
          <w:fldChar w:fldCharType="separate"/>
        </w:r>
        <w:r w:rsidR="00B04AB6">
          <w:rPr>
            <w:noProof/>
            <w:webHidden/>
          </w:rPr>
          <w:t>13</w:t>
        </w:r>
        <w:r w:rsidR="00B04AB6">
          <w:rPr>
            <w:noProof/>
            <w:webHidden/>
          </w:rPr>
          <w:fldChar w:fldCharType="end"/>
        </w:r>
      </w:hyperlink>
    </w:p>
    <w:p w:rsidR="00B04AB6" w:rsidP="00B04AB6" w:rsidRDefault="00A21F6B" w14:paraId="5A23C311" w14:textId="77777777">
      <w:pPr>
        <w:pStyle w:val="TOC2"/>
        <w:rPr>
          <w:rFonts w:asciiTheme="minorHAnsi" w:hAnsiTheme="minorHAnsi" w:eastAsiaTheme="minorEastAsia" w:cstheme="minorBidi"/>
          <w:noProof/>
          <w:sz w:val="22"/>
        </w:rPr>
      </w:pPr>
      <w:hyperlink w:history="1" w:anchor="_Toc45023433">
        <w:r w:rsidRPr="006D596F" w:rsidR="00B04AB6">
          <w:rPr>
            <w:rStyle w:val="Hyperlink"/>
            <w:noProof/>
          </w:rPr>
          <w:t>4.3.</w:t>
        </w:r>
        <w:r w:rsidR="00B04AB6">
          <w:rPr>
            <w:rFonts w:asciiTheme="minorHAnsi" w:hAnsiTheme="minorHAnsi" w:eastAsiaTheme="minorEastAsia" w:cstheme="minorBidi"/>
            <w:noProof/>
            <w:sz w:val="22"/>
          </w:rPr>
          <w:tab/>
        </w:r>
        <w:r w:rsidRPr="006D596F" w:rsidR="00B04AB6">
          <w:rPr>
            <w:rStyle w:val="Hyperlink"/>
            <w:noProof/>
          </w:rPr>
          <w:t>Upstream and Downstream Lighting 2018 EM&amp;V Updates</w:t>
        </w:r>
        <w:r w:rsidR="00B04AB6">
          <w:rPr>
            <w:noProof/>
            <w:webHidden/>
          </w:rPr>
          <w:tab/>
        </w:r>
        <w:r w:rsidR="00B04AB6">
          <w:rPr>
            <w:noProof/>
            <w:webHidden/>
          </w:rPr>
          <w:fldChar w:fldCharType="begin"/>
        </w:r>
        <w:r w:rsidR="00B04AB6">
          <w:rPr>
            <w:noProof/>
            <w:webHidden/>
          </w:rPr>
          <w:instrText xml:space="preserve"> PAGEREF _Toc45023433 \h </w:instrText>
        </w:r>
        <w:r w:rsidR="00B04AB6">
          <w:rPr>
            <w:noProof/>
            <w:webHidden/>
          </w:rPr>
        </w:r>
        <w:r w:rsidR="00B04AB6">
          <w:rPr>
            <w:noProof/>
            <w:webHidden/>
          </w:rPr>
          <w:fldChar w:fldCharType="separate"/>
        </w:r>
        <w:r w:rsidR="00B04AB6">
          <w:rPr>
            <w:noProof/>
            <w:webHidden/>
          </w:rPr>
          <w:t>13</w:t>
        </w:r>
        <w:r w:rsidR="00B04AB6">
          <w:rPr>
            <w:noProof/>
            <w:webHidden/>
          </w:rPr>
          <w:fldChar w:fldCharType="end"/>
        </w:r>
      </w:hyperlink>
    </w:p>
    <w:p w:rsidR="00B04AB6" w:rsidP="00B04AB6" w:rsidRDefault="00A21F6B" w14:paraId="28FF4F39" w14:textId="77777777">
      <w:pPr>
        <w:pStyle w:val="TOC3"/>
        <w:tabs>
          <w:tab w:val="left" w:pos="1540"/>
        </w:tabs>
        <w:rPr>
          <w:rFonts w:asciiTheme="minorHAnsi" w:hAnsiTheme="minorHAnsi" w:eastAsiaTheme="minorEastAsia" w:cstheme="minorBidi"/>
          <w:noProof/>
          <w:sz w:val="22"/>
        </w:rPr>
      </w:pPr>
      <w:hyperlink w:history="1" w:anchor="_Toc45023434">
        <w:r w:rsidRPr="006D596F" w:rsidR="00B04AB6">
          <w:rPr>
            <w:rStyle w:val="Hyperlink"/>
            <w:noProof/>
          </w:rPr>
          <w:t>4.3.1.</w:t>
        </w:r>
        <w:r w:rsidR="00B04AB6">
          <w:rPr>
            <w:rFonts w:asciiTheme="minorHAnsi" w:hAnsiTheme="minorHAnsi" w:eastAsiaTheme="minorEastAsia" w:cstheme="minorBidi"/>
            <w:noProof/>
            <w:sz w:val="22"/>
          </w:rPr>
          <w:tab/>
        </w:r>
        <w:r w:rsidRPr="006D596F" w:rsidR="00B04AB6">
          <w:rPr>
            <w:rStyle w:val="Hyperlink"/>
            <w:noProof/>
          </w:rPr>
          <w:t>Upstream/Residential Lighting</w:t>
        </w:r>
        <w:r w:rsidR="00B04AB6">
          <w:rPr>
            <w:noProof/>
            <w:webHidden/>
          </w:rPr>
          <w:tab/>
        </w:r>
        <w:r w:rsidR="00B04AB6">
          <w:rPr>
            <w:noProof/>
            <w:webHidden/>
          </w:rPr>
          <w:fldChar w:fldCharType="begin"/>
        </w:r>
        <w:r w:rsidR="00B04AB6">
          <w:rPr>
            <w:noProof/>
            <w:webHidden/>
          </w:rPr>
          <w:instrText xml:space="preserve"> PAGEREF _Toc45023434 \h </w:instrText>
        </w:r>
        <w:r w:rsidR="00B04AB6">
          <w:rPr>
            <w:noProof/>
            <w:webHidden/>
          </w:rPr>
        </w:r>
        <w:r w:rsidR="00B04AB6">
          <w:rPr>
            <w:noProof/>
            <w:webHidden/>
          </w:rPr>
          <w:fldChar w:fldCharType="separate"/>
        </w:r>
        <w:r w:rsidR="00B04AB6">
          <w:rPr>
            <w:noProof/>
            <w:webHidden/>
          </w:rPr>
          <w:t>14</w:t>
        </w:r>
        <w:r w:rsidR="00B04AB6">
          <w:rPr>
            <w:noProof/>
            <w:webHidden/>
          </w:rPr>
          <w:fldChar w:fldCharType="end"/>
        </w:r>
      </w:hyperlink>
    </w:p>
    <w:p w:rsidR="00B04AB6" w:rsidP="00B04AB6" w:rsidRDefault="00A21F6B" w14:paraId="658F14B2" w14:textId="77777777">
      <w:pPr>
        <w:pStyle w:val="TOC3"/>
        <w:tabs>
          <w:tab w:val="left" w:pos="1540"/>
        </w:tabs>
        <w:rPr>
          <w:rFonts w:asciiTheme="minorHAnsi" w:hAnsiTheme="minorHAnsi" w:eastAsiaTheme="minorEastAsia" w:cstheme="minorBidi"/>
          <w:noProof/>
          <w:sz w:val="22"/>
        </w:rPr>
      </w:pPr>
      <w:hyperlink w:history="1" w:anchor="_Toc45023435">
        <w:r w:rsidRPr="006D596F" w:rsidR="00B04AB6">
          <w:rPr>
            <w:rStyle w:val="Hyperlink"/>
            <w:noProof/>
          </w:rPr>
          <w:t>4.3.2.</w:t>
        </w:r>
        <w:r w:rsidR="00B04AB6">
          <w:rPr>
            <w:rFonts w:asciiTheme="minorHAnsi" w:hAnsiTheme="minorHAnsi" w:eastAsiaTheme="minorEastAsia" w:cstheme="minorBidi"/>
            <w:noProof/>
            <w:sz w:val="22"/>
          </w:rPr>
          <w:tab/>
        </w:r>
        <w:r w:rsidRPr="006D596F" w:rsidR="00B04AB6">
          <w:rPr>
            <w:rStyle w:val="Hyperlink"/>
            <w:noProof/>
          </w:rPr>
          <w:t>Nonresidential Downstream Lighting</w:t>
        </w:r>
        <w:r w:rsidR="00B04AB6">
          <w:rPr>
            <w:noProof/>
            <w:webHidden/>
          </w:rPr>
          <w:tab/>
        </w:r>
        <w:r w:rsidR="00B04AB6">
          <w:rPr>
            <w:noProof/>
            <w:webHidden/>
          </w:rPr>
          <w:fldChar w:fldCharType="begin"/>
        </w:r>
        <w:r w:rsidR="00B04AB6">
          <w:rPr>
            <w:noProof/>
            <w:webHidden/>
          </w:rPr>
          <w:instrText xml:space="preserve"> PAGEREF _Toc45023435 \h </w:instrText>
        </w:r>
        <w:r w:rsidR="00B04AB6">
          <w:rPr>
            <w:noProof/>
            <w:webHidden/>
          </w:rPr>
        </w:r>
        <w:r w:rsidR="00B04AB6">
          <w:rPr>
            <w:noProof/>
            <w:webHidden/>
          </w:rPr>
          <w:fldChar w:fldCharType="separate"/>
        </w:r>
        <w:r w:rsidR="00B04AB6">
          <w:rPr>
            <w:noProof/>
            <w:webHidden/>
          </w:rPr>
          <w:t>14</w:t>
        </w:r>
        <w:r w:rsidR="00B04AB6">
          <w:rPr>
            <w:noProof/>
            <w:webHidden/>
          </w:rPr>
          <w:fldChar w:fldCharType="end"/>
        </w:r>
      </w:hyperlink>
    </w:p>
    <w:p w:rsidR="00B04AB6" w:rsidP="00B04AB6" w:rsidRDefault="00A21F6B" w14:paraId="3D19EC72" w14:textId="77777777">
      <w:pPr>
        <w:pStyle w:val="TOC2"/>
        <w:rPr>
          <w:rFonts w:asciiTheme="minorHAnsi" w:hAnsiTheme="minorHAnsi" w:eastAsiaTheme="minorEastAsia" w:cstheme="minorBidi"/>
          <w:noProof/>
          <w:sz w:val="22"/>
        </w:rPr>
      </w:pPr>
      <w:hyperlink w:history="1" w:anchor="_Toc45023436">
        <w:r w:rsidRPr="006D596F" w:rsidR="00B04AB6">
          <w:rPr>
            <w:rStyle w:val="Hyperlink"/>
            <w:noProof/>
          </w:rPr>
          <w:t>4.4.</w:t>
        </w:r>
        <w:r w:rsidR="00B04AB6">
          <w:rPr>
            <w:rFonts w:asciiTheme="minorHAnsi" w:hAnsiTheme="minorHAnsi" w:eastAsiaTheme="minorEastAsia" w:cstheme="minorBidi"/>
            <w:noProof/>
            <w:sz w:val="22"/>
          </w:rPr>
          <w:tab/>
        </w:r>
        <w:r w:rsidRPr="006D596F" w:rsidR="00B04AB6">
          <w:rPr>
            <w:rStyle w:val="Hyperlink"/>
            <w:noProof/>
          </w:rPr>
          <w:t>HVAC Sector Program Year 2018 EM&amp;V Updates</w:t>
        </w:r>
        <w:r w:rsidR="00B04AB6">
          <w:rPr>
            <w:noProof/>
            <w:webHidden/>
          </w:rPr>
          <w:tab/>
        </w:r>
        <w:r w:rsidR="00B04AB6">
          <w:rPr>
            <w:noProof/>
            <w:webHidden/>
          </w:rPr>
          <w:fldChar w:fldCharType="begin"/>
        </w:r>
        <w:r w:rsidR="00B04AB6">
          <w:rPr>
            <w:noProof/>
            <w:webHidden/>
          </w:rPr>
          <w:instrText xml:space="preserve"> PAGEREF _Toc45023436 \h </w:instrText>
        </w:r>
        <w:r w:rsidR="00B04AB6">
          <w:rPr>
            <w:noProof/>
            <w:webHidden/>
          </w:rPr>
        </w:r>
        <w:r w:rsidR="00B04AB6">
          <w:rPr>
            <w:noProof/>
            <w:webHidden/>
          </w:rPr>
          <w:fldChar w:fldCharType="separate"/>
        </w:r>
        <w:r w:rsidR="00B04AB6">
          <w:rPr>
            <w:noProof/>
            <w:webHidden/>
          </w:rPr>
          <w:t>14</w:t>
        </w:r>
        <w:r w:rsidR="00B04AB6">
          <w:rPr>
            <w:noProof/>
            <w:webHidden/>
          </w:rPr>
          <w:fldChar w:fldCharType="end"/>
        </w:r>
      </w:hyperlink>
    </w:p>
    <w:p w:rsidR="00B04AB6" w:rsidP="00B04AB6" w:rsidRDefault="00A21F6B" w14:paraId="2690ADF4" w14:textId="77777777">
      <w:pPr>
        <w:pStyle w:val="TOC3"/>
        <w:tabs>
          <w:tab w:val="left" w:pos="1540"/>
        </w:tabs>
        <w:rPr>
          <w:rFonts w:asciiTheme="minorHAnsi" w:hAnsiTheme="minorHAnsi" w:eastAsiaTheme="minorEastAsia" w:cstheme="minorBidi"/>
          <w:noProof/>
          <w:sz w:val="22"/>
        </w:rPr>
      </w:pPr>
      <w:hyperlink w:history="1" w:anchor="_Toc45023437">
        <w:r w:rsidRPr="006D596F" w:rsidR="00B04AB6">
          <w:rPr>
            <w:rStyle w:val="Hyperlink"/>
            <w:noProof/>
          </w:rPr>
          <w:t>4.4.1.</w:t>
        </w:r>
        <w:r w:rsidR="00B04AB6">
          <w:rPr>
            <w:rFonts w:asciiTheme="minorHAnsi" w:hAnsiTheme="minorHAnsi" w:eastAsiaTheme="minorEastAsia" w:cstheme="minorBidi"/>
            <w:noProof/>
            <w:sz w:val="22"/>
          </w:rPr>
          <w:tab/>
        </w:r>
        <w:r w:rsidRPr="006D596F" w:rsidR="00B04AB6">
          <w:rPr>
            <w:rStyle w:val="Hyperlink"/>
            <w:noProof/>
          </w:rPr>
          <w:t>Rooftop and Split-System</w:t>
        </w:r>
        <w:r w:rsidR="00B04AB6">
          <w:rPr>
            <w:noProof/>
            <w:webHidden/>
          </w:rPr>
          <w:tab/>
        </w:r>
        <w:r w:rsidR="00B04AB6">
          <w:rPr>
            <w:noProof/>
            <w:webHidden/>
          </w:rPr>
          <w:fldChar w:fldCharType="begin"/>
        </w:r>
        <w:r w:rsidR="00B04AB6">
          <w:rPr>
            <w:noProof/>
            <w:webHidden/>
          </w:rPr>
          <w:instrText xml:space="preserve"> PAGEREF _Toc45023437 \h </w:instrText>
        </w:r>
        <w:r w:rsidR="00B04AB6">
          <w:rPr>
            <w:noProof/>
            <w:webHidden/>
          </w:rPr>
        </w:r>
        <w:r w:rsidR="00B04AB6">
          <w:rPr>
            <w:noProof/>
            <w:webHidden/>
          </w:rPr>
          <w:fldChar w:fldCharType="separate"/>
        </w:r>
        <w:r w:rsidR="00B04AB6">
          <w:rPr>
            <w:noProof/>
            <w:webHidden/>
          </w:rPr>
          <w:t>14</w:t>
        </w:r>
        <w:r w:rsidR="00B04AB6">
          <w:rPr>
            <w:noProof/>
            <w:webHidden/>
          </w:rPr>
          <w:fldChar w:fldCharType="end"/>
        </w:r>
      </w:hyperlink>
    </w:p>
    <w:p w:rsidR="00B04AB6" w:rsidP="00B04AB6" w:rsidRDefault="00A21F6B" w14:paraId="176E29A2" w14:textId="77777777">
      <w:pPr>
        <w:pStyle w:val="TOC3"/>
        <w:tabs>
          <w:tab w:val="left" w:pos="1540"/>
        </w:tabs>
        <w:rPr>
          <w:rFonts w:asciiTheme="minorHAnsi" w:hAnsiTheme="minorHAnsi" w:eastAsiaTheme="minorEastAsia" w:cstheme="minorBidi"/>
          <w:noProof/>
          <w:sz w:val="22"/>
        </w:rPr>
      </w:pPr>
      <w:hyperlink w:history="1" w:anchor="_Toc45023438">
        <w:r w:rsidRPr="006D596F" w:rsidR="00B04AB6">
          <w:rPr>
            <w:rStyle w:val="Hyperlink"/>
            <w:noProof/>
          </w:rPr>
          <w:t>4.4.2.</w:t>
        </w:r>
        <w:r w:rsidR="00B04AB6">
          <w:rPr>
            <w:rFonts w:asciiTheme="minorHAnsi" w:hAnsiTheme="minorHAnsi" w:eastAsiaTheme="minorEastAsia" w:cstheme="minorBidi"/>
            <w:noProof/>
            <w:sz w:val="22"/>
          </w:rPr>
          <w:tab/>
        </w:r>
        <w:r w:rsidRPr="006D596F" w:rsidR="00B04AB6">
          <w:rPr>
            <w:rStyle w:val="Hyperlink"/>
            <w:noProof/>
          </w:rPr>
          <w:t>Fan Motor Replacement</w:t>
        </w:r>
        <w:r w:rsidR="00B04AB6">
          <w:rPr>
            <w:noProof/>
            <w:webHidden/>
          </w:rPr>
          <w:tab/>
        </w:r>
        <w:r w:rsidR="00B04AB6">
          <w:rPr>
            <w:noProof/>
            <w:webHidden/>
          </w:rPr>
          <w:fldChar w:fldCharType="begin"/>
        </w:r>
        <w:r w:rsidR="00B04AB6">
          <w:rPr>
            <w:noProof/>
            <w:webHidden/>
          </w:rPr>
          <w:instrText xml:space="preserve"> PAGEREF _Toc45023438 \h </w:instrText>
        </w:r>
        <w:r w:rsidR="00B04AB6">
          <w:rPr>
            <w:noProof/>
            <w:webHidden/>
          </w:rPr>
        </w:r>
        <w:r w:rsidR="00B04AB6">
          <w:rPr>
            <w:noProof/>
            <w:webHidden/>
          </w:rPr>
          <w:fldChar w:fldCharType="separate"/>
        </w:r>
        <w:r w:rsidR="00B04AB6">
          <w:rPr>
            <w:noProof/>
            <w:webHidden/>
          </w:rPr>
          <w:t>15</w:t>
        </w:r>
        <w:r w:rsidR="00B04AB6">
          <w:rPr>
            <w:noProof/>
            <w:webHidden/>
          </w:rPr>
          <w:fldChar w:fldCharType="end"/>
        </w:r>
      </w:hyperlink>
    </w:p>
    <w:p w:rsidR="00B04AB6" w:rsidP="00B04AB6" w:rsidRDefault="00A21F6B" w14:paraId="783FE3F8" w14:textId="77777777">
      <w:pPr>
        <w:pStyle w:val="TOC3"/>
        <w:tabs>
          <w:tab w:val="left" w:pos="1540"/>
        </w:tabs>
        <w:rPr>
          <w:rFonts w:asciiTheme="minorHAnsi" w:hAnsiTheme="minorHAnsi" w:eastAsiaTheme="minorEastAsia" w:cstheme="minorBidi"/>
          <w:noProof/>
          <w:sz w:val="22"/>
        </w:rPr>
      </w:pPr>
      <w:hyperlink w:history="1" w:anchor="_Toc45023439">
        <w:r w:rsidRPr="006D596F" w:rsidR="00B04AB6">
          <w:rPr>
            <w:rStyle w:val="Hyperlink"/>
            <w:noProof/>
          </w:rPr>
          <w:t>4.4.3.</w:t>
        </w:r>
        <w:r w:rsidR="00B04AB6">
          <w:rPr>
            <w:rFonts w:asciiTheme="minorHAnsi" w:hAnsiTheme="minorHAnsi" w:eastAsiaTheme="minorEastAsia" w:cstheme="minorBidi"/>
            <w:noProof/>
            <w:sz w:val="22"/>
          </w:rPr>
          <w:tab/>
        </w:r>
        <w:r w:rsidRPr="006D596F" w:rsidR="00B04AB6">
          <w:rPr>
            <w:rStyle w:val="Hyperlink"/>
            <w:noProof/>
          </w:rPr>
          <w:t>Duct Testing and Sealing</w:t>
        </w:r>
        <w:r w:rsidR="00B04AB6">
          <w:rPr>
            <w:noProof/>
            <w:webHidden/>
          </w:rPr>
          <w:tab/>
        </w:r>
        <w:r w:rsidR="00B04AB6">
          <w:rPr>
            <w:noProof/>
            <w:webHidden/>
          </w:rPr>
          <w:fldChar w:fldCharType="begin"/>
        </w:r>
        <w:r w:rsidR="00B04AB6">
          <w:rPr>
            <w:noProof/>
            <w:webHidden/>
          </w:rPr>
          <w:instrText xml:space="preserve"> PAGEREF _Toc45023439 \h </w:instrText>
        </w:r>
        <w:r w:rsidR="00B04AB6">
          <w:rPr>
            <w:noProof/>
            <w:webHidden/>
          </w:rPr>
        </w:r>
        <w:r w:rsidR="00B04AB6">
          <w:rPr>
            <w:noProof/>
            <w:webHidden/>
          </w:rPr>
          <w:fldChar w:fldCharType="separate"/>
        </w:r>
        <w:r w:rsidR="00B04AB6">
          <w:rPr>
            <w:noProof/>
            <w:webHidden/>
          </w:rPr>
          <w:t>16</w:t>
        </w:r>
        <w:r w:rsidR="00B04AB6">
          <w:rPr>
            <w:noProof/>
            <w:webHidden/>
          </w:rPr>
          <w:fldChar w:fldCharType="end"/>
        </w:r>
      </w:hyperlink>
    </w:p>
    <w:p w:rsidR="00B04AB6" w:rsidP="00B04AB6" w:rsidRDefault="00A21F6B" w14:paraId="4619A32B" w14:textId="77777777">
      <w:pPr>
        <w:pStyle w:val="TOC3"/>
        <w:tabs>
          <w:tab w:val="left" w:pos="1540"/>
        </w:tabs>
        <w:rPr>
          <w:rFonts w:asciiTheme="minorHAnsi" w:hAnsiTheme="minorHAnsi" w:eastAsiaTheme="minorEastAsia" w:cstheme="minorBidi"/>
          <w:noProof/>
          <w:sz w:val="22"/>
        </w:rPr>
      </w:pPr>
      <w:hyperlink w:history="1" w:anchor="_Toc45023440">
        <w:r w:rsidRPr="006D596F" w:rsidR="00B04AB6">
          <w:rPr>
            <w:rStyle w:val="Hyperlink"/>
            <w:noProof/>
          </w:rPr>
          <w:t>4.4.4.</w:t>
        </w:r>
        <w:r w:rsidR="00B04AB6">
          <w:rPr>
            <w:rFonts w:asciiTheme="minorHAnsi" w:hAnsiTheme="minorHAnsi" w:eastAsiaTheme="minorEastAsia" w:cstheme="minorBidi"/>
            <w:noProof/>
            <w:sz w:val="22"/>
          </w:rPr>
          <w:tab/>
        </w:r>
        <w:r w:rsidRPr="006D596F" w:rsidR="00B04AB6">
          <w:rPr>
            <w:rStyle w:val="Hyperlink"/>
            <w:noProof/>
          </w:rPr>
          <w:t>Water-Cooled Chillers</w:t>
        </w:r>
        <w:r w:rsidR="00B04AB6">
          <w:rPr>
            <w:noProof/>
            <w:webHidden/>
          </w:rPr>
          <w:tab/>
        </w:r>
        <w:r w:rsidR="00B04AB6">
          <w:rPr>
            <w:noProof/>
            <w:webHidden/>
          </w:rPr>
          <w:fldChar w:fldCharType="begin"/>
        </w:r>
        <w:r w:rsidR="00B04AB6">
          <w:rPr>
            <w:noProof/>
            <w:webHidden/>
          </w:rPr>
          <w:instrText xml:space="preserve"> PAGEREF _Toc45023440 \h </w:instrText>
        </w:r>
        <w:r w:rsidR="00B04AB6">
          <w:rPr>
            <w:noProof/>
            <w:webHidden/>
          </w:rPr>
        </w:r>
        <w:r w:rsidR="00B04AB6">
          <w:rPr>
            <w:noProof/>
            <w:webHidden/>
          </w:rPr>
          <w:fldChar w:fldCharType="separate"/>
        </w:r>
        <w:r w:rsidR="00B04AB6">
          <w:rPr>
            <w:noProof/>
            <w:webHidden/>
          </w:rPr>
          <w:t>16</w:t>
        </w:r>
        <w:r w:rsidR="00B04AB6">
          <w:rPr>
            <w:noProof/>
            <w:webHidden/>
          </w:rPr>
          <w:fldChar w:fldCharType="end"/>
        </w:r>
      </w:hyperlink>
    </w:p>
    <w:p w:rsidR="00B04AB6" w:rsidP="00B04AB6" w:rsidRDefault="00A21F6B" w14:paraId="60958F0C" w14:textId="77777777">
      <w:pPr>
        <w:pStyle w:val="TOC3"/>
        <w:tabs>
          <w:tab w:val="left" w:pos="1540"/>
        </w:tabs>
        <w:rPr>
          <w:rFonts w:asciiTheme="minorHAnsi" w:hAnsiTheme="minorHAnsi" w:eastAsiaTheme="minorEastAsia" w:cstheme="minorBidi"/>
          <w:noProof/>
          <w:sz w:val="22"/>
        </w:rPr>
      </w:pPr>
      <w:hyperlink w:history="1" w:anchor="_Toc45023441">
        <w:r w:rsidRPr="006D596F" w:rsidR="00B04AB6">
          <w:rPr>
            <w:rStyle w:val="Hyperlink"/>
            <w:noProof/>
          </w:rPr>
          <w:t>4.4.5.</w:t>
        </w:r>
        <w:r w:rsidR="00B04AB6">
          <w:rPr>
            <w:rFonts w:asciiTheme="minorHAnsi" w:hAnsiTheme="minorHAnsi" w:eastAsiaTheme="minorEastAsia" w:cstheme="minorBidi"/>
            <w:noProof/>
            <w:sz w:val="22"/>
          </w:rPr>
          <w:tab/>
        </w:r>
        <w:r w:rsidRPr="006D596F" w:rsidR="00B04AB6">
          <w:rPr>
            <w:rStyle w:val="Hyperlink"/>
            <w:noProof/>
          </w:rPr>
          <w:t>Natural Gas Boilers</w:t>
        </w:r>
        <w:r w:rsidR="00B04AB6">
          <w:rPr>
            <w:noProof/>
            <w:webHidden/>
          </w:rPr>
          <w:tab/>
        </w:r>
        <w:r w:rsidR="00B04AB6">
          <w:rPr>
            <w:noProof/>
            <w:webHidden/>
          </w:rPr>
          <w:fldChar w:fldCharType="begin"/>
        </w:r>
        <w:r w:rsidR="00B04AB6">
          <w:rPr>
            <w:noProof/>
            <w:webHidden/>
          </w:rPr>
          <w:instrText xml:space="preserve"> PAGEREF _Toc45023441 \h </w:instrText>
        </w:r>
        <w:r w:rsidR="00B04AB6">
          <w:rPr>
            <w:noProof/>
            <w:webHidden/>
          </w:rPr>
        </w:r>
        <w:r w:rsidR="00B04AB6">
          <w:rPr>
            <w:noProof/>
            <w:webHidden/>
          </w:rPr>
          <w:fldChar w:fldCharType="separate"/>
        </w:r>
        <w:r w:rsidR="00B04AB6">
          <w:rPr>
            <w:noProof/>
            <w:webHidden/>
          </w:rPr>
          <w:t>17</w:t>
        </w:r>
        <w:r w:rsidR="00B04AB6">
          <w:rPr>
            <w:noProof/>
            <w:webHidden/>
          </w:rPr>
          <w:fldChar w:fldCharType="end"/>
        </w:r>
      </w:hyperlink>
    </w:p>
    <w:p w:rsidR="00B04AB6" w:rsidP="00B04AB6" w:rsidRDefault="00A21F6B" w14:paraId="649DA4CF" w14:textId="77777777">
      <w:pPr>
        <w:pStyle w:val="TOC2"/>
        <w:rPr>
          <w:rFonts w:asciiTheme="minorHAnsi" w:hAnsiTheme="minorHAnsi" w:eastAsiaTheme="minorEastAsia" w:cstheme="minorBidi"/>
          <w:noProof/>
          <w:sz w:val="22"/>
        </w:rPr>
      </w:pPr>
      <w:hyperlink w:history="1" w:anchor="_Toc45023442">
        <w:r w:rsidRPr="006D596F" w:rsidR="00B04AB6">
          <w:rPr>
            <w:rStyle w:val="Hyperlink"/>
            <w:noProof/>
          </w:rPr>
          <w:t>4.5.</w:t>
        </w:r>
        <w:r w:rsidR="00B04AB6">
          <w:rPr>
            <w:rFonts w:asciiTheme="minorHAnsi" w:hAnsiTheme="minorHAnsi" w:eastAsiaTheme="minorEastAsia" w:cstheme="minorBidi"/>
            <w:noProof/>
            <w:sz w:val="22"/>
          </w:rPr>
          <w:tab/>
        </w:r>
        <w:r w:rsidRPr="006D596F" w:rsidR="00B04AB6">
          <w:rPr>
            <w:rStyle w:val="Hyperlink"/>
            <w:noProof/>
          </w:rPr>
          <w:t>Small and Medium Commercial 2018 EM&amp;V Updates</w:t>
        </w:r>
        <w:r w:rsidR="00B04AB6">
          <w:rPr>
            <w:noProof/>
            <w:webHidden/>
          </w:rPr>
          <w:tab/>
        </w:r>
        <w:r w:rsidR="00B04AB6">
          <w:rPr>
            <w:noProof/>
            <w:webHidden/>
          </w:rPr>
          <w:fldChar w:fldCharType="begin"/>
        </w:r>
        <w:r w:rsidR="00B04AB6">
          <w:rPr>
            <w:noProof/>
            <w:webHidden/>
          </w:rPr>
          <w:instrText xml:space="preserve"> PAGEREF _Toc45023442 \h </w:instrText>
        </w:r>
        <w:r w:rsidR="00B04AB6">
          <w:rPr>
            <w:noProof/>
            <w:webHidden/>
          </w:rPr>
        </w:r>
        <w:r w:rsidR="00B04AB6">
          <w:rPr>
            <w:noProof/>
            <w:webHidden/>
          </w:rPr>
          <w:fldChar w:fldCharType="separate"/>
        </w:r>
        <w:r w:rsidR="00B04AB6">
          <w:rPr>
            <w:noProof/>
            <w:webHidden/>
          </w:rPr>
          <w:t>17</w:t>
        </w:r>
        <w:r w:rsidR="00B04AB6">
          <w:rPr>
            <w:noProof/>
            <w:webHidden/>
          </w:rPr>
          <w:fldChar w:fldCharType="end"/>
        </w:r>
      </w:hyperlink>
    </w:p>
    <w:p w:rsidR="00B04AB6" w:rsidP="00B04AB6" w:rsidRDefault="00A21F6B" w14:paraId="0EC89728" w14:textId="77777777">
      <w:pPr>
        <w:pStyle w:val="TOC3"/>
        <w:tabs>
          <w:tab w:val="left" w:pos="1540"/>
        </w:tabs>
        <w:rPr>
          <w:rFonts w:asciiTheme="minorHAnsi" w:hAnsiTheme="minorHAnsi" w:eastAsiaTheme="minorEastAsia" w:cstheme="minorBidi"/>
          <w:noProof/>
          <w:sz w:val="22"/>
        </w:rPr>
      </w:pPr>
      <w:hyperlink w:history="1" w:anchor="_Toc45023443">
        <w:r w:rsidRPr="006D596F" w:rsidR="00B04AB6">
          <w:rPr>
            <w:rStyle w:val="Hyperlink"/>
            <w:noProof/>
          </w:rPr>
          <w:t>4.5.1.</w:t>
        </w:r>
        <w:r w:rsidR="00B04AB6">
          <w:rPr>
            <w:rFonts w:asciiTheme="minorHAnsi" w:hAnsiTheme="minorHAnsi" w:eastAsiaTheme="minorEastAsia" w:cstheme="minorBidi"/>
            <w:noProof/>
            <w:sz w:val="22"/>
          </w:rPr>
          <w:tab/>
        </w:r>
        <w:r w:rsidRPr="006D596F" w:rsidR="00B04AB6">
          <w:rPr>
            <w:rStyle w:val="Hyperlink"/>
            <w:noProof/>
          </w:rPr>
          <w:t>Refrigeration-Case LED Lighting</w:t>
        </w:r>
        <w:r w:rsidR="00B04AB6">
          <w:rPr>
            <w:noProof/>
            <w:webHidden/>
          </w:rPr>
          <w:tab/>
        </w:r>
        <w:r w:rsidR="00B04AB6">
          <w:rPr>
            <w:noProof/>
            <w:webHidden/>
          </w:rPr>
          <w:fldChar w:fldCharType="begin"/>
        </w:r>
        <w:r w:rsidR="00B04AB6">
          <w:rPr>
            <w:noProof/>
            <w:webHidden/>
          </w:rPr>
          <w:instrText xml:space="preserve"> PAGEREF _Toc45023443 \h </w:instrText>
        </w:r>
        <w:r w:rsidR="00B04AB6">
          <w:rPr>
            <w:noProof/>
            <w:webHidden/>
          </w:rPr>
        </w:r>
        <w:r w:rsidR="00B04AB6">
          <w:rPr>
            <w:noProof/>
            <w:webHidden/>
          </w:rPr>
          <w:fldChar w:fldCharType="separate"/>
        </w:r>
        <w:r w:rsidR="00B04AB6">
          <w:rPr>
            <w:noProof/>
            <w:webHidden/>
          </w:rPr>
          <w:t>17</w:t>
        </w:r>
        <w:r w:rsidR="00B04AB6">
          <w:rPr>
            <w:noProof/>
            <w:webHidden/>
          </w:rPr>
          <w:fldChar w:fldCharType="end"/>
        </w:r>
      </w:hyperlink>
    </w:p>
    <w:p w:rsidR="00B04AB6" w:rsidP="00B04AB6" w:rsidRDefault="00A21F6B" w14:paraId="405B99F8" w14:textId="77777777">
      <w:pPr>
        <w:pStyle w:val="TOC3"/>
        <w:tabs>
          <w:tab w:val="left" w:pos="1540"/>
        </w:tabs>
        <w:rPr>
          <w:rFonts w:asciiTheme="minorHAnsi" w:hAnsiTheme="minorHAnsi" w:eastAsiaTheme="minorEastAsia" w:cstheme="minorBidi"/>
          <w:noProof/>
          <w:sz w:val="22"/>
        </w:rPr>
      </w:pPr>
      <w:hyperlink w:history="1" w:anchor="_Toc45023444">
        <w:r w:rsidRPr="006D596F" w:rsidR="00B04AB6">
          <w:rPr>
            <w:rStyle w:val="Hyperlink"/>
            <w:noProof/>
          </w:rPr>
          <w:t>4.5.2.</w:t>
        </w:r>
        <w:r w:rsidR="00B04AB6">
          <w:rPr>
            <w:rFonts w:asciiTheme="minorHAnsi" w:hAnsiTheme="minorHAnsi" w:eastAsiaTheme="minorEastAsia" w:cstheme="minorBidi"/>
            <w:noProof/>
            <w:sz w:val="22"/>
          </w:rPr>
          <w:tab/>
        </w:r>
        <w:r w:rsidRPr="006D596F" w:rsidR="00B04AB6">
          <w:rPr>
            <w:rStyle w:val="Hyperlink"/>
            <w:noProof/>
          </w:rPr>
          <w:t>Tankless Water Heaters</w:t>
        </w:r>
        <w:r w:rsidR="00B04AB6">
          <w:rPr>
            <w:noProof/>
            <w:webHidden/>
          </w:rPr>
          <w:tab/>
        </w:r>
        <w:r w:rsidR="00B04AB6">
          <w:rPr>
            <w:noProof/>
            <w:webHidden/>
          </w:rPr>
          <w:fldChar w:fldCharType="begin"/>
        </w:r>
        <w:r w:rsidR="00B04AB6">
          <w:rPr>
            <w:noProof/>
            <w:webHidden/>
          </w:rPr>
          <w:instrText xml:space="preserve"> PAGEREF _Toc45023444 \h </w:instrText>
        </w:r>
        <w:r w:rsidR="00B04AB6">
          <w:rPr>
            <w:noProof/>
            <w:webHidden/>
          </w:rPr>
        </w:r>
        <w:r w:rsidR="00B04AB6">
          <w:rPr>
            <w:noProof/>
            <w:webHidden/>
          </w:rPr>
          <w:fldChar w:fldCharType="separate"/>
        </w:r>
        <w:r w:rsidR="00B04AB6">
          <w:rPr>
            <w:noProof/>
            <w:webHidden/>
          </w:rPr>
          <w:t>18</w:t>
        </w:r>
        <w:r w:rsidR="00B04AB6">
          <w:rPr>
            <w:noProof/>
            <w:webHidden/>
          </w:rPr>
          <w:fldChar w:fldCharType="end"/>
        </w:r>
      </w:hyperlink>
    </w:p>
    <w:p w:rsidR="00B04AB6" w:rsidP="00B04AB6" w:rsidRDefault="00A21F6B" w14:paraId="152EA107" w14:textId="77777777">
      <w:pPr>
        <w:pStyle w:val="TOC3"/>
        <w:tabs>
          <w:tab w:val="left" w:pos="1540"/>
        </w:tabs>
        <w:rPr>
          <w:rFonts w:asciiTheme="minorHAnsi" w:hAnsiTheme="minorHAnsi" w:eastAsiaTheme="minorEastAsia" w:cstheme="minorBidi"/>
          <w:noProof/>
          <w:sz w:val="22"/>
        </w:rPr>
      </w:pPr>
      <w:hyperlink w:history="1" w:anchor="_Toc45023445">
        <w:r w:rsidRPr="006D596F" w:rsidR="00B04AB6">
          <w:rPr>
            <w:rStyle w:val="Hyperlink"/>
            <w:noProof/>
          </w:rPr>
          <w:t>4.5.3.</w:t>
        </w:r>
        <w:r w:rsidR="00B04AB6">
          <w:rPr>
            <w:rFonts w:asciiTheme="minorHAnsi" w:hAnsiTheme="minorHAnsi" w:eastAsiaTheme="minorEastAsia" w:cstheme="minorBidi"/>
            <w:noProof/>
            <w:sz w:val="22"/>
          </w:rPr>
          <w:tab/>
        </w:r>
        <w:r w:rsidRPr="006D596F" w:rsidR="00B04AB6">
          <w:rPr>
            <w:rStyle w:val="Hyperlink"/>
            <w:noProof/>
          </w:rPr>
          <w:t>Process Pumping VFD</w:t>
        </w:r>
        <w:r w:rsidR="00B04AB6">
          <w:rPr>
            <w:noProof/>
            <w:webHidden/>
          </w:rPr>
          <w:tab/>
        </w:r>
        <w:r w:rsidR="00B04AB6">
          <w:rPr>
            <w:noProof/>
            <w:webHidden/>
          </w:rPr>
          <w:fldChar w:fldCharType="begin"/>
        </w:r>
        <w:r w:rsidR="00B04AB6">
          <w:rPr>
            <w:noProof/>
            <w:webHidden/>
          </w:rPr>
          <w:instrText xml:space="preserve"> PAGEREF _Toc45023445 \h </w:instrText>
        </w:r>
        <w:r w:rsidR="00B04AB6">
          <w:rPr>
            <w:noProof/>
            <w:webHidden/>
          </w:rPr>
        </w:r>
        <w:r w:rsidR="00B04AB6">
          <w:rPr>
            <w:noProof/>
            <w:webHidden/>
          </w:rPr>
          <w:fldChar w:fldCharType="separate"/>
        </w:r>
        <w:r w:rsidR="00B04AB6">
          <w:rPr>
            <w:noProof/>
            <w:webHidden/>
          </w:rPr>
          <w:t>18</w:t>
        </w:r>
        <w:r w:rsidR="00B04AB6">
          <w:rPr>
            <w:noProof/>
            <w:webHidden/>
          </w:rPr>
          <w:fldChar w:fldCharType="end"/>
        </w:r>
      </w:hyperlink>
    </w:p>
    <w:p w:rsidR="00B04AB6" w:rsidP="00B04AB6" w:rsidRDefault="00A21F6B" w14:paraId="38E44C88" w14:textId="77777777">
      <w:pPr>
        <w:pStyle w:val="TOC3"/>
        <w:tabs>
          <w:tab w:val="left" w:pos="1540"/>
        </w:tabs>
        <w:rPr>
          <w:rFonts w:asciiTheme="minorHAnsi" w:hAnsiTheme="minorHAnsi" w:eastAsiaTheme="minorEastAsia" w:cstheme="minorBidi"/>
          <w:noProof/>
          <w:sz w:val="22"/>
        </w:rPr>
      </w:pPr>
      <w:hyperlink w:history="1" w:anchor="_Toc45023446">
        <w:r w:rsidRPr="006D596F" w:rsidR="00B04AB6">
          <w:rPr>
            <w:rStyle w:val="Hyperlink"/>
            <w:noProof/>
          </w:rPr>
          <w:t>4.5.4.</w:t>
        </w:r>
        <w:r w:rsidR="00B04AB6">
          <w:rPr>
            <w:rFonts w:asciiTheme="minorHAnsi" w:hAnsiTheme="minorHAnsi" w:eastAsiaTheme="minorEastAsia" w:cstheme="minorBidi"/>
            <w:noProof/>
            <w:sz w:val="22"/>
          </w:rPr>
          <w:tab/>
        </w:r>
        <w:r w:rsidRPr="006D596F" w:rsidR="00B04AB6">
          <w:rPr>
            <w:rStyle w:val="Hyperlink"/>
            <w:noProof/>
          </w:rPr>
          <w:t>Agricultural Irrigation</w:t>
        </w:r>
        <w:r w:rsidR="00B04AB6">
          <w:rPr>
            <w:noProof/>
            <w:webHidden/>
          </w:rPr>
          <w:tab/>
        </w:r>
        <w:r w:rsidR="00B04AB6">
          <w:rPr>
            <w:noProof/>
            <w:webHidden/>
          </w:rPr>
          <w:fldChar w:fldCharType="begin"/>
        </w:r>
        <w:r w:rsidR="00B04AB6">
          <w:rPr>
            <w:noProof/>
            <w:webHidden/>
          </w:rPr>
          <w:instrText xml:space="preserve"> PAGEREF _Toc45023446 \h </w:instrText>
        </w:r>
        <w:r w:rsidR="00B04AB6">
          <w:rPr>
            <w:noProof/>
            <w:webHidden/>
          </w:rPr>
        </w:r>
        <w:r w:rsidR="00B04AB6">
          <w:rPr>
            <w:noProof/>
            <w:webHidden/>
          </w:rPr>
          <w:fldChar w:fldCharType="separate"/>
        </w:r>
        <w:r w:rsidR="00B04AB6">
          <w:rPr>
            <w:noProof/>
            <w:webHidden/>
          </w:rPr>
          <w:t>18</w:t>
        </w:r>
        <w:r w:rsidR="00B04AB6">
          <w:rPr>
            <w:noProof/>
            <w:webHidden/>
          </w:rPr>
          <w:fldChar w:fldCharType="end"/>
        </w:r>
      </w:hyperlink>
    </w:p>
    <w:p w:rsidR="00B04AB6" w:rsidP="00B04AB6" w:rsidRDefault="00A21F6B" w14:paraId="2958BFB8" w14:textId="77777777">
      <w:pPr>
        <w:pStyle w:val="TOC1"/>
        <w:rPr>
          <w:rFonts w:asciiTheme="minorHAnsi" w:hAnsiTheme="minorHAnsi" w:eastAsiaTheme="minorEastAsia" w:cstheme="minorBidi"/>
          <w:sz w:val="22"/>
        </w:rPr>
      </w:pPr>
      <w:hyperlink w:history="1" w:anchor="_Toc45023447">
        <w:r w:rsidRPr="006D596F" w:rsidR="00B04AB6">
          <w:rPr>
            <w:rStyle w:val="Hyperlink"/>
          </w:rPr>
          <w:t>5.</w:t>
        </w:r>
        <w:r w:rsidR="00B04AB6">
          <w:rPr>
            <w:rFonts w:asciiTheme="minorHAnsi" w:hAnsiTheme="minorHAnsi" w:eastAsiaTheme="minorEastAsia" w:cstheme="minorBidi"/>
            <w:sz w:val="22"/>
          </w:rPr>
          <w:tab/>
        </w:r>
        <w:r w:rsidRPr="006D596F" w:rsidR="00B04AB6">
          <w:rPr>
            <w:rStyle w:val="Hyperlink"/>
          </w:rPr>
          <w:t>New Code Revisions or Code Revisions Not Covered in Previous DEER Updates</w:t>
        </w:r>
        <w:r w:rsidR="00B04AB6">
          <w:rPr>
            <w:webHidden/>
          </w:rPr>
          <w:tab/>
        </w:r>
        <w:r w:rsidR="00B04AB6">
          <w:rPr>
            <w:webHidden/>
          </w:rPr>
          <w:fldChar w:fldCharType="begin"/>
        </w:r>
        <w:r w:rsidR="00B04AB6">
          <w:rPr>
            <w:webHidden/>
          </w:rPr>
          <w:instrText xml:space="preserve"> PAGEREF _Toc45023447 \h </w:instrText>
        </w:r>
        <w:r w:rsidR="00B04AB6">
          <w:rPr>
            <w:webHidden/>
          </w:rPr>
        </w:r>
        <w:r w:rsidR="00B04AB6">
          <w:rPr>
            <w:webHidden/>
          </w:rPr>
          <w:fldChar w:fldCharType="separate"/>
        </w:r>
        <w:r w:rsidR="00B04AB6">
          <w:rPr>
            <w:webHidden/>
          </w:rPr>
          <w:t>19</w:t>
        </w:r>
        <w:r w:rsidR="00B04AB6">
          <w:rPr>
            <w:webHidden/>
          </w:rPr>
          <w:fldChar w:fldCharType="end"/>
        </w:r>
      </w:hyperlink>
    </w:p>
    <w:p w:rsidR="00B04AB6" w:rsidP="00B04AB6" w:rsidRDefault="00A21F6B" w14:paraId="4CBFC62B" w14:textId="77777777">
      <w:pPr>
        <w:pStyle w:val="TOC1"/>
        <w:rPr>
          <w:rFonts w:asciiTheme="minorHAnsi" w:hAnsiTheme="minorHAnsi" w:eastAsiaTheme="minorEastAsia" w:cstheme="minorBidi"/>
          <w:sz w:val="22"/>
        </w:rPr>
      </w:pPr>
      <w:hyperlink w:history="1" w:anchor="_Toc45023448">
        <w:r w:rsidRPr="006D596F" w:rsidR="00B04AB6">
          <w:rPr>
            <w:rStyle w:val="Hyperlink"/>
          </w:rPr>
          <w:t>6.</w:t>
        </w:r>
        <w:r w:rsidR="00B04AB6">
          <w:rPr>
            <w:rFonts w:asciiTheme="minorHAnsi" w:hAnsiTheme="minorHAnsi" w:eastAsiaTheme="minorEastAsia" w:cstheme="minorBidi"/>
            <w:sz w:val="22"/>
          </w:rPr>
          <w:tab/>
        </w:r>
        <w:r w:rsidRPr="006D596F" w:rsidR="00B04AB6">
          <w:rPr>
            <w:rStyle w:val="Hyperlink"/>
          </w:rPr>
          <w:t>Review of Market and Research Studies</w:t>
        </w:r>
        <w:r w:rsidR="00B04AB6">
          <w:rPr>
            <w:webHidden/>
          </w:rPr>
          <w:tab/>
        </w:r>
        <w:r w:rsidR="00B04AB6">
          <w:rPr>
            <w:webHidden/>
          </w:rPr>
          <w:fldChar w:fldCharType="begin"/>
        </w:r>
        <w:r w:rsidR="00B04AB6">
          <w:rPr>
            <w:webHidden/>
          </w:rPr>
          <w:instrText xml:space="preserve"> PAGEREF _Toc45023448 \h </w:instrText>
        </w:r>
        <w:r w:rsidR="00B04AB6">
          <w:rPr>
            <w:webHidden/>
          </w:rPr>
        </w:r>
        <w:r w:rsidR="00B04AB6">
          <w:rPr>
            <w:webHidden/>
          </w:rPr>
          <w:fldChar w:fldCharType="separate"/>
        </w:r>
        <w:r w:rsidR="00B04AB6">
          <w:rPr>
            <w:webHidden/>
          </w:rPr>
          <w:t>19</w:t>
        </w:r>
        <w:r w:rsidR="00B04AB6">
          <w:rPr>
            <w:webHidden/>
          </w:rPr>
          <w:fldChar w:fldCharType="end"/>
        </w:r>
      </w:hyperlink>
    </w:p>
    <w:p w:rsidR="00B04AB6" w:rsidP="00B04AB6" w:rsidRDefault="00A21F6B" w14:paraId="74222EAB" w14:textId="77777777">
      <w:pPr>
        <w:pStyle w:val="TOC1"/>
        <w:rPr>
          <w:rFonts w:asciiTheme="minorHAnsi" w:hAnsiTheme="minorHAnsi" w:eastAsiaTheme="minorEastAsia" w:cstheme="minorBidi"/>
          <w:sz w:val="22"/>
        </w:rPr>
      </w:pPr>
      <w:hyperlink w:history="1" w:anchor="_Toc45023449">
        <w:r w:rsidRPr="006D596F" w:rsidR="00B04AB6">
          <w:rPr>
            <w:rStyle w:val="Hyperlink"/>
          </w:rPr>
          <w:t>7.</w:t>
        </w:r>
        <w:r w:rsidR="00B04AB6">
          <w:rPr>
            <w:rFonts w:asciiTheme="minorHAnsi" w:hAnsiTheme="minorHAnsi" w:eastAsiaTheme="minorEastAsia" w:cstheme="minorBidi"/>
            <w:sz w:val="22"/>
          </w:rPr>
          <w:tab/>
        </w:r>
        <w:r w:rsidRPr="006D596F" w:rsidR="00B04AB6">
          <w:rPr>
            <w:rStyle w:val="Hyperlink"/>
          </w:rPr>
          <w:t>New Measure Additions</w:t>
        </w:r>
        <w:r w:rsidR="00B04AB6">
          <w:rPr>
            <w:webHidden/>
          </w:rPr>
          <w:tab/>
        </w:r>
        <w:r w:rsidR="00B04AB6">
          <w:rPr>
            <w:webHidden/>
          </w:rPr>
          <w:fldChar w:fldCharType="begin"/>
        </w:r>
        <w:r w:rsidR="00B04AB6">
          <w:rPr>
            <w:webHidden/>
          </w:rPr>
          <w:instrText xml:space="preserve"> PAGEREF _Toc45023449 \h </w:instrText>
        </w:r>
        <w:r w:rsidR="00B04AB6">
          <w:rPr>
            <w:webHidden/>
          </w:rPr>
        </w:r>
        <w:r w:rsidR="00B04AB6">
          <w:rPr>
            <w:webHidden/>
          </w:rPr>
          <w:fldChar w:fldCharType="separate"/>
        </w:r>
        <w:r w:rsidR="00B04AB6">
          <w:rPr>
            <w:webHidden/>
          </w:rPr>
          <w:t>19</w:t>
        </w:r>
        <w:r w:rsidR="00B04AB6">
          <w:rPr>
            <w:webHidden/>
          </w:rPr>
          <w:fldChar w:fldCharType="end"/>
        </w:r>
      </w:hyperlink>
    </w:p>
    <w:p w:rsidR="00B04AB6" w:rsidP="00B04AB6" w:rsidRDefault="00A21F6B" w14:paraId="5E654829" w14:textId="77777777">
      <w:pPr>
        <w:pStyle w:val="TOC2"/>
        <w:rPr>
          <w:rFonts w:asciiTheme="minorHAnsi" w:hAnsiTheme="minorHAnsi" w:eastAsiaTheme="minorEastAsia" w:cstheme="minorBidi"/>
          <w:noProof/>
          <w:sz w:val="22"/>
        </w:rPr>
      </w:pPr>
      <w:hyperlink w:history="1" w:anchor="_Toc45023450">
        <w:r w:rsidRPr="006D596F" w:rsidR="00B04AB6">
          <w:rPr>
            <w:rStyle w:val="Hyperlink"/>
            <w:noProof/>
          </w:rPr>
          <w:t>7.1.</w:t>
        </w:r>
        <w:r w:rsidR="00B04AB6">
          <w:rPr>
            <w:rFonts w:asciiTheme="minorHAnsi" w:hAnsiTheme="minorHAnsi" w:eastAsiaTheme="minorEastAsia" w:cstheme="minorBidi"/>
            <w:noProof/>
            <w:sz w:val="22"/>
          </w:rPr>
          <w:tab/>
        </w:r>
        <w:r w:rsidRPr="006D596F" w:rsidR="00B04AB6">
          <w:rPr>
            <w:rStyle w:val="Hyperlink"/>
            <w:noProof/>
          </w:rPr>
          <w:t>Normalized Metered Energy Consumption (NMEC) measures</w:t>
        </w:r>
        <w:r w:rsidR="00B04AB6">
          <w:rPr>
            <w:noProof/>
            <w:webHidden/>
          </w:rPr>
          <w:tab/>
        </w:r>
        <w:r w:rsidR="00B04AB6">
          <w:rPr>
            <w:noProof/>
            <w:webHidden/>
          </w:rPr>
          <w:fldChar w:fldCharType="begin"/>
        </w:r>
        <w:r w:rsidR="00B04AB6">
          <w:rPr>
            <w:noProof/>
            <w:webHidden/>
          </w:rPr>
          <w:instrText xml:space="preserve"> PAGEREF _Toc45023450 \h </w:instrText>
        </w:r>
        <w:r w:rsidR="00B04AB6">
          <w:rPr>
            <w:noProof/>
            <w:webHidden/>
          </w:rPr>
        </w:r>
        <w:r w:rsidR="00B04AB6">
          <w:rPr>
            <w:noProof/>
            <w:webHidden/>
          </w:rPr>
          <w:fldChar w:fldCharType="separate"/>
        </w:r>
        <w:r w:rsidR="00B04AB6">
          <w:rPr>
            <w:noProof/>
            <w:webHidden/>
          </w:rPr>
          <w:t>20</w:t>
        </w:r>
        <w:r w:rsidR="00B04AB6">
          <w:rPr>
            <w:noProof/>
            <w:webHidden/>
          </w:rPr>
          <w:fldChar w:fldCharType="end"/>
        </w:r>
      </w:hyperlink>
    </w:p>
    <w:p w:rsidR="00B04AB6" w:rsidP="00B04AB6" w:rsidRDefault="00A21F6B" w14:paraId="6E8E386A" w14:textId="77777777">
      <w:pPr>
        <w:pStyle w:val="TOC2"/>
        <w:rPr>
          <w:rFonts w:asciiTheme="minorHAnsi" w:hAnsiTheme="minorHAnsi" w:eastAsiaTheme="minorEastAsia" w:cstheme="minorBidi"/>
          <w:noProof/>
          <w:sz w:val="22"/>
        </w:rPr>
      </w:pPr>
      <w:hyperlink w:history="1" w:anchor="_Toc45023451">
        <w:r w:rsidRPr="006D596F" w:rsidR="00B04AB6">
          <w:rPr>
            <w:rStyle w:val="Hyperlink"/>
            <w:noProof/>
          </w:rPr>
          <w:t>7.2.</w:t>
        </w:r>
        <w:r w:rsidR="00B04AB6">
          <w:rPr>
            <w:rFonts w:asciiTheme="minorHAnsi" w:hAnsiTheme="minorHAnsi" w:eastAsiaTheme="minorEastAsia" w:cstheme="minorBidi"/>
            <w:noProof/>
            <w:sz w:val="22"/>
          </w:rPr>
          <w:tab/>
        </w:r>
        <w:r w:rsidRPr="006D596F" w:rsidR="00B04AB6">
          <w:rPr>
            <w:rStyle w:val="Hyperlink"/>
            <w:noProof/>
          </w:rPr>
          <w:t>Fuel-Substitution Measures</w:t>
        </w:r>
        <w:r w:rsidR="00B04AB6">
          <w:rPr>
            <w:noProof/>
            <w:webHidden/>
          </w:rPr>
          <w:tab/>
        </w:r>
        <w:r w:rsidR="00B04AB6">
          <w:rPr>
            <w:noProof/>
            <w:webHidden/>
          </w:rPr>
          <w:fldChar w:fldCharType="begin"/>
        </w:r>
        <w:r w:rsidR="00B04AB6">
          <w:rPr>
            <w:noProof/>
            <w:webHidden/>
          </w:rPr>
          <w:instrText xml:space="preserve"> PAGEREF _Toc45023451 \h </w:instrText>
        </w:r>
        <w:r w:rsidR="00B04AB6">
          <w:rPr>
            <w:noProof/>
            <w:webHidden/>
          </w:rPr>
        </w:r>
        <w:r w:rsidR="00B04AB6">
          <w:rPr>
            <w:noProof/>
            <w:webHidden/>
          </w:rPr>
          <w:fldChar w:fldCharType="separate"/>
        </w:r>
        <w:r w:rsidR="00B04AB6">
          <w:rPr>
            <w:noProof/>
            <w:webHidden/>
          </w:rPr>
          <w:t>20</w:t>
        </w:r>
        <w:r w:rsidR="00B04AB6">
          <w:rPr>
            <w:noProof/>
            <w:webHidden/>
          </w:rPr>
          <w:fldChar w:fldCharType="end"/>
        </w:r>
      </w:hyperlink>
    </w:p>
    <w:p w:rsidR="00B04AB6" w:rsidP="00B04AB6" w:rsidRDefault="00A21F6B" w14:paraId="61172D72" w14:textId="77777777">
      <w:pPr>
        <w:pStyle w:val="TOC3"/>
        <w:tabs>
          <w:tab w:val="left" w:pos="1540"/>
        </w:tabs>
        <w:rPr>
          <w:rFonts w:asciiTheme="minorHAnsi" w:hAnsiTheme="minorHAnsi" w:eastAsiaTheme="minorEastAsia" w:cstheme="minorBidi"/>
          <w:noProof/>
          <w:sz w:val="22"/>
        </w:rPr>
      </w:pPr>
      <w:hyperlink w:history="1" w:anchor="_Toc45023452">
        <w:r w:rsidRPr="006D596F" w:rsidR="00B04AB6">
          <w:rPr>
            <w:rStyle w:val="Hyperlink"/>
            <w:noProof/>
          </w:rPr>
          <w:t>7.2.1.</w:t>
        </w:r>
        <w:r w:rsidR="00B04AB6">
          <w:rPr>
            <w:rFonts w:asciiTheme="minorHAnsi" w:hAnsiTheme="minorHAnsi" w:eastAsiaTheme="minorEastAsia" w:cstheme="minorBidi"/>
            <w:noProof/>
            <w:sz w:val="22"/>
          </w:rPr>
          <w:tab/>
        </w:r>
        <w:r w:rsidRPr="006D596F" w:rsidR="00B04AB6">
          <w:rPr>
            <w:rStyle w:val="Hyperlink"/>
            <w:noProof/>
          </w:rPr>
          <w:t>Fuel-Substitution Measure Impact Type</w:t>
        </w:r>
        <w:r w:rsidR="00B04AB6">
          <w:rPr>
            <w:noProof/>
            <w:webHidden/>
          </w:rPr>
          <w:tab/>
        </w:r>
        <w:r w:rsidR="00B04AB6">
          <w:rPr>
            <w:noProof/>
            <w:webHidden/>
          </w:rPr>
          <w:fldChar w:fldCharType="begin"/>
        </w:r>
        <w:r w:rsidR="00B04AB6">
          <w:rPr>
            <w:noProof/>
            <w:webHidden/>
          </w:rPr>
          <w:instrText xml:space="preserve"> PAGEREF _Toc45023452 \h </w:instrText>
        </w:r>
        <w:r w:rsidR="00B04AB6">
          <w:rPr>
            <w:noProof/>
            <w:webHidden/>
          </w:rPr>
        </w:r>
        <w:r w:rsidR="00B04AB6">
          <w:rPr>
            <w:noProof/>
            <w:webHidden/>
          </w:rPr>
          <w:fldChar w:fldCharType="separate"/>
        </w:r>
        <w:r w:rsidR="00B04AB6">
          <w:rPr>
            <w:noProof/>
            <w:webHidden/>
          </w:rPr>
          <w:t>20</w:t>
        </w:r>
        <w:r w:rsidR="00B04AB6">
          <w:rPr>
            <w:noProof/>
            <w:webHidden/>
          </w:rPr>
          <w:fldChar w:fldCharType="end"/>
        </w:r>
      </w:hyperlink>
    </w:p>
    <w:p w:rsidR="00B04AB6" w:rsidP="00B04AB6" w:rsidRDefault="00A21F6B" w14:paraId="513760D4" w14:textId="77777777">
      <w:pPr>
        <w:pStyle w:val="TOC3"/>
        <w:tabs>
          <w:tab w:val="left" w:pos="1540"/>
        </w:tabs>
        <w:rPr>
          <w:rFonts w:asciiTheme="minorHAnsi" w:hAnsiTheme="minorHAnsi" w:eastAsiaTheme="minorEastAsia" w:cstheme="minorBidi"/>
          <w:noProof/>
          <w:sz w:val="22"/>
        </w:rPr>
      </w:pPr>
      <w:hyperlink w:history="1" w:anchor="_Toc45023453">
        <w:r w:rsidRPr="006D596F" w:rsidR="00B04AB6">
          <w:rPr>
            <w:rStyle w:val="Hyperlink"/>
            <w:noProof/>
          </w:rPr>
          <w:t>7.2.2.</w:t>
        </w:r>
        <w:r w:rsidR="00B04AB6">
          <w:rPr>
            <w:rFonts w:asciiTheme="minorHAnsi" w:hAnsiTheme="minorHAnsi" w:eastAsiaTheme="minorEastAsia" w:cstheme="minorBidi"/>
            <w:noProof/>
            <w:sz w:val="22"/>
          </w:rPr>
          <w:tab/>
        </w:r>
        <w:r w:rsidRPr="006D596F" w:rsidR="00B04AB6">
          <w:rPr>
            <w:rStyle w:val="Hyperlink"/>
            <w:noProof/>
          </w:rPr>
          <w:t>A-Fuel-Substitution Effective Useful Life</w:t>
        </w:r>
        <w:r w:rsidR="00B04AB6">
          <w:rPr>
            <w:noProof/>
            <w:webHidden/>
          </w:rPr>
          <w:tab/>
        </w:r>
        <w:r w:rsidR="00B04AB6">
          <w:rPr>
            <w:noProof/>
            <w:webHidden/>
          </w:rPr>
          <w:fldChar w:fldCharType="begin"/>
        </w:r>
        <w:r w:rsidR="00B04AB6">
          <w:rPr>
            <w:noProof/>
            <w:webHidden/>
          </w:rPr>
          <w:instrText xml:space="preserve"> PAGEREF _Toc45023453 \h </w:instrText>
        </w:r>
        <w:r w:rsidR="00B04AB6">
          <w:rPr>
            <w:noProof/>
            <w:webHidden/>
          </w:rPr>
        </w:r>
        <w:r w:rsidR="00B04AB6">
          <w:rPr>
            <w:noProof/>
            <w:webHidden/>
          </w:rPr>
          <w:fldChar w:fldCharType="separate"/>
        </w:r>
        <w:r w:rsidR="00B04AB6">
          <w:rPr>
            <w:noProof/>
            <w:webHidden/>
          </w:rPr>
          <w:t>20</w:t>
        </w:r>
        <w:r w:rsidR="00B04AB6">
          <w:rPr>
            <w:noProof/>
            <w:webHidden/>
          </w:rPr>
          <w:fldChar w:fldCharType="end"/>
        </w:r>
      </w:hyperlink>
    </w:p>
    <w:p w:rsidR="00B04AB6" w:rsidP="00B04AB6" w:rsidRDefault="00A21F6B" w14:paraId="548A8CDE" w14:textId="77777777">
      <w:pPr>
        <w:pStyle w:val="TOC3"/>
        <w:tabs>
          <w:tab w:val="left" w:pos="1540"/>
        </w:tabs>
        <w:rPr>
          <w:rFonts w:asciiTheme="minorHAnsi" w:hAnsiTheme="minorHAnsi" w:eastAsiaTheme="minorEastAsia" w:cstheme="minorBidi"/>
          <w:noProof/>
          <w:sz w:val="22"/>
        </w:rPr>
      </w:pPr>
      <w:hyperlink w:history="1" w:anchor="_Toc45023454">
        <w:r w:rsidRPr="006D596F" w:rsidR="00B04AB6">
          <w:rPr>
            <w:rStyle w:val="Hyperlink"/>
            <w:noProof/>
          </w:rPr>
          <w:t>7.2.3.</w:t>
        </w:r>
        <w:r w:rsidR="00B04AB6">
          <w:rPr>
            <w:rFonts w:asciiTheme="minorHAnsi" w:hAnsiTheme="minorHAnsi" w:eastAsiaTheme="minorEastAsia" w:cstheme="minorBidi"/>
            <w:noProof/>
            <w:sz w:val="22"/>
          </w:rPr>
          <w:tab/>
        </w:r>
        <w:r w:rsidRPr="006D596F" w:rsidR="00B04AB6">
          <w:rPr>
            <w:rStyle w:val="Hyperlink"/>
            <w:noProof/>
          </w:rPr>
          <w:t>Fuel-Substitution Measure NTG Values</w:t>
        </w:r>
        <w:r w:rsidR="00B04AB6">
          <w:rPr>
            <w:noProof/>
            <w:webHidden/>
          </w:rPr>
          <w:tab/>
        </w:r>
        <w:r w:rsidR="00B04AB6">
          <w:rPr>
            <w:noProof/>
            <w:webHidden/>
          </w:rPr>
          <w:fldChar w:fldCharType="begin"/>
        </w:r>
        <w:r w:rsidR="00B04AB6">
          <w:rPr>
            <w:noProof/>
            <w:webHidden/>
          </w:rPr>
          <w:instrText xml:space="preserve"> PAGEREF _Toc45023454 \h </w:instrText>
        </w:r>
        <w:r w:rsidR="00B04AB6">
          <w:rPr>
            <w:noProof/>
            <w:webHidden/>
          </w:rPr>
        </w:r>
        <w:r w:rsidR="00B04AB6">
          <w:rPr>
            <w:noProof/>
            <w:webHidden/>
          </w:rPr>
          <w:fldChar w:fldCharType="separate"/>
        </w:r>
        <w:r w:rsidR="00B04AB6">
          <w:rPr>
            <w:noProof/>
            <w:webHidden/>
          </w:rPr>
          <w:t>21</w:t>
        </w:r>
        <w:r w:rsidR="00B04AB6">
          <w:rPr>
            <w:noProof/>
            <w:webHidden/>
          </w:rPr>
          <w:fldChar w:fldCharType="end"/>
        </w:r>
      </w:hyperlink>
    </w:p>
    <w:p w:rsidR="00B04AB6" w:rsidP="00B04AB6" w:rsidRDefault="00A21F6B" w14:paraId="624AF10B" w14:textId="77777777">
      <w:pPr>
        <w:pStyle w:val="TOC3"/>
        <w:tabs>
          <w:tab w:val="left" w:pos="1540"/>
        </w:tabs>
        <w:rPr>
          <w:rFonts w:asciiTheme="minorHAnsi" w:hAnsiTheme="minorHAnsi" w:eastAsiaTheme="minorEastAsia" w:cstheme="minorBidi"/>
          <w:noProof/>
          <w:sz w:val="22"/>
        </w:rPr>
      </w:pPr>
      <w:hyperlink w:history="1" w:anchor="_Toc45023455">
        <w:r w:rsidRPr="006D596F" w:rsidR="00B04AB6">
          <w:rPr>
            <w:rStyle w:val="Hyperlink"/>
            <w:noProof/>
          </w:rPr>
          <w:t>7.2.4.</w:t>
        </w:r>
        <w:r w:rsidR="00B04AB6">
          <w:rPr>
            <w:rFonts w:asciiTheme="minorHAnsi" w:hAnsiTheme="minorHAnsi" w:eastAsiaTheme="minorEastAsia" w:cstheme="minorBidi"/>
            <w:noProof/>
            <w:sz w:val="22"/>
          </w:rPr>
          <w:tab/>
        </w:r>
        <w:r w:rsidRPr="006D596F" w:rsidR="00B04AB6">
          <w:rPr>
            <w:rStyle w:val="Hyperlink"/>
            <w:noProof/>
          </w:rPr>
          <w:t>Future Fuel-Substitution Measure Considerations</w:t>
        </w:r>
        <w:r w:rsidR="00B04AB6">
          <w:rPr>
            <w:noProof/>
            <w:webHidden/>
          </w:rPr>
          <w:tab/>
        </w:r>
        <w:r w:rsidR="00B04AB6">
          <w:rPr>
            <w:noProof/>
            <w:webHidden/>
          </w:rPr>
          <w:fldChar w:fldCharType="begin"/>
        </w:r>
        <w:r w:rsidR="00B04AB6">
          <w:rPr>
            <w:noProof/>
            <w:webHidden/>
          </w:rPr>
          <w:instrText xml:space="preserve"> PAGEREF _Toc45023455 \h </w:instrText>
        </w:r>
        <w:r w:rsidR="00B04AB6">
          <w:rPr>
            <w:noProof/>
            <w:webHidden/>
          </w:rPr>
        </w:r>
        <w:r w:rsidR="00B04AB6">
          <w:rPr>
            <w:noProof/>
            <w:webHidden/>
          </w:rPr>
          <w:fldChar w:fldCharType="separate"/>
        </w:r>
        <w:r w:rsidR="00B04AB6">
          <w:rPr>
            <w:noProof/>
            <w:webHidden/>
          </w:rPr>
          <w:t>21</w:t>
        </w:r>
        <w:r w:rsidR="00B04AB6">
          <w:rPr>
            <w:noProof/>
            <w:webHidden/>
          </w:rPr>
          <w:fldChar w:fldCharType="end"/>
        </w:r>
      </w:hyperlink>
    </w:p>
    <w:p w:rsidR="00B04AB6" w:rsidP="00B04AB6" w:rsidRDefault="00A21F6B" w14:paraId="700E2F60" w14:textId="77777777">
      <w:pPr>
        <w:pStyle w:val="TOC2"/>
        <w:rPr>
          <w:rFonts w:asciiTheme="minorHAnsi" w:hAnsiTheme="minorHAnsi" w:eastAsiaTheme="minorEastAsia" w:cstheme="minorBidi"/>
          <w:noProof/>
          <w:sz w:val="22"/>
        </w:rPr>
      </w:pPr>
      <w:hyperlink w:history="1" w:anchor="_Toc45023456">
        <w:r w:rsidRPr="006D596F" w:rsidR="00B04AB6">
          <w:rPr>
            <w:rStyle w:val="Hyperlink"/>
            <w:noProof/>
          </w:rPr>
          <w:t>7.3.</w:t>
        </w:r>
        <w:r w:rsidR="00B04AB6">
          <w:rPr>
            <w:rFonts w:asciiTheme="minorHAnsi" w:hAnsiTheme="minorHAnsi" w:eastAsiaTheme="minorEastAsia" w:cstheme="minorBidi"/>
            <w:noProof/>
            <w:sz w:val="22"/>
          </w:rPr>
          <w:tab/>
        </w:r>
        <w:r w:rsidRPr="006D596F" w:rsidR="00B04AB6">
          <w:rPr>
            <w:rStyle w:val="Hyperlink"/>
            <w:noProof/>
          </w:rPr>
          <w:t>Updated Energy-Efficient/Baseline Thresholds for Water Heaters</w:t>
        </w:r>
        <w:r w:rsidR="00B04AB6">
          <w:rPr>
            <w:noProof/>
            <w:webHidden/>
          </w:rPr>
          <w:tab/>
        </w:r>
        <w:r w:rsidR="00B04AB6">
          <w:rPr>
            <w:noProof/>
            <w:webHidden/>
          </w:rPr>
          <w:fldChar w:fldCharType="begin"/>
        </w:r>
        <w:r w:rsidR="00B04AB6">
          <w:rPr>
            <w:noProof/>
            <w:webHidden/>
          </w:rPr>
          <w:instrText xml:space="preserve"> PAGEREF _Toc45023456 \h </w:instrText>
        </w:r>
        <w:r w:rsidR="00B04AB6">
          <w:rPr>
            <w:noProof/>
            <w:webHidden/>
          </w:rPr>
        </w:r>
        <w:r w:rsidR="00B04AB6">
          <w:rPr>
            <w:noProof/>
            <w:webHidden/>
          </w:rPr>
          <w:fldChar w:fldCharType="separate"/>
        </w:r>
        <w:r w:rsidR="00B04AB6">
          <w:rPr>
            <w:noProof/>
            <w:webHidden/>
          </w:rPr>
          <w:t>21</w:t>
        </w:r>
        <w:r w:rsidR="00B04AB6">
          <w:rPr>
            <w:noProof/>
            <w:webHidden/>
          </w:rPr>
          <w:fldChar w:fldCharType="end"/>
        </w:r>
      </w:hyperlink>
    </w:p>
    <w:p w:rsidR="00B04AB6" w:rsidP="00B04AB6" w:rsidRDefault="00A21F6B" w14:paraId="6B3C63CB" w14:textId="77777777">
      <w:pPr>
        <w:pStyle w:val="TOC2"/>
        <w:rPr>
          <w:rFonts w:asciiTheme="minorHAnsi" w:hAnsiTheme="minorHAnsi" w:eastAsiaTheme="minorEastAsia" w:cstheme="minorBidi"/>
          <w:noProof/>
          <w:sz w:val="22"/>
        </w:rPr>
      </w:pPr>
      <w:hyperlink w:history="1" w:anchor="_Toc45023457">
        <w:r w:rsidRPr="006D596F" w:rsidR="00B04AB6">
          <w:rPr>
            <w:rStyle w:val="Hyperlink"/>
            <w:noProof/>
          </w:rPr>
          <w:t>7.4.</w:t>
        </w:r>
        <w:r w:rsidR="00B04AB6">
          <w:rPr>
            <w:rFonts w:asciiTheme="minorHAnsi" w:hAnsiTheme="minorHAnsi" w:eastAsiaTheme="minorEastAsia" w:cstheme="minorBidi"/>
            <w:noProof/>
            <w:sz w:val="22"/>
          </w:rPr>
          <w:tab/>
        </w:r>
        <w:r w:rsidRPr="006D596F" w:rsidR="00B04AB6">
          <w:rPr>
            <w:rStyle w:val="Hyperlink"/>
            <w:noProof/>
          </w:rPr>
          <w:t>Residential Heat Pumps for SEER ≥19 SEER</w:t>
        </w:r>
        <w:r w:rsidR="00B04AB6">
          <w:rPr>
            <w:noProof/>
            <w:webHidden/>
          </w:rPr>
          <w:tab/>
        </w:r>
        <w:r w:rsidR="00B04AB6">
          <w:rPr>
            <w:noProof/>
            <w:webHidden/>
          </w:rPr>
          <w:fldChar w:fldCharType="begin"/>
        </w:r>
        <w:r w:rsidR="00B04AB6">
          <w:rPr>
            <w:noProof/>
            <w:webHidden/>
          </w:rPr>
          <w:instrText xml:space="preserve"> PAGEREF _Toc45023457 \h </w:instrText>
        </w:r>
        <w:r w:rsidR="00B04AB6">
          <w:rPr>
            <w:noProof/>
            <w:webHidden/>
          </w:rPr>
        </w:r>
        <w:r w:rsidR="00B04AB6">
          <w:rPr>
            <w:noProof/>
            <w:webHidden/>
          </w:rPr>
          <w:fldChar w:fldCharType="separate"/>
        </w:r>
        <w:r w:rsidR="00B04AB6">
          <w:rPr>
            <w:noProof/>
            <w:webHidden/>
          </w:rPr>
          <w:t>22</w:t>
        </w:r>
        <w:r w:rsidR="00B04AB6">
          <w:rPr>
            <w:noProof/>
            <w:webHidden/>
          </w:rPr>
          <w:fldChar w:fldCharType="end"/>
        </w:r>
      </w:hyperlink>
    </w:p>
    <w:p w:rsidR="00B04AB6" w:rsidP="00B04AB6" w:rsidRDefault="00A21F6B" w14:paraId="06CD4E92" w14:textId="77777777">
      <w:pPr>
        <w:pStyle w:val="TOC1"/>
        <w:rPr>
          <w:rFonts w:asciiTheme="minorHAnsi" w:hAnsiTheme="minorHAnsi" w:eastAsiaTheme="minorEastAsia" w:cstheme="minorBidi"/>
          <w:sz w:val="22"/>
        </w:rPr>
      </w:pPr>
      <w:hyperlink w:history="1" w:anchor="_Toc45023458">
        <w:r w:rsidRPr="006D596F" w:rsidR="00B04AB6">
          <w:rPr>
            <w:rStyle w:val="Hyperlink"/>
          </w:rPr>
          <w:t>8.</w:t>
        </w:r>
        <w:r w:rsidR="00B04AB6">
          <w:rPr>
            <w:rFonts w:asciiTheme="minorHAnsi" w:hAnsiTheme="minorHAnsi" w:eastAsiaTheme="minorEastAsia" w:cstheme="minorBidi"/>
            <w:sz w:val="22"/>
          </w:rPr>
          <w:tab/>
        </w:r>
        <w:r w:rsidRPr="006D596F" w:rsidR="00B04AB6">
          <w:rPr>
            <w:rStyle w:val="Hyperlink"/>
          </w:rPr>
          <w:t>Comments on DEER2022 Update and CPUC Staff Responses</w:t>
        </w:r>
        <w:r w:rsidR="00B04AB6">
          <w:rPr>
            <w:webHidden/>
          </w:rPr>
          <w:tab/>
        </w:r>
        <w:r w:rsidR="00B04AB6">
          <w:rPr>
            <w:webHidden/>
          </w:rPr>
          <w:fldChar w:fldCharType="begin"/>
        </w:r>
        <w:r w:rsidR="00B04AB6">
          <w:rPr>
            <w:webHidden/>
          </w:rPr>
          <w:instrText xml:space="preserve"> PAGEREF _Toc45023458 \h </w:instrText>
        </w:r>
        <w:r w:rsidR="00B04AB6">
          <w:rPr>
            <w:webHidden/>
          </w:rPr>
        </w:r>
        <w:r w:rsidR="00B04AB6">
          <w:rPr>
            <w:webHidden/>
          </w:rPr>
          <w:fldChar w:fldCharType="separate"/>
        </w:r>
        <w:r w:rsidR="00B04AB6">
          <w:rPr>
            <w:webHidden/>
          </w:rPr>
          <w:t>22</w:t>
        </w:r>
        <w:r w:rsidR="00B04AB6">
          <w:rPr>
            <w:webHidden/>
          </w:rPr>
          <w:fldChar w:fldCharType="end"/>
        </w:r>
      </w:hyperlink>
    </w:p>
    <w:p w:rsidR="00B04AB6" w:rsidP="00B04AB6" w:rsidRDefault="00A21F6B" w14:paraId="0D4BF934" w14:textId="77777777">
      <w:pPr>
        <w:pStyle w:val="TOC2"/>
        <w:rPr>
          <w:rFonts w:asciiTheme="minorHAnsi" w:hAnsiTheme="minorHAnsi" w:eastAsiaTheme="minorEastAsia" w:cstheme="minorBidi"/>
          <w:noProof/>
          <w:sz w:val="22"/>
        </w:rPr>
      </w:pPr>
      <w:hyperlink w:history="1" w:anchor="_Toc45023459">
        <w:r w:rsidRPr="006D596F" w:rsidR="00B04AB6">
          <w:rPr>
            <w:rStyle w:val="Hyperlink"/>
            <w:noProof/>
          </w:rPr>
          <w:t>8.1.</w:t>
        </w:r>
        <w:r w:rsidR="00B04AB6">
          <w:rPr>
            <w:rFonts w:asciiTheme="minorHAnsi" w:hAnsiTheme="minorHAnsi" w:eastAsiaTheme="minorEastAsia" w:cstheme="minorBidi"/>
            <w:noProof/>
            <w:sz w:val="22"/>
          </w:rPr>
          <w:tab/>
        </w:r>
        <w:r w:rsidRPr="006D596F" w:rsidR="00B04AB6">
          <w:rPr>
            <w:rStyle w:val="Hyperlink"/>
            <w:noProof/>
          </w:rPr>
          <w:t>BRO EULs</w:t>
        </w:r>
        <w:r w:rsidR="00B04AB6">
          <w:rPr>
            <w:noProof/>
            <w:webHidden/>
          </w:rPr>
          <w:tab/>
        </w:r>
        <w:r w:rsidR="00B04AB6">
          <w:rPr>
            <w:noProof/>
            <w:webHidden/>
          </w:rPr>
          <w:fldChar w:fldCharType="begin"/>
        </w:r>
        <w:r w:rsidR="00B04AB6">
          <w:rPr>
            <w:noProof/>
            <w:webHidden/>
          </w:rPr>
          <w:instrText xml:space="preserve"> PAGEREF _Toc45023459 \h </w:instrText>
        </w:r>
        <w:r w:rsidR="00B04AB6">
          <w:rPr>
            <w:noProof/>
            <w:webHidden/>
          </w:rPr>
        </w:r>
        <w:r w:rsidR="00B04AB6">
          <w:rPr>
            <w:noProof/>
            <w:webHidden/>
          </w:rPr>
          <w:fldChar w:fldCharType="separate"/>
        </w:r>
        <w:r w:rsidR="00B04AB6">
          <w:rPr>
            <w:noProof/>
            <w:webHidden/>
          </w:rPr>
          <w:t>22</w:t>
        </w:r>
        <w:r w:rsidR="00B04AB6">
          <w:rPr>
            <w:noProof/>
            <w:webHidden/>
          </w:rPr>
          <w:fldChar w:fldCharType="end"/>
        </w:r>
      </w:hyperlink>
    </w:p>
    <w:p w:rsidR="00B04AB6" w:rsidP="00B04AB6" w:rsidRDefault="00A21F6B" w14:paraId="36A40247" w14:textId="77777777">
      <w:pPr>
        <w:pStyle w:val="TOC2"/>
        <w:rPr>
          <w:rFonts w:asciiTheme="minorHAnsi" w:hAnsiTheme="minorHAnsi" w:eastAsiaTheme="minorEastAsia" w:cstheme="minorBidi"/>
          <w:noProof/>
          <w:sz w:val="22"/>
        </w:rPr>
      </w:pPr>
      <w:hyperlink w:history="1" w:anchor="_Toc45023460">
        <w:r w:rsidRPr="006D596F" w:rsidR="00B04AB6">
          <w:rPr>
            <w:rStyle w:val="Hyperlink"/>
            <w:noProof/>
          </w:rPr>
          <w:t>8.2.</w:t>
        </w:r>
        <w:r w:rsidR="00B04AB6">
          <w:rPr>
            <w:rFonts w:asciiTheme="minorHAnsi" w:hAnsiTheme="minorHAnsi" w:eastAsiaTheme="minorEastAsia" w:cstheme="minorBidi"/>
            <w:noProof/>
            <w:sz w:val="22"/>
          </w:rPr>
          <w:tab/>
        </w:r>
        <w:r w:rsidRPr="006D596F" w:rsidR="00B04AB6">
          <w:rPr>
            <w:rStyle w:val="Hyperlink"/>
            <w:noProof/>
          </w:rPr>
          <w:t>Reclassifying Duct Sealing</w:t>
        </w:r>
        <w:r w:rsidR="00B04AB6">
          <w:rPr>
            <w:noProof/>
            <w:webHidden/>
          </w:rPr>
          <w:tab/>
        </w:r>
        <w:r w:rsidR="00B04AB6">
          <w:rPr>
            <w:noProof/>
            <w:webHidden/>
          </w:rPr>
          <w:fldChar w:fldCharType="begin"/>
        </w:r>
        <w:r w:rsidR="00B04AB6">
          <w:rPr>
            <w:noProof/>
            <w:webHidden/>
          </w:rPr>
          <w:instrText xml:space="preserve"> PAGEREF _Toc45023460 \h </w:instrText>
        </w:r>
        <w:r w:rsidR="00B04AB6">
          <w:rPr>
            <w:noProof/>
            <w:webHidden/>
          </w:rPr>
        </w:r>
        <w:r w:rsidR="00B04AB6">
          <w:rPr>
            <w:noProof/>
            <w:webHidden/>
          </w:rPr>
          <w:fldChar w:fldCharType="separate"/>
        </w:r>
        <w:r w:rsidR="00B04AB6">
          <w:rPr>
            <w:noProof/>
            <w:webHidden/>
          </w:rPr>
          <w:t>23</w:t>
        </w:r>
        <w:r w:rsidR="00B04AB6">
          <w:rPr>
            <w:noProof/>
            <w:webHidden/>
          </w:rPr>
          <w:fldChar w:fldCharType="end"/>
        </w:r>
      </w:hyperlink>
    </w:p>
    <w:p w:rsidR="00B04AB6" w:rsidP="00B04AB6" w:rsidRDefault="00A21F6B" w14:paraId="4CF83515" w14:textId="77777777">
      <w:pPr>
        <w:pStyle w:val="TOC2"/>
        <w:rPr>
          <w:rFonts w:asciiTheme="minorHAnsi" w:hAnsiTheme="minorHAnsi" w:eastAsiaTheme="minorEastAsia" w:cstheme="minorBidi"/>
          <w:noProof/>
          <w:sz w:val="22"/>
        </w:rPr>
      </w:pPr>
      <w:hyperlink w:history="1" w:anchor="_Toc45023461">
        <w:r w:rsidRPr="006D596F" w:rsidR="00B04AB6">
          <w:rPr>
            <w:rStyle w:val="Hyperlink"/>
            <w:noProof/>
          </w:rPr>
          <w:t>8.3.</w:t>
        </w:r>
        <w:r w:rsidR="00B04AB6">
          <w:rPr>
            <w:rFonts w:asciiTheme="minorHAnsi" w:hAnsiTheme="minorHAnsi" w:eastAsiaTheme="minorEastAsia" w:cstheme="minorBidi"/>
            <w:noProof/>
            <w:sz w:val="22"/>
          </w:rPr>
          <w:tab/>
        </w:r>
        <w:r w:rsidRPr="006D596F" w:rsidR="00B04AB6">
          <w:rPr>
            <w:rStyle w:val="Hyperlink"/>
            <w:noProof/>
          </w:rPr>
          <w:t>Ecosystem</w:t>
        </w:r>
        <w:r w:rsidR="00B04AB6">
          <w:rPr>
            <w:noProof/>
            <w:webHidden/>
          </w:rPr>
          <w:tab/>
        </w:r>
        <w:r w:rsidR="00B04AB6">
          <w:rPr>
            <w:noProof/>
            <w:webHidden/>
          </w:rPr>
          <w:fldChar w:fldCharType="begin"/>
        </w:r>
        <w:r w:rsidR="00B04AB6">
          <w:rPr>
            <w:noProof/>
            <w:webHidden/>
          </w:rPr>
          <w:instrText xml:space="preserve"> PAGEREF _Toc45023461 \h </w:instrText>
        </w:r>
        <w:r w:rsidR="00B04AB6">
          <w:rPr>
            <w:noProof/>
            <w:webHidden/>
          </w:rPr>
        </w:r>
        <w:r w:rsidR="00B04AB6">
          <w:rPr>
            <w:noProof/>
            <w:webHidden/>
          </w:rPr>
          <w:fldChar w:fldCharType="separate"/>
        </w:r>
        <w:r w:rsidR="00B04AB6">
          <w:rPr>
            <w:noProof/>
            <w:webHidden/>
          </w:rPr>
          <w:t>23</w:t>
        </w:r>
        <w:r w:rsidR="00B04AB6">
          <w:rPr>
            <w:noProof/>
            <w:webHidden/>
          </w:rPr>
          <w:fldChar w:fldCharType="end"/>
        </w:r>
      </w:hyperlink>
    </w:p>
    <w:p w:rsidR="00B04AB6" w:rsidP="00B04AB6" w:rsidRDefault="00A21F6B" w14:paraId="691957EB" w14:textId="77777777">
      <w:pPr>
        <w:pStyle w:val="TOC2"/>
        <w:rPr>
          <w:rFonts w:asciiTheme="minorHAnsi" w:hAnsiTheme="minorHAnsi" w:eastAsiaTheme="minorEastAsia" w:cstheme="minorBidi"/>
          <w:noProof/>
          <w:sz w:val="22"/>
        </w:rPr>
      </w:pPr>
      <w:hyperlink w:history="1" w:anchor="_Toc45023462">
        <w:r w:rsidRPr="006D596F" w:rsidR="00B04AB6">
          <w:rPr>
            <w:rStyle w:val="Hyperlink"/>
            <w:noProof/>
          </w:rPr>
          <w:t>8.4.</w:t>
        </w:r>
        <w:r w:rsidR="00B04AB6">
          <w:rPr>
            <w:rFonts w:asciiTheme="minorHAnsi" w:hAnsiTheme="minorHAnsi" w:eastAsiaTheme="minorEastAsia" w:cstheme="minorBidi"/>
            <w:noProof/>
            <w:sz w:val="22"/>
          </w:rPr>
          <w:tab/>
        </w:r>
        <w:r w:rsidRPr="006D596F" w:rsidR="00B04AB6">
          <w:rPr>
            <w:rStyle w:val="Hyperlink"/>
            <w:noProof/>
          </w:rPr>
          <w:t>EM&amp;V</w:t>
        </w:r>
        <w:r w:rsidR="00B04AB6">
          <w:rPr>
            <w:noProof/>
            <w:webHidden/>
          </w:rPr>
          <w:tab/>
        </w:r>
        <w:r w:rsidR="00B04AB6">
          <w:rPr>
            <w:noProof/>
            <w:webHidden/>
          </w:rPr>
          <w:fldChar w:fldCharType="begin"/>
        </w:r>
        <w:r w:rsidR="00B04AB6">
          <w:rPr>
            <w:noProof/>
            <w:webHidden/>
          </w:rPr>
          <w:instrText xml:space="preserve"> PAGEREF _Toc45023462 \h </w:instrText>
        </w:r>
        <w:r w:rsidR="00B04AB6">
          <w:rPr>
            <w:noProof/>
            <w:webHidden/>
          </w:rPr>
        </w:r>
        <w:r w:rsidR="00B04AB6">
          <w:rPr>
            <w:noProof/>
            <w:webHidden/>
          </w:rPr>
          <w:fldChar w:fldCharType="separate"/>
        </w:r>
        <w:r w:rsidR="00B04AB6">
          <w:rPr>
            <w:noProof/>
            <w:webHidden/>
          </w:rPr>
          <w:t>25</w:t>
        </w:r>
        <w:r w:rsidR="00B04AB6">
          <w:rPr>
            <w:noProof/>
            <w:webHidden/>
          </w:rPr>
          <w:fldChar w:fldCharType="end"/>
        </w:r>
      </w:hyperlink>
    </w:p>
    <w:p w:rsidR="00B04AB6" w:rsidP="00B04AB6" w:rsidRDefault="00A21F6B" w14:paraId="0C4EC4CA" w14:textId="77777777">
      <w:pPr>
        <w:pStyle w:val="TOC2"/>
        <w:rPr>
          <w:rFonts w:asciiTheme="minorHAnsi" w:hAnsiTheme="minorHAnsi" w:eastAsiaTheme="minorEastAsia" w:cstheme="minorBidi"/>
          <w:noProof/>
          <w:sz w:val="22"/>
        </w:rPr>
      </w:pPr>
      <w:hyperlink w:history="1" w:anchor="_Toc45023463">
        <w:r w:rsidRPr="006D596F" w:rsidR="00B04AB6">
          <w:rPr>
            <w:rStyle w:val="Hyperlink"/>
            <w:noProof/>
          </w:rPr>
          <w:t>8.5.</w:t>
        </w:r>
        <w:r w:rsidR="00B04AB6">
          <w:rPr>
            <w:rFonts w:asciiTheme="minorHAnsi" w:hAnsiTheme="minorHAnsi" w:eastAsiaTheme="minorEastAsia" w:cstheme="minorBidi"/>
            <w:noProof/>
            <w:sz w:val="22"/>
          </w:rPr>
          <w:tab/>
        </w:r>
        <w:r w:rsidRPr="006D596F" w:rsidR="00B04AB6">
          <w:rPr>
            <w:rStyle w:val="Hyperlink"/>
            <w:noProof/>
          </w:rPr>
          <w:t>Transition to eTRM</w:t>
        </w:r>
        <w:r w:rsidR="00B04AB6">
          <w:rPr>
            <w:noProof/>
            <w:webHidden/>
          </w:rPr>
          <w:tab/>
        </w:r>
        <w:r w:rsidR="00B04AB6">
          <w:rPr>
            <w:noProof/>
            <w:webHidden/>
          </w:rPr>
          <w:fldChar w:fldCharType="begin"/>
        </w:r>
        <w:r w:rsidR="00B04AB6">
          <w:rPr>
            <w:noProof/>
            <w:webHidden/>
          </w:rPr>
          <w:instrText xml:space="preserve"> PAGEREF _Toc45023463 \h </w:instrText>
        </w:r>
        <w:r w:rsidR="00B04AB6">
          <w:rPr>
            <w:noProof/>
            <w:webHidden/>
          </w:rPr>
        </w:r>
        <w:r w:rsidR="00B04AB6">
          <w:rPr>
            <w:noProof/>
            <w:webHidden/>
          </w:rPr>
          <w:fldChar w:fldCharType="separate"/>
        </w:r>
        <w:r w:rsidR="00B04AB6">
          <w:rPr>
            <w:noProof/>
            <w:webHidden/>
          </w:rPr>
          <w:t>26</w:t>
        </w:r>
        <w:r w:rsidR="00B04AB6">
          <w:rPr>
            <w:noProof/>
            <w:webHidden/>
          </w:rPr>
          <w:fldChar w:fldCharType="end"/>
        </w:r>
      </w:hyperlink>
    </w:p>
    <w:p w:rsidR="00B04AB6" w:rsidP="00B04AB6" w:rsidRDefault="00A21F6B" w14:paraId="44E03ADF" w14:textId="77777777">
      <w:pPr>
        <w:pStyle w:val="TOC2"/>
        <w:rPr>
          <w:rFonts w:asciiTheme="minorHAnsi" w:hAnsiTheme="minorHAnsi" w:eastAsiaTheme="minorEastAsia" w:cstheme="minorBidi"/>
          <w:noProof/>
          <w:sz w:val="22"/>
        </w:rPr>
      </w:pPr>
      <w:hyperlink w:history="1" w:anchor="_Toc45023464">
        <w:r w:rsidRPr="006D596F" w:rsidR="00B04AB6">
          <w:rPr>
            <w:rStyle w:val="Hyperlink"/>
            <w:noProof/>
          </w:rPr>
          <w:t>8.6.</w:t>
        </w:r>
        <w:r w:rsidR="00B04AB6">
          <w:rPr>
            <w:rFonts w:asciiTheme="minorHAnsi" w:hAnsiTheme="minorHAnsi" w:eastAsiaTheme="minorEastAsia" w:cstheme="minorBidi"/>
            <w:noProof/>
            <w:sz w:val="22"/>
          </w:rPr>
          <w:tab/>
        </w:r>
        <w:r w:rsidRPr="006D596F" w:rsidR="00B04AB6">
          <w:rPr>
            <w:rStyle w:val="Hyperlink"/>
            <w:noProof/>
          </w:rPr>
          <w:t>EUL</w:t>
        </w:r>
        <w:r w:rsidR="00B04AB6">
          <w:rPr>
            <w:noProof/>
            <w:webHidden/>
          </w:rPr>
          <w:tab/>
        </w:r>
        <w:r w:rsidR="00B04AB6">
          <w:rPr>
            <w:noProof/>
            <w:webHidden/>
          </w:rPr>
          <w:fldChar w:fldCharType="begin"/>
        </w:r>
        <w:r w:rsidR="00B04AB6">
          <w:rPr>
            <w:noProof/>
            <w:webHidden/>
          </w:rPr>
          <w:instrText xml:space="preserve"> PAGEREF _Toc45023464 \h </w:instrText>
        </w:r>
        <w:r w:rsidR="00B04AB6">
          <w:rPr>
            <w:noProof/>
            <w:webHidden/>
          </w:rPr>
        </w:r>
        <w:r w:rsidR="00B04AB6">
          <w:rPr>
            <w:noProof/>
            <w:webHidden/>
          </w:rPr>
          <w:fldChar w:fldCharType="separate"/>
        </w:r>
        <w:r w:rsidR="00B04AB6">
          <w:rPr>
            <w:noProof/>
            <w:webHidden/>
          </w:rPr>
          <w:t>27</w:t>
        </w:r>
        <w:r w:rsidR="00B04AB6">
          <w:rPr>
            <w:noProof/>
            <w:webHidden/>
          </w:rPr>
          <w:fldChar w:fldCharType="end"/>
        </w:r>
      </w:hyperlink>
    </w:p>
    <w:p w:rsidR="00B04AB6" w:rsidP="00B04AB6" w:rsidRDefault="00A21F6B" w14:paraId="693F4D68" w14:textId="77777777">
      <w:pPr>
        <w:pStyle w:val="TOC2"/>
        <w:rPr>
          <w:rFonts w:asciiTheme="minorHAnsi" w:hAnsiTheme="minorHAnsi" w:eastAsiaTheme="minorEastAsia" w:cstheme="minorBidi"/>
          <w:noProof/>
          <w:sz w:val="22"/>
        </w:rPr>
      </w:pPr>
      <w:hyperlink w:history="1" w:anchor="_Toc45023465">
        <w:r w:rsidRPr="006D596F" w:rsidR="00B04AB6">
          <w:rPr>
            <w:rStyle w:val="Hyperlink"/>
            <w:noProof/>
          </w:rPr>
          <w:t>8.7.</w:t>
        </w:r>
        <w:r w:rsidR="00B04AB6">
          <w:rPr>
            <w:rFonts w:asciiTheme="minorHAnsi" w:hAnsiTheme="minorHAnsi" w:eastAsiaTheme="minorEastAsia" w:cstheme="minorBidi"/>
            <w:noProof/>
            <w:sz w:val="22"/>
          </w:rPr>
          <w:tab/>
        </w:r>
        <w:r w:rsidRPr="006D596F" w:rsidR="00B04AB6">
          <w:rPr>
            <w:rStyle w:val="Hyperlink"/>
            <w:noProof/>
          </w:rPr>
          <w:t>Fuel Substitution</w:t>
        </w:r>
        <w:r w:rsidR="00B04AB6">
          <w:rPr>
            <w:noProof/>
            <w:webHidden/>
          </w:rPr>
          <w:tab/>
        </w:r>
        <w:r w:rsidR="00B04AB6">
          <w:rPr>
            <w:noProof/>
            <w:webHidden/>
          </w:rPr>
          <w:fldChar w:fldCharType="begin"/>
        </w:r>
        <w:r w:rsidR="00B04AB6">
          <w:rPr>
            <w:noProof/>
            <w:webHidden/>
          </w:rPr>
          <w:instrText xml:space="preserve"> PAGEREF _Toc45023465 \h </w:instrText>
        </w:r>
        <w:r w:rsidR="00B04AB6">
          <w:rPr>
            <w:noProof/>
            <w:webHidden/>
          </w:rPr>
        </w:r>
        <w:r w:rsidR="00B04AB6">
          <w:rPr>
            <w:noProof/>
            <w:webHidden/>
          </w:rPr>
          <w:fldChar w:fldCharType="separate"/>
        </w:r>
        <w:r w:rsidR="00B04AB6">
          <w:rPr>
            <w:noProof/>
            <w:webHidden/>
          </w:rPr>
          <w:t>28</w:t>
        </w:r>
        <w:r w:rsidR="00B04AB6">
          <w:rPr>
            <w:noProof/>
            <w:webHidden/>
          </w:rPr>
          <w:fldChar w:fldCharType="end"/>
        </w:r>
      </w:hyperlink>
    </w:p>
    <w:p w:rsidR="00B04AB6" w:rsidP="00B04AB6" w:rsidRDefault="00A21F6B" w14:paraId="3C898B2A" w14:textId="77777777">
      <w:pPr>
        <w:pStyle w:val="TOC2"/>
        <w:rPr>
          <w:rFonts w:asciiTheme="minorHAnsi" w:hAnsiTheme="minorHAnsi" w:eastAsiaTheme="minorEastAsia" w:cstheme="minorBidi"/>
          <w:noProof/>
          <w:sz w:val="22"/>
        </w:rPr>
      </w:pPr>
      <w:hyperlink w:history="1" w:anchor="_Toc45023466">
        <w:r w:rsidRPr="006D596F" w:rsidR="00B04AB6">
          <w:rPr>
            <w:rStyle w:val="Hyperlink"/>
            <w:noProof/>
          </w:rPr>
          <w:t>8.8.</w:t>
        </w:r>
        <w:r w:rsidR="00B04AB6">
          <w:rPr>
            <w:rFonts w:asciiTheme="minorHAnsi" w:hAnsiTheme="minorHAnsi" w:eastAsiaTheme="minorEastAsia" w:cstheme="minorBidi"/>
            <w:noProof/>
            <w:sz w:val="22"/>
          </w:rPr>
          <w:tab/>
        </w:r>
        <w:r w:rsidRPr="006D596F" w:rsidR="00B04AB6">
          <w:rPr>
            <w:rStyle w:val="Hyperlink"/>
            <w:noProof/>
          </w:rPr>
          <w:t>Load Shapes</w:t>
        </w:r>
        <w:r w:rsidR="00B04AB6">
          <w:rPr>
            <w:noProof/>
            <w:webHidden/>
          </w:rPr>
          <w:tab/>
        </w:r>
        <w:r w:rsidR="00B04AB6">
          <w:rPr>
            <w:noProof/>
            <w:webHidden/>
          </w:rPr>
          <w:fldChar w:fldCharType="begin"/>
        </w:r>
        <w:r w:rsidR="00B04AB6">
          <w:rPr>
            <w:noProof/>
            <w:webHidden/>
          </w:rPr>
          <w:instrText xml:space="preserve"> PAGEREF _Toc45023466 \h </w:instrText>
        </w:r>
        <w:r w:rsidR="00B04AB6">
          <w:rPr>
            <w:noProof/>
            <w:webHidden/>
          </w:rPr>
        </w:r>
        <w:r w:rsidR="00B04AB6">
          <w:rPr>
            <w:noProof/>
            <w:webHidden/>
          </w:rPr>
          <w:fldChar w:fldCharType="separate"/>
        </w:r>
        <w:r w:rsidR="00B04AB6">
          <w:rPr>
            <w:noProof/>
            <w:webHidden/>
          </w:rPr>
          <w:t>30</w:t>
        </w:r>
        <w:r w:rsidR="00B04AB6">
          <w:rPr>
            <w:noProof/>
            <w:webHidden/>
          </w:rPr>
          <w:fldChar w:fldCharType="end"/>
        </w:r>
      </w:hyperlink>
    </w:p>
    <w:p w:rsidR="00B04AB6" w:rsidP="00B04AB6" w:rsidRDefault="00A21F6B" w14:paraId="03AC91D1" w14:textId="77777777">
      <w:pPr>
        <w:pStyle w:val="TOC2"/>
        <w:rPr>
          <w:rFonts w:asciiTheme="minorHAnsi" w:hAnsiTheme="minorHAnsi" w:eastAsiaTheme="minorEastAsia" w:cstheme="minorBidi"/>
          <w:noProof/>
          <w:sz w:val="22"/>
        </w:rPr>
      </w:pPr>
      <w:hyperlink w:history="1" w:anchor="_Toc45023467">
        <w:r w:rsidRPr="006D596F" w:rsidR="00B04AB6">
          <w:rPr>
            <w:rStyle w:val="Hyperlink"/>
            <w:noProof/>
          </w:rPr>
          <w:t>8.9.</w:t>
        </w:r>
        <w:r w:rsidR="00B04AB6">
          <w:rPr>
            <w:rFonts w:asciiTheme="minorHAnsi" w:hAnsiTheme="minorHAnsi" w:eastAsiaTheme="minorEastAsia" w:cstheme="minorBidi"/>
            <w:noProof/>
            <w:sz w:val="22"/>
          </w:rPr>
          <w:tab/>
        </w:r>
        <w:r w:rsidRPr="006D596F" w:rsidR="00B04AB6">
          <w:rPr>
            <w:rStyle w:val="Hyperlink"/>
            <w:noProof/>
          </w:rPr>
          <w:t>Updates to Existing or Addition of New Measures</w:t>
        </w:r>
        <w:r w:rsidR="00B04AB6">
          <w:rPr>
            <w:noProof/>
            <w:webHidden/>
          </w:rPr>
          <w:tab/>
        </w:r>
        <w:r w:rsidR="00B04AB6">
          <w:rPr>
            <w:noProof/>
            <w:webHidden/>
          </w:rPr>
          <w:fldChar w:fldCharType="begin"/>
        </w:r>
        <w:r w:rsidR="00B04AB6">
          <w:rPr>
            <w:noProof/>
            <w:webHidden/>
          </w:rPr>
          <w:instrText xml:space="preserve"> PAGEREF _Toc45023467 \h </w:instrText>
        </w:r>
        <w:r w:rsidR="00B04AB6">
          <w:rPr>
            <w:noProof/>
            <w:webHidden/>
          </w:rPr>
        </w:r>
        <w:r w:rsidR="00B04AB6">
          <w:rPr>
            <w:noProof/>
            <w:webHidden/>
          </w:rPr>
          <w:fldChar w:fldCharType="separate"/>
        </w:r>
        <w:r w:rsidR="00B04AB6">
          <w:rPr>
            <w:noProof/>
            <w:webHidden/>
          </w:rPr>
          <w:t>30</w:t>
        </w:r>
        <w:r w:rsidR="00B04AB6">
          <w:rPr>
            <w:noProof/>
            <w:webHidden/>
          </w:rPr>
          <w:fldChar w:fldCharType="end"/>
        </w:r>
      </w:hyperlink>
    </w:p>
    <w:p w:rsidR="00B04AB6" w:rsidP="00B04AB6" w:rsidRDefault="00A21F6B" w14:paraId="0E62C450" w14:textId="77777777">
      <w:pPr>
        <w:pStyle w:val="TOC2"/>
        <w:rPr>
          <w:rFonts w:asciiTheme="minorHAnsi" w:hAnsiTheme="minorHAnsi" w:eastAsiaTheme="minorEastAsia" w:cstheme="minorBidi"/>
          <w:noProof/>
          <w:sz w:val="22"/>
        </w:rPr>
      </w:pPr>
      <w:hyperlink w:history="1" w:anchor="_Toc45023468">
        <w:r w:rsidRPr="006D596F" w:rsidR="00B04AB6">
          <w:rPr>
            <w:rStyle w:val="Hyperlink"/>
            <w:noProof/>
          </w:rPr>
          <w:t>8.10.</w:t>
        </w:r>
        <w:r w:rsidR="00B04AB6">
          <w:rPr>
            <w:rFonts w:asciiTheme="minorHAnsi" w:hAnsiTheme="minorHAnsi" w:eastAsiaTheme="minorEastAsia" w:cstheme="minorBidi"/>
            <w:noProof/>
            <w:sz w:val="22"/>
          </w:rPr>
          <w:tab/>
        </w:r>
        <w:r w:rsidRPr="006D596F" w:rsidR="00B04AB6">
          <w:rPr>
            <w:rStyle w:val="Hyperlink"/>
            <w:noProof/>
          </w:rPr>
          <w:t>Water Heaters</w:t>
        </w:r>
        <w:r w:rsidR="00B04AB6">
          <w:rPr>
            <w:noProof/>
            <w:webHidden/>
          </w:rPr>
          <w:tab/>
        </w:r>
        <w:r w:rsidR="00B04AB6">
          <w:rPr>
            <w:noProof/>
            <w:webHidden/>
          </w:rPr>
          <w:fldChar w:fldCharType="begin"/>
        </w:r>
        <w:r w:rsidR="00B04AB6">
          <w:rPr>
            <w:noProof/>
            <w:webHidden/>
          </w:rPr>
          <w:instrText xml:space="preserve"> PAGEREF _Toc45023468 \h </w:instrText>
        </w:r>
        <w:r w:rsidR="00B04AB6">
          <w:rPr>
            <w:noProof/>
            <w:webHidden/>
          </w:rPr>
        </w:r>
        <w:r w:rsidR="00B04AB6">
          <w:rPr>
            <w:noProof/>
            <w:webHidden/>
          </w:rPr>
          <w:fldChar w:fldCharType="separate"/>
        </w:r>
        <w:r w:rsidR="00B04AB6">
          <w:rPr>
            <w:noProof/>
            <w:webHidden/>
          </w:rPr>
          <w:t>32</w:t>
        </w:r>
        <w:r w:rsidR="00B04AB6">
          <w:rPr>
            <w:noProof/>
            <w:webHidden/>
          </w:rPr>
          <w:fldChar w:fldCharType="end"/>
        </w:r>
      </w:hyperlink>
    </w:p>
    <w:p w:rsidR="00B04AB6" w:rsidP="00B04AB6" w:rsidRDefault="00A21F6B" w14:paraId="7E11EC2D" w14:textId="77777777">
      <w:pPr>
        <w:pStyle w:val="TOC1"/>
        <w:rPr>
          <w:rFonts w:asciiTheme="minorHAnsi" w:hAnsiTheme="minorHAnsi" w:eastAsiaTheme="minorEastAsia" w:cstheme="minorBidi"/>
          <w:sz w:val="22"/>
        </w:rPr>
      </w:pPr>
      <w:hyperlink w:history="1" w:anchor="_Toc45023469">
        <w:r w:rsidRPr="006D596F" w:rsidR="00B04AB6">
          <w:rPr>
            <w:rStyle w:val="Hyperlink"/>
          </w:rPr>
          <w:t>9.</w:t>
        </w:r>
        <w:r w:rsidR="00B04AB6">
          <w:rPr>
            <w:rFonts w:asciiTheme="minorHAnsi" w:hAnsiTheme="minorHAnsi" w:eastAsiaTheme="minorEastAsia" w:cstheme="minorBidi"/>
            <w:sz w:val="22"/>
          </w:rPr>
          <w:tab/>
        </w:r>
        <w:r w:rsidRPr="006D596F" w:rsidR="00B04AB6">
          <w:rPr>
            <w:rStyle w:val="Hyperlink"/>
          </w:rPr>
          <w:t>Appendix 1 – eTRM Enhancement Planning</w:t>
        </w:r>
        <w:r w:rsidR="00B04AB6">
          <w:rPr>
            <w:webHidden/>
          </w:rPr>
          <w:tab/>
        </w:r>
        <w:r w:rsidR="00B04AB6">
          <w:rPr>
            <w:webHidden/>
          </w:rPr>
          <w:fldChar w:fldCharType="begin"/>
        </w:r>
        <w:r w:rsidR="00B04AB6">
          <w:rPr>
            <w:webHidden/>
          </w:rPr>
          <w:instrText xml:space="preserve"> PAGEREF _Toc45023469 \h </w:instrText>
        </w:r>
        <w:r w:rsidR="00B04AB6">
          <w:rPr>
            <w:webHidden/>
          </w:rPr>
        </w:r>
        <w:r w:rsidR="00B04AB6">
          <w:rPr>
            <w:webHidden/>
          </w:rPr>
          <w:fldChar w:fldCharType="separate"/>
        </w:r>
        <w:r w:rsidR="00B04AB6">
          <w:rPr>
            <w:webHidden/>
          </w:rPr>
          <w:t>1</w:t>
        </w:r>
        <w:r w:rsidR="00B04AB6">
          <w:rPr>
            <w:webHidden/>
          </w:rPr>
          <w:fldChar w:fldCharType="end"/>
        </w:r>
      </w:hyperlink>
    </w:p>
    <w:p w:rsidR="00B04AB6" w:rsidP="00B04AB6" w:rsidRDefault="00A21F6B" w14:paraId="109E869E" w14:textId="77777777">
      <w:pPr>
        <w:pStyle w:val="TOC1"/>
        <w:rPr>
          <w:rFonts w:asciiTheme="minorHAnsi" w:hAnsiTheme="minorHAnsi" w:eastAsiaTheme="minorEastAsia" w:cstheme="minorBidi"/>
          <w:sz w:val="22"/>
        </w:rPr>
      </w:pPr>
      <w:hyperlink w:history="1" w:anchor="_Toc45023470">
        <w:r w:rsidRPr="006D596F" w:rsidR="00B04AB6">
          <w:rPr>
            <w:rStyle w:val="Hyperlink"/>
          </w:rPr>
          <w:t>10.</w:t>
        </w:r>
        <w:r w:rsidR="00B04AB6">
          <w:rPr>
            <w:rFonts w:asciiTheme="minorHAnsi" w:hAnsiTheme="minorHAnsi" w:eastAsiaTheme="minorEastAsia" w:cstheme="minorBidi"/>
            <w:sz w:val="22"/>
          </w:rPr>
          <w:tab/>
        </w:r>
        <w:r w:rsidRPr="006D596F" w:rsidR="00B04AB6">
          <w:rPr>
            <w:rStyle w:val="Hyperlink"/>
          </w:rPr>
          <w:t>Appendix 2 –Standard for Deemed Data Source of Record</w:t>
        </w:r>
        <w:r w:rsidR="00B04AB6">
          <w:rPr>
            <w:webHidden/>
          </w:rPr>
          <w:tab/>
        </w:r>
        <w:r w:rsidR="00B04AB6">
          <w:rPr>
            <w:webHidden/>
          </w:rPr>
          <w:fldChar w:fldCharType="begin"/>
        </w:r>
        <w:r w:rsidR="00B04AB6">
          <w:rPr>
            <w:webHidden/>
          </w:rPr>
          <w:instrText xml:space="preserve"> PAGEREF _Toc45023470 \h </w:instrText>
        </w:r>
        <w:r w:rsidR="00B04AB6">
          <w:rPr>
            <w:webHidden/>
          </w:rPr>
        </w:r>
        <w:r w:rsidR="00B04AB6">
          <w:rPr>
            <w:webHidden/>
          </w:rPr>
          <w:fldChar w:fldCharType="separate"/>
        </w:r>
        <w:r w:rsidR="00B04AB6">
          <w:rPr>
            <w:webHidden/>
          </w:rPr>
          <w:t>9</w:t>
        </w:r>
        <w:r w:rsidR="00B04AB6">
          <w:rPr>
            <w:webHidden/>
          </w:rPr>
          <w:fldChar w:fldCharType="end"/>
        </w:r>
      </w:hyperlink>
    </w:p>
    <w:p w:rsidR="00B04AB6" w:rsidP="00B04AB6" w:rsidRDefault="00B04AB6" w14:paraId="2C9F1013" w14:textId="77777777">
      <w:r w:rsidRPr="00AD0B67">
        <w:rPr>
          <w:szCs w:val="24"/>
        </w:rPr>
        <w:fldChar w:fldCharType="end"/>
      </w:r>
      <w:bookmarkStart w:name="_Toc10397773" w:id="24"/>
      <w:bookmarkStart w:name="_Toc10543697" w:id="25"/>
      <w:bookmarkStart w:name="_Toc10545639" w:id="26"/>
      <w:bookmarkStart w:name="_Toc11336959" w:id="27"/>
      <w:bookmarkStart w:name="_Toc513118695" w:id="28"/>
      <w:r>
        <w:br w:type="page"/>
      </w:r>
    </w:p>
    <w:p w:rsidRPr="00895020" w:rsidR="00B04AB6" w:rsidP="00B04AB6" w:rsidRDefault="00B04AB6" w14:paraId="6D3876FA" w14:textId="77777777">
      <w:pPr>
        <w:pStyle w:val="AttachmentHeading1"/>
      </w:pPr>
      <w:bookmarkStart w:name="_Ref41478612" w:id="29"/>
      <w:bookmarkStart w:name="_Ref41478624" w:id="30"/>
      <w:bookmarkStart w:name="_Toc45023415" w:id="31"/>
      <w:r>
        <w:lastRenderedPageBreak/>
        <w:t xml:space="preserve">Transition to </w:t>
      </w:r>
      <w:proofErr w:type="spellStart"/>
      <w:r>
        <w:t>eTRM</w:t>
      </w:r>
      <w:bookmarkEnd w:id="29"/>
      <w:bookmarkEnd w:id="30"/>
      <w:bookmarkEnd w:id="31"/>
      <w:proofErr w:type="spellEnd"/>
    </w:p>
    <w:p w:rsidR="00B04AB6" w:rsidP="00B04AB6" w:rsidRDefault="00B04AB6" w14:paraId="2A393900" w14:textId="77777777">
      <w:r>
        <w:rPr>
          <w:rFonts w:eastAsia="Garamond" w:cs="Garamond"/>
        </w:rPr>
        <w:t>The California Public Utilities Commission (</w:t>
      </w:r>
      <w:r w:rsidRPr="40AD8E22">
        <w:rPr>
          <w:rFonts w:eastAsia="Garamond" w:cs="Garamond"/>
        </w:rPr>
        <w:t>CPUC</w:t>
      </w:r>
      <w:r>
        <w:rPr>
          <w:rFonts w:eastAsia="Garamond" w:cs="Garamond"/>
        </w:rPr>
        <w:t>)</w:t>
      </w:r>
      <w:r w:rsidRPr="40AD8E22">
        <w:rPr>
          <w:rFonts w:eastAsia="Garamond" w:cs="Garamond"/>
        </w:rPr>
        <w:t xml:space="preserve"> staff is currently working on a multi-year transition plan to progressively transition</w:t>
      </w:r>
      <w:r>
        <w:rPr>
          <w:rFonts w:eastAsia="Garamond" w:cs="Garamond"/>
        </w:rPr>
        <w:t xml:space="preserve"> the </w:t>
      </w:r>
      <w:r w:rsidRPr="00017998">
        <w:rPr>
          <w:rFonts w:eastAsia="Garamond" w:cs="Garamond"/>
        </w:rPr>
        <w:t>Database for Energy-Efficient Resources</w:t>
      </w:r>
      <w:r w:rsidRPr="40AD8E22">
        <w:rPr>
          <w:rFonts w:eastAsia="Garamond" w:cs="Garamond"/>
        </w:rPr>
        <w:t xml:space="preserve"> </w:t>
      </w:r>
      <w:r>
        <w:rPr>
          <w:rFonts w:eastAsia="Garamond" w:cs="Garamond"/>
        </w:rPr>
        <w:t>(</w:t>
      </w:r>
      <w:r w:rsidRPr="40AD8E22">
        <w:rPr>
          <w:rFonts w:eastAsia="Garamond" w:cs="Garamond"/>
        </w:rPr>
        <w:t>DEER</w:t>
      </w:r>
      <w:r>
        <w:rPr>
          <w:rFonts w:eastAsia="Garamond" w:cs="Garamond"/>
        </w:rPr>
        <w:t>)</w:t>
      </w:r>
      <w:r w:rsidRPr="40AD8E22">
        <w:rPr>
          <w:rFonts w:eastAsia="Garamond" w:cs="Garamond"/>
        </w:rPr>
        <w:t xml:space="preserve"> and workpaper activities to a software platform jointly funded by </w:t>
      </w:r>
      <w:r>
        <w:rPr>
          <w:rFonts w:eastAsia="Garamond" w:cs="Garamond"/>
        </w:rPr>
        <w:t>California investor-owned utilities</w:t>
      </w:r>
      <w:r w:rsidRPr="40AD8E22">
        <w:rPr>
          <w:rFonts w:eastAsia="Garamond" w:cs="Garamond"/>
        </w:rPr>
        <w:t xml:space="preserve"> </w:t>
      </w:r>
      <w:r>
        <w:rPr>
          <w:rFonts w:eastAsia="Garamond" w:cs="Garamond"/>
        </w:rPr>
        <w:t>(</w:t>
      </w:r>
      <w:r w:rsidRPr="40AD8E22">
        <w:rPr>
          <w:rFonts w:eastAsia="Garamond" w:cs="Garamond"/>
        </w:rPr>
        <w:t>IOUs</w:t>
      </w:r>
      <w:r>
        <w:rPr>
          <w:rFonts w:eastAsia="Garamond" w:cs="Garamond"/>
        </w:rPr>
        <w:t>)</w:t>
      </w:r>
      <w:r w:rsidRPr="40AD8E22">
        <w:rPr>
          <w:rFonts w:eastAsia="Garamond" w:cs="Garamond"/>
        </w:rPr>
        <w:t xml:space="preserve"> called the Electronic Technical Resource Manual (</w:t>
      </w:r>
      <w:proofErr w:type="spellStart"/>
      <w:r w:rsidRPr="40AD8E22">
        <w:rPr>
          <w:rFonts w:eastAsia="Garamond" w:cs="Garamond"/>
        </w:rPr>
        <w:t>eTRM</w:t>
      </w:r>
      <w:proofErr w:type="spellEnd"/>
      <w:r w:rsidRPr="40AD8E22">
        <w:rPr>
          <w:rFonts w:eastAsia="Garamond" w:cs="Garamond"/>
        </w:rPr>
        <w:t xml:space="preserve">), with an ultimate objective of phasing out existing systems by December 31, 2021. CPUC staff has been working with stakeholders on development, transition, and adoption activities, and will approach the project in two phases. Phase </w:t>
      </w:r>
      <w:r>
        <w:rPr>
          <w:rFonts w:eastAsia="Garamond" w:cs="Garamond"/>
        </w:rPr>
        <w:t>1</w:t>
      </w:r>
      <w:r w:rsidRPr="40AD8E22">
        <w:rPr>
          <w:rFonts w:eastAsia="Garamond" w:cs="Garamond"/>
        </w:rPr>
        <w:t xml:space="preserve"> </w:t>
      </w:r>
      <w:r>
        <w:rPr>
          <w:rFonts w:eastAsia="Garamond" w:cs="Garamond"/>
        </w:rPr>
        <w:t xml:space="preserve">should </w:t>
      </w:r>
      <w:r w:rsidRPr="40AD8E22">
        <w:rPr>
          <w:rFonts w:eastAsia="Garamond" w:cs="Garamond"/>
        </w:rPr>
        <w:t>begin in July 2020</w:t>
      </w:r>
      <w:r>
        <w:rPr>
          <w:rFonts w:eastAsia="Garamond" w:cs="Garamond"/>
        </w:rPr>
        <w:t xml:space="preserve"> and</w:t>
      </w:r>
      <w:r w:rsidRPr="40AD8E22">
        <w:rPr>
          <w:rFonts w:eastAsia="Garamond" w:cs="Garamond"/>
        </w:rPr>
        <w:t xml:space="preserve"> addresses enhancements necessary for the </w:t>
      </w:r>
      <w:proofErr w:type="spellStart"/>
      <w:r w:rsidRPr="40AD8E22">
        <w:rPr>
          <w:rFonts w:eastAsia="Garamond" w:cs="Garamond"/>
        </w:rPr>
        <w:t>eTRM</w:t>
      </w:r>
      <w:proofErr w:type="spellEnd"/>
      <w:r w:rsidRPr="40AD8E22">
        <w:rPr>
          <w:rFonts w:eastAsia="Garamond" w:cs="Garamond"/>
        </w:rPr>
        <w:t xml:space="preserve"> to meet the Deemed Data Standard </w:t>
      </w:r>
      <w:r>
        <w:rPr>
          <w:rFonts w:eastAsia="Garamond" w:cs="Garamond"/>
        </w:rPr>
        <w:t xml:space="preserve">provided in </w:t>
      </w:r>
      <w:r>
        <w:rPr>
          <w:rFonts w:eastAsia="Garamond" w:cs="Garamond"/>
        </w:rPr>
        <w:fldChar w:fldCharType="begin"/>
      </w:r>
      <w:r>
        <w:rPr>
          <w:rFonts w:eastAsia="Garamond" w:cs="Garamond"/>
        </w:rPr>
        <w:instrText xml:space="preserve"> REF _Ref45022601 \h </w:instrText>
      </w:r>
      <w:r>
        <w:rPr>
          <w:rFonts w:eastAsia="Garamond" w:cs="Garamond"/>
        </w:rPr>
      </w:r>
      <w:r>
        <w:rPr>
          <w:rFonts w:eastAsia="Garamond" w:cs="Garamond"/>
        </w:rPr>
        <w:fldChar w:fldCharType="separate"/>
      </w:r>
      <w:r>
        <w:t>Appendix 2 –Standard for Deemed Data Source of Record</w:t>
      </w:r>
      <w:r>
        <w:rPr>
          <w:rFonts w:eastAsia="Garamond" w:cs="Garamond"/>
        </w:rPr>
        <w:fldChar w:fldCharType="end"/>
      </w:r>
      <w:r w:rsidRPr="40AD8E22">
        <w:rPr>
          <w:rFonts w:eastAsia="Garamond" w:cs="Garamond"/>
        </w:rPr>
        <w:t xml:space="preserve">. </w:t>
      </w:r>
      <w:r>
        <w:rPr>
          <w:rFonts w:eastAsia="Garamond" w:cs="Garamond"/>
        </w:rPr>
        <w:t xml:space="preserve">In this appendix, </w:t>
      </w:r>
      <w:r w:rsidRPr="00021160">
        <w:fldChar w:fldCharType="begin"/>
      </w:r>
      <w:r w:rsidRPr="00021160">
        <w:rPr>
          <w:rFonts w:eastAsia="Garamond"/>
        </w:rPr>
        <w:instrText xml:space="preserve"> REF _Ref41467751 \h </w:instrText>
      </w:r>
      <w:r w:rsidRPr="00021160">
        <w:instrText xml:space="preserve"> \* MERGEFORMAT </w:instrText>
      </w:r>
      <w:r w:rsidRPr="00021160">
        <w:fldChar w:fldCharType="separate"/>
      </w:r>
      <w:r w:rsidRPr="00B95F21">
        <w:t xml:space="preserve">Table </w:t>
      </w:r>
      <w:r>
        <w:t>A</w:t>
      </w:r>
      <w:r w:rsidRPr="00B95F21">
        <w:noBreakHyphen/>
      </w:r>
      <w:r>
        <w:t>3</w:t>
      </w:r>
      <w:r w:rsidRPr="00021160">
        <w:fldChar w:fldCharType="end"/>
      </w:r>
      <w:r w:rsidRPr="001540C9">
        <w:t xml:space="preserve"> presents the list of table fields that the CPUC requires the </w:t>
      </w:r>
      <w:proofErr w:type="spellStart"/>
      <w:r w:rsidRPr="001540C9">
        <w:t>eTRM</w:t>
      </w:r>
      <w:proofErr w:type="spellEnd"/>
      <w:r w:rsidRPr="001540C9">
        <w:t xml:space="preserve"> to include for consideration as the deemed data source of record</w:t>
      </w:r>
      <w:r>
        <w:t>.</w:t>
      </w:r>
      <w:r w:rsidRPr="40AD8E22">
        <w:rPr>
          <w:rFonts w:eastAsia="Garamond" w:cs="Garamond"/>
        </w:rPr>
        <w:t xml:space="preserve"> Phase </w:t>
      </w:r>
      <w:r>
        <w:rPr>
          <w:rFonts w:eastAsia="Garamond" w:cs="Garamond"/>
        </w:rPr>
        <w:t>2</w:t>
      </w:r>
      <w:r w:rsidRPr="40AD8E22">
        <w:rPr>
          <w:rFonts w:eastAsia="Garamond" w:cs="Garamond"/>
        </w:rPr>
        <w:t xml:space="preserve"> addresses system integration issues and will begin later in 2020</w:t>
      </w:r>
      <w:r>
        <w:rPr>
          <w:rFonts w:eastAsia="Garamond" w:cs="Garamond"/>
        </w:rPr>
        <w:t>.</w:t>
      </w:r>
      <w:r w:rsidRPr="40AD8E22">
        <w:rPr>
          <w:rFonts w:eastAsia="Garamond" w:cs="Garamond"/>
        </w:rPr>
        <w:t xml:space="preserve"> </w:t>
      </w:r>
      <w:r>
        <w:rPr>
          <w:rFonts w:eastAsia="Garamond" w:cs="Garamond"/>
        </w:rPr>
        <w:t>It</w:t>
      </w:r>
      <w:r w:rsidRPr="40AD8E22">
        <w:rPr>
          <w:rFonts w:eastAsia="Garamond" w:cs="Garamond"/>
        </w:rPr>
        <w:t xml:space="preserve"> will be completed by Ju</w:t>
      </w:r>
      <w:r>
        <w:rPr>
          <w:rFonts w:eastAsia="Garamond" w:cs="Garamond"/>
        </w:rPr>
        <w:t>ly</w:t>
      </w:r>
      <w:r w:rsidRPr="40AD8E22">
        <w:rPr>
          <w:rFonts w:eastAsia="Garamond" w:cs="Garamond"/>
        </w:rPr>
        <w:t xml:space="preserve"> 2021 to provide </w:t>
      </w:r>
      <w:r>
        <w:rPr>
          <w:rFonts w:eastAsia="Garamond" w:cs="Garamond"/>
        </w:rPr>
        <w:t xml:space="preserve">the CPUC </w:t>
      </w:r>
      <w:r w:rsidRPr="40AD8E22">
        <w:rPr>
          <w:rFonts w:eastAsia="Garamond" w:cs="Garamond"/>
        </w:rPr>
        <w:t xml:space="preserve">Energy Division adequate time to test and accept before final transition of DEER. </w:t>
      </w:r>
      <w:r>
        <w:t xml:space="preserve">  </w:t>
      </w:r>
    </w:p>
    <w:p w:rsidR="00B04AB6" w:rsidP="00B04AB6" w:rsidRDefault="00B04AB6" w14:paraId="704C894B" w14:textId="77777777">
      <w:pPr>
        <w:pStyle w:val="AttachmentHeading1"/>
      </w:pPr>
      <w:bookmarkStart w:name="_Toc45023416" w:id="32"/>
      <w:r w:rsidRPr="003763D7">
        <w:t xml:space="preserve">DEER </w:t>
      </w:r>
      <w:r>
        <w:t>M</w:t>
      </w:r>
      <w:r w:rsidRPr="003763D7">
        <w:t>ethodology</w:t>
      </w:r>
      <w:r>
        <w:t xml:space="preserve"> Updates</w:t>
      </w:r>
      <w:bookmarkEnd w:id="24"/>
      <w:bookmarkEnd w:id="25"/>
      <w:bookmarkEnd w:id="26"/>
      <w:bookmarkEnd w:id="27"/>
      <w:bookmarkEnd w:id="32"/>
    </w:p>
    <w:p w:rsidRPr="006D5CB8" w:rsidR="00B04AB6" w:rsidP="00B04AB6" w:rsidRDefault="00B04AB6" w14:paraId="433BE959" w14:textId="77777777">
      <w:pPr>
        <w:pStyle w:val="GaramondNormal"/>
      </w:pPr>
      <w:r w:rsidRPr="006D5CB8">
        <w:t>DEER methodology updates affect the methods and approaches used to generate measure savings and support table values. Examples include changes that would alter the database structure, building prototype models, use of DEER database measures in workpapers, or the effort to move away from utility-specific to statewide measures.</w:t>
      </w:r>
      <w:r>
        <w:t xml:space="preserve"> </w:t>
      </w:r>
    </w:p>
    <w:p w:rsidR="00B04AB6" w:rsidP="00B04AB6" w:rsidRDefault="00B04AB6" w14:paraId="6C73D2C5" w14:textId="77777777">
      <w:pPr>
        <w:pStyle w:val="AttachmentHeading2"/>
      </w:pPr>
      <w:bookmarkStart w:name="_Toc454869193" w:id="33"/>
      <w:bookmarkStart w:name="_Toc454869290" w:id="34"/>
      <w:bookmarkStart w:name="_Toc454869194" w:id="35"/>
      <w:bookmarkStart w:name="_Toc454869291" w:id="36"/>
      <w:bookmarkStart w:name="_Ref40808353" w:id="37"/>
      <w:bookmarkStart w:name="_Ref40808354" w:id="38"/>
      <w:bookmarkStart w:name="_Toc45023417" w:id="39"/>
      <w:bookmarkEnd w:id="28"/>
      <w:bookmarkEnd w:id="33"/>
      <w:bookmarkEnd w:id="34"/>
      <w:bookmarkEnd w:id="35"/>
      <w:bookmarkEnd w:id="36"/>
      <w:r>
        <w:t>Modification to Accommodate Load Shape Updates</w:t>
      </w:r>
      <w:bookmarkEnd w:id="37"/>
      <w:bookmarkEnd w:id="38"/>
      <w:bookmarkEnd w:id="39"/>
    </w:p>
    <w:p w:rsidRPr="006D5CB8" w:rsidR="00B04AB6" w:rsidP="00B04AB6" w:rsidRDefault="00B04AB6" w14:paraId="3269CECC" w14:textId="77777777">
      <w:pPr>
        <w:pStyle w:val="GaramondNormal"/>
      </w:pPr>
      <w:r w:rsidRPr="00D76E7B">
        <w:rPr>
          <w:u w:val="single"/>
        </w:rPr>
        <w:t>Effective Program Year: 2022</w:t>
      </w:r>
      <w:r w:rsidRPr="006D5CB8">
        <w:t>. Resolution E-4867 ordered a working group to develop a proposal for how DEER peak</w:t>
      </w:r>
      <w:r>
        <w:t>-</w:t>
      </w:r>
      <w:r w:rsidRPr="006D5CB8">
        <w:t>period methodology should be adjusted. The working group recommended an adjustment of the peak period times</w:t>
      </w:r>
      <w:r>
        <w:t>,</w:t>
      </w:r>
      <w:r w:rsidRPr="006D5CB8">
        <w:t xml:space="preserve"> which was implemented in Resolution E-4952. They also recommended a longer-term adjustment called a “no-peak” methodology </w:t>
      </w:r>
      <w:r>
        <w:t>that</w:t>
      </w:r>
      <w:r w:rsidRPr="006D5CB8">
        <w:t xml:space="preserve"> would involve eliminating the peak kilowatt savings reporting and </w:t>
      </w:r>
      <w:r>
        <w:tab/>
      </w:r>
      <w:r w:rsidRPr="006D5CB8">
        <w:t>move toward a dynamic peak. This 2022 DEER update lays some of the groundwork necessary to incorporate updated measure</w:t>
      </w:r>
      <w:r>
        <w:t>-</w:t>
      </w:r>
      <w:r w:rsidRPr="006D5CB8">
        <w:t>savings load</w:t>
      </w:r>
      <w:r>
        <w:t xml:space="preserve"> </w:t>
      </w:r>
      <w:r w:rsidRPr="006D5CB8">
        <w:t>shapes, a first step toward a long-term dynamic peak goal.</w:t>
      </w:r>
      <w:r>
        <w:t xml:space="preserve"> The updated measure-savings load shapes listed in </w:t>
      </w:r>
      <w:r>
        <w:fldChar w:fldCharType="begin"/>
      </w:r>
      <w:r>
        <w:instrText xml:space="preserve"> REF _Ref41073732 \h </w:instrText>
      </w:r>
      <w:r>
        <w:fldChar w:fldCharType="separate"/>
      </w:r>
      <w:r>
        <w:t>Table A</w:t>
      </w:r>
      <w:r>
        <w:noBreakHyphen/>
      </w:r>
      <w:r>
        <w:rPr>
          <w:noProof/>
        </w:rPr>
        <w:t>1</w:t>
      </w:r>
      <w:r>
        <w:fldChar w:fldCharType="end"/>
      </w:r>
      <w:r>
        <w:t xml:space="preserve"> are available in DEER.</w:t>
      </w:r>
    </w:p>
    <w:p w:rsidRPr="006D5CB8" w:rsidR="00B04AB6" w:rsidP="00B04AB6" w:rsidRDefault="00B04AB6" w14:paraId="202F2C12" w14:textId="77777777">
      <w:pPr>
        <w:pStyle w:val="GaramondNormal"/>
      </w:pPr>
      <w:r>
        <w:t>To accommodate the load shapes, n</w:t>
      </w:r>
      <w:r w:rsidRPr="006D5CB8">
        <w:t xml:space="preserve">ew </w:t>
      </w:r>
      <w:r>
        <w:t>f</w:t>
      </w:r>
      <w:r w:rsidRPr="006D5CB8">
        <w:t xml:space="preserve">ields </w:t>
      </w:r>
      <w:r>
        <w:t>have been</w:t>
      </w:r>
      <w:r w:rsidRPr="006D5CB8">
        <w:t xml:space="preserve"> added to the DEER Electric Impact </w:t>
      </w:r>
      <w:r>
        <w:t xml:space="preserve">Profile </w:t>
      </w:r>
      <w:r w:rsidRPr="006D5CB8">
        <w:t>table to contain summary-level</w:t>
      </w:r>
      <w:r>
        <w:t>,</w:t>
      </w:r>
      <w:r w:rsidRPr="006D5CB8">
        <w:t xml:space="preserve"> measure</w:t>
      </w:r>
      <w:r>
        <w:t>-</w:t>
      </w:r>
      <w:r w:rsidRPr="006D5CB8">
        <w:t>savings load shapes and load-shape characteristics</w:t>
      </w:r>
      <w:r>
        <w:t>,</w:t>
      </w:r>
      <w:r w:rsidRPr="006D5CB8">
        <w:t xml:space="preserve"> once </w:t>
      </w:r>
      <w:r>
        <w:t xml:space="preserve">they are </w:t>
      </w:r>
      <w:r w:rsidRPr="006D5CB8">
        <w:t>updated through Deliverable 17</w:t>
      </w:r>
      <w:r>
        <w:rPr>
          <w:rStyle w:val="FootnoteReference"/>
        </w:rPr>
        <w:footnoteReference w:id="24"/>
      </w:r>
      <w:r w:rsidRPr="006D5CB8">
        <w:t xml:space="preserve"> or EM&amp;V efforts and publicly vetted and reviewed by the CPUC staff. </w:t>
      </w:r>
      <w:r>
        <w:rPr>
          <w:iCs/>
        </w:rPr>
        <w:t xml:space="preserve">New load shape formats have been created and a memo describing the formats will </w:t>
      </w:r>
      <w:r>
        <w:rPr>
          <w:iCs/>
        </w:rPr>
        <w:lastRenderedPageBreak/>
        <w:t xml:space="preserve">accompany new data tables that will contain the full load-shape values. </w:t>
      </w:r>
      <w:r w:rsidRPr="006D5CB8">
        <w:t xml:space="preserve">Some new load shapes, applicable to the measures shown in </w:t>
      </w:r>
      <w:r>
        <w:rPr>
          <w:highlight w:val="yellow"/>
        </w:rPr>
        <w:fldChar w:fldCharType="begin"/>
      </w:r>
      <w:r>
        <w:instrText xml:space="preserve"> REF _Ref41073732 \h </w:instrText>
      </w:r>
      <w:r>
        <w:rPr>
          <w:highlight w:val="yellow"/>
        </w:rPr>
      </w:r>
      <w:r>
        <w:rPr>
          <w:highlight w:val="yellow"/>
        </w:rPr>
        <w:fldChar w:fldCharType="separate"/>
      </w:r>
      <w:r>
        <w:t>Table A</w:t>
      </w:r>
      <w:r>
        <w:noBreakHyphen/>
      </w:r>
      <w:r>
        <w:rPr>
          <w:noProof/>
        </w:rPr>
        <w:t>1</w:t>
      </w:r>
      <w:r>
        <w:rPr>
          <w:highlight w:val="yellow"/>
        </w:rPr>
        <w:fldChar w:fldCharType="end"/>
      </w:r>
      <w:r w:rsidRPr="006D5CB8">
        <w:t xml:space="preserve"> </w:t>
      </w:r>
      <w:r>
        <w:t xml:space="preserve">below </w:t>
      </w:r>
      <w:r w:rsidRPr="006D5CB8">
        <w:t>that were updated in E-5009</w:t>
      </w:r>
      <w:r>
        <w:t xml:space="preserve"> and from the updated water heater calculator (see Section </w:t>
      </w:r>
      <w:r>
        <w:fldChar w:fldCharType="begin"/>
      </w:r>
      <w:r>
        <w:instrText xml:space="preserve"> REF _Ref40807714 \r \h </w:instrText>
      </w:r>
      <w:r>
        <w:fldChar w:fldCharType="separate"/>
      </w:r>
      <w:r>
        <w:t>3.1</w:t>
      </w:r>
      <w:r>
        <w:fldChar w:fldCharType="end"/>
      </w:r>
      <w:r>
        <w:t>),</w:t>
      </w:r>
      <w:r w:rsidRPr="006D5CB8">
        <w:t xml:space="preserve"> will be available in</w:t>
      </w:r>
      <w:r>
        <w:t xml:space="preserve"> </w:t>
      </w:r>
      <w:r w:rsidRPr="006D5CB8">
        <w:t>2021</w:t>
      </w:r>
      <w:r>
        <w:t xml:space="preserve"> for use in 2022 planning</w:t>
      </w:r>
      <w:r w:rsidRPr="006D5CB8">
        <w:t xml:space="preserve">. Load shapes applicable to measures updated through </w:t>
      </w:r>
      <w:r>
        <w:t xml:space="preserve">2018 and </w:t>
      </w:r>
      <w:r w:rsidRPr="006D5CB8">
        <w:t>2019 EM&amp;V efforts</w:t>
      </w:r>
      <w:r>
        <w:t xml:space="preserve"> (such as smart thermostats and home energy reports)</w:t>
      </w:r>
      <w:r w:rsidRPr="006D5CB8">
        <w:t xml:space="preserve"> or via DEER 2022 will be available for use in 2022. The new </w:t>
      </w:r>
      <w:r>
        <w:t>fields</w:t>
      </w:r>
      <w:r w:rsidRPr="006D5CB8">
        <w:t xml:space="preserve"> will also indicate the sources of the summary-level load shape</w:t>
      </w:r>
      <w:r>
        <w:t>,</w:t>
      </w:r>
      <w:r w:rsidRPr="006D5CB8">
        <w:t xml:space="preserve"> such as simulation-based tools or</w:t>
      </w:r>
      <w:r>
        <w:t xml:space="preserve"> advanced metering infrastructure</w:t>
      </w:r>
      <w:r w:rsidRPr="006D5CB8">
        <w:t xml:space="preserve"> </w:t>
      </w:r>
      <w:r>
        <w:t>(</w:t>
      </w:r>
      <w:r w:rsidRPr="006D5CB8">
        <w:t>AMI</w:t>
      </w:r>
      <w:r>
        <w:t>)</w:t>
      </w:r>
      <w:r w:rsidRPr="006D5CB8">
        <w:t xml:space="preserve"> analysis, which could originate from impact evaluations or from studies conducted to support workpapers.</w:t>
      </w:r>
    </w:p>
    <w:p w:rsidR="00B04AB6" w:rsidP="00B04AB6" w:rsidRDefault="00B04AB6" w14:paraId="4CBA7EB6" w14:textId="77777777">
      <w:pPr>
        <w:pStyle w:val="CenturyGothicTableHeader"/>
      </w:pPr>
      <w:bookmarkStart w:name="x__Toc36217170" w:id="40"/>
      <w:bookmarkStart w:name="x__Toc36496502" w:id="41"/>
      <w:bookmarkStart w:name="x__Toc36826378" w:id="42"/>
      <w:bookmarkStart w:name="x__Toc36660542" w:id="43"/>
      <w:bookmarkStart w:name="_Ref41073732" w:id="44"/>
      <w:bookmarkEnd w:id="40"/>
      <w:bookmarkEnd w:id="41"/>
      <w:bookmarkEnd w:id="42"/>
      <w:bookmarkEnd w:id="43"/>
      <w:r>
        <w:t>Table A</w:t>
      </w:r>
      <w:r>
        <w:noBreakHyphen/>
      </w:r>
      <w:r>
        <w:fldChar w:fldCharType="begin"/>
      </w:r>
      <w:r>
        <w:instrText>SEQ Table \* ARABIC \s 1</w:instrText>
      </w:r>
      <w:r>
        <w:fldChar w:fldCharType="separate"/>
      </w:r>
      <w:r>
        <w:rPr>
          <w:noProof/>
        </w:rPr>
        <w:t>1</w:t>
      </w:r>
      <w:r>
        <w:fldChar w:fldCharType="end"/>
      </w:r>
      <w:bookmarkEnd w:id="44"/>
      <w:r>
        <w:t>. Measures from DEER2020/DEER2021 with Updated Load Shapes</w:t>
      </w:r>
    </w:p>
    <w:tbl>
      <w:tblPr>
        <w:tblW w:w="6948"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29" w:type="dxa"/>
          <w:left w:w="115" w:type="dxa"/>
          <w:bottom w:w="29" w:type="dxa"/>
          <w:right w:w="115" w:type="dxa"/>
        </w:tblCellMar>
        <w:tblLook w:val="04A0" w:firstRow="1" w:lastRow="0" w:firstColumn="1" w:lastColumn="0" w:noHBand="0" w:noVBand="1"/>
      </w:tblPr>
      <w:tblGrid>
        <w:gridCol w:w="6948"/>
      </w:tblGrid>
      <w:tr w:rsidRPr="009D1269" w:rsidR="00B04AB6" w:rsidTr="00B04AB6" w14:paraId="5EDCE223" w14:textId="77777777">
        <w:trPr>
          <w:cantSplit/>
          <w:trHeight w:val="300"/>
          <w:tblHeader/>
        </w:trPr>
        <w:tc>
          <w:tcPr>
            <w:tcW w:w="6948" w:type="dxa"/>
            <w:shd w:val="clear" w:color="auto" w:fill="auto"/>
            <w:tcMar>
              <w:top w:w="0" w:type="dxa"/>
              <w:left w:w="108" w:type="dxa"/>
              <w:bottom w:w="0" w:type="dxa"/>
              <w:right w:w="108" w:type="dxa"/>
            </w:tcMar>
            <w:vAlign w:val="center"/>
            <w:hideMark/>
          </w:tcPr>
          <w:p w:rsidRPr="004944F5" w:rsidR="00B04AB6" w:rsidP="00B04AB6" w:rsidRDefault="00B04AB6" w14:paraId="299BF398" w14:textId="77777777">
            <w:pPr>
              <w:pStyle w:val="TableHeader"/>
              <w:rPr>
                <w:rFonts w:ascii="Garamond" w:hAnsi="Garamond"/>
                <w:sz w:val="24"/>
                <w:szCs w:val="24"/>
              </w:rPr>
            </w:pPr>
            <w:proofErr w:type="spellStart"/>
            <w:r w:rsidRPr="004944F5">
              <w:rPr>
                <w:rFonts w:ascii="Garamond" w:hAnsi="Garamond"/>
                <w:color w:val="auto"/>
                <w:sz w:val="24"/>
                <w:szCs w:val="24"/>
              </w:rPr>
              <w:t>Measure_ID</w:t>
            </w:r>
            <w:proofErr w:type="spellEnd"/>
          </w:p>
        </w:tc>
      </w:tr>
      <w:tr w:rsidRPr="009D1269" w:rsidR="00B04AB6" w:rsidTr="00B04AB6" w14:paraId="4F10264A"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5ADC4356" w14:textId="77777777">
            <w:pPr>
              <w:spacing w:after="0"/>
              <w:rPr>
                <w:szCs w:val="24"/>
              </w:rPr>
            </w:pPr>
            <w:r w:rsidRPr="004944F5">
              <w:rPr>
                <w:szCs w:val="24"/>
              </w:rPr>
              <w:t>NE-HVAC-</w:t>
            </w:r>
            <w:proofErr w:type="spellStart"/>
            <w:r w:rsidRPr="004944F5">
              <w:rPr>
                <w:szCs w:val="24"/>
              </w:rPr>
              <w:t>RefChg</w:t>
            </w:r>
            <w:proofErr w:type="spellEnd"/>
            <w:r w:rsidRPr="004944F5">
              <w:rPr>
                <w:szCs w:val="24"/>
              </w:rPr>
              <w:t>-Dec-</w:t>
            </w:r>
            <w:proofErr w:type="spellStart"/>
            <w:r w:rsidRPr="004944F5">
              <w:rPr>
                <w:szCs w:val="24"/>
              </w:rPr>
              <w:t>Typ</w:t>
            </w:r>
            <w:proofErr w:type="spellEnd"/>
            <w:r w:rsidRPr="004944F5">
              <w:rPr>
                <w:szCs w:val="24"/>
              </w:rPr>
              <w:t>-</w:t>
            </w:r>
            <w:proofErr w:type="spellStart"/>
            <w:r w:rsidRPr="004944F5">
              <w:rPr>
                <w:szCs w:val="24"/>
              </w:rPr>
              <w:t>ntxv</w:t>
            </w:r>
            <w:proofErr w:type="spellEnd"/>
          </w:p>
        </w:tc>
      </w:tr>
      <w:tr w:rsidRPr="009D1269" w:rsidR="00B04AB6" w:rsidTr="00B04AB6" w14:paraId="59C955CB"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3999BBE0" w14:textId="77777777">
            <w:pPr>
              <w:spacing w:after="0"/>
              <w:rPr>
                <w:szCs w:val="24"/>
              </w:rPr>
            </w:pPr>
            <w:r w:rsidRPr="004944F5">
              <w:rPr>
                <w:szCs w:val="24"/>
              </w:rPr>
              <w:t>NE-HVAC-</w:t>
            </w:r>
            <w:proofErr w:type="spellStart"/>
            <w:r w:rsidRPr="004944F5">
              <w:rPr>
                <w:szCs w:val="24"/>
              </w:rPr>
              <w:t>RefChg</w:t>
            </w:r>
            <w:proofErr w:type="spellEnd"/>
            <w:r w:rsidRPr="004944F5">
              <w:rPr>
                <w:szCs w:val="24"/>
              </w:rPr>
              <w:t>-Dec-</w:t>
            </w:r>
            <w:proofErr w:type="spellStart"/>
            <w:r w:rsidRPr="004944F5">
              <w:rPr>
                <w:szCs w:val="24"/>
              </w:rPr>
              <w:t>Typ</w:t>
            </w:r>
            <w:proofErr w:type="spellEnd"/>
            <w:r w:rsidRPr="004944F5">
              <w:rPr>
                <w:szCs w:val="24"/>
              </w:rPr>
              <w:t>-</w:t>
            </w:r>
            <w:proofErr w:type="spellStart"/>
            <w:r w:rsidRPr="004944F5">
              <w:rPr>
                <w:szCs w:val="24"/>
              </w:rPr>
              <w:t>txv</w:t>
            </w:r>
            <w:proofErr w:type="spellEnd"/>
          </w:p>
        </w:tc>
      </w:tr>
      <w:tr w:rsidRPr="009D1269" w:rsidR="00B04AB6" w:rsidTr="00B04AB6" w14:paraId="74559581"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1BED2949" w14:textId="77777777">
            <w:pPr>
              <w:spacing w:after="0"/>
              <w:rPr>
                <w:szCs w:val="24"/>
              </w:rPr>
            </w:pPr>
            <w:r w:rsidRPr="004944F5">
              <w:rPr>
                <w:szCs w:val="24"/>
              </w:rPr>
              <w:t>NE-HVAC-</w:t>
            </w:r>
            <w:proofErr w:type="spellStart"/>
            <w:r w:rsidRPr="004944F5">
              <w:rPr>
                <w:szCs w:val="24"/>
              </w:rPr>
              <w:t>RefChg</w:t>
            </w:r>
            <w:proofErr w:type="spellEnd"/>
            <w:r w:rsidRPr="004944F5">
              <w:rPr>
                <w:color w:val="000000"/>
                <w:szCs w:val="24"/>
              </w:rPr>
              <w:t>-Inc-High-</w:t>
            </w:r>
            <w:proofErr w:type="spellStart"/>
            <w:r w:rsidRPr="004944F5">
              <w:rPr>
                <w:color w:val="000000"/>
                <w:szCs w:val="24"/>
              </w:rPr>
              <w:t>ntxv</w:t>
            </w:r>
            <w:proofErr w:type="spellEnd"/>
          </w:p>
        </w:tc>
      </w:tr>
      <w:tr w:rsidRPr="009D1269" w:rsidR="00B04AB6" w:rsidTr="00B04AB6" w14:paraId="745173E7"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12557AB7" w14:textId="77777777">
            <w:pPr>
              <w:spacing w:after="0"/>
              <w:rPr>
                <w:szCs w:val="24"/>
              </w:rPr>
            </w:pPr>
            <w:r w:rsidRPr="004944F5">
              <w:rPr>
                <w:szCs w:val="24"/>
              </w:rPr>
              <w:t>NE-HVAC-</w:t>
            </w:r>
            <w:proofErr w:type="spellStart"/>
            <w:r w:rsidRPr="004944F5">
              <w:rPr>
                <w:szCs w:val="24"/>
              </w:rPr>
              <w:t>RefChg</w:t>
            </w:r>
            <w:proofErr w:type="spellEnd"/>
            <w:r w:rsidRPr="004944F5">
              <w:rPr>
                <w:szCs w:val="24"/>
              </w:rPr>
              <w:t>-Inc-High-</w:t>
            </w:r>
            <w:proofErr w:type="spellStart"/>
            <w:r w:rsidRPr="004944F5">
              <w:rPr>
                <w:szCs w:val="24"/>
              </w:rPr>
              <w:t>txv</w:t>
            </w:r>
            <w:proofErr w:type="spellEnd"/>
          </w:p>
        </w:tc>
      </w:tr>
      <w:tr w:rsidRPr="009D1269" w:rsidR="00B04AB6" w:rsidTr="00B04AB6" w14:paraId="4CDAA865"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73D8524F" w14:textId="77777777">
            <w:pPr>
              <w:spacing w:after="0"/>
              <w:rPr>
                <w:szCs w:val="24"/>
              </w:rPr>
            </w:pPr>
            <w:r w:rsidRPr="004944F5">
              <w:rPr>
                <w:szCs w:val="24"/>
              </w:rPr>
              <w:t>NE-HVAC-</w:t>
            </w:r>
            <w:proofErr w:type="spellStart"/>
            <w:r w:rsidRPr="004944F5">
              <w:rPr>
                <w:szCs w:val="24"/>
              </w:rPr>
              <w:t>RefChg</w:t>
            </w:r>
            <w:proofErr w:type="spellEnd"/>
            <w:r w:rsidRPr="004944F5">
              <w:rPr>
                <w:szCs w:val="24"/>
              </w:rPr>
              <w:t>-Inc-Low-</w:t>
            </w:r>
            <w:proofErr w:type="spellStart"/>
            <w:r w:rsidRPr="004944F5">
              <w:rPr>
                <w:szCs w:val="24"/>
              </w:rPr>
              <w:t>ntxv</w:t>
            </w:r>
            <w:proofErr w:type="spellEnd"/>
          </w:p>
        </w:tc>
      </w:tr>
      <w:tr w:rsidRPr="009D1269" w:rsidR="00B04AB6" w:rsidTr="00B04AB6" w14:paraId="3924AA2F"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7B7B02BB" w14:textId="77777777">
            <w:pPr>
              <w:spacing w:after="0"/>
              <w:rPr>
                <w:szCs w:val="24"/>
              </w:rPr>
            </w:pPr>
            <w:r w:rsidRPr="004944F5">
              <w:rPr>
                <w:szCs w:val="24"/>
              </w:rPr>
              <w:t>NE-HVAC-</w:t>
            </w:r>
            <w:proofErr w:type="spellStart"/>
            <w:r w:rsidRPr="004944F5">
              <w:rPr>
                <w:szCs w:val="24"/>
              </w:rPr>
              <w:t>RefChg</w:t>
            </w:r>
            <w:proofErr w:type="spellEnd"/>
            <w:r w:rsidRPr="004944F5">
              <w:rPr>
                <w:szCs w:val="24"/>
              </w:rPr>
              <w:t>-Inc-Low-</w:t>
            </w:r>
            <w:proofErr w:type="spellStart"/>
            <w:r w:rsidRPr="004944F5">
              <w:rPr>
                <w:szCs w:val="24"/>
              </w:rPr>
              <w:t>txv</w:t>
            </w:r>
            <w:proofErr w:type="spellEnd"/>
          </w:p>
        </w:tc>
      </w:tr>
      <w:tr w:rsidRPr="009D1269" w:rsidR="00B04AB6" w:rsidTr="00B04AB6" w14:paraId="2814CD22"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4EA1966E" w14:textId="77777777">
            <w:pPr>
              <w:spacing w:after="0"/>
              <w:rPr>
                <w:szCs w:val="24"/>
              </w:rPr>
            </w:pPr>
            <w:r w:rsidRPr="004944F5">
              <w:rPr>
                <w:szCs w:val="24"/>
              </w:rPr>
              <w:t>NE-HVAC-</w:t>
            </w:r>
            <w:proofErr w:type="spellStart"/>
            <w:r w:rsidRPr="004944F5">
              <w:rPr>
                <w:szCs w:val="24"/>
              </w:rPr>
              <w:t>RefChg</w:t>
            </w:r>
            <w:proofErr w:type="spellEnd"/>
            <w:r w:rsidRPr="004944F5">
              <w:rPr>
                <w:szCs w:val="24"/>
              </w:rPr>
              <w:t>-Inc-</w:t>
            </w:r>
            <w:proofErr w:type="spellStart"/>
            <w:r w:rsidRPr="004944F5">
              <w:rPr>
                <w:szCs w:val="24"/>
              </w:rPr>
              <w:t>Typ</w:t>
            </w:r>
            <w:proofErr w:type="spellEnd"/>
            <w:r w:rsidRPr="004944F5">
              <w:rPr>
                <w:szCs w:val="24"/>
              </w:rPr>
              <w:t>-</w:t>
            </w:r>
            <w:proofErr w:type="spellStart"/>
            <w:r w:rsidRPr="004944F5">
              <w:rPr>
                <w:szCs w:val="24"/>
              </w:rPr>
              <w:t>txv</w:t>
            </w:r>
            <w:proofErr w:type="spellEnd"/>
          </w:p>
        </w:tc>
      </w:tr>
      <w:tr w:rsidRPr="009D1269" w:rsidR="00B04AB6" w:rsidTr="00B04AB6" w14:paraId="5F05618F"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410E5CA8" w14:textId="77777777">
            <w:pPr>
              <w:spacing w:after="0"/>
              <w:rPr>
                <w:szCs w:val="24"/>
              </w:rPr>
            </w:pPr>
            <w:r w:rsidRPr="004944F5">
              <w:rPr>
                <w:szCs w:val="24"/>
              </w:rPr>
              <w:t>RE-HV-RefChrg-Inc-NTXV-16pct</w:t>
            </w:r>
          </w:p>
        </w:tc>
      </w:tr>
      <w:tr w:rsidRPr="009D1269" w:rsidR="00B04AB6" w:rsidTr="00B04AB6" w14:paraId="04C1D439"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6C7CA48E" w14:textId="77777777">
            <w:pPr>
              <w:spacing w:after="0"/>
              <w:rPr>
                <w:szCs w:val="24"/>
              </w:rPr>
            </w:pPr>
            <w:r w:rsidRPr="004944F5">
              <w:rPr>
                <w:szCs w:val="24"/>
              </w:rPr>
              <w:t>RE-HV-RefChrg-Inc-NTXV-4pct</w:t>
            </w:r>
          </w:p>
        </w:tc>
      </w:tr>
      <w:tr w:rsidRPr="009D1269" w:rsidR="00B04AB6" w:rsidTr="00B04AB6" w14:paraId="1D423943"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1AF75345" w14:textId="77777777">
            <w:pPr>
              <w:spacing w:after="0"/>
              <w:rPr>
                <w:szCs w:val="24"/>
              </w:rPr>
            </w:pPr>
            <w:r w:rsidRPr="004944F5">
              <w:rPr>
                <w:szCs w:val="24"/>
              </w:rPr>
              <w:t>RE-HV-RefChrg-Inc-TXV-16pct</w:t>
            </w:r>
          </w:p>
        </w:tc>
      </w:tr>
      <w:tr w:rsidRPr="009D1269" w:rsidR="00B04AB6" w:rsidTr="00B04AB6" w14:paraId="396AACC0"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109B85DA" w14:textId="77777777">
            <w:pPr>
              <w:spacing w:after="0"/>
              <w:rPr>
                <w:szCs w:val="24"/>
              </w:rPr>
            </w:pPr>
            <w:r w:rsidRPr="004944F5">
              <w:rPr>
                <w:szCs w:val="24"/>
              </w:rPr>
              <w:t>RE-HV-RefChrg-Inc-TXV-4pct</w:t>
            </w:r>
          </w:p>
        </w:tc>
      </w:tr>
      <w:tr w:rsidRPr="009D1269" w:rsidR="00B04AB6" w:rsidTr="00B04AB6" w14:paraId="4EE4552F"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4C721033" w14:textId="77777777">
            <w:pPr>
              <w:spacing w:after="0"/>
              <w:rPr>
                <w:szCs w:val="24"/>
              </w:rPr>
            </w:pPr>
            <w:r w:rsidRPr="004944F5">
              <w:rPr>
                <w:szCs w:val="24"/>
              </w:rPr>
              <w:t>RE-HV-</w:t>
            </w:r>
            <w:proofErr w:type="spellStart"/>
            <w:r w:rsidRPr="004944F5">
              <w:rPr>
                <w:szCs w:val="24"/>
              </w:rPr>
              <w:t>RefChrg</w:t>
            </w:r>
            <w:proofErr w:type="spellEnd"/>
            <w:r w:rsidRPr="004944F5">
              <w:rPr>
                <w:szCs w:val="24"/>
              </w:rPr>
              <w:t>-Dec-TXV-</w:t>
            </w:r>
            <w:proofErr w:type="spellStart"/>
            <w:r w:rsidRPr="004944F5">
              <w:rPr>
                <w:szCs w:val="24"/>
              </w:rPr>
              <w:t>typ</w:t>
            </w:r>
            <w:proofErr w:type="spellEnd"/>
          </w:p>
        </w:tc>
      </w:tr>
      <w:tr w:rsidRPr="009D1269" w:rsidR="00B04AB6" w:rsidTr="00B04AB6" w14:paraId="561B1EBA"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28A4D20E" w14:textId="77777777">
            <w:pPr>
              <w:spacing w:after="0"/>
              <w:rPr>
                <w:szCs w:val="24"/>
              </w:rPr>
            </w:pPr>
            <w:r w:rsidRPr="004944F5">
              <w:rPr>
                <w:szCs w:val="24"/>
              </w:rPr>
              <w:t>RE-HV-</w:t>
            </w:r>
            <w:proofErr w:type="spellStart"/>
            <w:r w:rsidRPr="004944F5">
              <w:rPr>
                <w:szCs w:val="24"/>
              </w:rPr>
              <w:t>RefChrg</w:t>
            </w:r>
            <w:proofErr w:type="spellEnd"/>
            <w:r w:rsidRPr="004944F5">
              <w:rPr>
                <w:szCs w:val="24"/>
              </w:rPr>
              <w:t>-Dec-NTXV-</w:t>
            </w:r>
            <w:proofErr w:type="spellStart"/>
            <w:r w:rsidRPr="004944F5">
              <w:rPr>
                <w:szCs w:val="24"/>
              </w:rPr>
              <w:t>typ</w:t>
            </w:r>
            <w:proofErr w:type="spellEnd"/>
          </w:p>
        </w:tc>
      </w:tr>
      <w:tr w:rsidRPr="009D1269" w:rsidR="00B04AB6" w:rsidTr="00B04AB6" w14:paraId="0A2CAA06"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6976B5E3" w14:textId="77777777">
            <w:pPr>
              <w:spacing w:after="0"/>
              <w:rPr>
                <w:szCs w:val="24"/>
              </w:rPr>
            </w:pPr>
            <w:r w:rsidRPr="004944F5">
              <w:rPr>
                <w:szCs w:val="24"/>
              </w:rPr>
              <w:t>RE-HV-</w:t>
            </w:r>
            <w:proofErr w:type="spellStart"/>
            <w:r w:rsidRPr="004944F5">
              <w:rPr>
                <w:szCs w:val="24"/>
              </w:rPr>
              <w:t>RefChrg</w:t>
            </w:r>
            <w:proofErr w:type="spellEnd"/>
            <w:r w:rsidRPr="004944F5">
              <w:rPr>
                <w:szCs w:val="24"/>
              </w:rPr>
              <w:t>-Inc-TXV-</w:t>
            </w:r>
            <w:proofErr w:type="spellStart"/>
            <w:r w:rsidRPr="004944F5">
              <w:rPr>
                <w:szCs w:val="24"/>
              </w:rPr>
              <w:t>typ</w:t>
            </w:r>
            <w:proofErr w:type="spellEnd"/>
          </w:p>
        </w:tc>
      </w:tr>
      <w:tr w:rsidRPr="009D1269" w:rsidR="00B04AB6" w:rsidTr="00B04AB6" w14:paraId="3F015D7B"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6E835283" w14:textId="77777777">
            <w:pPr>
              <w:spacing w:after="0"/>
              <w:rPr>
                <w:szCs w:val="24"/>
              </w:rPr>
            </w:pPr>
            <w:r w:rsidRPr="004944F5">
              <w:rPr>
                <w:szCs w:val="24"/>
              </w:rPr>
              <w:t>RE-HV-</w:t>
            </w:r>
            <w:proofErr w:type="spellStart"/>
            <w:r w:rsidRPr="004944F5">
              <w:rPr>
                <w:szCs w:val="24"/>
              </w:rPr>
              <w:t>RefChrg</w:t>
            </w:r>
            <w:proofErr w:type="spellEnd"/>
            <w:r w:rsidRPr="004944F5">
              <w:rPr>
                <w:szCs w:val="24"/>
              </w:rPr>
              <w:t>-Inc-NTXV-</w:t>
            </w:r>
            <w:proofErr w:type="spellStart"/>
            <w:r w:rsidRPr="004944F5">
              <w:rPr>
                <w:szCs w:val="24"/>
              </w:rPr>
              <w:t>typ</w:t>
            </w:r>
            <w:proofErr w:type="spellEnd"/>
          </w:p>
        </w:tc>
      </w:tr>
      <w:tr w:rsidRPr="009D1269" w:rsidR="00B04AB6" w:rsidTr="00B04AB6" w14:paraId="77730D24"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326C151F" w14:textId="77777777">
            <w:pPr>
              <w:spacing w:after="0"/>
              <w:rPr>
                <w:szCs w:val="24"/>
              </w:rPr>
            </w:pPr>
            <w:r w:rsidRPr="004944F5">
              <w:rPr>
                <w:szCs w:val="24"/>
              </w:rPr>
              <w:t>NE-HVAC-airAC-SpltPkg-65to134kBtuh-12p5eer-woutPreEcono</w:t>
            </w:r>
          </w:p>
        </w:tc>
      </w:tr>
      <w:tr w:rsidRPr="009D1269" w:rsidR="00B04AB6" w:rsidTr="00B04AB6" w14:paraId="17BB4D07"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13CC17D7" w14:textId="77777777">
            <w:pPr>
              <w:spacing w:after="0"/>
              <w:rPr>
                <w:szCs w:val="24"/>
              </w:rPr>
            </w:pPr>
            <w:r w:rsidRPr="004944F5">
              <w:rPr>
                <w:szCs w:val="24"/>
              </w:rPr>
              <w:t>NE-HVAC-airAC-SpltPkg-65to134kBtuh-12p5eer-wPreEcono</w:t>
            </w:r>
          </w:p>
        </w:tc>
      </w:tr>
      <w:tr w:rsidRPr="009D1269" w:rsidR="00B04AB6" w:rsidTr="00B04AB6" w14:paraId="58CD8B75"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0786C8AF" w14:textId="77777777">
            <w:pPr>
              <w:spacing w:after="0"/>
              <w:rPr>
                <w:szCs w:val="24"/>
              </w:rPr>
            </w:pPr>
            <w:r w:rsidRPr="004944F5">
              <w:rPr>
                <w:szCs w:val="24"/>
              </w:rPr>
              <w:t>NE-HVAC-airAC-SpltPkg-240to759kBtuh-10p8eer_MZ</w:t>
            </w:r>
          </w:p>
        </w:tc>
      </w:tr>
      <w:tr w:rsidRPr="009D1269" w:rsidR="00B04AB6" w:rsidTr="00B04AB6" w14:paraId="28C73B14" w14:textId="77777777">
        <w:trPr>
          <w:cantSplit/>
          <w:trHeight w:val="300"/>
        </w:trPr>
        <w:tc>
          <w:tcPr>
            <w:tcW w:w="6948" w:type="dxa"/>
            <w:tcMar>
              <w:top w:w="0" w:type="dxa"/>
              <w:left w:w="108" w:type="dxa"/>
              <w:bottom w:w="0" w:type="dxa"/>
              <w:right w:w="108" w:type="dxa"/>
            </w:tcMar>
            <w:vAlign w:val="center"/>
            <w:hideMark/>
          </w:tcPr>
          <w:p w:rsidRPr="004944F5" w:rsidR="00B04AB6" w:rsidP="00B04AB6" w:rsidRDefault="00B04AB6" w14:paraId="606BF5F2" w14:textId="77777777">
            <w:pPr>
              <w:spacing w:after="0"/>
              <w:rPr>
                <w:szCs w:val="24"/>
              </w:rPr>
            </w:pPr>
            <w:r w:rsidRPr="004944F5">
              <w:rPr>
                <w:szCs w:val="24"/>
              </w:rPr>
              <w:t>NE-HVAC-airAC-SpltPkg-240to759kBtuh-10p8eer_SZ</w:t>
            </w:r>
          </w:p>
        </w:tc>
      </w:tr>
      <w:tr w:rsidRPr="009D1269" w:rsidR="00B04AB6" w:rsidTr="00B04AB6" w14:paraId="66D78A14" w14:textId="77777777">
        <w:trPr>
          <w:cantSplit/>
          <w:trHeight w:val="300"/>
        </w:trPr>
        <w:tc>
          <w:tcPr>
            <w:tcW w:w="6948" w:type="dxa"/>
            <w:tcMar>
              <w:top w:w="0" w:type="dxa"/>
              <w:left w:w="108" w:type="dxa"/>
              <w:bottom w:w="0" w:type="dxa"/>
              <w:right w:w="108" w:type="dxa"/>
            </w:tcMar>
            <w:vAlign w:val="center"/>
          </w:tcPr>
          <w:p w:rsidRPr="004944F5" w:rsidR="00B04AB6" w:rsidP="00B04AB6" w:rsidRDefault="00B04AB6" w14:paraId="7E3232E5" w14:textId="77777777">
            <w:pPr>
              <w:spacing w:after="0"/>
              <w:rPr>
                <w:szCs w:val="24"/>
              </w:rPr>
            </w:pPr>
            <w:r w:rsidRPr="004944F5">
              <w:rPr>
                <w:szCs w:val="24"/>
              </w:rPr>
              <w:t>RE-WtrHt-FuelSub-LrgStrg-HP-lte6kW-rep75G-HI-2p94UEF-80g</w:t>
            </w:r>
          </w:p>
        </w:tc>
      </w:tr>
      <w:tr w:rsidRPr="009D1269" w:rsidR="00B04AB6" w:rsidTr="00B04AB6" w14:paraId="2264F29E" w14:textId="77777777">
        <w:trPr>
          <w:cantSplit/>
          <w:trHeight w:val="300"/>
        </w:trPr>
        <w:tc>
          <w:tcPr>
            <w:tcW w:w="6948" w:type="dxa"/>
            <w:tcMar>
              <w:top w:w="0" w:type="dxa"/>
              <w:left w:w="108" w:type="dxa"/>
              <w:bottom w:w="0" w:type="dxa"/>
              <w:right w:w="108" w:type="dxa"/>
            </w:tcMar>
            <w:vAlign w:val="center"/>
          </w:tcPr>
          <w:p w:rsidRPr="004944F5" w:rsidR="00B04AB6" w:rsidP="00B04AB6" w:rsidRDefault="00B04AB6" w14:paraId="75D90A16" w14:textId="77777777">
            <w:pPr>
              <w:spacing w:after="0"/>
              <w:rPr>
                <w:szCs w:val="24"/>
              </w:rPr>
            </w:pPr>
            <w:r w:rsidRPr="004944F5">
              <w:rPr>
                <w:szCs w:val="24"/>
              </w:rPr>
              <w:t>RE-WtrHt-FuelSub-LrgStrg-HP-lte6kW-rep75G-HI-3p09UEF-80g</w:t>
            </w:r>
          </w:p>
        </w:tc>
      </w:tr>
      <w:tr w:rsidRPr="009D1269" w:rsidR="00B04AB6" w:rsidTr="00B04AB6" w14:paraId="767CA36B" w14:textId="77777777">
        <w:trPr>
          <w:cantSplit/>
          <w:trHeight w:val="300"/>
        </w:trPr>
        <w:tc>
          <w:tcPr>
            <w:tcW w:w="6948" w:type="dxa"/>
            <w:tcMar>
              <w:top w:w="0" w:type="dxa"/>
              <w:left w:w="108" w:type="dxa"/>
              <w:bottom w:w="0" w:type="dxa"/>
              <w:right w:w="108" w:type="dxa"/>
            </w:tcMar>
            <w:vAlign w:val="center"/>
          </w:tcPr>
          <w:p w:rsidRPr="004944F5" w:rsidR="00B04AB6" w:rsidP="00B04AB6" w:rsidRDefault="00B04AB6" w14:paraId="15BC5E5C" w14:textId="77777777">
            <w:pPr>
              <w:spacing w:after="0"/>
              <w:rPr>
                <w:rFonts w:cstheme="minorHAnsi"/>
                <w:szCs w:val="24"/>
              </w:rPr>
            </w:pPr>
            <w:r w:rsidRPr="004944F5">
              <w:rPr>
                <w:szCs w:val="24"/>
              </w:rPr>
              <w:t>NE-WtrHt-FuelSub-LrgStrg-HP-lte6kW-80G-HI-2p94UEF</w:t>
            </w:r>
          </w:p>
        </w:tc>
      </w:tr>
      <w:tr w:rsidRPr="009D1269" w:rsidR="00B04AB6" w:rsidTr="00B04AB6" w14:paraId="6D7B26C4" w14:textId="77777777">
        <w:trPr>
          <w:cantSplit/>
          <w:trHeight w:val="300"/>
        </w:trPr>
        <w:tc>
          <w:tcPr>
            <w:tcW w:w="6948" w:type="dxa"/>
            <w:tcMar>
              <w:top w:w="0" w:type="dxa"/>
              <w:left w:w="108" w:type="dxa"/>
              <w:bottom w:w="0" w:type="dxa"/>
              <w:right w:w="108" w:type="dxa"/>
            </w:tcMar>
            <w:vAlign w:val="center"/>
          </w:tcPr>
          <w:p w:rsidRPr="004944F5" w:rsidR="00B04AB6" w:rsidP="00B04AB6" w:rsidRDefault="00B04AB6" w14:paraId="26964253" w14:textId="77777777">
            <w:pPr>
              <w:spacing w:after="0"/>
              <w:rPr>
                <w:rFonts w:cstheme="minorHAnsi"/>
                <w:szCs w:val="24"/>
              </w:rPr>
            </w:pPr>
            <w:r w:rsidRPr="004944F5">
              <w:rPr>
                <w:szCs w:val="24"/>
              </w:rPr>
              <w:t>NE-WtrHt-FuelSub-LrgStrg-HP-gt6kW-100G-4p20COP</w:t>
            </w:r>
          </w:p>
        </w:tc>
      </w:tr>
      <w:tr w:rsidRPr="009D1269" w:rsidR="00B04AB6" w:rsidTr="00B04AB6" w14:paraId="7E0C23F1" w14:textId="77777777">
        <w:trPr>
          <w:cantSplit/>
          <w:trHeight w:val="300"/>
        </w:trPr>
        <w:tc>
          <w:tcPr>
            <w:tcW w:w="6948" w:type="dxa"/>
            <w:tcMar>
              <w:top w:w="0" w:type="dxa"/>
              <w:left w:w="108" w:type="dxa"/>
              <w:bottom w:w="0" w:type="dxa"/>
              <w:right w:w="108" w:type="dxa"/>
            </w:tcMar>
            <w:vAlign w:val="center"/>
          </w:tcPr>
          <w:p w:rsidRPr="004944F5" w:rsidR="00B04AB6" w:rsidP="00B04AB6" w:rsidRDefault="00B04AB6" w14:paraId="288B2B62" w14:textId="77777777">
            <w:pPr>
              <w:spacing w:after="0"/>
              <w:rPr>
                <w:rFonts w:cstheme="minorHAnsi"/>
                <w:szCs w:val="24"/>
              </w:rPr>
            </w:pPr>
            <w:r w:rsidRPr="004944F5">
              <w:rPr>
                <w:szCs w:val="24"/>
              </w:rPr>
              <w:t>NE-WtrHt-FuelSub-LrgStrg-HP-gt6kW-120G-4p20COP</w:t>
            </w:r>
          </w:p>
        </w:tc>
      </w:tr>
    </w:tbl>
    <w:p w:rsidR="00B04AB6" w:rsidP="00B04AB6" w:rsidRDefault="00B04AB6" w14:paraId="32CBD07C" w14:textId="77777777">
      <w:pPr>
        <w:pStyle w:val="AttachmentNormal"/>
      </w:pPr>
    </w:p>
    <w:p w:rsidR="00B04AB6" w:rsidP="00B04AB6" w:rsidRDefault="00B04AB6" w14:paraId="5009E94E" w14:textId="77777777">
      <w:pPr>
        <w:pStyle w:val="AttachmentHeading2"/>
      </w:pPr>
      <w:bookmarkStart w:name="_Toc41920736" w:id="45"/>
      <w:bookmarkStart w:name="_Toc41920737" w:id="46"/>
      <w:bookmarkStart w:name="_Toc41920738" w:id="47"/>
      <w:bookmarkStart w:name="_Toc41920739" w:id="48"/>
      <w:bookmarkStart w:name="_Toc41920740" w:id="49"/>
      <w:bookmarkStart w:name="_Toc45023418" w:id="50"/>
      <w:bookmarkEnd w:id="45"/>
      <w:bookmarkEnd w:id="46"/>
      <w:bookmarkEnd w:id="47"/>
      <w:bookmarkEnd w:id="48"/>
      <w:bookmarkEnd w:id="49"/>
      <w:r>
        <w:lastRenderedPageBreak/>
        <w:t>Chiller-Measure Tier Definitions</w:t>
      </w:r>
      <w:bookmarkEnd w:id="50"/>
    </w:p>
    <w:p w:rsidRPr="008F4B08" w:rsidR="00B04AB6" w:rsidP="00B04AB6" w:rsidRDefault="00B04AB6" w14:paraId="27484162" w14:textId="77777777">
      <w:pPr>
        <w:pStyle w:val="GaramondNormal"/>
      </w:pPr>
      <w:r w:rsidRPr="00B87408">
        <w:rPr>
          <w:u w:val="single"/>
        </w:rPr>
        <w:t>Effective Program Year: 2022.</w:t>
      </w:r>
      <w:r>
        <w:t xml:space="preserve"> </w:t>
      </w:r>
      <w:r w:rsidRPr="008F4B08">
        <w:t>Previous policy in Resolution E-4952</w:t>
      </w:r>
      <w:r>
        <w:rPr>
          <w:rStyle w:val="FootnoteReference"/>
        </w:rPr>
        <w:footnoteReference w:id="25"/>
      </w:r>
      <w:r w:rsidRPr="008F4B08">
        <w:t xml:space="preserve"> acknowledges the need for re-evaluating DEER tiers based on part</w:t>
      </w:r>
      <w:r>
        <w:t>-</w:t>
      </w:r>
      <w:r w:rsidRPr="008F4B08">
        <w:t>load performance using additional data. Low participation in air-cooled chiller energy</w:t>
      </w:r>
      <w:r>
        <w:t>-</w:t>
      </w:r>
      <w:r w:rsidRPr="008F4B08">
        <w:t xml:space="preserve">efficiency programs prompted </w:t>
      </w:r>
      <w:r>
        <w:t>Southern California Edison (</w:t>
      </w:r>
      <w:r w:rsidRPr="008F4B08">
        <w:t>SCE</w:t>
      </w:r>
      <w:r>
        <w:t>)</w:t>
      </w:r>
      <w:r w:rsidRPr="008F4B08">
        <w:t xml:space="preserve"> to gather data to allow the examination of the tier levels that define chiller equipment </w:t>
      </w:r>
      <w:r>
        <w:t xml:space="preserve">that </w:t>
      </w:r>
      <w:r w:rsidRPr="008F4B08">
        <w:t xml:space="preserve">qualify for energy efficiency rebates. </w:t>
      </w:r>
      <w:r>
        <w:t>SCE</w:t>
      </w:r>
      <w:r w:rsidRPr="008F4B08">
        <w:t xml:space="preserve"> performed a market study to ascertain the sales proportion of Path B</w:t>
      </w:r>
      <w:r>
        <w:rPr>
          <w:rStyle w:val="FootnoteReference"/>
        </w:rPr>
        <w:footnoteReference w:id="26"/>
      </w:r>
      <w:r w:rsidRPr="008F4B08">
        <w:t xml:space="preserve"> air-cooled chillers for varying full- and part-load efficiency levels and delivered </w:t>
      </w:r>
      <w:r>
        <w:t>study</w:t>
      </w:r>
      <w:r w:rsidRPr="008F4B08">
        <w:t xml:space="preserve"> results in a memo. </w:t>
      </w:r>
      <w:r>
        <w:t xml:space="preserve">The </w:t>
      </w:r>
      <w:r w:rsidRPr="008F4B08">
        <w:t xml:space="preserve">Energy Division reviewed the market data provided by SCE and found the case for modifying Tiers 1 and 2 for Path B air-cooled chillers compelling. </w:t>
      </w:r>
      <w:r>
        <w:t>Through 2021, the</w:t>
      </w:r>
      <w:r w:rsidRPr="008F4B08">
        <w:t xml:space="preserve"> DEER chiller tier requirements for DEER and non-DEER chiller measures </w:t>
      </w:r>
      <w:r>
        <w:t>will remain</w:t>
      </w:r>
      <w:r w:rsidRPr="008F4B08">
        <w:t xml:space="preserve"> </w:t>
      </w:r>
      <w:r>
        <w:t xml:space="preserve">as </w:t>
      </w:r>
      <w:r w:rsidRPr="008F4B08">
        <w:t>stated in Resolution E-4952</w:t>
      </w:r>
      <w:r>
        <w:rPr>
          <w:rStyle w:val="FootnoteReference"/>
        </w:rPr>
        <w:footnoteReference w:id="27"/>
      </w:r>
      <w:r w:rsidRPr="008F4B08">
        <w:t xml:space="preserve"> as follows:</w:t>
      </w:r>
    </w:p>
    <w:p w:rsidRPr="008F4B08" w:rsidR="00B04AB6" w:rsidP="00B04AB6" w:rsidRDefault="00B04AB6" w14:paraId="1A012399" w14:textId="77777777">
      <w:pPr>
        <w:pStyle w:val="Quote"/>
        <w:jc w:val="left"/>
      </w:pPr>
      <w:r w:rsidRPr="008F4B08">
        <w:t xml:space="preserve">DEER includes HVAC measures for liquid chilling machines (chillers) defined with fixed incremental increases in efficiency over minimum Title 24 requirements. DEER currently includes two tiers of chiller measures: 10 and 15 percent better than Title 24 requirements. DEER also includes a requirement that all chiller measures, including custom projects and non-DEER deemed measures supported by workpapers, must have efficiency levels of at least ten percent better than Title 24 minimum efficiency requirements. </w:t>
      </w:r>
    </w:p>
    <w:p w:rsidRPr="008F4B08" w:rsidR="00B04AB6" w:rsidP="00B04AB6" w:rsidRDefault="00B04AB6" w14:paraId="38BF53A3" w14:textId="77777777">
      <w:pPr>
        <w:pStyle w:val="GaramondNormal"/>
      </w:pPr>
      <w:r>
        <w:t>For 2022, this</w:t>
      </w:r>
      <w:r w:rsidRPr="008F4B08">
        <w:t xml:space="preserve"> resolution </w:t>
      </w:r>
      <w:r w:rsidRPr="004549E6">
        <w:rPr>
          <w:u w:val="single"/>
        </w:rPr>
        <w:t xml:space="preserve">modifies </w:t>
      </w:r>
      <w:r w:rsidRPr="00C346BA">
        <w:rPr>
          <w:u w:val="single"/>
        </w:rPr>
        <w:t>the DEER requirement for air</w:t>
      </w:r>
      <w:r>
        <w:rPr>
          <w:u w:val="single"/>
        </w:rPr>
        <w:t>-</w:t>
      </w:r>
      <w:r w:rsidRPr="00C346BA">
        <w:rPr>
          <w:u w:val="single"/>
        </w:rPr>
        <w:t>cooled Path B chillers</w:t>
      </w:r>
      <w:r w:rsidRPr="008F4B08">
        <w:t xml:space="preserve"> </w:t>
      </w:r>
      <w:r>
        <w:t xml:space="preserve">by </w:t>
      </w:r>
      <w:r w:rsidRPr="008F4B08">
        <w:t xml:space="preserve">allowing a lower full-load efficiency improvement of seven percent </w:t>
      </w:r>
      <w:r>
        <w:t xml:space="preserve">above code </w:t>
      </w:r>
      <w:r w:rsidRPr="008F4B08">
        <w:t>for both tiers, but requir</w:t>
      </w:r>
      <w:r>
        <w:t>es</w:t>
      </w:r>
      <w:r w:rsidRPr="008F4B08">
        <w:t xml:space="preserve"> a higher part-load efficiency improvement of 12</w:t>
      </w:r>
      <w:r>
        <w:t xml:space="preserve"> percent</w:t>
      </w:r>
      <w:r w:rsidRPr="008F4B08">
        <w:t xml:space="preserve"> for tier 1 and 20</w:t>
      </w:r>
      <w:r>
        <w:t xml:space="preserve"> percent</w:t>
      </w:r>
      <w:r w:rsidRPr="008F4B08">
        <w:t xml:space="preserve"> for tier 2 chillers. This change </w:t>
      </w:r>
      <w:r>
        <w:t>will</w:t>
      </w:r>
      <w:r w:rsidRPr="008F4B08">
        <w:t xml:space="preserve"> not </w:t>
      </w:r>
      <w:r>
        <w:t>affect</w:t>
      </w:r>
      <w:r w:rsidRPr="008F4B08">
        <w:t xml:space="preserve"> </w:t>
      </w:r>
      <w:r>
        <w:t>the</w:t>
      </w:r>
      <w:r w:rsidRPr="008F4B08">
        <w:t xml:space="preserve"> </w:t>
      </w:r>
      <w:r>
        <w:t xml:space="preserve">existing </w:t>
      </w:r>
      <w:r w:rsidRPr="008F4B08">
        <w:t>DEER</w:t>
      </w:r>
      <w:r>
        <w:t>2020 air-cooled</w:t>
      </w:r>
      <w:r w:rsidRPr="008F4B08">
        <w:t xml:space="preserve"> chiller measures because </w:t>
      </w:r>
      <w:r>
        <w:t>their energy savings were determined assuming fixed-speed operation (</w:t>
      </w:r>
      <w:r w:rsidRPr="008F4B08">
        <w:t>Path A</w:t>
      </w:r>
      <w:r>
        <w:t>).</w:t>
      </w:r>
      <w:r w:rsidRPr="008F4B08">
        <w:t xml:space="preserve"> </w:t>
      </w:r>
      <w:r>
        <w:t>Instead, this change</w:t>
      </w:r>
      <w:r w:rsidRPr="008F4B08">
        <w:t xml:space="preserve"> will apply to</w:t>
      </w:r>
      <w:r w:rsidRPr="008F4B08" w:rsidDel="00C03B2B">
        <w:t xml:space="preserve"> </w:t>
      </w:r>
      <w:r w:rsidRPr="008F4B08">
        <w:t>non-DEER deemed measures supported by workpapers</w:t>
      </w:r>
      <w:r>
        <w:t xml:space="preserve"> for chillers that comply via the Path B option</w:t>
      </w:r>
      <w:r w:rsidRPr="008F4B08">
        <w:t xml:space="preserve">. </w:t>
      </w:r>
    </w:p>
    <w:p w:rsidR="00B04AB6" w:rsidP="00B04AB6" w:rsidRDefault="00B04AB6" w14:paraId="1EF870C1" w14:textId="77777777">
      <w:pPr>
        <w:pStyle w:val="AttachmentHeading2"/>
      </w:pPr>
      <w:bookmarkStart w:name="_Toc45023419" w:id="51"/>
      <w:r>
        <w:t>Clarification of BRO Measure Application Type EUL</w:t>
      </w:r>
      <w:bookmarkEnd w:id="51"/>
    </w:p>
    <w:p w:rsidRPr="00445878" w:rsidR="00B04AB6" w:rsidP="00B04AB6" w:rsidRDefault="00B04AB6" w14:paraId="3C0A5C1A" w14:textId="77777777">
      <w:pPr>
        <w:pStyle w:val="GaramondNormal"/>
      </w:pPr>
      <w:r w:rsidRPr="009D1F01">
        <w:rPr>
          <w:szCs w:val="24"/>
          <w:u w:val="single"/>
        </w:rPr>
        <w:t>Effective Program Year: 2021.</w:t>
      </w:r>
      <w:r>
        <w:t xml:space="preserve"> </w:t>
      </w:r>
      <w:r w:rsidRPr="00445878">
        <w:t>There has been some confusion around</w:t>
      </w:r>
      <w:r>
        <w:t xml:space="preserve"> effective useful lives</w:t>
      </w:r>
      <w:r w:rsidRPr="00445878">
        <w:t xml:space="preserve"> </w:t>
      </w:r>
      <w:r>
        <w:t>(</w:t>
      </w:r>
      <w:r w:rsidRPr="00445878">
        <w:t>EULs</w:t>
      </w:r>
      <w:r>
        <w:t>)</w:t>
      </w:r>
      <w:r w:rsidRPr="00445878">
        <w:t xml:space="preserve"> associated with Behavioral, </w:t>
      </w:r>
      <w:proofErr w:type="spellStart"/>
      <w:r w:rsidRPr="00445878">
        <w:t>Retrocommissioning</w:t>
      </w:r>
      <w:proofErr w:type="spellEnd"/>
      <w:r w:rsidRPr="00445878">
        <w:t>, or Operational (BRO) measure application type</w:t>
      </w:r>
      <w:r>
        <w:t>s</w:t>
      </w:r>
      <w:r w:rsidRPr="00445878">
        <w:t xml:space="preserve"> (MAT</w:t>
      </w:r>
      <w:r>
        <w:t>s</w:t>
      </w:r>
      <w:r w:rsidRPr="00445878">
        <w:t>)</w:t>
      </w:r>
      <w:r>
        <w:t xml:space="preserve">. Therefore, this section attempts to clarify by reiterating the relevant Decisions and </w:t>
      </w:r>
      <w:r>
        <w:lastRenderedPageBreak/>
        <w:t>Resolutions.</w:t>
      </w:r>
      <w:r w:rsidRPr="00445878">
        <w:t xml:space="preserve"> </w:t>
      </w:r>
      <w:r>
        <w:t xml:space="preserve">Since it was established in a Decision, the EUL for BRO measures </w:t>
      </w:r>
      <w:r w:rsidRPr="00445878">
        <w:t xml:space="preserve">can only be updated by a future </w:t>
      </w:r>
      <w:r>
        <w:t>CPUC D</w:t>
      </w:r>
      <w:r w:rsidRPr="00445878">
        <w:t>ecision</w:t>
      </w:r>
      <w:r>
        <w:t>.</w:t>
      </w:r>
      <w:r w:rsidRPr="00445878">
        <w:t xml:space="preserve"> The EULs for BRO measures </w:t>
      </w:r>
      <w:r>
        <w:t xml:space="preserve">were set at one year by Decision 13-11-005 and amended in Decision 16-08-019. The most recent BRO MAT </w:t>
      </w:r>
      <w:r w:rsidRPr="00445878">
        <w:t>classification established in Resolution E-4818 and amended in E-4952</w:t>
      </w:r>
      <w:r>
        <w:t xml:space="preserve"> was based on Decision 16-08-019 and</w:t>
      </w:r>
      <w:r w:rsidRPr="00445878">
        <w:t xml:space="preserve"> established an EUL of one </w:t>
      </w:r>
      <w:r>
        <w:t xml:space="preserve">year </w:t>
      </w:r>
      <w:r w:rsidRPr="00445878">
        <w:t>to three years. On page 9, E-4818 states:</w:t>
      </w:r>
    </w:p>
    <w:p w:rsidRPr="00445878" w:rsidR="00B04AB6" w:rsidP="00B04AB6" w:rsidRDefault="00B04AB6" w14:paraId="747C2FED" w14:textId="77777777">
      <w:pPr>
        <w:pStyle w:val="Quote"/>
        <w:jc w:val="left"/>
      </w:pPr>
      <w:r w:rsidRPr="00445878">
        <w:t xml:space="preserve">The savings from restored maintenance, configuration, and usage behave differently over time, and have a shorter effective useful life than the equipment they address. BRO programs have an effective useful life of one to three years; Decision 16-08-019 adopted a two-year life for behavioral programs in nonresidential settings and a three-year effective useful life for </w:t>
      </w:r>
      <w:proofErr w:type="spellStart"/>
      <w:r w:rsidRPr="00445878">
        <w:t>retrocommissioning</w:t>
      </w:r>
      <w:proofErr w:type="spellEnd"/>
      <w:r w:rsidRPr="00445878">
        <w:t xml:space="preserve"> and operational programs.</w:t>
      </w:r>
      <w:r w:rsidRPr="00E1608D">
        <w:rPr>
          <w:rStyle w:val="FootnoteReference"/>
          <w:i w:val="0"/>
          <w:iCs w:val="0"/>
        </w:rPr>
        <w:footnoteReference w:id="28"/>
      </w:r>
    </w:p>
    <w:p w:rsidRPr="00445878" w:rsidR="00B04AB6" w:rsidP="00B04AB6" w:rsidRDefault="00B04AB6" w14:paraId="5B47992C" w14:textId="77777777">
      <w:pPr>
        <w:pStyle w:val="GaramondNormal"/>
      </w:pPr>
      <w:r w:rsidRPr="00445878">
        <w:t>Furthermore, Ordering Paragraph 2 Resolution E-4818 states that the EUL for BRO measure application types is not to exceed three years:</w:t>
      </w:r>
    </w:p>
    <w:p w:rsidRPr="00445878" w:rsidR="00B04AB6" w:rsidP="00B04AB6" w:rsidRDefault="00B04AB6" w14:paraId="64CC1369" w14:textId="77777777">
      <w:pPr>
        <w:pStyle w:val="Quote"/>
        <w:jc w:val="left"/>
      </w:pPr>
      <w:r w:rsidRPr="00445878">
        <w:t xml:space="preserve">We direct the Program Administrators to ensure that all program activities and installations resulting in performance that does not exceed the nominal efficiency (i.e., rated, intended, or original efficiency) of the pre-existing condition are offered through a behavioral, </w:t>
      </w:r>
      <w:proofErr w:type="spellStart"/>
      <w:r w:rsidRPr="00445878">
        <w:t>retrocommissioning</w:t>
      </w:r>
      <w:proofErr w:type="spellEnd"/>
      <w:r w:rsidRPr="00445878">
        <w:t xml:space="preserve"> or operational program framework, with an effective useful life not to exceed three years.</w:t>
      </w:r>
    </w:p>
    <w:p w:rsidRPr="00445878" w:rsidR="00B04AB6" w:rsidP="00B04AB6" w:rsidRDefault="00B04AB6" w14:paraId="0411889A" w14:textId="77777777">
      <w:pPr>
        <w:pStyle w:val="GaramondNormal"/>
      </w:pPr>
      <w:r w:rsidRPr="00445878">
        <w:t xml:space="preserve">However, Decision D.16-08-019 </w:t>
      </w:r>
      <w:r>
        <w:t xml:space="preserve">allows for the modification of BRO EULs as </w:t>
      </w:r>
      <w:r w:rsidRPr="00445878">
        <w:t>state</w:t>
      </w:r>
      <w:r>
        <w:t>d</w:t>
      </w:r>
      <w:r w:rsidRPr="00445878">
        <w:t xml:space="preserve"> on pg. 46:</w:t>
      </w:r>
    </w:p>
    <w:p w:rsidRPr="00445878" w:rsidR="00B04AB6" w:rsidP="00B04AB6" w:rsidRDefault="00B04AB6" w14:paraId="2FB22D2D" w14:textId="77777777">
      <w:pPr>
        <w:pStyle w:val="Quote"/>
        <w:jc w:val="left"/>
        <w:rPr>
          <w:rFonts w:ascii="Verdana" w:hAnsi="Verdana" w:cstheme="minorHAnsi"/>
          <w:b/>
          <w:bCs/>
          <w:sz w:val="18"/>
          <w:szCs w:val="18"/>
        </w:rPr>
      </w:pPr>
      <w:r w:rsidRPr="00445878">
        <w:t xml:space="preserve">Because there is a wide variation in evidence to support various expected useful lives, we will still err on the conservative side and allow a two-year life for behavioral programs in non-residential settings, and a three-year life for </w:t>
      </w:r>
      <w:proofErr w:type="spellStart"/>
      <w:r w:rsidRPr="00445878">
        <w:t>retrocommissioning</w:t>
      </w:r>
      <w:proofErr w:type="spellEnd"/>
      <w:r w:rsidRPr="00445878">
        <w:t xml:space="preserve"> and operational programs.</w:t>
      </w:r>
      <w:r>
        <w:t xml:space="preserve"> </w:t>
      </w:r>
      <w:r w:rsidRPr="00445878">
        <w:t>This may be revisited as we gain further experience with these types of programs.</w:t>
      </w:r>
      <w:r>
        <w:t xml:space="preserve"> </w:t>
      </w:r>
      <w:r w:rsidRPr="00445878">
        <w:t>We invite the program administrators or implementers to provide us with further evidence in the future if they ask us to lengthen these estimates.</w:t>
      </w:r>
    </w:p>
    <w:p w:rsidRPr="00445878" w:rsidR="00B04AB6" w:rsidP="00B04AB6" w:rsidRDefault="00B04AB6" w14:paraId="617BD7C9" w14:textId="77777777">
      <w:pPr>
        <w:pStyle w:val="GaramondNormal"/>
      </w:pPr>
      <w:r>
        <w:t>If Program Administrators (PAs) would like changes to BRO EULs, they may bring supporting documentation to the Commission for consideration in a future Decision</w:t>
      </w:r>
      <w:r w:rsidRPr="00445878">
        <w:t>.</w:t>
      </w:r>
    </w:p>
    <w:p w:rsidR="00B04AB6" w:rsidP="00B04AB6" w:rsidRDefault="00B04AB6" w14:paraId="67121BF3" w14:textId="77777777">
      <w:pPr>
        <w:pStyle w:val="AttachmentHeading2"/>
      </w:pPr>
      <w:bookmarkStart w:name="_Toc45023420" w:id="52"/>
      <w:r>
        <w:lastRenderedPageBreak/>
        <w:t>Reclassify Duct Sealing for Pre-2006 Buildings</w:t>
      </w:r>
      <w:bookmarkEnd w:id="52"/>
    </w:p>
    <w:p w:rsidRPr="00445878" w:rsidR="00B04AB6" w:rsidP="00B04AB6" w:rsidRDefault="00B04AB6" w14:paraId="3CC722A1" w14:textId="77777777">
      <w:pPr>
        <w:pStyle w:val="GaramondNormal"/>
        <w:rPr>
          <w:rFonts w:cstheme="minorHAnsi"/>
          <w:iCs/>
        </w:rPr>
      </w:pPr>
      <w:r w:rsidRPr="009D1F01">
        <w:rPr>
          <w:szCs w:val="24"/>
          <w:u w:val="single"/>
        </w:rPr>
        <w:t>Effective Program Year: 2021</w:t>
      </w:r>
      <w:r w:rsidRPr="0077694F">
        <w:rPr>
          <w:u w:val="single"/>
        </w:rPr>
        <w:t>.</w:t>
      </w:r>
      <w:r>
        <w:t xml:space="preserve"> </w:t>
      </w:r>
      <w:r w:rsidRPr="00445878">
        <w:t>Resolution E-4952 updated the MAT of the duct sealing measure to a BRO measure and changed the EUL value to three years because</w:t>
      </w:r>
      <w:r w:rsidRPr="00445878">
        <w:rPr>
          <w:rFonts w:cstheme="minorHAnsi"/>
          <w:iCs/>
        </w:rPr>
        <w:t xml:space="preserve"> Resolution E-4818 directed that </w:t>
      </w:r>
      <w:r>
        <w:rPr>
          <w:rFonts w:cstheme="minorHAnsi"/>
          <w:iCs/>
        </w:rPr>
        <w:t>“</w:t>
      </w:r>
      <w:r w:rsidRPr="00445878">
        <w:rPr>
          <w:rFonts w:cstheme="minorHAnsi"/>
          <w:iCs/>
        </w:rPr>
        <w:t xml:space="preserve">all measures which utilize a degraded performance baseline and/or are restorative of performance in nature be classified as </w:t>
      </w:r>
      <w:proofErr w:type="spellStart"/>
      <w:r w:rsidRPr="00445878">
        <w:rPr>
          <w:rFonts w:cstheme="minorHAnsi"/>
          <w:iCs/>
        </w:rPr>
        <w:t>retrocommissioning</w:t>
      </w:r>
      <w:proofErr w:type="spellEnd"/>
      <w:r w:rsidRPr="00445878">
        <w:rPr>
          <w:rFonts w:cstheme="minorHAnsi"/>
          <w:iCs/>
        </w:rPr>
        <w:t>.</w:t>
      </w:r>
      <w:r>
        <w:rPr>
          <w:rFonts w:cstheme="minorHAnsi"/>
          <w:iCs/>
        </w:rPr>
        <w:t>”</w:t>
      </w:r>
      <w:r w:rsidRPr="00445878">
        <w:rPr>
          <w:rFonts w:cstheme="minorHAnsi"/>
          <w:iCs/>
        </w:rPr>
        <w:t xml:space="preserve"> This is true for residential and non-residential buildings that were constructed after January 1, 2006</w:t>
      </w:r>
      <w:r>
        <w:rPr>
          <w:rFonts w:cstheme="minorHAnsi"/>
          <w:iCs/>
        </w:rPr>
        <w:t>,</w:t>
      </w:r>
      <w:r w:rsidRPr="00445878">
        <w:rPr>
          <w:rFonts w:cstheme="minorHAnsi"/>
          <w:iCs/>
        </w:rPr>
        <w:t xml:space="preserve"> when the 2005 California Building Energy Efficiency Standards (2005 CA T-24) introduced a </w:t>
      </w:r>
      <w:r>
        <w:rPr>
          <w:rFonts w:cstheme="minorHAnsi"/>
          <w:iCs/>
        </w:rPr>
        <w:t>maximum</w:t>
      </w:r>
      <w:r w:rsidRPr="00445878">
        <w:rPr>
          <w:rFonts w:cstheme="minorHAnsi"/>
          <w:iCs/>
        </w:rPr>
        <w:t xml:space="preserve"> duct leakage rate </w:t>
      </w:r>
      <w:r>
        <w:rPr>
          <w:rFonts w:cstheme="minorHAnsi"/>
          <w:iCs/>
        </w:rPr>
        <w:t xml:space="preserve">of six percent or less </w:t>
      </w:r>
      <w:r w:rsidRPr="00445878">
        <w:rPr>
          <w:rFonts w:cstheme="minorHAnsi"/>
          <w:iCs/>
        </w:rPr>
        <w:t xml:space="preserve">in new buildings with some exceptions in certain climate zones. </w:t>
      </w:r>
      <w:r w:rsidRPr="00445878">
        <w:rPr>
          <w:rFonts w:cstheme="minorHAnsi"/>
        </w:rPr>
        <w:t>The exceptions were</w:t>
      </w:r>
      <w:r w:rsidRPr="00445878">
        <w:rPr>
          <w:rFonts w:cstheme="minorHAnsi"/>
          <w:iCs/>
        </w:rPr>
        <w:t xml:space="preserve"> later</w:t>
      </w:r>
      <w:r w:rsidRPr="00445878">
        <w:rPr>
          <w:rFonts w:cstheme="minorHAnsi"/>
        </w:rPr>
        <w:t xml:space="preserve"> removed</w:t>
      </w:r>
      <w:r w:rsidRPr="00445878">
        <w:rPr>
          <w:rFonts w:cstheme="minorHAnsi"/>
          <w:iCs/>
        </w:rPr>
        <w:t xml:space="preserve">. The 2005 CA T-24 standards also introduced a requirement for duct sealing in building </w:t>
      </w:r>
      <w:r w:rsidRPr="00445878">
        <w:rPr>
          <w:rFonts w:cstheme="minorHAnsi"/>
        </w:rPr>
        <w:t>alterations</w:t>
      </w:r>
      <w:r w:rsidRPr="00445878">
        <w:rPr>
          <w:rFonts w:cstheme="minorHAnsi"/>
          <w:iCs/>
        </w:rPr>
        <w:t xml:space="preserve"> when a furnace or air conditioner was replaced or when more than 40 feet of ductwork was replaced.</w:t>
      </w:r>
    </w:p>
    <w:p w:rsidRPr="00445878" w:rsidR="00B04AB6" w:rsidP="00B04AB6" w:rsidRDefault="00B04AB6" w14:paraId="3E883CCD" w14:textId="77777777">
      <w:pPr>
        <w:pStyle w:val="GaramondNormal"/>
      </w:pPr>
      <w:r w:rsidRPr="00445878">
        <w:rPr>
          <w:rFonts w:cstheme="minorHAnsi"/>
        </w:rPr>
        <w:t>Buildings constructed prior to 2006 were not required to have ducts sealed and research shows that ducts in these older homes had leakage rates on the order of 20</w:t>
      </w:r>
      <w:r>
        <w:rPr>
          <w:rFonts w:cstheme="minorHAnsi"/>
        </w:rPr>
        <w:t xml:space="preserve"> percent</w:t>
      </w:r>
      <w:r w:rsidRPr="00445878">
        <w:rPr>
          <w:rFonts w:cstheme="minorHAnsi"/>
        </w:rPr>
        <w:t xml:space="preserve">. For pre-2006 buildings, duct sealing is not restorative in nature, but is an improvement—much like building-shell air sealing and upgrading attic insulation. Since </w:t>
      </w:r>
      <w:r w:rsidRPr="00445878">
        <w:t xml:space="preserve">Resolution E-4818 indicated that measures involving non-mechanical building components such as ductwork are eligible for building weatherization treatment, </w:t>
      </w:r>
      <w:r w:rsidRPr="00445878">
        <w:rPr>
          <w:u w:val="single"/>
        </w:rPr>
        <w:t>duct sealing at pre-2006 buildings shall be categorized as a building weatherization (BW) measure</w:t>
      </w:r>
      <w:r w:rsidRPr="00445878">
        <w:t>.</w:t>
      </w:r>
      <w:r w:rsidRPr="00663EBD">
        <w:rPr>
          <w:rStyle w:val="FootnoteReference"/>
        </w:rPr>
        <w:footnoteReference w:id="29"/>
      </w:r>
      <w:r w:rsidRPr="00445878">
        <w:t xml:space="preserve"> This classification should be retained for duct sealing measures installed in residential and non-residential buildings constructed before January 1, 2006. </w:t>
      </w:r>
    </w:p>
    <w:p w:rsidRPr="00445878" w:rsidR="00B04AB6" w:rsidP="00B04AB6" w:rsidRDefault="00B04AB6" w14:paraId="0B9154CD" w14:textId="77777777">
      <w:pPr>
        <w:pStyle w:val="GaramondNormal"/>
      </w:pPr>
      <w:r w:rsidRPr="00445878">
        <w:t xml:space="preserve">This establishes that there shall be two types of duct-sealing measures: those classified with MAT of </w:t>
      </w:r>
      <w:proofErr w:type="spellStart"/>
      <w:r w:rsidRPr="00445878">
        <w:t>retrocommissioning</w:t>
      </w:r>
      <w:proofErr w:type="spellEnd"/>
      <w:r w:rsidRPr="00445878">
        <w:t xml:space="preserve"> (BRO-RCx) that are installed in residential or non-residential buildings constructed January 1, 2006 or later and those with MAT of BW installed in residential or non-residential buildings built before January 1, 2006. </w:t>
      </w:r>
      <w:r w:rsidRPr="00445878">
        <w:rPr>
          <w:u w:val="single"/>
        </w:rPr>
        <w:t xml:space="preserve">Mobile homes do not have a requirement for duct sealing </w:t>
      </w:r>
      <w:r>
        <w:rPr>
          <w:u w:val="single"/>
        </w:rPr>
        <w:t>in</w:t>
      </w:r>
      <w:r w:rsidRPr="00445878">
        <w:rPr>
          <w:u w:val="single"/>
        </w:rPr>
        <w:t xml:space="preserve"> </w:t>
      </w:r>
      <w:r>
        <w:rPr>
          <w:u w:val="single"/>
        </w:rPr>
        <w:t>U.S. Department of Housing and Urban Development</w:t>
      </w:r>
      <w:r w:rsidRPr="00445878">
        <w:rPr>
          <w:u w:val="single"/>
        </w:rPr>
        <w:t xml:space="preserve"> code, so duct sealing measures in all mobile homes should be classified as BW types.</w:t>
      </w:r>
    </w:p>
    <w:p w:rsidRPr="00445878" w:rsidR="00B04AB6" w:rsidP="00B04AB6" w:rsidRDefault="00B04AB6" w14:paraId="616EE528" w14:textId="77777777">
      <w:pPr>
        <w:pStyle w:val="GaramondNormal"/>
      </w:pPr>
      <w:r w:rsidRPr="00445878">
        <w:t>This change allows for different unit energy savings (UES) for the two types of duct sealing measures where the BRO-Rx measures would be expected to have lower baseline leakage rates than the BW duct sealing measures. The current DEER duct sealing savings are appropriate for duct sealing installed as a BW measure because the baseline leakage is 40</w:t>
      </w:r>
      <w:r>
        <w:t xml:space="preserve"> percent</w:t>
      </w:r>
      <w:r w:rsidRPr="00445878">
        <w:t xml:space="preserve"> for the high-leakage measure and 25</w:t>
      </w:r>
      <w:r>
        <w:t xml:space="preserve"> percent</w:t>
      </w:r>
      <w:r w:rsidRPr="00445878">
        <w:t>/28</w:t>
      </w:r>
      <w:r>
        <w:t xml:space="preserve"> percent</w:t>
      </w:r>
      <w:r w:rsidRPr="00445878">
        <w:t xml:space="preserve"> (residential/commercial) for the medium/low-leakage measure.</w:t>
      </w:r>
      <w:r>
        <w:t xml:space="preserve"> </w:t>
      </w:r>
      <w:r w:rsidRPr="00445878">
        <w:rPr>
          <w:u w:val="single"/>
        </w:rPr>
        <w:t>Hence, the current measures shall be reclassified as BW measures, and will only be eligible in buildings constructed pre-2006.</w:t>
      </w:r>
      <w:r w:rsidRPr="00445878">
        <w:t xml:space="preserve"> Some buildings in the BW classification will have had their ducts sealed due to permit compliance requirements at the time of furnace, air conditioner, or duct system replacement</w:t>
      </w:r>
      <w:r w:rsidRPr="00445878">
        <w:rPr>
          <w:rStyle w:val="FootnoteReference"/>
          <w:rFonts w:ascii="Verdana" w:hAnsi="Verdana"/>
          <w:sz w:val="18"/>
          <w:szCs w:val="18"/>
        </w:rPr>
        <w:footnoteReference w:id="30"/>
      </w:r>
      <w:r w:rsidRPr="00445878">
        <w:t xml:space="preserve">—again, much like some older homes have had their attic insulation upgraded since </w:t>
      </w:r>
      <w:r w:rsidRPr="00445878">
        <w:lastRenderedPageBreak/>
        <w:t>initial construction. Program implementation will establish the criteria for when duct</w:t>
      </w:r>
      <w:r>
        <w:t xml:space="preserve"> re-sealing</w:t>
      </w:r>
      <w:r w:rsidRPr="00445878">
        <w:t xml:space="preserve"> in those buildings are eligible </w:t>
      </w:r>
      <w:r>
        <w:t>for program incentives</w:t>
      </w:r>
      <w:r w:rsidRPr="00445878">
        <w:t>.</w:t>
      </w:r>
    </w:p>
    <w:p w:rsidRPr="00445878" w:rsidR="00B04AB6" w:rsidP="00B04AB6" w:rsidRDefault="00B04AB6" w14:paraId="765A2192" w14:textId="77777777">
      <w:pPr>
        <w:pStyle w:val="GaramondNormal"/>
      </w:pPr>
      <w:r w:rsidRPr="00445878">
        <w:t>The EUL for duct sealing, classified as a BW measure shall revert to the previous value of 18 years, provided the materials and quality of the duct sealing installation is consistent with industry best practice.</w:t>
      </w:r>
      <w:r w:rsidRPr="00C971AE">
        <w:rPr>
          <w:rStyle w:val="FootnoteReference"/>
        </w:rPr>
        <w:footnoteReference w:id="31"/>
      </w:r>
      <w:r w:rsidRPr="00445878">
        <w:t xml:space="preserve"> The duct connections must not be sealed with duct tape (cloth-backed rubber adhesive tapes)</w:t>
      </w:r>
      <w:r>
        <w:t>.</w:t>
      </w:r>
      <w:r w:rsidRPr="00445878">
        <w:t xml:space="preserve"> Mastic or aerosol sealant materials are preferred, and butyl tape can be used where mastic or aerosol are impractical. The previously established 18-year EUL for duct sealing was based on two IOU-conducted retention studies,</w:t>
      </w:r>
      <w:r w:rsidRPr="00C971AE">
        <w:rPr>
          <w:rStyle w:val="FootnoteReference"/>
        </w:rPr>
        <w:footnoteReference w:id="32"/>
      </w:r>
      <w:r w:rsidRPr="00C971AE">
        <w:rPr>
          <w:rStyle w:val="FootnoteReference"/>
        </w:rPr>
        <w:t>,</w:t>
      </w:r>
      <w:r w:rsidRPr="00C971AE">
        <w:rPr>
          <w:rStyle w:val="FootnoteReference"/>
        </w:rPr>
        <w:footnoteReference w:id="33"/>
      </w:r>
      <w:r w:rsidRPr="00445878">
        <w:t xml:space="preserve"> both finding a higher EUL than the </w:t>
      </w:r>
      <w:r>
        <w:t>recommended</w:t>
      </w:r>
      <w:r w:rsidRPr="00445878">
        <w:t xml:space="preserve"> value of 18 years. These findings are substantiated by </w:t>
      </w:r>
      <w:r w:rsidRPr="00B8629B">
        <w:t>Lawrence Berkeley National Laboratory</w:t>
      </w:r>
      <w:r>
        <w:t xml:space="preserve"> (</w:t>
      </w:r>
      <w:r w:rsidRPr="00445878">
        <w:t>LBNL</w:t>
      </w:r>
      <w:r>
        <w:t>)</w:t>
      </w:r>
      <w:r w:rsidRPr="00445878">
        <w:t xml:space="preserve"> research that found only duct tapes showed significant duct leakage after accelerated aging tests were performed.</w:t>
      </w:r>
      <w:r w:rsidRPr="00C971AE">
        <w:rPr>
          <w:rStyle w:val="FootnoteReference"/>
        </w:rPr>
        <w:footnoteReference w:id="34"/>
      </w:r>
    </w:p>
    <w:p w:rsidR="00B04AB6" w:rsidP="00B04AB6" w:rsidRDefault="00B04AB6" w14:paraId="7AC6C968" w14:textId="77777777">
      <w:pPr>
        <w:pStyle w:val="AttachmentHeading1"/>
      </w:pPr>
      <w:bookmarkStart w:name="_Toc10422309" w:id="53"/>
      <w:bookmarkStart w:name="_Toc10425763" w:id="54"/>
      <w:bookmarkStart w:name="_Toc10427467" w:id="55"/>
      <w:bookmarkStart w:name="_Toc10432578" w:id="56"/>
      <w:bookmarkStart w:name="_Toc10422310" w:id="57"/>
      <w:bookmarkStart w:name="_Toc10425764" w:id="58"/>
      <w:bookmarkStart w:name="_Toc10427468" w:id="59"/>
      <w:bookmarkStart w:name="_Toc10432579" w:id="60"/>
      <w:bookmarkStart w:name="_Toc519764461" w:id="61"/>
      <w:bookmarkStart w:name="_Toc521497474" w:id="62"/>
      <w:bookmarkStart w:name="_Toc521574319" w:id="63"/>
      <w:bookmarkStart w:name="_Toc521574405" w:id="64"/>
      <w:bookmarkStart w:name="_Toc521574446" w:id="65"/>
      <w:bookmarkStart w:name="_Toc521575571" w:id="66"/>
      <w:bookmarkStart w:name="_Toc10397782" w:id="67"/>
      <w:bookmarkStart w:name="_Toc10543704" w:id="68"/>
      <w:bookmarkStart w:name="_Toc10545646" w:id="69"/>
      <w:bookmarkStart w:name="_Toc11336966" w:id="70"/>
      <w:bookmarkStart w:name="_Toc45023421" w:id="71"/>
      <w:bookmarkStart w:name="_Toc454783985" w:id="72"/>
      <w:bookmarkStart w:name="_Toc454885325" w:id="73"/>
      <w:bookmarkStart w:name="_Toc454902360" w:id="74"/>
      <w:bookmarkEnd w:id="53"/>
      <w:bookmarkEnd w:id="54"/>
      <w:bookmarkEnd w:id="55"/>
      <w:bookmarkEnd w:id="56"/>
      <w:bookmarkEnd w:id="57"/>
      <w:bookmarkEnd w:id="58"/>
      <w:bookmarkEnd w:id="59"/>
      <w:bookmarkEnd w:id="60"/>
      <w:bookmarkEnd w:id="61"/>
      <w:bookmarkEnd w:id="62"/>
      <w:bookmarkEnd w:id="63"/>
      <w:bookmarkEnd w:id="64"/>
      <w:bookmarkEnd w:id="65"/>
      <w:bookmarkEnd w:id="66"/>
      <w:r>
        <w:t>DEER Error Corrections</w:t>
      </w:r>
      <w:bookmarkEnd w:id="67"/>
      <w:bookmarkEnd w:id="68"/>
      <w:bookmarkEnd w:id="69"/>
      <w:bookmarkEnd w:id="70"/>
      <w:bookmarkEnd w:id="71"/>
      <w:r>
        <w:t xml:space="preserve"> </w:t>
      </w:r>
    </w:p>
    <w:p w:rsidRPr="000D7389" w:rsidR="00B04AB6" w:rsidP="00B04AB6" w:rsidRDefault="00B04AB6" w14:paraId="3729A639" w14:textId="77777777">
      <w:pPr>
        <w:pStyle w:val="GaramondNormal"/>
      </w:pPr>
      <w:r w:rsidRPr="000D7389">
        <w:t>DEER error corrections or clarifications are those that typically impact the actual DEER values or application of the values. Corrections to the DEER database are often needed due to the complexity of the DEER ecosystem and decisions and resolutions, the quick pace of the Rolling Portfolio timeline, and today’s dynamic energy environment. Major changes were made to the DEER system under the DEER2020 Update</w:t>
      </w:r>
      <w:r>
        <w:t>.</w:t>
      </w:r>
      <w:r w:rsidRPr="000D7389">
        <w:t xml:space="preserve"> </w:t>
      </w:r>
      <w:r>
        <w:t>F</w:t>
      </w:r>
      <w:r w:rsidRPr="000D7389">
        <w:t xml:space="preserve">or example, the building prototypes and modeling approach were completely </w:t>
      </w:r>
      <w:r>
        <w:t>modified</w:t>
      </w:r>
      <w:r w:rsidRPr="000D7389">
        <w:t>, and the peak demand period was changed, but without a chance to thoroughly vet those updates. Although many errors and issues identified after the adoption of Resolution E-4952 DEER2020 Update were previously addressed, several more issues were uncovered or remain as described in the sub-sections that follow.</w:t>
      </w:r>
    </w:p>
    <w:p w:rsidR="00B04AB6" w:rsidP="00B04AB6" w:rsidRDefault="00B04AB6" w14:paraId="53DAB3E5" w14:textId="77777777">
      <w:pPr>
        <w:pStyle w:val="AttachmentHeading2"/>
      </w:pPr>
      <w:bookmarkStart w:name="_Ref40807714" w:id="75"/>
      <w:bookmarkStart w:name="_Toc45023422" w:id="76"/>
      <w:r>
        <w:t>Updated Water Heater Calculator and Resulting Energy Impacts</w:t>
      </w:r>
      <w:bookmarkEnd w:id="75"/>
      <w:bookmarkEnd w:id="76"/>
    </w:p>
    <w:p w:rsidRPr="00F30E85" w:rsidR="00B04AB6" w:rsidP="00B04AB6" w:rsidRDefault="00B04AB6" w14:paraId="08343435" w14:textId="77777777">
      <w:pPr>
        <w:pStyle w:val="GaramondNormal"/>
        <w:rPr>
          <w:u w:val="single"/>
        </w:rPr>
      </w:pPr>
      <w:r w:rsidRPr="00F30E85">
        <w:rPr>
          <w:u w:val="single"/>
        </w:rPr>
        <w:t>Effective Program Year: 202</w:t>
      </w:r>
      <w:r>
        <w:rPr>
          <w:u w:val="single"/>
        </w:rPr>
        <w:t>1</w:t>
      </w:r>
      <w:r w:rsidRPr="00F30E85">
        <w:rPr>
          <w:u w:val="single"/>
        </w:rPr>
        <w:t>.</w:t>
      </w:r>
      <w:r w:rsidRPr="00FC3264">
        <w:t xml:space="preserve"> The PAs have been actively working with CPUC </w:t>
      </w:r>
      <w:r>
        <w:t>s</w:t>
      </w:r>
      <w:r w:rsidRPr="00FC3264">
        <w:t xml:space="preserve">taff to identify the corrections and improvements needed for DEER water heating measures that were discovered during the Phase 1 review of the 2019 </w:t>
      </w:r>
      <w:r>
        <w:t>r</w:t>
      </w:r>
      <w:r w:rsidRPr="00FC3264">
        <w:t xml:space="preserve">esidential and </w:t>
      </w:r>
      <w:r>
        <w:t>c</w:t>
      </w:r>
      <w:r w:rsidRPr="00FC3264">
        <w:t xml:space="preserve">ommercial </w:t>
      </w:r>
      <w:r>
        <w:t>s</w:t>
      </w:r>
      <w:r w:rsidRPr="00FC3264">
        <w:t xml:space="preserve">mall </w:t>
      </w:r>
      <w:r>
        <w:t>w</w:t>
      </w:r>
      <w:r w:rsidRPr="00FC3264">
        <w:t xml:space="preserve">ater </w:t>
      </w:r>
      <w:r>
        <w:t>h</w:t>
      </w:r>
      <w:r w:rsidRPr="00FC3264">
        <w:t xml:space="preserve">eaters. The PAs </w:t>
      </w:r>
      <w:r w:rsidRPr="00FC3264">
        <w:lastRenderedPageBreak/>
        <w:t>reported several issues and submitted a memo</w:t>
      </w:r>
      <w:r w:rsidRPr="002071DE">
        <w:rPr>
          <w:vertAlign w:val="superscript"/>
        </w:rPr>
        <w:footnoteReference w:id="35"/>
      </w:r>
      <w:r w:rsidRPr="00FC3264">
        <w:t xml:space="preserve"> to CPUC </w:t>
      </w:r>
      <w:r>
        <w:t>s</w:t>
      </w:r>
      <w:r w:rsidRPr="00FC3264">
        <w:t>taff describing requested updates, improvements, and error corrections to the 2019 water heater calculator.</w:t>
      </w:r>
      <w:r w:rsidRPr="00E1608D">
        <w:rPr>
          <w:vertAlign w:val="superscript"/>
        </w:rPr>
        <w:footnoteReference w:id="36"/>
      </w:r>
      <w:r w:rsidRPr="00FC3264">
        <w:t xml:space="preserve"> The issues include</w:t>
      </w:r>
      <w:r>
        <w:t>,</w:t>
      </w:r>
      <w:r w:rsidRPr="00FC3264">
        <w:t xml:space="preserve"> but are not limited to</w:t>
      </w:r>
      <w:r>
        <w:t>,</w:t>
      </w:r>
      <w:r w:rsidRPr="00FC3264">
        <w:t xml:space="preserve"> completing the update of measures from </w:t>
      </w:r>
      <w:r>
        <w:t>e</w:t>
      </w:r>
      <w:r w:rsidRPr="00FC3264">
        <w:t xml:space="preserve">nergy </w:t>
      </w:r>
      <w:r>
        <w:t>f</w:t>
      </w:r>
      <w:r w:rsidRPr="00FC3264">
        <w:t xml:space="preserve">actor (EF) to </w:t>
      </w:r>
      <w:r>
        <w:t>u</w:t>
      </w:r>
      <w:r w:rsidRPr="00FC3264">
        <w:t xml:space="preserve">niform </w:t>
      </w:r>
      <w:r>
        <w:t>e</w:t>
      </w:r>
      <w:r w:rsidRPr="00FC3264">
        <w:t xml:space="preserve">nergy </w:t>
      </w:r>
      <w:r>
        <w:t>f</w:t>
      </w:r>
      <w:r w:rsidRPr="00FC3264">
        <w:t xml:space="preserve">actor (UEF) efficiency ratings for heat-pump water heaters, updating the UEF values using data from current data sources, determining savings for the </w:t>
      </w:r>
      <w:r>
        <w:t>commercial</w:t>
      </w:r>
      <w:r w:rsidRPr="00FC3264">
        <w:t xml:space="preserve"> building type at all climate zones for all water heater categories, and providing statewide savings for each climate zone. Consideration for improving diversity in operation for residential versus commercial water heaters and combining multiple measures that represent varying draw patterns (low, medium, high) into a single measure was also requested, but could not be incorporated without having weights to generate weighted averages. Any corrected or previously missing measures will be updated in DEER and a corrected water heating calculator will be added to deeresources.com. Subsequently, statewide workpapers for DEER2021 will </w:t>
      </w:r>
      <w:r>
        <w:t>require</w:t>
      </w:r>
      <w:r w:rsidRPr="00FC3264">
        <w:t xml:space="preserve"> updat</w:t>
      </w:r>
      <w:r>
        <w:t>ing</w:t>
      </w:r>
      <w:r w:rsidRPr="00FC3264">
        <w:t xml:space="preserve"> and resubmitt</w:t>
      </w:r>
      <w:r>
        <w:t>al</w:t>
      </w:r>
      <w:r w:rsidRPr="00FC3264">
        <w:t>.</w:t>
      </w:r>
    </w:p>
    <w:p w:rsidR="00B04AB6" w:rsidP="00B04AB6" w:rsidRDefault="00B04AB6" w14:paraId="55C38AD4" w14:textId="77777777">
      <w:pPr>
        <w:pStyle w:val="AttachmentHeading2"/>
      </w:pPr>
      <w:bookmarkStart w:name="_Toc45023423" w:id="77"/>
      <w:r>
        <w:t>Addition of Missing Energy Impacts for Ceiling and Wall Insulation</w:t>
      </w:r>
      <w:bookmarkEnd w:id="77"/>
    </w:p>
    <w:p w:rsidR="00B04AB6" w:rsidP="00B04AB6" w:rsidRDefault="00B04AB6" w14:paraId="49B1BBFC" w14:textId="77777777">
      <w:pPr>
        <w:pStyle w:val="GaramondNormal"/>
      </w:pPr>
      <w:r w:rsidRPr="0077694F">
        <w:rPr>
          <w:u w:val="single"/>
        </w:rPr>
        <w:t xml:space="preserve">Effective Program Year: </w:t>
      </w:r>
      <w:r>
        <w:rPr>
          <w:u w:val="single"/>
        </w:rPr>
        <w:t>2020</w:t>
      </w:r>
      <w:r w:rsidRPr="0077694F">
        <w:rPr>
          <w:u w:val="single"/>
        </w:rPr>
        <w:t>.</w:t>
      </w:r>
      <w:r>
        <w:t xml:space="preserve"> </w:t>
      </w:r>
      <w:r w:rsidRPr="00FC3264">
        <w:t xml:space="preserve">For DEER2020 ceiling and wall insulation measures with missing records for some climate zones, missing records </w:t>
      </w:r>
      <w:r>
        <w:t>have been</w:t>
      </w:r>
      <w:r w:rsidRPr="00FC3264">
        <w:t xml:space="preserve"> added.</w:t>
      </w:r>
    </w:p>
    <w:p w:rsidR="00B04AB6" w:rsidP="00B04AB6" w:rsidRDefault="00B04AB6" w14:paraId="42858BA3" w14:textId="77777777">
      <w:pPr>
        <w:pStyle w:val="AttachmentHeading2"/>
      </w:pPr>
      <w:bookmarkStart w:name="_Toc45023424" w:id="78"/>
      <w:r>
        <w:t>Addition of Missing Chiller Records for Commercial Building Type</w:t>
      </w:r>
      <w:bookmarkEnd w:id="78"/>
    </w:p>
    <w:p w:rsidR="00B04AB6" w:rsidP="00B04AB6" w:rsidRDefault="00B04AB6" w14:paraId="184AC4EF" w14:textId="77777777">
      <w:pPr>
        <w:pStyle w:val="GaramondNormal"/>
      </w:pPr>
      <w:r w:rsidRPr="00792E5C">
        <w:rPr>
          <w:u w:val="single"/>
        </w:rPr>
        <w:t>Effective Program Year: 2020</w:t>
      </w:r>
      <w:r w:rsidRPr="00CB53D3">
        <w:t xml:space="preserve">. For DEER2020 air-cooled chiller measures that are missing the “Com” building type, </w:t>
      </w:r>
      <w:r>
        <w:t>the</w:t>
      </w:r>
      <w:r w:rsidRPr="00CB53D3">
        <w:t xml:space="preserve"> aggregated “Com” </w:t>
      </w:r>
      <w:r>
        <w:t>records</w:t>
      </w:r>
      <w:r w:rsidRPr="00CB53D3">
        <w:t xml:space="preserve"> </w:t>
      </w:r>
      <w:r>
        <w:t>have been</w:t>
      </w:r>
      <w:r w:rsidRPr="00CB53D3">
        <w:t xml:space="preserve"> added.</w:t>
      </w:r>
      <w:r w:rsidRPr="00CB53D3">
        <w:rPr>
          <w:rStyle w:val="FootnoteReference"/>
        </w:rPr>
        <w:footnoteReference w:id="37"/>
      </w:r>
      <w:r w:rsidRPr="00CB53D3">
        <w:rPr>
          <w:rStyle w:val="FootnoteReference"/>
        </w:rPr>
        <w:t xml:space="preserve"> </w:t>
      </w:r>
    </w:p>
    <w:p w:rsidR="00B04AB6" w:rsidP="00B04AB6" w:rsidRDefault="00B04AB6" w14:paraId="0771BAB4" w14:textId="77777777">
      <w:pPr>
        <w:pStyle w:val="AttachmentHeading2"/>
      </w:pPr>
      <w:bookmarkStart w:name="_Toc45023425" w:id="79"/>
      <w:r>
        <w:t>Expiration of all DEER2020 Lighting Measures</w:t>
      </w:r>
      <w:bookmarkEnd w:id="79"/>
    </w:p>
    <w:p w:rsidR="00B04AB6" w:rsidP="00B04AB6" w:rsidRDefault="00B04AB6" w14:paraId="31142F82" w14:textId="77777777">
      <w:pPr>
        <w:pStyle w:val="GaramondNormal"/>
      </w:pPr>
      <w:r w:rsidRPr="0077694F">
        <w:rPr>
          <w:u w:val="single"/>
        </w:rPr>
        <w:t xml:space="preserve">Effective Program Year: </w:t>
      </w:r>
      <w:r>
        <w:rPr>
          <w:u w:val="single"/>
        </w:rPr>
        <w:t>2020</w:t>
      </w:r>
      <w:r w:rsidRPr="0077694F">
        <w:rPr>
          <w:u w:val="single"/>
        </w:rPr>
        <w:t>.</w:t>
      </w:r>
      <w:r>
        <w:t xml:space="preserve"> </w:t>
      </w:r>
      <w:r w:rsidRPr="00FC3264">
        <w:t xml:space="preserve">Since </w:t>
      </w:r>
      <w:r>
        <w:t>the industry standards for lighting measures were revised last year for 2020 measures, all DEER2020 lighting measures contained in the Preliminary Ex Ante Review database/Ex Ante database (</w:t>
      </w:r>
      <w:proofErr w:type="spellStart"/>
      <w:r>
        <w:t>PEARdb</w:t>
      </w:r>
      <w:proofErr w:type="spellEnd"/>
      <w:r>
        <w:t>/</w:t>
      </w:r>
      <w:proofErr w:type="spellStart"/>
      <w:r>
        <w:t>EAdb</w:t>
      </w:r>
      <w:proofErr w:type="spellEnd"/>
      <w:r>
        <w:t xml:space="preserve">) became invalid. This consequence, however, was not reflected in </w:t>
      </w:r>
      <w:proofErr w:type="spellStart"/>
      <w:r>
        <w:t>PEARdb</w:t>
      </w:r>
      <w:proofErr w:type="spellEnd"/>
      <w:r>
        <w:t>/</w:t>
      </w:r>
      <w:proofErr w:type="spellStart"/>
      <w:r>
        <w:t>EAdb</w:t>
      </w:r>
      <w:proofErr w:type="spellEnd"/>
      <w:r>
        <w:t xml:space="preserve"> until March 2020. </w:t>
      </w:r>
      <w:r w:rsidRPr="00FC3264">
        <w:t xml:space="preserve">Hence, </w:t>
      </w:r>
      <w:r>
        <w:t xml:space="preserve">the </w:t>
      </w:r>
      <w:r w:rsidRPr="00FC3264">
        <w:t xml:space="preserve">474 DEER2020 lighting measures </w:t>
      </w:r>
      <w:r>
        <w:t xml:space="preserve">that had </w:t>
      </w:r>
      <w:r w:rsidRPr="00FC3264">
        <w:t>a start date of January 1, 2020 were set to expire on March 18, 2020.</w:t>
      </w:r>
      <w:r>
        <w:t xml:space="preserve"> A</w:t>
      </w:r>
      <w:r w:rsidRPr="00FC3264">
        <w:t xml:space="preserve">ll lighting measures for the 2020 program year were </w:t>
      </w:r>
      <w:r>
        <w:t xml:space="preserve">ExAnte2020 measures </w:t>
      </w:r>
      <w:r w:rsidRPr="00FC3264">
        <w:t>approved via workpapers</w:t>
      </w:r>
      <w:r>
        <w:t xml:space="preserve"> that were not based upon DEER2020 lighting measures</w:t>
      </w:r>
      <w:r w:rsidRPr="00FC3264">
        <w:t xml:space="preserve">. </w:t>
      </w:r>
      <w:r>
        <w:t>Presently, there are no active DEER lighting measures.</w:t>
      </w:r>
      <w:r>
        <w:rPr>
          <w:rStyle w:val="FootnoteReference"/>
        </w:rPr>
        <w:footnoteReference w:id="38"/>
      </w:r>
    </w:p>
    <w:p w:rsidR="00B04AB6" w:rsidP="00B04AB6" w:rsidRDefault="00B04AB6" w14:paraId="6E6F56D4" w14:textId="77777777">
      <w:pPr>
        <w:pStyle w:val="AttachmentHeading2"/>
      </w:pPr>
      <w:bookmarkStart w:name="_Toc45023426" w:id="80"/>
      <w:r>
        <w:lastRenderedPageBreak/>
        <w:t>Corrections to DEER2020 Interactive Effects Table</w:t>
      </w:r>
      <w:bookmarkEnd w:id="80"/>
    </w:p>
    <w:p w:rsidRPr="004F2248" w:rsidR="00B04AB6" w:rsidP="00B04AB6" w:rsidRDefault="00B04AB6" w14:paraId="40630398" w14:textId="77777777">
      <w:pPr>
        <w:pStyle w:val="GaramondNormal"/>
      </w:pPr>
      <w:r w:rsidRPr="0077694F">
        <w:rPr>
          <w:u w:val="single"/>
        </w:rPr>
        <w:t xml:space="preserve">Effective Program Year: </w:t>
      </w:r>
      <w:r>
        <w:rPr>
          <w:u w:val="single"/>
        </w:rPr>
        <w:t>2020</w:t>
      </w:r>
      <w:r w:rsidRPr="0077694F">
        <w:rPr>
          <w:u w:val="single"/>
        </w:rPr>
        <w:t>.</w:t>
      </w:r>
      <w:r>
        <w:t xml:space="preserve"> Numerous tables were updated as</w:t>
      </w:r>
      <w:r w:rsidRPr="00FC3264">
        <w:t xml:space="preserve"> part of the PA-consolidation effort</w:t>
      </w:r>
      <w:r>
        <w:t xml:space="preserve"> (</w:t>
      </w:r>
      <w:r w:rsidRPr="00FC3264">
        <w:t>within each climate zone that contains services territories of more than one IOU</w:t>
      </w:r>
      <w:r>
        <w:t xml:space="preserve">) </w:t>
      </w:r>
      <w:r w:rsidRPr="00FC3264">
        <w:t>that was completed per Resolution E-5009 DEER2021 Update. Among those were the commercial and residential interactive effects tables (2020-Com-InLtg and 2020-Res-InLtg, respectively) that contain the interactive effects factors for lighting measures installed within conditioned spaces. Some of the newly generated records in the commercial interactive-effects table were found to contain errors that were corrected and updated in February 2020.</w:t>
      </w:r>
      <w:bookmarkStart w:name="_Toc513118713" w:id="81"/>
      <w:bookmarkStart w:name="_Toc513118707" w:id="82"/>
      <w:r>
        <w:t xml:space="preserve"> </w:t>
      </w:r>
    </w:p>
    <w:p w:rsidRPr="008E2F07" w:rsidR="00B04AB6" w:rsidP="00B04AB6" w:rsidRDefault="00B04AB6" w14:paraId="318DAC5F" w14:textId="77777777">
      <w:pPr>
        <w:pStyle w:val="AttachmentHeading1"/>
        <w:rPr>
          <w:rFonts w:cs="Calibri" w:asciiTheme="minorHAnsi" w:hAnsiTheme="minorHAnsi"/>
          <w:szCs w:val="24"/>
        </w:rPr>
      </w:pPr>
      <w:bookmarkStart w:name="_Toc10397790" w:id="83"/>
      <w:bookmarkStart w:name="_Toc10543711" w:id="84"/>
      <w:bookmarkStart w:name="_Toc10545655" w:id="85"/>
      <w:bookmarkStart w:name="_Toc11336984" w:id="86"/>
      <w:bookmarkStart w:name="_Toc45023427" w:id="87"/>
      <w:r>
        <w:t>Review of Energy Efficiency Evaluation, Measurement, and Verification (EM&amp;V) studies</w:t>
      </w:r>
      <w:bookmarkEnd w:id="83"/>
      <w:bookmarkEnd w:id="84"/>
      <w:bookmarkEnd w:id="85"/>
      <w:bookmarkEnd w:id="86"/>
      <w:bookmarkEnd w:id="87"/>
    </w:p>
    <w:p w:rsidR="00B04AB6" w:rsidP="00B04AB6" w:rsidRDefault="00B04AB6" w14:paraId="231A7D4C" w14:textId="77777777">
      <w:pPr>
        <w:pStyle w:val="GaramondNormal"/>
      </w:pPr>
      <w:r w:rsidRPr="0057767F">
        <w:t xml:space="preserve">EM&amp;V Sector evaluation results and/or special studies </w:t>
      </w:r>
      <w:r>
        <w:t>are</w:t>
      </w:r>
      <w:r w:rsidRPr="0057767F">
        <w:t xml:space="preserve"> </w:t>
      </w:r>
      <w:r>
        <w:t xml:space="preserve">one of </w:t>
      </w:r>
      <w:r w:rsidRPr="0057767F">
        <w:t xml:space="preserve">the primary sources for DEER measure and workpaper updates. Evaluation results </w:t>
      </w:r>
      <w:r>
        <w:t>that have</w:t>
      </w:r>
      <w:r w:rsidRPr="0057767F">
        <w:t xml:space="preserve"> rigor and precision </w:t>
      </w:r>
      <w:r>
        <w:t xml:space="preserve">can be </w:t>
      </w:r>
      <w:r w:rsidRPr="0057767F">
        <w:t xml:space="preserve">used to update </w:t>
      </w:r>
      <w:r>
        <w:t xml:space="preserve">both </w:t>
      </w:r>
      <w:r w:rsidRPr="0057767F">
        <w:t xml:space="preserve">DEER and workpaper assumptions. Parameters in need of data to reduce uncertainty or increase accuracy </w:t>
      </w:r>
      <w:r>
        <w:t>are</w:t>
      </w:r>
      <w:r w:rsidRPr="0057767F">
        <w:t xml:space="preserve"> identified and fed back into the next EM&amp;V cycle.</w:t>
      </w:r>
      <w:r w:rsidRPr="00663EBD">
        <w:t xml:space="preserve"> The </w:t>
      </w:r>
      <w:r>
        <w:t>CPUC staff</w:t>
      </w:r>
      <w:r w:rsidRPr="00663EBD">
        <w:t xml:space="preserve"> examined the findings of recently completed impact evaluation</w:t>
      </w:r>
      <w:r>
        <w:t>s</w:t>
      </w:r>
      <w:r w:rsidRPr="00663EBD">
        <w:t xml:space="preserve"> and other studies to identify those that indicate a substantial difference from current DEER values and are robust enough to be used to update key DEER parameters.</w:t>
      </w:r>
      <w:r>
        <w:t xml:space="preserve"> Due to the change in peak demand definition for 2020, we observed demand gross realization rates (GRRs), but will not make any updates to peak demand UES values. </w:t>
      </w:r>
      <w:r w:rsidRPr="00663EBD">
        <w:t xml:space="preserve"> </w:t>
      </w:r>
    </w:p>
    <w:p w:rsidRPr="00DB6ADF" w:rsidR="00B04AB6" w:rsidP="00B04AB6" w:rsidRDefault="00B04AB6" w14:paraId="4A459CB5" w14:textId="77777777">
      <w:pPr>
        <w:pStyle w:val="GaramondNormal"/>
        <w:rPr>
          <w:szCs w:val="24"/>
        </w:rPr>
      </w:pPr>
      <w:r w:rsidRPr="00663EBD">
        <w:t>A complete list of the studies considered is provided in Appendix E of the 2018-2020 EM&amp;V Plan.</w:t>
      </w:r>
      <w:r w:rsidRPr="00CB53D3">
        <w:rPr>
          <w:rStyle w:val="FootnoteReference"/>
        </w:rPr>
        <w:footnoteReference w:id="39"/>
      </w:r>
      <w:r w:rsidRPr="00663EBD">
        <w:t xml:space="preserve"> Due to the DEER Update schedule, we only considered studies completed by Q1 2020. The available studies from Appendix E include CPUC impact evaluation</w:t>
      </w:r>
      <w:r>
        <w:t>s</w:t>
      </w:r>
      <w:r w:rsidRPr="00663EBD">
        <w:t xml:space="preserve"> from PY2017 and PY2018 </w:t>
      </w:r>
      <w:r>
        <w:t xml:space="preserve">for the </w:t>
      </w:r>
      <w:r w:rsidRPr="00663EBD">
        <w:t>high</w:t>
      </w:r>
      <w:r>
        <w:t>-</w:t>
      </w:r>
      <w:r w:rsidRPr="00663EBD">
        <w:t xml:space="preserve">impact </w:t>
      </w:r>
      <w:r w:rsidRPr="00BA4D1F">
        <w:t xml:space="preserve">Efficiency Savings and Performance Incentive </w:t>
      </w:r>
      <w:r>
        <w:t>(</w:t>
      </w:r>
      <w:r w:rsidRPr="00663EBD">
        <w:t>ESPI</w:t>
      </w:r>
      <w:r>
        <w:t>)</w:t>
      </w:r>
      <w:r w:rsidRPr="00663EBD">
        <w:t xml:space="preserve"> measures and IOU studies </w:t>
      </w:r>
      <w:r>
        <w:t>shown</w:t>
      </w:r>
      <w:r w:rsidRPr="00663EBD">
        <w:t xml:space="preserve"> in </w:t>
      </w:r>
      <w:r>
        <w:fldChar w:fldCharType="begin"/>
      </w:r>
      <w:r>
        <w:instrText xml:space="preserve"> REF _Ref39057177 \h  \* MERGEFORMAT </w:instrText>
      </w:r>
      <w:r>
        <w:fldChar w:fldCharType="separate"/>
      </w:r>
      <w:r>
        <w:t>Table A</w:t>
      </w:r>
      <w:r>
        <w:noBreakHyphen/>
        <w:t>2</w:t>
      </w:r>
      <w:r>
        <w:fldChar w:fldCharType="end"/>
      </w:r>
      <w:r>
        <w:rPr>
          <w:szCs w:val="24"/>
        </w:rPr>
        <w:t xml:space="preserve">. Applicability of these EM&amp;V results to DEER or workpapers is shown in column three and updates to gross savings or net-to-gross (NTG) values are indicated in the last three columns. </w:t>
      </w:r>
    </w:p>
    <w:p w:rsidR="00B04AB6" w:rsidP="00B04AB6" w:rsidRDefault="00B04AB6" w14:paraId="6B99AC42" w14:textId="77777777">
      <w:pPr>
        <w:pStyle w:val="CenturyGothicTableHeader"/>
      </w:pPr>
      <w:bookmarkStart w:name="_Ref39057177" w:id="88"/>
      <w:r>
        <w:t>Table A</w:t>
      </w:r>
      <w:r>
        <w:noBreakHyphen/>
      </w:r>
      <w:r>
        <w:fldChar w:fldCharType="begin"/>
      </w:r>
      <w:r>
        <w:instrText>SEQ Table \* ARABIC \s 1</w:instrText>
      </w:r>
      <w:r>
        <w:fldChar w:fldCharType="separate"/>
      </w:r>
      <w:r>
        <w:rPr>
          <w:noProof/>
        </w:rPr>
        <w:t>2</w:t>
      </w:r>
      <w:r>
        <w:fldChar w:fldCharType="end"/>
      </w:r>
      <w:bookmarkEnd w:id="88"/>
      <w:r>
        <w:t xml:space="preserve">. </w:t>
      </w:r>
      <w:r w:rsidRPr="00F813D5">
        <w:t>Summary of Recent EM&amp;V Study Results</w:t>
      </w:r>
    </w:p>
    <w:tbl>
      <w:tblPr>
        <w:tblW w:w="1012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29" w:type="dxa"/>
          <w:left w:w="115" w:type="dxa"/>
          <w:bottom w:w="29" w:type="dxa"/>
          <w:right w:w="115" w:type="dxa"/>
        </w:tblCellMar>
        <w:tblLook w:val="04A0" w:firstRow="1" w:lastRow="0" w:firstColumn="1" w:lastColumn="0" w:noHBand="0" w:noVBand="1"/>
      </w:tblPr>
      <w:tblGrid>
        <w:gridCol w:w="1885"/>
        <w:gridCol w:w="3180"/>
        <w:gridCol w:w="1890"/>
        <w:gridCol w:w="1620"/>
        <w:gridCol w:w="775"/>
        <w:gridCol w:w="775"/>
      </w:tblGrid>
      <w:tr w:rsidRPr="00C508AF" w:rsidR="00B04AB6" w:rsidTr="00B04AB6" w14:paraId="65B4186B" w14:textId="77777777">
        <w:trPr>
          <w:tblHeader/>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auto"/>
            <w:vAlign w:val="center"/>
            <w:hideMark/>
          </w:tcPr>
          <w:p w:rsidRPr="00C508AF" w:rsidR="00B04AB6" w:rsidP="00B04AB6" w:rsidRDefault="00B04AB6" w14:paraId="01725E62" w14:textId="77777777">
            <w:pPr>
              <w:pStyle w:val="TableHeader"/>
              <w:rPr>
                <w:rFonts w:ascii="Garamond" w:hAnsi="Garamond"/>
                <w:color w:val="auto"/>
                <w:sz w:val="20"/>
                <w:szCs w:val="20"/>
              </w:rPr>
            </w:pPr>
            <w:r w:rsidRPr="00C508AF">
              <w:rPr>
                <w:rFonts w:ascii="Garamond" w:hAnsi="Garamond"/>
                <w:color w:val="auto"/>
                <w:sz w:val="20"/>
                <w:szCs w:val="20"/>
              </w:rPr>
              <w:t>Study</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auto"/>
            <w:vAlign w:val="center"/>
            <w:hideMark/>
          </w:tcPr>
          <w:p w:rsidRPr="00C508AF" w:rsidR="00B04AB6" w:rsidP="00B04AB6" w:rsidRDefault="00B04AB6" w14:paraId="1B9B9990" w14:textId="77777777">
            <w:pPr>
              <w:pStyle w:val="TableHeader"/>
              <w:rPr>
                <w:rFonts w:ascii="Garamond" w:hAnsi="Garamond"/>
                <w:color w:val="auto"/>
                <w:sz w:val="20"/>
                <w:szCs w:val="20"/>
              </w:rPr>
            </w:pPr>
            <w:r w:rsidRPr="00C508AF">
              <w:rPr>
                <w:rFonts w:ascii="Garamond" w:hAnsi="Garamond"/>
                <w:color w:val="auto"/>
                <w:sz w:val="20"/>
                <w:szCs w:val="20"/>
              </w:rPr>
              <w:t>Measure</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auto"/>
            <w:vAlign w:val="center"/>
            <w:hideMark/>
          </w:tcPr>
          <w:p w:rsidRPr="00C508AF" w:rsidR="00B04AB6" w:rsidP="00B04AB6" w:rsidRDefault="00B04AB6" w14:paraId="3B5EF97D" w14:textId="77777777">
            <w:pPr>
              <w:pStyle w:val="TableHeader"/>
              <w:rPr>
                <w:rFonts w:ascii="Garamond" w:hAnsi="Garamond"/>
                <w:color w:val="auto"/>
                <w:sz w:val="20"/>
                <w:szCs w:val="20"/>
              </w:rPr>
            </w:pPr>
            <w:r w:rsidRPr="00C508AF">
              <w:rPr>
                <w:rFonts w:ascii="Garamond" w:hAnsi="Garamond"/>
                <w:color w:val="auto"/>
                <w:sz w:val="20"/>
                <w:szCs w:val="20"/>
              </w:rPr>
              <w:t xml:space="preserve">DEER or </w:t>
            </w:r>
          </w:p>
          <w:p w:rsidRPr="00C508AF" w:rsidR="00B04AB6" w:rsidP="00B04AB6" w:rsidRDefault="00B04AB6" w14:paraId="4595FD06" w14:textId="77777777">
            <w:pPr>
              <w:pStyle w:val="TableHeader"/>
              <w:rPr>
                <w:rFonts w:ascii="Garamond" w:hAnsi="Garamond"/>
                <w:color w:val="auto"/>
                <w:sz w:val="20"/>
                <w:szCs w:val="20"/>
              </w:rPr>
            </w:pPr>
            <w:r w:rsidRPr="00C508AF">
              <w:rPr>
                <w:rFonts w:ascii="Garamond" w:hAnsi="Garamond"/>
                <w:color w:val="auto"/>
                <w:sz w:val="20"/>
                <w:szCs w:val="20"/>
              </w:rPr>
              <w:t>Workpaper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auto"/>
            <w:vAlign w:val="center"/>
            <w:hideMark/>
          </w:tcPr>
          <w:p w:rsidRPr="00C508AF" w:rsidR="00B04AB6" w:rsidP="00B04AB6" w:rsidRDefault="00B04AB6" w14:paraId="2618B1CA" w14:textId="77777777">
            <w:pPr>
              <w:pStyle w:val="TableHeader"/>
              <w:rPr>
                <w:rFonts w:ascii="Garamond" w:hAnsi="Garamond"/>
                <w:color w:val="auto"/>
                <w:sz w:val="20"/>
                <w:szCs w:val="20"/>
              </w:rPr>
            </w:pPr>
            <w:r w:rsidRPr="00C508AF">
              <w:rPr>
                <w:rFonts w:ascii="Garamond" w:hAnsi="Garamond"/>
                <w:color w:val="auto"/>
                <w:sz w:val="20"/>
                <w:szCs w:val="20"/>
              </w:rPr>
              <w:t>Gross Savings</w:t>
            </w:r>
            <w:r>
              <w:rPr>
                <w:rFonts w:ascii="Garamond" w:hAnsi="Garamond"/>
                <w:color w:val="auto"/>
                <w:sz w:val="20"/>
                <w:szCs w:val="20"/>
              </w:rPr>
              <w:t>*</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auto"/>
            <w:vAlign w:val="center"/>
            <w:hideMark/>
          </w:tcPr>
          <w:p w:rsidRPr="00C508AF" w:rsidR="00B04AB6" w:rsidP="00B04AB6" w:rsidRDefault="00B04AB6" w14:paraId="1C69475C" w14:textId="77777777">
            <w:pPr>
              <w:pStyle w:val="TableHeader"/>
              <w:rPr>
                <w:rFonts w:ascii="Garamond" w:hAnsi="Garamond"/>
                <w:color w:val="auto"/>
                <w:sz w:val="20"/>
                <w:szCs w:val="20"/>
              </w:rPr>
            </w:pPr>
            <w:r>
              <w:rPr>
                <w:rFonts w:ascii="Garamond" w:hAnsi="Garamond"/>
                <w:color w:val="auto"/>
                <w:sz w:val="20"/>
                <w:szCs w:val="20"/>
              </w:rPr>
              <w:t xml:space="preserve">Old </w:t>
            </w:r>
            <w:r w:rsidRPr="00C508AF">
              <w:rPr>
                <w:rFonts w:ascii="Garamond" w:hAnsi="Garamond"/>
                <w:color w:val="auto"/>
                <w:sz w:val="20"/>
                <w:szCs w:val="20"/>
              </w:rPr>
              <w:t>NTG</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C508AF" w:rsidR="00B04AB6" w:rsidP="00B04AB6" w:rsidRDefault="00B04AB6" w14:paraId="0DE35803" w14:textId="77777777">
            <w:pPr>
              <w:pStyle w:val="TableHeader"/>
              <w:rPr>
                <w:rFonts w:ascii="Garamond" w:hAnsi="Garamond"/>
                <w:color w:val="auto"/>
                <w:sz w:val="20"/>
                <w:szCs w:val="20"/>
              </w:rPr>
            </w:pPr>
            <w:r>
              <w:rPr>
                <w:rFonts w:ascii="Garamond" w:hAnsi="Garamond"/>
                <w:color w:val="auto"/>
                <w:sz w:val="20"/>
                <w:szCs w:val="20"/>
              </w:rPr>
              <w:t>New NTG</w:t>
            </w:r>
          </w:p>
        </w:tc>
      </w:tr>
      <w:tr w:rsidRPr="00C508AF" w:rsidR="00B04AB6" w:rsidTr="00B04AB6" w14:paraId="507EFB6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4919BCF4" w14:textId="77777777">
            <w:pPr>
              <w:pStyle w:val="TableList"/>
              <w:rPr>
                <w:rFonts w:ascii="Garamond" w:hAnsi="Garamond"/>
                <w:sz w:val="20"/>
                <w:szCs w:val="20"/>
              </w:rPr>
            </w:pPr>
            <w:r w:rsidRPr="00C508AF">
              <w:rPr>
                <w:rFonts w:ascii="Garamond" w:hAnsi="Garamond"/>
                <w:sz w:val="20"/>
                <w:szCs w:val="20"/>
              </w:rPr>
              <w:t>Residential</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7B72AEAF" w14:textId="77777777">
            <w:pPr>
              <w:pStyle w:val="TableList"/>
              <w:rPr>
                <w:rFonts w:ascii="Garamond" w:hAnsi="Garamond"/>
                <w:sz w:val="20"/>
                <w:szCs w:val="20"/>
              </w:rPr>
            </w:pPr>
            <w:r w:rsidRPr="00C508AF">
              <w:rPr>
                <w:rFonts w:ascii="Garamond" w:hAnsi="Garamond"/>
                <w:sz w:val="20"/>
                <w:szCs w:val="20"/>
              </w:rPr>
              <w:t>Hot Water Fixtures</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79A46BCD" w14:textId="77777777">
            <w:pPr>
              <w:pStyle w:val="TableList"/>
              <w:rPr>
                <w:rFonts w:ascii="Garamond" w:hAnsi="Garamond"/>
                <w:sz w:val="20"/>
                <w:szCs w:val="20"/>
              </w:rPr>
            </w:pPr>
            <w:r w:rsidRPr="00C508AF">
              <w:rPr>
                <w:rFonts w:ascii="Garamond" w:hAnsi="Garamond"/>
                <w:sz w:val="20"/>
                <w:szCs w:val="20"/>
              </w:rPr>
              <w:t>DEER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C508AF" w:rsidR="00B04AB6" w:rsidP="00B04AB6" w:rsidRDefault="00B04AB6" w14:paraId="33C89DF8" w14:textId="77777777">
            <w:pPr>
              <w:pStyle w:val="TableList"/>
              <w:jc w:val="center"/>
              <w:rPr>
                <w:rFonts w:ascii="Garamond" w:hAnsi="Garamond"/>
                <w:sz w:val="20"/>
                <w:szCs w:val="20"/>
              </w:rPr>
            </w:pPr>
            <w:r>
              <w:rPr>
                <w:rFonts w:ascii="Garamond" w:hAnsi="Garamond"/>
                <w:sz w:val="20"/>
                <w:szCs w:val="20"/>
              </w:rPr>
              <w:t>None</w:t>
            </w:r>
          </w:p>
        </w:tc>
        <w:tc>
          <w:tcPr>
            <w:tcW w:w="1550" w:type="dxa"/>
            <w:gridSpan w:val="2"/>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00B04AB6" w:rsidP="00B04AB6" w:rsidRDefault="00B04AB6" w14:paraId="32610EBB" w14:textId="77777777">
            <w:pPr>
              <w:pStyle w:val="TableList"/>
              <w:jc w:val="center"/>
              <w:rPr>
                <w:rFonts w:ascii="Garamond" w:hAnsi="Garamond"/>
                <w:sz w:val="20"/>
                <w:szCs w:val="20"/>
              </w:rPr>
            </w:pPr>
            <w:r>
              <w:rPr>
                <w:rFonts w:ascii="Garamond" w:hAnsi="Garamond"/>
                <w:sz w:val="20"/>
                <w:szCs w:val="20"/>
              </w:rPr>
              <w:t>No updates</w:t>
            </w:r>
          </w:p>
        </w:tc>
      </w:tr>
      <w:tr w:rsidRPr="00C508AF" w:rsidR="00B04AB6" w:rsidTr="00B04AB6" w14:paraId="38CA19E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327F14E7" w14:textId="77777777">
            <w:pPr>
              <w:pStyle w:val="TableList"/>
              <w:rPr>
                <w:rFonts w:ascii="Garamond" w:hAnsi="Garamond"/>
                <w:sz w:val="20"/>
                <w:szCs w:val="20"/>
              </w:rPr>
            </w:pPr>
            <w:r w:rsidRPr="00C508AF">
              <w:rPr>
                <w:rFonts w:ascii="Garamond" w:hAnsi="Garamond"/>
                <w:sz w:val="20"/>
                <w:szCs w:val="20"/>
              </w:rPr>
              <w:t>Residential</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5051B922" w14:textId="77777777">
            <w:pPr>
              <w:pStyle w:val="TableList"/>
              <w:rPr>
                <w:rFonts w:ascii="Garamond" w:hAnsi="Garamond"/>
                <w:sz w:val="20"/>
                <w:szCs w:val="20"/>
              </w:rPr>
            </w:pPr>
            <w:r w:rsidRPr="00C508AF">
              <w:rPr>
                <w:rFonts w:ascii="Garamond" w:hAnsi="Garamond"/>
                <w:sz w:val="20"/>
                <w:szCs w:val="20"/>
              </w:rPr>
              <w:t>Smart Thermostat</w:t>
            </w:r>
            <w:r>
              <w:rPr>
                <w:rFonts w:ascii="Garamond" w:hAnsi="Garamond"/>
                <w:sz w:val="20"/>
                <w:szCs w:val="20"/>
              </w:rPr>
              <w:t xml:space="preserve"> - Rebate</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6A3837AC" w14:textId="77777777">
            <w:pPr>
              <w:pStyle w:val="TableList"/>
              <w:rPr>
                <w:rFonts w:ascii="Garamond" w:hAnsi="Garamond"/>
                <w:sz w:val="20"/>
                <w:szCs w:val="20"/>
              </w:rPr>
            </w:pPr>
            <w:r w:rsidRPr="00C508AF">
              <w:rPr>
                <w:rFonts w:ascii="Garamond" w:hAnsi="Garamond"/>
                <w:sz w:val="20"/>
                <w:szCs w:val="20"/>
              </w:rPr>
              <w:t>Workpaper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09BCB806" w14:textId="77777777">
            <w:pPr>
              <w:pStyle w:val="TableList"/>
              <w:jc w:val="center"/>
              <w:rPr>
                <w:rFonts w:ascii="Garamond" w:hAnsi="Garamond"/>
                <w:sz w:val="20"/>
                <w:szCs w:val="20"/>
              </w:rPr>
            </w:pPr>
            <w:r w:rsidRPr="00C508AF">
              <w:rPr>
                <w:rFonts w:ascii="Garamond" w:hAnsi="Garamond"/>
                <w:sz w:val="20"/>
                <w:szCs w:val="20"/>
              </w:rPr>
              <w:t>UES, LS</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27EC7F4B" w14:textId="77777777">
            <w:pPr>
              <w:pStyle w:val="TableList"/>
              <w:jc w:val="center"/>
              <w:rPr>
                <w:rFonts w:ascii="Garamond" w:hAnsi="Garamond"/>
                <w:sz w:val="20"/>
                <w:szCs w:val="20"/>
              </w:rPr>
            </w:pPr>
            <w:r>
              <w:rPr>
                <w:rFonts w:ascii="Garamond" w:hAnsi="Garamond"/>
                <w:sz w:val="20"/>
                <w:szCs w:val="20"/>
              </w:rPr>
              <w:t>0.55</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36DC342B" w14:textId="77777777">
            <w:pPr>
              <w:pStyle w:val="TableList"/>
              <w:jc w:val="center"/>
              <w:rPr>
                <w:rFonts w:ascii="Garamond" w:hAnsi="Garamond"/>
                <w:sz w:val="20"/>
                <w:szCs w:val="20"/>
              </w:rPr>
            </w:pPr>
            <w:r>
              <w:rPr>
                <w:rFonts w:ascii="Garamond" w:hAnsi="Garamond"/>
                <w:sz w:val="20"/>
                <w:szCs w:val="20"/>
              </w:rPr>
              <w:t>055</w:t>
            </w:r>
          </w:p>
        </w:tc>
      </w:tr>
      <w:tr w:rsidRPr="00C508AF" w:rsidR="00B04AB6" w:rsidTr="00B04AB6" w14:paraId="1688F23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C508AF" w:rsidR="00B04AB6" w:rsidP="00B04AB6" w:rsidRDefault="00B04AB6" w14:paraId="3C4FB8C9" w14:textId="77777777">
            <w:pPr>
              <w:pStyle w:val="TableList"/>
              <w:rPr>
                <w:rFonts w:ascii="Garamond" w:hAnsi="Garamond"/>
                <w:sz w:val="20"/>
                <w:szCs w:val="20"/>
              </w:rPr>
            </w:pPr>
            <w:r w:rsidRPr="00C508AF">
              <w:rPr>
                <w:rFonts w:ascii="Garamond" w:hAnsi="Garamond"/>
                <w:sz w:val="20"/>
                <w:szCs w:val="20"/>
              </w:rPr>
              <w:t>Residential</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C508AF" w:rsidR="00B04AB6" w:rsidP="00B04AB6" w:rsidRDefault="00B04AB6" w14:paraId="5970CE03" w14:textId="77777777">
            <w:pPr>
              <w:pStyle w:val="TableList"/>
              <w:rPr>
                <w:rFonts w:ascii="Garamond" w:hAnsi="Garamond"/>
                <w:sz w:val="20"/>
                <w:szCs w:val="20"/>
              </w:rPr>
            </w:pPr>
            <w:r w:rsidRPr="00C508AF">
              <w:rPr>
                <w:rFonts w:ascii="Garamond" w:hAnsi="Garamond"/>
                <w:sz w:val="20"/>
                <w:szCs w:val="20"/>
              </w:rPr>
              <w:t>Smart Thermostat</w:t>
            </w:r>
            <w:r>
              <w:rPr>
                <w:rFonts w:ascii="Garamond" w:hAnsi="Garamond"/>
                <w:sz w:val="20"/>
                <w:szCs w:val="20"/>
              </w:rPr>
              <w:t xml:space="preserve"> – Direct Install</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C508AF" w:rsidR="00B04AB6" w:rsidP="00B04AB6" w:rsidRDefault="00B04AB6" w14:paraId="579C1E82" w14:textId="77777777">
            <w:pPr>
              <w:pStyle w:val="TableList"/>
              <w:rPr>
                <w:rFonts w:ascii="Garamond" w:hAnsi="Garamond"/>
                <w:sz w:val="20"/>
                <w:szCs w:val="20"/>
              </w:rPr>
            </w:pPr>
            <w:r w:rsidRPr="00C508AF">
              <w:rPr>
                <w:rFonts w:ascii="Garamond" w:hAnsi="Garamond"/>
                <w:sz w:val="20"/>
                <w:szCs w:val="20"/>
              </w:rPr>
              <w:t>Workpaper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1B4B3DC4" w14:textId="77777777">
            <w:pPr>
              <w:pStyle w:val="TableList"/>
              <w:jc w:val="center"/>
              <w:rPr>
                <w:rFonts w:ascii="Garamond" w:hAnsi="Garamond"/>
                <w:sz w:val="20"/>
                <w:szCs w:val="20"/>
              </w:rPr>
            </w:pPr>
            <w:r w:rsidRPr="00C508AF">
              <w:rPr>
                <w:rFonts w:ascii="Garamond" w:hAnsi="Garamond"/>
                <w:sz w:val="20"/>
                <w:szCs w:val="20"/>
              </w:rPr>
              <w:t>UES, LS</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308D4831" w14:textId="77777777">
            <w:pPr>
              <w:pStyle w:val="TableList"/>
              <w:jc w:val="center"/>
              <w:rPr>
                <w:rFonts w:ascii="Garamond" w:hAnsi="Garamond"/>
                <w:sz w:val="20"/>
                <w:szCs w:val="20"/>
              </w:rPr>
            </w:pPr>
            <w:r>
              <w:rPr>
                <w:rFonts w:ascii="Garamond" w:hAnsi="Garamond"/>
                <w:sz w:val="20"/>
                <w:szCs w:val="20"/>
              </w:rPr>
              <w:t>0.55</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37175E49" w14:textId="77777777">
            <w:pPr>
              <w:pStyle w:val="TableList"/>
              <w:jc w:val="center"/>
              <w:rPr>
                <w:rFonts w:ascii="Garamond" w:hAnsi="Garamond"/>
                <w:sz w:val="20"/>
                <w:szCs w:val="20"/>
              </w:rPr>
            </w:pPr>
            <w:r>
              <w:rPr>
                <w:rFonts w:ascii="Garamond" w:hAnsi="Garamond"/>
                <w:sz w:val="20"/>
                <w:szCs w:val="20"/>
              </w:rPr>
              <w:t>0.90</w:t>
            </w:r>
          </w:p>
        </w:tc>
      </w:tr>
      <w:tr w:rsidRPr="00C508AF" w:rsidR="00B04AB6" w:rsidTr="00B04AB6" w14:paraId="5750109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1EC1A7DD" w14:textId="77777777">
            <w:pPr>
              <w:pStyle w:val="TableList"/>
              <w:rPr>
                <w:rFonts w:ascii="Garamond" w:hAnsi="Garamond"/>
                <w:sz w:val="20"/>
                <w:szCs w:val="20"/>
              </w:rPr>
            </w:pPr>
            <w:r w:rsidRPr="00C508AF">
              <w:rPr>
                <w:rFonts w:ascii="Garamond" w:hAnsi="Garamond"/>
                <w:sz w:val="20"/>
                <w:szCs w:val="20"/>
              </w:rPr>
              <w:t>Residential</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06518861" w14:textId="77777777">
            <w:pPr>
              <w:pStyle w:val="TableList"/>
              <w:rPr>
                <w:rFonts w:ascii="Garamond" w:hAnsi="Garamond"/>
                <w:sz w:val="20"/>
                <w:szCs w:val="20"/>
              </w:rPr>
            </w:pPr>
            <w:r w:rsidRPr="00C508AF">
              <w:rPr>
                <w:rFonts w:ascii="Garamond" w:hAnsi="Garamond"/>
                <w:sz w:val="20"/>
                <w:szCs w:val="20"/>
              </w:rPr>
              <w:t>Pool Pump VFD</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00E9A278" w14:textId="77777777">
            <w:pPr>
              <w:pStyle w:val="TableList"/>
              <w:rPr>
                <w:rFonts w:ascii="Garamond" w:hAnsi="Garamond"/>
                <w:sz w:val="20"/>
                <w:szCs w:val="20"/>
              </w:rPr>
            </w:pPr>
            <w:r w:rsidRPr="00C508AF">
              <w:rPr>
                <w:rFonts w:ascii="Garamond" w:hAnsi="Garamond"/>
                <w:sz w:val="20"/>
                <w:szCs w:val="20"/>
              </w:rPr>
              <w:t>Workpaper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C508AF" w:rsidR="00B04AB6" w:rsidP="00B04AB6" w:rsidRDefault="00B04AB6" w14:paraId="1E0A9609" w14:textId="77777777">
            <w:pPr>
              <w:pStyle w:val="TableList"/>
              <w:jc w:val="center"/>
              <w:rPr>
                <w:rFonts w:ascii="Garamond" w:hAnsi="Garamond"/>
                <w:sz w:val="20"/>
                <w:szCs w:val="20"/>
              </w:rPr>
            </w:pPr>
            <w:r>
              <w:rPr>
                <w:rFonts w:ascii="Garamond" w:hAnsi="Garamond"/>
                <w:sz w:val="20"/>
                <w:szCs w:val="20"/>
              </w:rPr>
              <w:t>None</w:t>
            </w:r>
          </w:p>
        </w:tc>
        <w:tc>
          <w:tcPr>
            <w:tcW w:w="1550" w:type="dxa"/>
            <w:gridSpan w:val="2"/>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00B04AB6" w:rsidP="00B04AB6" w:rsidRDefault="00B04AB6" w14:paraId="172A92D7" w14:textId="77777777">
            <w:pPr>
              <w:pStyle w:val="TableList"/>
              <w:jc w:val="center"/>
              <w:rPr>
                <w:rFonts w:ascii="Garamond" w:hAnsi="Garamond"/>
                <w:sz w:val="20"/>
                <w:szCs w:val="20"/>
              </w:rPr>
            </w:pPr>
            <w:r>
              <w:rPr>
                <w:rFonts w:ascii="Garamond" w:hAnsi="Garamond"/>
                <w:sz w:val="20"/>
                <w:szCs w:val="20"/>
              </w:rPr>
              <w:t>No updates</w:t>
            </w:r>
          </w:p>
        </w:tc>
      </w:tr>
      <w:tr w:rsidRPr="00C508AF" w:rsidR="00B04AB6" w:rsidTr="00B04AB6" w14:paraId="529D172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3599682E" w14:textId="77777777">
            <w:pPr>
              <w:pStyle w:val="TableList"/>
              <w:rPr>
                <w:rFonts w:ascii="Garamond" w:hAnsi="Garamond"/>
                <w:sz w:val="20"/>
                <w:szCs w:val="20"/>
              </w:rPr>
            </w:pPr>
            <w:r w:rsidRPr="00C508AF">
              <w:rPr>
                <w:rFonts w:ascii="Garamond" w:hAnsi="Garamond"/>
                <w:sz w:val="20"/>
                <w:szCs w:val="20"/>
              </w:rPr>
              <w:t>Lighting</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593E7D7C" w14:textId="77777777">
            <w:pPr>
              <w:pStyle w:val="TableList"/>
              <w:rPr>
                <w:rFonts w:ascii="Garamond" w:hAnsi="Garamond"/>
                <w:sz w:val="20"/>
                <w:szCs w:val="20"/>
              </w:rPr>
            </w:pPr>
            <w:r w:rsidRPr="00C508AF">
              <w:rPr>
                <w:rFonts w:ascii="Garamond" w:hAnsi="Garamond"/>
                <w:sz w:val="20"/>
                <w:szCs w:val="20"/>
              </w:rPr>
              <w:t>Upstream/Residential</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4D60D08B" w14:textId="77777777">
            <w:pPr>
              <w:pStyle w:val="TableList"/>
              <w:rPr>
                <w:rFonts w:ascii="Garamond" w:hAnsi="Garamond"/>
                <w:sz w:val="20"/>
                <w:szCs w:val="20"/>
              </w:rPr>
            </w:pPr>
            <w:r w:rsidRPr="00C508AF">
              <w:rPr>
                <w:rFonts w:ascii="Garamond" w:hAnsi="Garamond"/>
                <w:sz w:val="20"/>
                <w:szCs w:val="20"/>
              </w:rPr>
              <w:t>Expired in 2020</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162D3DD0" w14:textId="77777777">
            <w:pPr>
              <w:pStyle w:val="TableList"/>
              <w:jc w:val="center"/>
              <w:rPr>
                <w:rFonts w:ascii="Garamond" w:hAnsi="Garamond"/>
                <w:sz w:val="20"/>
                <w:szCs w:val="20"/>
              </w:rPr>
            </w:pPr>
            <w:r>
              <w:rPr>
                <w:rFonts w:ascii="Garamond" w:hAnsi="Garamond"/>
                <w:sz w:val="20"/>
                <w:szCs w:val="20"/>
              </w:rPr>
              <w:t>LS</w:t>
            </w:r>
          </w:p>
        </w:tc>
        <w:tc>
          <w:tcPr>
            <w:tcW w:w="1550" w:type="dxa"/>
            <w:gridSpan w:val="2"/>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00B04AB6" w:rsidP="00B04AB6" w:rsidRDefault="00B04AB6" w14:paraId="60A91BD1" w14:textId="77777777">
            <w:pPr>
              <w:pStyle w:val="TableList"/>
              <w:jc w:val="center"/>
              <w:rPr>
                <w:rFonts w:ascii="Garamond" w:hAnsi="Garamond"/>
                <w:sz w:val="20"/>
                <w:szCs w:val="20"/>
              </w:rPr>
            </w:pPr>
            <w:r>
              <w:rPr>
                <w:rFonts w:ascii="Garamond" w:hAnsi="Garamond"/>
                <w:sz w:val="20"/>
                <w:szCs w:val="20"/>
              </w:rPr>
              <w:t>No updates</w:t>
            </w:r>
          </w:p>
        </w:tc>
      </w:tr>
      <w:tr w:rsidRPr="00C508AF" w:rsidR="00B04AB6" w:rsidTr="00B04AB6" w14:paraId="78733FE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6F8E71DC" w14:textId="77777777">
            <w:pPr>
              <w:pStyle w:val="TableList"/>
              <w:rPr>
                <w:rFonts w:ascii="Garamond" w:hAnsi="Garamond"/>
                <w:sz w:val="20"/>
                <w:szCs w:val="20"/>
              </w:rPr>
            </w:pPr>
            <w:r w:rsidRPr="00C508AF">
              <w:rPr>
                <w:rFonts w:ascii="Garamond" w:hAnsi="Garamond"/>
                <w:sz w:val="20"/>
                <w:szCs w:val="20"/>
              </w:rPr>
              <w:t>Lighting</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46B2E953" w14:textId="77777777">
            <w:pPr>
              <w:pStyle w:val="TableList"/>
              <w:rPr>
                <w:rFonts w:ascii="Garamond" w:hAnsi="Garamond"/>
                <w:sz w:val="20"/>
                <w:szCs w:val="20"/>
              </w:rPr>
            </w:pPr>
            <w:r w:rsidRPr="00C508AF">
              <w:rPr>
                <w:rFonts w:ascii="Garamond" w:hAnsi="Garamond"/>
                <w:sz w:val="20"/>
                <w:szCs w:val="20"/>
              </w:rPr>
              <w:t>Non-residential Downstream</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58ADFE47" w14:textId="77777777">
            <w:pPr>
              <w:pStyle w:val="TableList"/>
              <w:rPr>
                <w:rFonts w:ascii="Garamond" w:hAnsi="Garamond"/>
                <w:sz w:val="20"/>
                <w:szCs w:val="20"/>
              </w:rPr>
            </w:pPr>
            <w:r w:rsidRPr="00C508AF">
              <w:rPr>
                <w:rFonts w:ascii="Garamond" w:hAnsi="Garamond"/>
                <w:sz w:val="20"/>
                <w:szCs w:val="20"/>
              </w:rPr>
              <w:t>Workpapers</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2600BD91" w14:textId="77777777">
            <w:pPr>
              <w:pStyle w:val="TableList"/>
              <w:jc w:val="center"/>
              <w:rPr>
                <w:rFonts w:ascii="Garamond" w:hAnsi="Garamond"/>
                <w:sz w:val="20"/>
                <w:szCs w:val="20"/>
              </w:rPr>
            </w:pPr>
            <w:r w:rsidRPr="00C508AF">
              <w:rPr>
                <w:rFonts w:ascii="Garamond" w:hAnsi="Garamond"/>
                <w:sz w:val="20"/>
                <w:szCs w:val="20"/>
              </w:rPr>
              <w:t>LS</w:t>
            </w:r>
          </w:p>
        </w:tc>
        <w:tc>
          <w:tcPr>
            <w:tcW w:w="1550" w:type="dxa"/>
            <w:gridSpan w:val="2"/>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00B04AB6" w:rsidP="00B04AB6" w:rsidRDefault="00B04AB6" w14:paraId="05751A01" w14:textId="77777777">
            <w:pPr>
              <w:pStyle w:val="TableList"/>
              <w:jc w:val="center"/>
              <w:rPr>
                <w:rFonts w:ascii="Garamond" w:hAnsi="Garamond"/>
                <w:sz w:val="20"/>
                <w:szCs w:val="20"/>
              </w:rPr>
            </w:pPr>
            <w:r>
              <w:rPr>
                <w:rFonts w:ascii="Garamond" w:hAnsi="Garamond"/>
                <w:sz w:val="20"/>
                <w:szCs w:val="20"/>
              </w:rPr>
              <w:t>No updates</w:t>
            </w:r>
          </w:p>
        </w:tc>
      </w:tr>
      <w:tr w:rsidRPr="00C508AF" w:rsidR="00B04AB6" w:rsidTr="00B04AB6" w14:paraId="5A97728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78683D56" w14:textId="77777777">
            <w:pPr>
              <w:pStyle w:val="TableList"/>
              <w:rPr>
                <w:rFonts w:ascii="Garamond" w:hAnsi="Garamond"/>
                <w:sz w:val="20"/>
                <w:szCs w:val="20"/>
              </w:rPr>
            </w:pPr>
            <w:r w:rsidRPr="00C508AF">
              <w:rPr>
                <w:rFonts w:ascii="Garamond" w:hAnsi="Garamond"/>
                <w:sz w:val="20"/>
                <w:szCs w:val="20"/>
              </w:rPr>
              <w:t>HVAC</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52060F24" w14:textId="77777777">
            <w:pPr>
              <w:pStyle w:val="TableList"/>
              <w:rPr>
                <w:rFonts w:ascii="Garamond" w:hAnsi="Garamond"/>
                <w:sz w:val="20"/>
                <w:szCs w:val="20"/>
              </w:rPr>
            </w:pPr>
            <w:r w:rsidRPr="00C508AF">
              <w:rPr>
                <w:rFonts w:ascii="Garamond" w:hAnsi="Garamond"/>
                <w:sz w:val="20"/>
                <w:szCs w:val="20"/>
              </w:rPr>
              <w:t>Rooftop and Split System</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4D7FBE81" w14:textId="77777777">
            <w:pPr>
              <w:pStyle w:val="TableList"/>
              <w:rPr>
                <w:rFonts w:ascii="Garamond" w:hAnsi="Garamond"/>
                <w:sz w:val="20"/>
                <w:szCs w:val="20"/>
              </w:rPr>
            </w:pPr>
            <w:r w:rsidRPr="00C508AF">
              <w:rPr>
                <w:rFonts w:ascii="Garamond" w:hAnsi="Garamond"/>
                <w:sz w:val="20"/>
                <w:szCs w:val="20"/>
              </w:rPr>
              <w:t>DEER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38BC4051" w14:textId="77777777">
            <w:pPr>
              <w:pStyle w:val="TableList"/>
              <w:jc w:val="center"/>
              <w:rPr>
                <w:rFonts w:ascii="Garamond" w:hAnsi="Garamond"/>
                <w:sz w:val="20"/>
                <w:szCs w:val="20"/>
              </w:rPr>
            </w:pPr>
            <w:r>
              <w:rPr>
                <w:rFonts w:ascii="Garamond" w:hAnsi="Garamond"/>
                <w:sz w:val="20"/>
                <w:szCs w:val="20"/>
              </w:rPr>
              <w:t>None</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00B04AB6" w:rsidP="00B04AB6" w:rsidRDefault="00B04AB6" w14:paraId="28FC3B05" w14:textId="77777777">
            <w:pPr>
              <w:pStyle w:val="TableList"/>
              <w:jc w:val="center"/>
              <w:rPr>
                <w:rFonts w:ascii="Garamond" w:hAnsi="Garamond"/>
                <w:sz w:val="20"/>
                <w:szCs w:val="20"/>
              </w:rPr>
            </w:pPr>
            <w:r>
              <w:rPr>
                <w:rFonts w:ascii="Garamond" w:hAnsi="Garamond"/>
                <w:sz w:val="20"/>
                <w:szCs w:val="20"/>
              </w:rPr>
              <w:t>0.76</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6F70EF41" w14:textId="77777777">
            <w:pPr>
              <w:pStyle w:val="TableList"/>
              <w:jc w:val="center"/>
              <w:rPr>
                <w:rFonts w:ascii="Garamond" w:hAnsi="Garamond"/>
                <w:sz w:val="20"/>
                <w:szCs w:val="20"/>
              </w:rPr>
            </w:pPr>
            <w:r>
              <w:rPr>
                <w:rFonts w:ascii="Garamond" w:hAnsi="Garamond"/>
                <w:sz w:val="20"/>
                <w:szCs w:val="20"/>
              </w:rPr>
              <w:t>0.55</w:t>
            </w:r>
          </w:p>
        </w:tc>
      </w:tr>
      <w:tr w:rsidRPr="00C508AF" w:rsidR="00B04AB6" w:rsidTr="00B04AB6" w14:paraId="067567B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7F1227EB" w14:textId="77777777">
            <w:pPr>
              <w:pStyle w:val="TableList"/>
              <w:rPr>
                <w:rFonts w:ascii="Garamond" w:hAnsi="Garamond"/>
                <w:sz w:val="20"/>
                <w:szCs w:val="20"/>
              </w:rPr>
            </w:pPr>
            <w:r w:rsidRPr="00C508AF">
              <w:rPr>
                <w:rFonts w:ascii="Garamond" w:hAnsi="Garamond"/>
                <w:sz w:val="20"/>
                <w:szCs w:val="20"/>
              </w:rPr>
              <w:lastRenderedPageBreak/>
              <w:t>HVAC</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76925203" w14:textId="77777777">
            <w:pPr>
              <w:pStyle w:val="TableList"/>
              <w:rPr>
                <w:rFonts w:ascii="Garamond" w:hAnsi="Garamond"/>
                <w:sz w:val="20"/>
                <w:szCs w:val="20"/>
              </w:rPr>
            </w:pPr>
            <w:r w:rsidRPr="00C508AF">
              <w:rPr>
                <w:rFonts w:ascii="Garamond" w:hAnsi="Garamond"/>
                <w:sz w:val="20"/>
                <w:szCs w:val="20"/>
              </w:rPr>
              <w:t>Fan Motor Replacment</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66612FCE" w14:textId="77777777">
            <w:pPr>
              <w:pStyle w:val="TableList"/>
              <w:rPr>
                <w:rFonts w:ascii="Garamond" w:hAnsi="Garamond"/>
                <w:sz w:val="20"/>
                <w:szCs w:val="20"/>
              </w:rPr>
            </w:pPr>
            <w:r w:rsidRPr="00C508AF">
              <w:rPr>
                <w:rFonts w:ascii="Garamond" w:hAnsi="Garamond"/>
                <w:sz w:val="20"/>
                <w:szCs w:val="20"/>
              </w:rPr>
              <w:t>DEER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3973CF46" w14:textId="77777777">
            <w:pPr>
              <w:pStyle w:val="TableList"/>
              <w:jc w:val="center"/>
              <w:rPr>
                <w:rFonts w:ascii="Garamond" w:hAnsi="Garamond"/>
                <w:sz w:val="20"/>
                <w:szCs w:val="20"/>
              </w:rPr>
            </w:pPr>
            <w:r>
              <w:rPr>
                <w:rFonts w:ascii="Garamond" w:hAnsi="Garamond"/>
                <w:sz w:val="20"/>
                <w:szCs w:val="20"/>
              </w:rPr>
              <w:t>None</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2AE37750" w14:textId="77777777">
            <w:pPr>
              <w:pStyle w:val="TableList"/>
              <w:jc w:val="center"/>
              <w:rPr>
                <w:rFonts w:ascii="Garamond" w:hAnsi="Garamond"/>
                <w:sz w:val="20"/>
                <w:szCs w:val="20"/>
              </w:rPr>
            </w:pPr>
            <w:r>
              <w:rPr>
                <w:rFonts w:ascii="Garamond" w:hAnsi="Garamond"/>
                <w:sz w:val="20"/>
                <w:szCs w:val="20"/>
              </w:rPr>
              <w:t>0.55</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73650B74" w14:textId="77777777">
            <w:pPr>
              <w:pStyle w:val="TableList"/>
              <w:jc w:val="center"/>
              <w:rPr>
                <w:rFonts w:ascii="Garamond" w:hAnsi="Garamond"/>
                <w:sz w:val="20"/>
                <w:szCs w:val="20"/>
              </w:rPr>
            </w:pPr>
            <w:r>
              <w:rPr>
                <w:rFonts w:ascii="Garamond" w:hAnsi="Garamond"/>
                <w:sz w:val="20"/>
                <w:szCs w:val="20"/>
              </w:rPr>
              <w:t>0.85</w:t>
            </w:r>
          </w:p>
        </w:tc>
      </w:tr>
      <w:tr w:rsidRPr="00C508AF" w:rsidR="00B04AB6" w:rsidTr="00B04AB6" w14:paraId="4ACFBC1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611893A5" w14:textId="77777777">
            <w:pPr>
              <w:pStyle w:val="TableList"/>
              <w:rPr>
                <w:rFonts w:ascii="Garamond" w:hAnsi="Garamond"/>
                <w:sz w:val="20"/>
                <w:szCs w:val="20"/>
              </w:rPr>
            </w:pPr>
            <w:r w:rsidRPr="00C508AF">
              <w:rPr>
                <w:rFonts w:ascii="Garamond" w:hAnsi="Garamond"/>
                <w:sz w:val="20"/>
                <w:szCs w:val="20"/>
              </w:rPr>
              <w:t>HVAC</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06E51BAE" w14:textId="77777777">
            <w:pPr>
              <w:pStyle w:val="TableList"/>
              <w:rPr>
                <w:rFonts w:ascii="Garamond" w:hAnsi="Garamond"/>
                <w:sz w:val="20"/>
                <w:szCs w:val="20"/>
              </w:rPr>
            </w:pPr>
            <w:r w:rsidRPr="00C508AF">
              <w:rPr>
                <w:rFonts w:ascii="Garamond" w:hAnsi="Garamond"/>
                <w:sz w:val="20"/>
                <w:szCs w:val="20"/>
              </w:rPr>
              <w:t xml:space="preserve">Duct </w:t>
            </w:r>
            <w:r>
              <w:rPr>
                <w:rFonts w:ascii="Garamond" w:hAnsi="Garamond"/>
                <w:sz w:val="20"/>
                <w:szCs w:val="20"/>
              </w:rPr>
              <w:t xml:space="preserve">Testing and </w:t>
            </w:r>
            <w:r w:rsidRPr="00C508AF">
              <w:rPr>
                <w:rFonts w:ascii="Garamond" w:hAnsi="Garamond"/>
                <w:sz w:val="20"/>
                <w:szCs w:val="20"/>
              </w:rPr>
              <w:t>Sealing</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1E63838E" w14:textId="77777777">
            <w:pPr>
              <w:pStyle w:val="TableList"/>
              <w:rPr>
                <w:rFonts w:ascii="Garamond" w:hAnsi="Garamond"/>
                <w:sz w:val="20"/>
                <w:szCs w:val="20"/>
              </w:rPr>
            </w:pPr>
            <w:r w:rsidRPr="00C508AF">
              <w:rPr>
                <w:rFonts w:ascii="Garamond" w:hAnsi="Garamond"/>
                <w:sz w:val="20"/>
                <w:szCs w:val="20"/>
              </w:rPr>
              <w:t>DEER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6ABAB1E7" w14:textId="77777777">
            <w:pPr>
              <w:pStyle w:val="TableList"/>
              <w:jc w:val="center"/>
              <w:rPr>
                <w:rFonts w:ascii="Garamond" w:hAnsi="Garamond"/>
                <w:sz w:val="20"/>
                <w:szCs w:val="20"/>
              </w:rPr>
            </w:pPr>
            <w:r>
              <w:rPr>
                <w:rFonts w:ascii="Garamond" w:hAnsi="Garamond"/>
                <w:sz w:val="20"/>
                <w:szCs w:val="20"/>
              </w:rPr>
              <w:t>None</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1747EA86" w14:textId="77777777">
            <w:pPr>
              <w:pStyle w:val="TableList"/>
              <w:jc w:val="center"/>
              <w:rPr>
                <w:rFonts w:ascii="Garamond" w:hAnsi="Garamond"/>
                <w:sz w:val="20"/>
                <w:szCs w:val="20"/>
              </w:rPr>
            </w:pPr>
            <w:r>
              <w:rPr>
                <w:rFonts w:ascii="Garamond" w:hAnsi="Garamond"/>
                <w:sz w:val="20"/>
                <w:szCs w:val="20"/>
              </w:rPr>
              <w:t>0.79</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3CFCD6F8" w14:textId="77777777">
            <w:pPr>
              <w:pStyle w:val="TableList"/>
              <w:jc w:val="center"/>
              <w:rPr>
                <w:rFonts w:ascii="Garamond" w:hAnsi="Garamond"/>
                <w:sz w:val="20"/>
                <w:szCs w:val="20"/>
              </w:rPr>
            </w:pPr>
            <w:r>
              <w:rPr>
                <w:rFonts w:ascii="Garamond" w:hAnsi="Garamond"/>
                <w:sz w:val="20"/>
                <w:szCs w:val="20"/>
              </w:rPr>
              <w:t>0.95</w:t>
            </w:r>
          </w:p>
        </w:tc>
      </w:tr>
      <w:tr w:rsidRPr="00C508AF" w:rsidR="00B04AB6" w:rsidTr="00B04AB6" w14:paraId="798D270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1E6F8996" w14:textId="77777777">
            <w:pPr>
              <w:pStyle w:val="TableList"/>
              <w:rPr>
                <w:rFonts w:ascii="Garamond" w:hAnsi="Garamond"/>
                <w:sz w:val="20"/>
                <w:szCs w:val="20"/>
              </w:rPr>
            </w:pPr>
            <w:r w:rsidRPr="00C508AF">
              <w:rPr>
                <w:rFonts w:ascii="Garamond" w:hAnsi="Garamond"/>
                <w:sz w:val="20"/>
                <w:szCs w:val="20"/>
              </w:rPr>
              <w:t>HVAC</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37FE010E" w14:textId="77777777">
            <w:pPr>
              <w:pStyle w:val="TableList"/>
              <w:rPr>
                <w:rFonts w:ascii="Garamond" w:hAnsi="Garamond"/>
                <w:sz w:val="20"/>
                <w:szCs w:val="20"/>
              </w:rPr>
            </w:pPr>
            <w:r w:rsidRPr="00C508AF">
              <w:rPr>
                <w:rFonts w:ascii="Garamond" w:hAnsi="Garamond"/>
                <w:sz w:val="20"/>
                <w:szCs w:val="20"/>
              </w:rPr>
              <w:t>Water-Cooled Chillers</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267B4D74" w14:textId="77777777">
            <w:pPr>
              <w:pStyle w:val="TableList"/>
              <w:rPr>
                <w:rFonts w:ascii="Garamond" w:hAnsi="Garamond"/>
                <w:sz w:val="20"/>
                <w:szCs w:val="20"/>
              </w:rPr>
            </w:pPr>
            <w:r w:rsidRPr="00C508AF">
              <w:rPr>
                <w:rFonts w:ascii="Garamond" w:hAnsi="Garamond"/>
                <w:sz w:val="20"/>
                <w:szCs w:val="20"/>
              </w:rPr>
              <w:t>DEER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63572D09" w14:textId="77777777">
            <w:pPr>
              <w:pStyle w:val="TableList"/>
              <w:jc w:val="center"/>
              <w:rPr>
                <w:rFonts w:ascii="Garamond" w:hAnsi="Garamond"/>
                <w:sz w:val="20"/>
                <w:szCs w:val="20"/>
              </w:rPr>
            </w:pPr>
            <w:r>
              <w:rPr>
                <w:rFonts w:ascii="Garamond" w:hAnsi="Garamond"/>
                <w:sz w:val="20"/>
                <w:szCs w:val="20"/>
              </w:rPr>
              <w:t>None</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2267A091" w14:textId="77777777">
            <w:pPr>
              <w:pStyle w:val="TableList"/>
              <w:jc w:val="center"/>
              <w:rPr>
                <w:rFonts w:ascii="Garamond" w:hAnsi="Garamond"/>
                <w:sz w:val="20"/>
                <w:szCs w:val="20"/>
              </w:rPr>
            </w:pPr>
            <w:r>
              <w:rPr>
                <w:rFonts w:ascii="Garamond" w:hAnsi="Garamond"/>
                <w:sz w:val="20"/>
                <w:szCs w:val="20"/>
              </w:rPr>
              <w:t>0.6</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7C879C89" w14:textId="77777777">
            <w:pPr>
              <w:pStyle w:val="TableList"/>
              <w:jc w:val="center"/>
              <w:rPr>
                <w:rFonts w:ascii="Garamond" w:hAnsi="Garamond"/>
                <w:sz w:val="20"/>
                <w:szCs w:val="20"/>
              </w:rPr>
            </w:pPr>
            <w:r>
              <w:rPr>
                <w:rFonts w:ascii="Garamond" w:hAnsi="Garamond"/>
                <w:sz w:val="20"/>
                <w:szCs w:val="20"/>
              </w:rPr>
              <w:t>0.8</w:t>
            </w:r>
          </w:p>
        </w:tc>
      </w:tr>
      <w:tr w:rsidRPr="00C508AF" w:rsidR="00B04AB6" w:rsidTr="00B04AB6" w14:paraId="48072F5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371E5FA7" w14:textId="77777777">
            <w:pPr>
              <w:pStyle w:val="TableList"/>
              <w:rPr>
                <w:rFonts w:ascii="Garamond" w:hAnsi="Garamond"/>
                <w:sz w:val="20"/>
                <w:szCs w:val="20"/>
              </w:rPr>
            </w:pPr>
            <w:r w:rsidRPr="00C508AF">
              <w:rPr>
                <w:rFonts w:ascii="Garamond" w:hAnsi="Garamond"/>
                <w:sz w:val="20"/>
                <w:szCs w:val="20"/>
              </w:rPr>
              <w:t>HVAC</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2348611D" w14:textId="77777777">
            <w:pPr>
              <w:pStyle w:val="TableList"/>
              <w:rPr>
                <w:rFonts w:ascii="Garamond" w:hAnsi="Garamond"/>
                <w:sz w:val="20"/>
                <w:szCs w:val="20"/>
              </w:rPr>
            </w:pPr>
            <w:r w:rsidRPr="00C508AF">
              <w:rPr>
                <w:rFonts w:ascii="Garamond" w:hAnsi="Garamond"/>
                <w:sz w:val="20"/>
                <w:szCs w:val="20"/>
              </w:rPr>
              <w:t>HVAC Boiler</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2AC2480A" w14:textId="77777777">
            <w:pPr>
              <w:pStyle w:val="TableList"/>
              <w:rPr>
                <w:rFonts w:ascii="Garamond" w:hAnsi="Garamond"/>
                <w:sz w:val="20"/>
                <w:szCs w:val="20"/>
              </w:rPr>
            </w:pPr>
            <w:r w:rsidRPr="00C508AF">
              <w:rPr>
                <w:rFonts w:ascii="Garamond" w:hAnsi="Garamond"/>
                <w:sz w:val="20"/>
                <w:szCs w:val="20"/>
              </w:rPr>
              <w:t>DEER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C508AF" w:rsidR="00B04AB6" w:rsidP="00B04AB6" w:rsidRDefault="00B04AB6" w14:paraId="7A526B71" w14:textId="77777777">
            <w:pPr>
              <w:pStyle w:val="TableList"/>
              <w:jc w:val="center"/>
              <w:rPr>
                <w:rFonts w:ascii="Garamond" w:hAnsi="Garamond"/>
                <w:sz w:val="20"/>
                <w:szCs w:val="20"/>
              </w:rPr>
            </w:pPr>
            <w:r>
              <w:rPr>
                <w:rFonts w:ascii="Garamond" w:hAnsi="Garamond"/>
                <w:sz w:val="20"/>
                <w:szCs w:val="20"/>
              </w:rPr>
              <w:t>None</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46F0B6A7" w14:textId="77777777">
            <w:pPr>
              <w:pStyle w:val="TableList"/>
              <w:jc w:val="center"/>
              <w:rPr>
                <w:rFonts w:ascii="Garamond" w:hAnsi="Garamond"/>
                <w:sz w:val="20"/>
                <w:szCs w:val="20"/>
              </w:rPr>
            </w:pPr>
            <w:r>
              <w:rPr>
                <w:rFonts w:ascii="Garamond" w:hAnsi="Garamond"/>
                <w:sz w:val="20"/>
                <w:szCs w:val="20"/>
              </w:rPr>
              <w:t>0.65</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1B9BEE06" w14:textId="77777777">
            <w:pPr>
              <w:pStyle w:val="TableList"/>
              <w:jc w:val="center"/>
              <w:rPr>
                <w:rFonts w:ascii="Garamond" w:hAnsi="Garamond"/>
                <w:sz w:val="20"/>
                <w:szCs w:val="20"/>
              </w:rPr>
            </w:pPr>
            <w:r>
              <w:rPr>
                <w:rFonts w:ascii="Garamond" w:hAnsi="Garamond"/>
                <w:sz w:val="20"/>
                <w:szCs w:val="20"/>
              </w:rPr>
              <w:t>0.2</w:t>
            </w:r>
          </w:p>
        </w:tc>
      </w:tr>
      <w:tr w:rsidRPr="00C508AF" w:rsidR="00B04AB6" w:rsidTr="00B04AB6" w14:paraId="52D350BA" w14:textId="77777777">
        <w:trPr>
          <w:trHeight w:val="302"/>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56B05AFF" w14:textId="77777777">
            <w:pPr>
              <w:pStyle w:val="TableList"/>
              <w:rPr>
                <w:rFonts w:ascii="Garamond" w:hAnsi="Garamond"/>
                <w:sz w:val="20"/>
                <w:szCs w:val="20"/>
              </w:rPr>
            </w:pPr>
            <w:r w:rsidRPr="00C508AF">
              <w:rPr>
                <w:rFonts w:ascii="Garamond" w:hAnsi="Garamond"/>
                <w:sz w:val="20"/>
                <w:szCs w:val="20"/>
              </w:rPr>
              <w:t>Small Commercial</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469FD788" w14:textId="77777777">
            <w:pPr>
              <w:pStyle w:val="TableList"/>
              <w:rPr>
                <w:rFonts w:ascii="Garamond" w:hAnsi="Garamond"/>
                <w:sz w:val="20"/>
                <w:szCs w:val="20"/>
              </w:rPr>
            </w:pPr>
            <w:r w:rsidRPr="00C508AF">
              <w:rPr>
                <w:rFonts w:ascii="Garamond" w:hAnsi="Garamond"/>
                <w:sz w:val="20"/>
                <w:szCs w:val="20"/>
              </w:rPr>
              <w:t>Refrigeration Case LED Lighting</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7D1C4FA6" w14:textId="77777777">
            <w:pPr>
              <w:pStyle w:val="TableList"/>
              <w:rPr>
                <w:rFonts w:ascii="Garamond" w:hAnsi="Garamond"/>
                <w:sz w:val="20"/>
                <w:szCs w:val="20"/>
              </w:rPr>
            </w:pPr>
            <w:r w:rsidRPr="00C508AF">
              <w:rPr>
                <w:rFonts w:ascii="Garamond" w:hAnsi="Garamond"/>
                <w:sz w:val="20"/>
                <w:szCs w:val="20"/>
              </w:rPr>
              <w:t>DEER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42288BF0" w14:textId="77777777">
            <w:pPr>
              <w:pStyle w:val="TableList"/>
              <w:jc w:val="center"/>
              <w:rPr>
                <w:rFonts w:ascii="Garamond" w:hAnsi="Garamond"/>
                <w:sz w:val="20"/>
                <w:szCs w:val="20"/>
              </w:rPr>
            </w:pPr>
            <w:r>
              <w:rPr>
                <w:rFonts w:ascii="Garamond" w:hAnsi="Garamond"/>
                <w:sz w:val="20"/>
                <w:szCs w:val="20"/>
              </w:rPr>
              <w:t>None</w:t>
            </w:r>
          </w:p>
        </w:tc>
        <w:tc>
          <w:tcPr>
            <w:tcW w:w="1550" w:type="dxa"/>
            <w:gridSpan w:val="2"/>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00B04AB6" w:rsidP="00B04AB6" w:rsidRDefault="00B04AB6" w14:paraId="288D611D" w14:textId="77777777">
            <w:pPr>
              <w:pStyle w:val="TableList"/>
              <w:jc w:val="center"/>
              <w:rPr>
                <w:rFonts w:ascii="Garamond" w:hAnsi="Garamond"/>
                <w:sz w:val="20"/>
                <w:szCs w:val="20"/>
              </w:rPr>
            </w:pPr>
            <w:r>
              <w:rPr>
                <w:rFonts w:ascii="Garamond" w:hAnsi="Garamond"/>
                <w:sz w:val="20"/>
                <w:szCs w:val="20"/>
              </w:rPr>
              <w:t>No updates</w:t>
            </w:r>
          </w:p>
        </w:tc>
      </w:tr>
      <w:tr w:rsidRPr="00C508AF" w:rsidR="00B04AB6" w:rsidTr="00B04AB6" w14:paraId="45AFE973" w14:textId="77777777">
        <w:trPr>
          <w:trHeight w:val="302"/>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0FCCDC72" w14:textId="77777777">
            <w:pPr>
              <w:pStyle w:val="TableList"/>
              <w:rPr>
                <w:rFonts w:ascii="Garamond" w:hAnsi="Garamond"/>
                <w:sz w:val="20"/>
                <w:szCs w:val="20"/>
              </w:rPr>
            </w:pPr>
            <w:r w:rsidRPr="00C508AF">
              <w:rPr>
                <w:rFonts w:ascii="Garamond" w:hAnsi="Garamond"/>
                <w:sz w:val="20"/>
                <w:szCs w:val="20"/>
              </w:rPr>
              <w:t>Small Commercial</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4131B1F8" w14:textId="77777777">
            <w:pPr>
              <w:pStyle w:val="TableList"/>
              <w:rPr>
                <w:rFonts w:ascii="Garamond" w:hAnsi="Garamond"/>
                <w:sz w:val="20"/>
                <w:szCs w:val="20"/>
              </w:rPr>
            </w:pPr>
            <w:r w:rsidRPr="00C508AF">
              <w:rPr>
                <w:rFonts w:ascii="Garamond" w:hAnsi="Garamond"/>
                <w:sz w:val="20"/>
                <w:szCs w:val="20"/>
              </w:rPr>
              <w:t>Tankless Water Heaters</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2A85458C" w14:textId="77777777">
            <w:pPr>
              <w:pStyle w:val="TableList"/>
              <w:rPr>
                <w:rFonts w:ascii="Garamond" w:hAnsi="Garamond"/>
                <w:sz w:val="20"/>
                <w:szCs w:val="20"/>
              </w:rPr>
            </w:pPr>
            <w:r w:rsidRPr="00C508AF">
              <w:rPr>
                <w:rFonts w:ascii="Garamond" w:hAnsi="Garamond"/>
                <w:sz w:val="20"/>
                <w:szCs w:val="20"/>
              </w:rPr>
              <w:t>DEER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55C9C627" w14:textId="77777777">
            <w:pPr>
              <w:pStyle w:val="TableList"/>
              <w:jc w:val="center"/>
              <w:rPr>
                <w:rFonts w:ascii="Garamond" w:hAnsi="Garamond"/>
                <w:sz w:val="20"/>
                <w:szCs w:val="20"/>
              </w:rPr>
            </w:pPr>
            <w:r>
              <w:rPr>
                <w:rFonts w:ascii="Garamond" w:hAnsi="Garamond"/>
                <w:sz w:val="20"/>
                <w:szCs w:val="20"/>
              </w:rPr>
              <w:t>None</w:t>
            </w:r>
          </w:p>
        </w:tc>
        <w:tc>
          <w:tcPr>
            <w:tcW w:w="1550" w:type="dxa"/>
            <w:gridSpan w:val="2"/>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00B04AB6" w:rsidP="00B04AB6" w:rsidRDefault="00B04AB6" w14:paraId="38C3AC25" w14:textId="77777777">
            <w:pPr>
              <w:pStyle w:val="TableList"/>
              <w:jc w:val="center"/>
              <w:rPr>
                <w:rFonts w:ascii="Garamond" w:hAnsi="Garamond"/>
                <w:sz w:val="20"/>
                <w:szCs w:val="20"/>
              </w:rPr>
            </w:pPr>
            <w:r>
              <w:rPr>
                <w:rFonts w:ascii="Garamond" w:hAnsi="Garamond"/>
                <w:sz w:val="20"/>
                <w:szCs w:val="20"/>
              </w:rPr>
              <w:t>No updates</w:t>
            </w:r>
          </w:p>
        </w:tc>
      </w:tr>
      <w:tr w:rsidRPr="00C508AF" w:rsidR="00B04AB6" w:rsidTr="00B04AB6" w14:paraId="798F80ED" w14:textId="77777777">
        <w:trPr>
          <w:trHeight w:val="302"/>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089BAABC" w14:textId="77777777">
            <w:pPr>
              <w:pStyle w:val="TableList"/>
              <w:rPr>
                <w:rFonts w:ascii="Garamond" w:hAnsi="Garamond"/>
                <w:sz w:val="20"/>
                <w:szCs w:val="20"/>
              </w:rPr>
            </w:pPr>
            <w:r w:rsidRPr="00C508AF">
              <w:rPr>
                <w:rFonts w:ascii="Garamond" w:hAnsi="Garamond"/>
                <w:sz w:val="20"/>
                <w:szCs w:val="20"/>
              </w:rPr>
              <w:t>Small Commercial</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56F1AC7C" w14:textId="77777777">
            <w:pPr>
              <w:pStyle w:val="TableList"/>
              <w:rPr>
                <w:rFonts w:ascii="Garamond" w:hAnsi="Garamond"/>
                <w:sz w:val="20"/>
                <w:szCs w:val="20"/>
              </w:rPr>
            </w:pPr>
            <w:r w:rsidRPr="00C508AF">
              <w:rPr>
                <w:rFonts w:ascii="Garamond" w:hAnsi="Garamond"/>
                <w:sz w:val="20"/>
                <w:szCs w:val="20"/>
              </w:rPr>
              <w:t>Process Pumping VFD</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1073081C" w14:textId="77777777">
            <w:pPr>
              <w:pStyle w:val="TableList"/>
              <w:rPr>
                <w:rFonts w:ascii="Garamond" w:hAnsi="Garamond"/>
                <w:sz w:val="20"/>
                <w:szCs w:val="20"/>
              </w:rPr>
            </w:pPr>
            <w:r w:rsidRPr="00C508AF">
              <w:rPr>
                <w:rFonts w:ascii="Garamond" w:hAnsi="Garamond"/>
                <w:sz w:val="20"/>
                <w:szCs w:val="20"/>
              </w:rPr>
              <w:t>Workpaper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280AE5B4" w14:textId="77777777">
            <w:pPr>
              <w:pStyle w:val="TableList"/>
              <w:jc w:val="center"/>
              <w:rPr>
                <w:rFonts w:ascii="Garamond" w:hAnsi="Garamond"/>
                <w:sz w:val="20"/>
                <w:szCs w:val="20"/>
              </w:rPr>
            </w:pPr>
            <w:r>
              <w:rPr>
                <w:rFonts w:ascii="Garamond" w:hAnsi="Garamond"/>
                <w:sz w:val="20"/>
                <w:szCs w:val="20"/>
              </w:rPr>
              <w:t>None</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451AE177" w14:textId="77777777">
            <w:pPr>
              <w:pStyle w:val="TableList"/>
              <w:jc w:val="center"/>
              <w:rPr>
                <w:rFonts w:ascii="Garamond" w:hAnsi="Garamond"/>
                <w:sz w:val="20"/>
                <w:szCs w:val="20"/>
              </w:rPr>
            </w:pPr>
            <w:r>
              <w:rPr>
                <w:rFonts w:ascii="Garamond" w:hAnsi="Garamond"/>
                <w:sz w:val="20"/>
                <w:szCs w:val="20"/>
              </w:rPr>
              <w:t>0.6</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3348591D" w14:textId="77777777">
            <w:pPr>
              <w:pStyle w:val="TableList"/>
              <w:jc w:val="center"/>
              <w:rPr>
                <w:rFonts w:ascii="Garamond" w:hAnsi="Garamond"/>
                <w:sz w:val="20"/>
                <w:szCs w:val="20"/>
              </w:rPr>
            </w:pPr>
            <w:r>
              <w:rPr>
                <w:rFonts w:ascii="Garamond" w:hAnsi="Garamond"/>
                <w:sz w:val="20"/>
                <w:szCs w:val="20"/>
              </w:rPr>
              <w:t>0.4</w:t>
            </w:r>
          </w:p>
        </w:tc>
      </w:tr>
      <w:tr w:rsidRPr="00C508AF" w:rsidR="00B04AB6" w:rsidTr="00B04AB6" w14:paraId="7638D0E4" w14:textId="77777777">
        <w:trPr>
          <w:trHeight w:val="302"/>
        </w:trPr>
        <w:tc>
          <w:tcPr>
            <w:tcW w:w="188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11520AAC" w14:textId="77777777">
            <w:pPr>
              <w:pStyle w:val="TableList"/>
              <w:rPr>
                <w:rFonts w:ascii="Garamond" w:hAnsi="Garamond"/>
                <w:sz w:val="20"/>
                <w:szCs w:val="20"/>
              </w:rPr>
            </w:pPr>
            <w:r w:rsidRPr="00C508AF">
              <w:rPr>
                <w:rFonts w:ascii="Garamond" w:hAnsi="Garamond"/>
                <w:sz w:val="20"/>
                <w:szCs w:val="20"/>
              </w:rPr>
              <w:t>Small Commercial</w:t>
            </w:r>
          </w:p>
        </w:tc>
        <w:tc>
          <w:tcPr>
            <w:tcW w:w="318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137024A8" w14:textId="77777777">
            <w:pPr>
              <w:pStyle w:val="TableList"/>
              <w:rPr>
                <w:rFonts w:ascii="Garamond" w:hAnsi="Garamond"/>
                <w:sz w:val="20"/>
                <w:szCs w:val="20"/>
              </w:rPr>
            </w:pPr>
            <w:r w:rsidRPr="00C508AF">
              <w:rPr>
                <w:rFonts w:ascii="Garamond" w:hAnsi="Garamond"/>
                <w:sz w:val="20"/>
                <w:szCs w:val="20"/>
              </w:rPr>
              <w:t>Agricultural Irrigation</w:t>
            </w:r>
          </w:p>
        </w:tc>
        <w:tc>
          <w:tcPr>
            <w:tcW w:w="18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503AEF09" w14:textId="77777777">
            <w:pPr>
              <w:pStyle w:val="TableList"/>
              <w:rPr>
                <w:rFonts w:ascii="Garamond" w:hAnsi="Garamond"/>
                <w:sz w:val="20"/>
                <w:szCs w:val="20"/>
              </w:rPr>
            </w:pPr>
            <w:r w:rsidRPr="00C508AF">
              <w:rPr>
                <w:rFonts w:ascii="Garamond" w:hAnsi="Garamond"/>
                <w:sz w:val="20"/>
                <w:szCs w:val="20"/>
              </w:rPr>
              <w:t>Workpaper</w:t>
            </w:r>
          </w:p>
        </w:tc>
        <w:tc>
          <w:tcPr>
            <w:tcW w:w="162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7FF11A56" w14:textId="77777777">
            <w:pPr>
              <w:pStyle w:val="TableList"/>
              <w:jc w:val="center"/>
              <w:rPr>
                <w:rFonts w:ascii="Garamond" w:hAnsi="Garamond"/>
                <w:sz w:val="20"/>
                <w:szCs w:val="20"/>
              </w:rPr>
            </w:pPr>
            <w:r>
              <w:rPr>
                <w:rFonts w:ascii="Garamond" w:hAnsi="Garamond"/>
                <w:sz w:val="20"/>
                <w:szCs w:val="20"/>
              </w:rPr>
              <w:t>None</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hideMark/>
          </w:tcPr>
          <w:p w:rsidRPr="00C508AF" w:rsidR="00B04AB6" w:rsidP="00B04AB6" w:rsidRDefault="00B04AB6" w14:paraId="5F8C4EED" w14:textId="77777777">
            <w:pPr>
              <w:pStyle w:val="TableList"/>
              <w:jc w:val="center"/>
              <w:rPr>
                <w:rFonts w:ascii="Garamond" w:hAnsi="Garamond"/>
                <w:sz w:val="20"/>
                <w:szCs w:val="20"/>
              </w:rPr>
            </w:pPr>
            <w:r>
              <w:rPr>
                <w:rFonts w:ascii="Garamond" w:hAnsi="Garamond"/>
                <w:sz w:val="20"/>
                <w:szCs w:val="20"/>
              </w:rPr>
              <w:t>0.6</w:t>
            </w:r>
          </w:p>
        </w:tc>
        <w:tc>
          <w:tcPr>
            <w:tcW w:w="77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B04AB6" w:rsidP="00B04AB6" w:rsidRDefault="00B04AB6" w14:paraId="24BCB357" w14:textId="77777777">
            <w:pPr>
              <w:pStyle w:val="TableList"/>
              <w:jc w:val="center"/>
              <w:rPr>
                <w:rFonts w:ascii="Garamond" w:hAnsi="Garamond"/>
                <w:sz w:val="20"/>
                <w:szCs w:val="20"/>
              </w:rPr>
            </w:pPr>
            <w:r>
              <w:rPr>
                <w:rFonts w:ascii="Garamond" w:hAnsi="Garamond"/>
                <w:sz w:val="20"/>
                <w:szCs w:val="20"/>
              </w:rPr>
              <w:t>0.3</w:t>
            </w:r>
          </w:p>
        </w:tc>
      </w:tr>
    </w:tbl>
    <w:p w:rsidRPr="008D67F0" w:rsidR="00B04AB6" w:rsidP="00B04AB6" w:rsidRDefault="00B04AB6" w14:paraId="7CB2B52F" w14:textId="77777777">
      <w:pPr>
        <w:pStyle w:val="Tablenote"/>
        <w:rPr>
          <w:rFonts w:ascii="Garamond" w:hAnsi="Garamond"/>
          <w:sz w:val="20"/>
          <w:szCs w:val="20"/>
        </w:rPr>
      </w:pPr>
      <w:r w:rsidRPr="008D67F0">
        <w:rPr>
          <w:rFonts w:ascii="Garamond" w:hAnsi="Garamond"/>
          <w:sz w:val="20"/>
          <w:szCs w:val="20"/>
        </w:rPr>
        <w:t>*UES=unit energy savings; LS=load shape</w:t>
      </w:r>
    </w:p>
    <w:p w:rsidRPr="00CD552A" w:rsidR="00B04AB6" w:rsidP="00B04AB6" w:rsidRDefault="00B04AB6" w14:paraId="6EDDBDBD" w14:textId="77777777"/>
    <w:p w:rsidR="00B04AB6" w:rsidP="00B04AB6" w:rsidRDefault="00B04AB6" w14:paraId="4BC4EAA1" w14:textId="77777777">
      <w:pPr>
        <w:pStyle w:val="AttachmentHeading2"/>
      </w:pPr>
      <w:bookmarkStart w:name="_Toc11055617" w:id="89"/>
      <w:bookmarkStart w:name="_Toc11055618" w:id="90"/>
      <w:bookmarkStart w:name="_Toc11055619" w:id="91"/>
      <w:bookmarkStart w:name="_Toc10425816" w:id="92"/>
      <w:bookmarkStart w:name="_Toc10427520" w:id="93"/>
      <w:bookmarkStart w:name="_Toc10432631" w:id="94"/>
      <w:bookmarkStart w:name="_Toc10425817" w:id="95"/>
      <w:bookmarkStart w:name="_Toc10427521" w:id="96"/>
      <w:bookmarkStart w:name="_Toc10432632" w:id="97"/>
      <w:bookmarkStart w:name="_Toc10425818" w:id="98"/>
      <w:bookmarkStart w:name="_Toc10427522" w:id="99"/>
      <w:bookmarkStart w:name="_Toc10432633" w:id="100"/>
      <w:bookmarkStart w:name="_Toc10425819" w:id="101"/>
      <w:bookmarkStart w:name="_Toc10427523" w:id="102"/>
      <w:bookmarkStart w:name="_Toc10432634" w:id="103"/>
      <w:bookmarkStart w:name="_Toc10425820" w:id="104"/>
      <w:bookmarkStart w:name="_Toc10427524" w:id="105"/>
      <w:bookmarkStart w:name="_Toc10432635" w:id="106"/>
      <w:bookmarkStart w:name="_Toc10425821" w:id="107"/>
      <w:bookmarkStart w:name="_Toc10427525" w:id="108"/>
      <w:bookmarkStart w:name="_Toc10432636" w:id="109"/>
      <w:bookmarkStart w:name="_Toc10425822" w:id="110"/>
      <w:bookmarkStart w:name="_Toc10427526" w:id="111"/>
      <w:bookmarkStart w:name="_Toc10432637" w:id="112"/>
      <w:bookmarkStart w:name="_Toc10425823" w:id="113"/>
      <w:bookmarkStart w:name="_Toc10427527" w:id="114"/>
      <w:bookmarkStart w:name="_Toc10432638" w:id="115"/>
      <w:bookmarkStart w:name="_Ref40626486" w:id="116"/>
      <w:bookmarkStart w:name="_Ref40682074" w:id="117"/>
      <w:bookmarkStart w:name="_Toc45023428" w:id="11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t xml:space="preserve">Overarching/General </w:t>
      </w:r>
      <w:bookmarkEnd w:id="116"/>
      <w:r>
        <w:t>Changes Needed</w:t>
      </w:r>
      <w:bookmarkEnd w:id="117"/>
      <w:bookmarkEnd w:id="118"/>
    </w:p>
    <w:p w:rsidRPr="00596496" w:rsidR="00B04AB6" w:rsidP="00B04AB6" w:rsidRDefault="00B04AB6" w14:paraId="5C69FCC7" w14:textId="77777777">
      <w:pPr>
        <w:pStyle w:val="GaramondNormal"/>
      </w:pPr>
      <w:r w:rsidRPr="03C0D53B">
        <w:rPr>
          <w:u w:val="single"/>
        </w:rPr>
        <w:t>Effective Program Year: 2022.</w:t>
      </w:r>
      <w:r>
        <w:t xml:space="preserve"> </w:t>
      </w:r>
      <w:proofErr w:type="gramStart"/>
      <w:r>
        <w:t>In reviewing the 2018 EM&amp;V reports and discussion with EM&amp;V teams, there</w:t>
      </w:r>
      <w:proofErr w:type="gramEnd"/>
      <w:r>
        <w:t xml:space="preserve"> were several overarching issues that need to be addressed in the deemed savings system. Although 2022 is the target year for making these changes, we encourage the PAs and California Technical Forum to adopt these updates by 2021. </w:t>
      </w:r>
    </w:p>
    <w:p w:rsidR="00B04AB6" w:rsidP="00B04AB6" w:rsidRDefault="00B04AB6" w14:paraId="69133369" w14:textId="77777777">
      <w:pPr>
        <w:pStyle w:val="GaramondNormal"/>
      </w:pPr>
      <w:bookmarkStart w:name="_Hlk40695613" w:id="119"/>
      <w:r w:rsidRPr="03C0D53B">
        <w:rPr>
          <w:b/>
          <w:bCs/>
        </w:rPr>
        <w:t>Add program tracking data and evaluation requirements to the deemed workpaper template.</w:t>
      </w:r>
      <w:r>
        <w:t xml:space="preserve"> Several evaluation reports expressed issues with obtaining the data needed to effectively evaluate upstream and midstream programs, yet the PAs appear to be turning more often to this delivery method. This section would specify the recommended list of primary inputs and contextual data needed for proper application and evaluation of the savings (e.g., building type, climate zone, hard-to-reach, etc.). This approach will ensure the right level of data is collected and available not just for evaluation, but for correct attribution of the assumptions typically made for upstream/midstream programs. It would also cover the detailed information collected by a downstream or direct install program. </w:t>
      </w:r>
      <w:bookmarkStart w:name="_Hlk40686513" w:id="120"/>
      <w:bookmarkEnd w:id="120"/>
    </w:p>
    <w:p w:rsidR="00B04AB6" w:rsidP="00B04AB6" w:rsidRDefault="00B04AB6" w14:paraId="20A82A2C" w14:textId="77777777">
      <w:pPr>
        <w:pStyle w:val="GaramondNormal"/>
      </w:pPr>
      <w:r>
        <w:t xml:space="preserve">This issue is even more important for fuel substitution measures where savings are highly dependent on the baseline/in-situ equipment and/or other conditions. This new specification section can also be used to standardize the data collected, which may be less an issue for Statewide programs but become extremely important in a </w:t>
      </w:r>
      <w:proofErr w:type="gramStart"/>
      <w:r>
        <w:t>third-party</w:t>
      </w:r>
      <w:proofErr w:type="gramEnd"/>
      <w:r>
        <w:t>-predominant environment. As such, CPUC staff direct the PAs to add a “Program Tracking Data and Evaluation Requirements” section to the deemed workpaper template, and we will work with the Cal TF, PAs, and evaluation staff to develop the specification.</w:t>
      </w:r>
    </w:p>
    <w:bookmarkEnd w:id="119"/>
    <w:p w:rsidRPr="008C0351" w:rsidR="00B04AB6" w:rsidP="00B04AB6" w:rsidRDefault="00B04AB6" w14:paraId="6E66AA74" w14:textId="77777777">
      <w:pPr>
        <w:pStyle w:val="GaramondNormal"/>
        <w:rPr>
          <w:szCs w:val="24"/>
        </w:rPr>
      </w:pPr>
      <w:r w:rsidRPr="008C0351">
        <w:rPr>
          <w:b/>
          <w:bCs/>
          <w:szCs w:val="24"/>
        </w:rPr>
        <w:t xml:space="preserve">PAs should use a full or representative set of available DEER values whenever possible. </w:t>
      </w:r>
      <w:r w:rsidRPr="008C0351">
        <w:rPr>
          <w:szCs w:val="24"/>
        </w:rPr>
        <w:t>Proper application of the full or at least a weighted representative set of DEER values can help reduce a significant divergence of EM&amp;V GRRs from 100</w:t>
      </w:r>
      <w:r>
        <w:rPr>
          <w:szCs w:val="24"/>
        </w:rPr>
        <w:t xml:space="preserve"> percent</w:t>
      </w:r>
      <w:r w:rsidRPr="008C0351">
        <w:rPr>
          <w:szCs w:val="24"/>
        </w:rPr>
        <w:t>. For example, if DEER has measure values for multifamily and manufactured homes but PAs only use the single-family value for claims, and yet offer the program to customers</w:t>
      </w:r>
      <w:r>
        <w:rPr>
          <w:szCs w:val="24"/>
        </w:rPr>
        <w:t xml:space="preserve"> in multifamily and manufactured homes</w:t>
      </w:r>
      <w:r w:rsidRPr="008C0351">
        <w:rPr>
          <w:szCs w:val="24"/>
        </w:rPr>
        <w:t>, then the GRR is going to be divergent from 100</w:t>
      </w:r>
      <w:r>
        <w:rPr>
          <w:szCs w:val="24"/>
        </w:rPr>
        <w:t xml:space="preserve"> percent</w:t>
      </w:r>
      <w:r w:rsidRPr="008C0351">
        <w:rPr>
          <w:szCs w:val="24"/>
        </w:rPr>
        <w:t xml:space="preserve"> (high or low depends on the relationship of the </w:t>
      </w:r>
      <w:r>
        <w:rPr>
          <w:szCs w:val="24"/>
        </w:rPr>
        <w:lastRenderedPageBreak/>
        <w:t>single family</w:t>
      </w:r>
      <w:r w:rsidRPr="008C0351">
        <w:rPr>
          <w:szCs w:val="24"/>
        </w:rPr>
        <w:t xml:space="preserve"> to </w:t>
      </w:r>
      <w:r>
        <w:rPr>
          <w:szCs w:val="24"/>
        </w:rPr>
        <w:t>multifamily</w:t>
      </w:r>
      <w:r w:rsidRPr="008C0351">
        <w:rPr>
          <w:szCs w:val="24"/>
        </w:rPr>
        <w:t xml:space="preserve"> and </w:t>
      </w:r>
      <w:r>
        <w:rPr>
          <w:szCs w:val="24"/>
        </w:rPr>
        <w:t>manufactured homes</w:t>
      </w:r>
      <w:r w:rsidRPr="008C0351">
        <w:rPr>
          <w:szCs w:val="24"/>
        </w:rPr>
        <w:t xml:space="preserve"> savings). If the savings for different building types (or other characteristics) are significantly different but a single building type is assumed by PAs, the evaluation will consider and use the full set of DEER detailed data and will always produce GRRs that diverge significantly from 100</w:t>
      </w:r>
      <w:r>
        <w:rPr>
          <w:szCs w:val="24"/>
        </w:rPr>
        <w:t xml:space="preserve"> percent</w:t>
      </w:r>
      <w:r w:rsidRPr="008C0351">
        <w:rPr>
          <w:szCs w:val="24"/>
        </w:rPr>
        <w:t>. We direct the PAs to wherever possible use DEER savings at the same level as the programs are offered, especially where DEER permutation savings vary significantly across primary characteristics. This will reduce significant deviations of the GRR from 100</w:t>
      </w:r>
      <w:r>
        <w:rPr>
          <w:szCs w:val="24"/>
        </w:rPr>
        <w:t xml:space="preserve"> percent </w:t>
      </w:r>
      <w:r w:rsidRPr="008C0351">
        <w:rPr>
          <w:szCs w:val="24"/>
        </w:rPr>
        <w:t>and will also allow program and EM&amp;V data to be more directly used to improve deemed measure UES savings approaches and assumptions.</w:t>
      </w:r>
    </w:p>
    <w:p w:rsidR="00B04AB6" w:rsidP="00B04AB6" w:rsidRDefault="00B04AB6" w14:paraId="73A6277D" w14:textId="77777777">
      <w:pPr>
        <w:pStyle w:val="AttachmentHeading2"/>
      </w:pPr>
      <w:bookmarkStart w:name="_Toc45023429" w:id="121"/>
      <w:r w:rsidRPr="006138DC">
        <w:t xml:space="preserve">Residential Sector </w:t>
      </w:r>
      <w:r>
        <w:t xml:space="preserve">2018 </w:t>
      </w:r>
      <w:r w:rsidRPr="006138DC">
        <w:t>EM&amp;V Updates</w:t>
      </w:r>
      <w:bookmarkEnd w:id="121"/>
    </w:p>
    <w:p w:rsidR="00B04AB6" w:rsidP="00B04AB6" w:rsidRDefault="00B04AB6" w14:paraId="4845D049" w14:textId="77777777">
      <w:pPr>
        <w:pStyle w:val="GaramondNormal"/>
      </w:pPr>
      <w:r w:rsidRPr="0077694F">
        <w:rPr>
          <w:u w:val="single"/>
        </w:rPr>
        <w:t xml:space="preserve">Effective Program Year: </w:t>
      </w:r>
      <w:r>
        <w:rPr>
          <w:u w:val="single"/>
        </w:rPr>
        <w:t>2022</w:t>
      </w:r>
      <w:r w:rsidRPr="0077694F">
        <w:rPr>
          <w:u w:val="single"/>
        </w:rPr>
        <w:t>.</w:t>
      </w:r>
      <w:r>
        <w:t xml:space="preserve"> </w:t>
      </w:r>
      <w:r w:rsidRPr="0057767F">
        <w:t xml:space="preserve">There were </w:t>
      </w:r>
      <w:r>
        <w:t>four</w:t>
      </w:r>
      <w:r w:rsidRPr="0057767F">
        <w:t xml:space="preserve"> </w:t>
      </w:r>
      <w:r>
        <w:t>r</w:t>
      </w:r>
      <w:r w:rsidRPr="0057767F">
        <w:t xml:space="preserve">esidential </w:t>
      </w:r>
      <w:r>
        <w:t>s</w:t>
      </w:r>
      <w:r w:rsidRPr="0057767F">
        <w:t xml:space="preserve">ector </w:t>
      </w:r>
      <w:r>
        <w:t>r</w:t>
      </w:r>
      <w:r w:rsidRPr="0057767F">
        <w:t>eports for PY2018</w:t>
      </w:r>
      <w:r>
        <w:t xml:space="preserve">, however only three of those are discussed here. </w:t>
      </w:r>
      <w:r w:rsidRPr="0057767F">
        <w:t xml:space="preserve">The </w:t>
      </w:r>
      <w:r>
        <w:t xml:space="preserve">PY2018 </w:t>
      </w:r>
      <w:r w:rsidRPr="0057767F">
        <w:t>Home Energy Report</w:t>
      </w:r>
      <w:r>
        <w:rPr>
          <w:rStyle w:val="FootnoteReference"/>
        </w:rPr>
        <w:footnoteReference w:id="40"/>
      </w:r>
      <w:r w:rsidRPr="0057767F">
        <w:t xml:space="preserve"> evaluation </w:t>
      </w:r>
      <w:r>
        <w:t xml:space="preserve">results </w:t>
      </w:r>
      <w:r w:rsidRPr="0057767F">
        <w:t xml:space="preserve">may impact workpapers for PY2021 and 2022, but </w:t>
      </w:r>
      <w:r>
        <w:t>it is not a conventional deemed measure, and as a procedural workpaper does not require UES or NTG updates because both are provided by billing analysis</w:t>
      </w:r>
      <w:r w:rsidRPr="0057767F">
        <w:t>.</w:t>
      </w:r>
    </w:p>
    <w:p w:rsidR="00B04AB6" w:rsidP="00B04AB6" w:rsidRDefault="00B04AB6" w14:paraId="39544D52" w14:textId="77777777">
      <w:pPr>
        <w:pStyle w:val="AttachmentHeading3"/>
      </w:pPr>
      <w:bookmarkStart w:name="_Toc45023430" w:id="122"/>
      <w:r>
        <w:t>Hot Water Low-Flow Add-on Devices</w:t>
      </w:r>
      <w:bookmarkEnd w:id="122"/>
    </w:p>
    <w:p w:rsidR="00B04AB6" w:rsidP="00B04AB6" w:rsidRDefault="00B04AB6" w14:paraId="72272398" w14:textId="77777777">
      <w:pPr>
        <w:pStyle w:val="GaramondNormal"/>
      </w:pPr>
      <w:r>
        <w:t xml:space="preserve">Commission Staff reviewed the </w:t>
      </w:r>
      <w:r w:rsidRPr="00765090">
        <w:t xml:space="preserve">2018 </w:t>
      </w:r>
      <w:r>
        <w:t>i</w:t>
      </w:r>
      <w:r w:rsidRPr="00765090">
        <w:t xml:space="preserve">mpact </w:t>
      </w:r>
      <w:r>
        <w:t>e</w:t>
      </w:r>
      <w:r w:rsidRPr="00765090">
        <w:t xml:space="preserve">valuation of </w:t>
      </w:r>
      <w:r>
        <w:t>h</w:t>
      </w:r>
      <w:r w:rsidRPr="00765090">
        <w:t xml:space="preserve">ot </w:t>
      </w:r>
      <w:r>
        <w:t>w</w:t>
      </w:r>
      <w:r w:rsidRPr="00765090">
        <w:t xml:space="preserve">ater </w:t>
      </w:r>
      <w:r>
        <w:t>f</w:t>
      </w:r>
      <w:r w:rsidRPr="00765090">
        <w:t>ixtures</w:t>
      </w:r>
      <w:r>
        <w:t>.</w:t>
      </w:r>
      <w:r>
        <w:rPr>
          <w:rStyle w:val="FootnoteReference"/>
        </w:rPr>
        <w:footnoteReference w:id="41"/>
      </w:r>
      <w:r>
        <w:t xml:space="preserve"> The report contains enormous detail and analyzed the individual devices, building type-delivery channel combinations, and provided assessments of water use that could potentially be used to update DEER measure UES and NTG values. However, the results are presented at a PA-specific level, cannot be easily translated to expected Statewide measure changes, and cannot be mapped to specific DEER measures, so no updates will be made at this time to either UES, NTG, or Installation Rate values. If this measure is evaluated again, Commission staff recommend that the evaluation focus on providing more actionable results and include a direct comparison of estimated to evaluated values in the body of the report.</w:t>
      </w:r>
    </w:p>
    <w:p w:rsidR="00B04AB6" w:rsidP="00B04AB6" w:rsidRDefault="00B04AB6" w14:paraId="628D7222" w14:textId="77777777">
      <w:pPr>
        <w:pStyle w:val="AttachmentHeading3"/>
      </w:pPr>
      <w:bookmarkStart w:name="_Toc45023431" w:id="123"/>
      <w:r>
        <w:t>Variable Frequency Drive (VFD) Pool Pump</w:t>
      </w:r>
      <w:bookmarkEnd w:id="123"/>
    </w:p>
    <w:p w:rsidR="00B04AB6" w:rsidP="00B04AB6" w:rsidRDefault="00B04AB6" w14:paraId="67605C30" w14:textId="77777777">
      <w:pPr>
        <w:pStyle w:val="GaramondNormal"/>
      </w:pPr>
      <w:r>
        <w:t xml:space="preserve">Commission Staff reviewed the </w:t>
      </w:r>
      <w:r w:rsidRPr="00EA786C">
        <w:t xml:space="preserve">PY2018 </w:t>
      </w:r>
      <w:r>
        <w:t>p</w:t>
      </w:r>
      <w:r w:rsidRPr="00EA786C">
        <w:t xml:space="preserve">ool </w:t>
      </w:r>
      <w:r>
        <w:t>p</w:t>
      </w:r>
      <w:r w:rsidRPr="00EA786C">
        <w:t xml:space="preserve">ump </w:t>
      </w:r>
      <w:r>
        <w:t>i</w:t>
      </w:r>
      <w:r w:rsidRPr="00EA786C">
        <w:t xml:space="preserve">mpact </w:t>
      </w:r>
      <w:r>
        <w:t>e</w:t>
      </w:r>
      <w:r w:rsidRPr="00EA786C">
        <w:t>valuation</w:t>
      </w:r>
      <w:r>
        <w:t>.</w:t>
      </w:r>
      <w:r>
        <w:rPr>
          <w:rStyle w:val="FootnoteReference"/>
        </w:rPr>
        <w:footnoteReference w:id="42"/>
      </w:r>
      <w:r>
        <w:t xml:space="preserve"> No UES or NTG values will be updated because these measures are no longer being offered due to a Standards change. PG&amp;E ended its program in 2018 and SCE ended its program in 2019.  Since January 1, 2020, California’s Title 20 Standards have required that p</w:t>
      </w:r>
      <w:r w:rsidRPr="00EA786C">
        <w:t xml:space="preserve">umps manufactured </w:t>
      </w:r>
      <w:r>
        <w:t xml:space="preserve">after this date </w:t>
      </w:r>
      <w:r w:rsidRPr="00EA786C">
        <w:t>operate at two or more speeds</w:t>
      </w:r>
      <w:r>
        <w:t>. In addition, f</w:t>
      </w:r>
      <w:r w:rsidRPr="00EA786C">
        <w:t>ederal standards</w:t>
      </w:r>
      <w:r>
        <w:t xml:space="preserve"> that should be e</w:t>
      </w:r>
      <w:r w:rsidRPr="00EA786C">
        <w:t xml:space="preserve">ffective </w:t>
      </w:r>
      <w:r>
        <w:t xml:space="preserve">July 19, </w:t>
      </w:r>
      <w:r w:rsidRPr="00EA786C">
        <w:t>2021</w:t>
      </w:r>
      <w:r>
        <w:t xml:space="preserve"> require that all </w:t>
      </w:r>
      <w:r w:rsidRPr="00EA786C">
        <w:t>pool pumps must meet a minimum efficiency value</w:t>
      </w:r>
      <w:r>
        <w:t>, but only variable frequency drive (VFD)</w:t>
      </w:r>
      <w:r w:rsidRPr="00EA786C">
        <w:t xml:space="preserve"> pumps</w:t>
      </w:r>
      <w:r>
        <w:t xml:space="preserve"> </w:t>
      </w:r>
      <w:r>
        <w:lastRenderedPageBreak/>
        <w:t>can meet this value. Therefore, no updates are needed for this measure. Any pool pump workpaper will expire when the federal standard takes effect.</w:t>
      </w:r>
    </w:p>
    <w:p w:rsidR="00B04AB6" w:rsidP="00B04AB6" w:rsidRDefault="00B04AB6" w14:paraId="76BD9578" w14:textId="77777777">
      <w:pPr>
        <w:pStyle w:val="AttachmentHeading3"/>
      </w:pPr>
      <w:bookmarkStart w:name="_Toc45023432" w:id="124"/>
      <w:r>
        <w:t>Smart Controllable Thermostats</w:t>
      </w:r>
      <w:bookmarkEnd w:id="124"/>
    </w:p>
    <w:p w:rsidR="00B04AB6" w:rsidP="00B04AB6" w:rsidRDefault="00B04AB6" w14:paraId="621C1C58" w14:textId="77777777">
      <w:pPr>
        <w:pStyle w:val="GaramondNormal"/>
      </w:pPr>
      <w:r>
        <w:t xml:space="preserve">Commission staff reviewed the PY2018 </w:t>
      </w:r>
      <w:r w:rsidRPr="00F353D4">
        <w:t>Impact Evaluation of Smart Thermostats</w:t>
      </w:r>
      <w:r>
        <w:t>.</w:t>
      </w:r>
      <w:r>
        <w:rPr>
          <w:rStyle w:val="FootnoteReference"/>
        </w:rPr>
        <w:footnoteReference w:id="43"/>
      </w:r>
      <w:r>
        <w:t xml:space="preserve"> </w:t>
      </w:r>
      <w:r w:rsidRPr="001C5501">
        <w:t>UES</w:t>
      </w:r>
      <w:r>
        <w:t>,</w:t>
      </w:r>
      <w:r w:rsidRPr="001C5501">
        <w:t xml:space="preserve"> NTG</w:t>
      </w:r>
      <w:r>
        <w:t>, and load shape</w:t>
      </w:r>
      <w:r w:rsidRPr="001C5501">
        <w:t xml:space="preserve"> are impacted by the evaluation report that examined data from thermostat installations through a single-family rebate program. The evaluated savings are applicable to thermostats delivered through that channel. </w:t>
      </w:r>
      <w:r w:rsidRPr="001C5501">
        <w:rPr>
          <w:u w:val="single"/>
        </w:rPr>
        <w:t xml:space="preserve">This non-DEER measure workpaper </w:t>
      </w:r>
      <w:r>
        <w:rPr>
          <w:u w:val="single"/>
        </w:rPr>
        <w:t xml:space="preserve">is due to be updated this year based on evaluation results. </w:t>
      </w:r>
      <w:r>
        <w:t>This process may include using evaluation results to update</w:t>
      </w:r>
      <w:r w:rsidDel="00DA6FC3">
        <w:t xml:space="preserve"> </w:t>
      </w:r>
      <w:r>
        <w:t xml:space="preserve">the load shape for smart thermostats as described in section </w:t>
      </w:r>
      <w:r>
        <w:fldChar w:fldCharType="begin"/>
      </w:r>
      <w:r>
        <w:instrText xml:space="preserve"> REF _Ref40808353 \r \h </w:instrText>
      </w:r>
      <w:r>
        <w:fldChar w:fldCharType="separate"/>
      </w:r>
      <w:r>
        <w:t>2.1</w:t>
      </w:r>
      <w:r>
        <w:fldChar w:fldCharType="end"/>
      </w:r>
      <w:r>
        <w:t xml:space="preserve">.  Although, the EM&amp;V study gave </w:t>
      </w:r>
      <w:proofErr w:type="gramStart"/>
      <w:r>
        <w:t>a</w:t>
      </w:r>
      <w:proofErr w:type="gramEnd"/>
      <w:r>
        <w:t xml:space="preserve"> NTG of 0.48 for the Deemed downstream rebate programs, the uncertainty in this value did not warrant a change in the existing NTG of 0.55.</w:t>
      </w:r>
    </w:p>
    <w:p w:rsidR="00B04AB6" w:rsidP="00B04AB6" w:rsidRDefault="00B04AB6" w14:paraId="6B7850A1" w14:textId="77777777">
      <w:pPr>
        <w:pStyle w:val="AttachmentHeading2"/>
      </w:pPr>
      <w:bookmarkStart w:name="_Toc45023433" w:id="125"/>
      <w:r>
        <w:t xml:space="preserve">Upstream and Downstream </w:t>
      </w:r>
      <w:r w:rsidRPr="008327DF">
        <w:t xml:space="preserve">Lighting </w:t>
      </w:r>
      <w:r>
        <w:t xml:space="preserve">2018 </w:t>
      </w:r>
      <w:r w:rsidRPr="008327DF">
        <w:t>EM&amp;V Updates</w:t>
      </w:r>
      <w:bookmarkEnd w:id="125"/>
    </w:p>
    <w:p w:rsidR="00B04AB6" w:rsidP="00B04AB6" w:rsidRDefault="00B04AB6" w14:paraId="01BA2994" w14:textId="77777777">
      <w:pPr>
        <w:pStyle w:val="GaramondNormal"/>
      </w:pPr>
      <w:r w:rsidRPr="0077694F">
        <w:rPr>
          <w:u w:val="single"/>
        </w:rPr>
        <w:t xml:space="preserve">Effective Program Year: </w:t>
      </w:r>
      <w:r>
        <w:rPr>
          <w:u w:val="single"/>
        </w:rPr>
        <w:t>2022</w:t>
      </w:r>
      <w:r w:rsidRPr="0077694F">
        <w:rPr>
          <w:u w:val="single"/>
        </w:rPr>
        <w:t>.</w:t>
      </w:r>
      <w:r>
        <w:t xml:space="preserve"> The PY2017 and PY2018 upstream lighting evaluations revealed significantly lower installation rates and the PY2018 evaluation NTGR confirmed that all-LED baseline and expiration of DEER lighting measures was justified. The information and data (including logger data) from the last several lighting evaluations will be considered for deemed load shape update efforts and for a 2023 update of DEER prototypes that will be informed by the upcoming California Residential Appliance Saturation Survey (RASS) and Commercial End-Use Survey (CEUS) studies. </w:t>
      </w:r>
    </w:p>
    <w:p w:rsidR="00B04AB6" w:rsidP="00B04AB6" w:rsidRDefault="00B04AB6" w14:paraId="5DD9B442" w14:textId="77777777">
      <w:pPr>
        <w:pStyle w:val="AttachmentHeading3"/>
      </w:pPr>
      <w:bookmarkStart w:name="_Toc45023434" w:id="126"/>
      <w:r>
        <w:t>Upstream/Residential Lighting</w:t>
      </w:r>
      <w:bookmarkEnd w:id="126"/>
    </w:p>
    <w:p w:rsidR="00B04AB6" w:rsidP="00B04AB6" w:rsidRDefault="00B04AB6" w14:paraId="03E5293D" w14:textId="77777777">
      <w:pPr>
        <w:pStyle w:val="GaramondNormal"/>
      </w:pPr>
      <w:r>
        <w:t>Commission staff reviewed the PY2018 upstream and residential downstream i</w:t>
      </w:r>
      <w:r w:rsidRPr="00F353D4">
        <w:t xml:space="preserve">mpact </w:t>
      </w:r>
      <w:r>
        <w:t>e</w:t>
      </w:r>
      <w:r w:rsidRPr="00F353D4">
        <w:t xml:space="preserve">valuation </w:t>
      </w:r>
      <w:r>
        <w:t>report.</w:t>
      </w:r>
      <w:r>
        <w:rPr>
          <w:rStyle w:val="FootnoteReference"/>
        </w:rPr>
        <w:footnoteReference w:id="44"/>
      </w:r>
      <w:r>
        <w:t xml:space="preserve"> All of the LED lamp measures covered by this evaluation have been discontinued as a PA offering due to the Title 20 changes for General Service Lamps that went into effect January 1, 2020. DEER and workpaper updates (DEER measures and workpapers were expired December 31, 2019) have already been made for the PY2020 cycle. No other updates or changes are needed. However, the 2017 and 2018 evaluations support the need for the addition of tracking data requirements as directed in Section </w:t>
      </w:r>
      <w:r>
        <w:fldChar w:fldCharType="begin"/>
      </w:r>
      <w:r>
        <w:instrText>REF _Ref40682074 \r</w:instrText>
      </w:r>
      <w:r>
        <w:fldChar w:fldCharType="separate"/>
      </w:r>
      <w:r>
        <w:t>4.1</w:t>
      </w:r>
      <w:r>
        <w:fldChar w:fldCharType="end"/>
      </w:r>
      <w:r>
        <w:t>.</w:t>
      </w:r>
    </w:p>
    <w:p w:rsidR="00B04AB6" w:rsidP="00B04AB6" w:rsidRDefault="00B04AB6" w14:paraId="096BCACD" w14:textId="77777777">
      <w:pPr>
        <w:pStyle w:val="AttachmentHeading3"/>
      </w:pPr>
      <w:bookmarkStart w:name="_Toc45023435" w:id="127"/>
      <w:r>
        <w:lastRenderedPageBreak/>
        <w:t>Nonresidential Downstream Lighting</w:t>
      </w:r>
      <w:bookmarkEnd w:id="127"/>
    </w:p>
    <w:p w:rsidR="00B04AB6" w:rsidP="00B04AB6" w:rsidRDefault="00B04AB6" w14:paraId="074FD273" w14:textId="77777777">
      <w:pPr>
        <w:pStyle w:val="GaramondNormal"/>
      </w:pPr>
      <w:r>
        <w:t>Commission staff reviewed the PY2018 nonresidential lighting i</w:t>
      </w:r>
      <w:r w:rsidRPr="00F353D4">
        <w:t xml:space="preserve">mpact </w:t>
      </w:r>
      <w:r>
        <w:t>e</w:t>
      </w:r>
      <w:r w:rsidRPr="00F353D4">
        <w:t xml:space="preserve">valuation </w:t>
      </w:r>
      <w:r>
        <w:t>report.</w:t>
      </w:r>
      <w:r>
        <w:rPr>
          <w:rStyle w:val="FootnoteReference"/>
        </w:rPr>
        <w:footnoteReference w:id="45"/>
      </w:r>
      <w:r>
        <w:t xml:space="preserve"> The measure groups evaluated were LED Fixtures, LED lamps, and T-LEDs. LED lamp results were not considered for updates because they have been discontinued as a measure due to the Title 20 changes for General Service Lamps that went into effect 1/1/2020. Other significant changes have been made to the three remaining deemed lighting measures that are now covered by Statewide workpapers, with the primary change due to incorporation of an LED baseline. In addition, the EM&amp;V results are only presented at the PA-specific level, so the results cannot be interpreted for application to a Statewide measure offering. As such, no updates will be made to either UES values or NTG values for nonresidential downstream lighting. However, detailed lighting characteristics data and logger information gathered for the evaluation will be considered for the next major update of DEER prototypes, lighting hours-of-use estimates, and potentially load shapes for the lighting measures still being offered. </w:t>
      </w:r>
    </w:p>
    <w:p w:rsidR="00B04AB6" w:rsidP="00B04AB6" w:rsidRDefault="00B04AB6" w14:paraId="1C492D31" w14:textId="77777777">
      <w:pPr>
        <w:pStyle w:val="AttachmentHeading2"/>
      </w:pPr>
      <w:bookmarkStart w:name="_Toc45023436" w:id="128"/>
      <w:r w:rsidRPr="008327DF">
        <w:t xml:space="preserve">HVAC </w:t>
      </w:r>
      <w:r>
        <w:t>Sector Program Year 2018</w:t>
      </w:r>
      <w:r w:rsidRPr="008327DF">
        <w:t xml:space="preserve"> EM&amp;V Updates</w:t>
      </w:r>
      <w:bookmarkEnd w:id="128"/>
    </w:p>
    <w:p w:rsidR="00B04AB6" w:rsidP="00B04AB6" w:rsidRDefault="00B04AB6" w14:paraId="3E57791B" w14:textId="77777777">
      <w:pPr>
        <w:pStyle w:val="GaramondNormal"/>
      </w:pPr>
      <w:r w:rsidRPr="0077694F">
        <w:rPr>
          <w:u w:val="single"/>
        </w:rPr>
        <w:t xml:space="preserve">Effective Program Year: </w:t>
      </w:r>
      <w:r>
        <w:rPr>
          <w:u w:val="single"/>
        </w:rPr>
        <w:t>2022</w:t>
      </w:r>
      <w:r w:rsidRPr="0077694F">
        <w:rPr>
          <w:u w:val="single"/>
        </w:rPr>
        <w:t>.</w:t>
      </w:r>
      <w:r>
        <w:t xml:space="preserve"> Commission staff reviewed the 2018 HVAC EM&amp;V report.</w:t>
      </w:r>
      <w:r>
        <w:rPr>
          <w:rStyle w:val="FootnoteReference"/>
        </w:rPr>
        <w:footnoteReference w:id="46"/>
      </w:r>
      <w:r>
        <w:t xml:space="preserve"> Results and findings are strongly dependent on the delivery method used (upstream, midstream, downstream, direct install). </w:t>
      </w:r>
      <w:r w:rsidRPr="00374A67">
        <w:t xml:space="preserve">All measures were reviewed for </w:t>
      </w:r>
      <w:r>
        <w:t xml:space="preserve">potential </w:t>
      </w:r>
      <w:r w:rsidRPr="00374A67">
        <w:t>UES and NTG updates.</w:t>
      </w:r>
      <w:r>
        <w:t xml:space="preserve"> Results from the last several HVAC evaluations—along with RASS and CEUS—will be considered when updating prototypes in the 2023 DEER update.</w:t>
      </w:r>
    </w:p>
    <w:p w:rsidR="00B04AB6" w:rsidP="00B04AB6" w:rsidRDefault="00B04AB6" w14:paraId="3CCDE583" w14:textId="77777777">
      <w:pPr>
        <w:pStyle w:val="AttachmentHeading3"/>
      </w:pPr>
      <w:bookmarkStart w:name="_Toc45023437" w:id="129"/>
      <w:r>
        <w:t>Rooftop and Split-System</w:t>
      </w:r>
      <w:bookmarkEnd w:id="129"/>
    </w:p>
    <w:p w:rsidRPr="008C0351" w:rsidR="00B04AB6" w:rsidP="00B04AB6" w:rsidRDefault="00B04AB6" w14:paraId="41EAB139" w14:textId="77777777">
      <w:pPr>
        <w:pStyle w:val="GaramondNormal"/>
      </w:pPr>
      <w:r w:rsidRPr="008C0351">
        <w:t xml:space="preserve">2018 EM&amp;V results indicate that significant changes are warranted for both the UES and net savings as indicated by the GRR and the NTG values for this predominantly midstream program. However, for reasons explained </w:t>
      </w:r>
      <w:r>
        <w:t xml:space="preserve">below </w:t>
      </w:r>
      <w:r w:rsidRPr="008C0351">
        <w:t xml:space="preserve">there are no definitive value changes that will be made </w:t>
      </w:r>
      <w:r>
        <w:t xml:space="preserve">to the UES </w:t>
      </w:r>
      <w:r w:rsidRPr="008C0351">
        <w:t>for this DEER update cycle</w:t>
      </w:r>
      <w:r>
        <w:t>.</w:t>
      </w:r>
      <w:r w:rsidRPr="008C0351">
        <w:t xml:space="preserve"> </w:t>
      </w:r>
      <w:r>
        <w:t>C</w:t>
      </w:r>
      <w:r w:rsidRPr="008C0351">
        <w:t>hanges should be anticipated for the next cycle and/or the next update of the DEER prototypes.</w:t>
      </w:r>
    </w:p>
    <w:p w:rsidRPr="008C0351" w:rsidR="00B04AB6" w:rsidP="00B04AB6" w:rsidRDefault="00B04AB6" w14:paraId="639DC15B" w14:textId="77777777">
      <w:pPr>
        <w:pStyle w:val="GaramondNormal"/>
      </w:pPr>
      <w:r w:rsidRPr="008C0351">
        <w:t>The evaluated average GRRs for electric and gas UES values were 55</w:t>
      </w:r>
      <w:r>
        <w:t xml:space="preserve"> percent</w:t>
      </w:r>
      <w:r w:rsidRPr="008C0351">
        <w:t xml:space="preserve"> to 61</w:t>
      </w:r>
      <w:r>
        <w:t xml:space="preserve"> percent</w:t>
      </w:r>
      <w:r w:rsidRPr="008C0351">
        <w:t xml:space="preserve">. </w:t>
      </w:r>
      <w:r>
        <w:t>Evaluated</w:t>
      </w:r>
      <w:r w:rsidRPr="008C0351">
        <w:t xml:space="preserve"> gross savings were estimated primarily by updating the EER and fan power index (kW/CFM) in the DEER prototype models, running all the permutations, and applying DEER weights. Review of the DEER prototype </w:t>
      </w:r>
      <w:proofErr w:type="spellStart"/>
      <w:r w:rsidRPr="008C0351">
        <w:t>eQUEST</w:t>
      </w:r>
      <w:proofErr w:type="spellEnd"/>
      <w:r w:rsidRPr="008C0351">
        <w:t xml:space="preserve"> models revealed that the UES values were significantly higher than expected for a high-efficiency rooftop or split system measure. Savings from the models was approximately 60</w:t>
      </w:r>
      <w:r>
        <w:t xml:space="preserve"> percent</w:t>
      </w:r>
      <w:r w:rsidRPr="008C0351">
        <w:t xml:space="preserve"> of the total cooling load versus the expected 10</w:t>
      </w:r>
      <w:r>
        <w:t xml:space="preserve"> percent to </w:t>
      </w:r>
      <w:r w:rsidRPr="008C0351">
        <w:t>15</w:t>
      </w:r>
      <w:r>
        <w:t xml:space="preserve"> percent</w:t>
      </w:r>
      <w:r w:rsidRPr="008C0351">
        <w:t xml:space="preserve"> savings for an efficiency improvement. One example presented in the report showed total cooling use was 576 kWh/ton, </w:t>
      </w:r>
      <w:r>
        <w:t>estimated</w:t>
      </w:r>
      <w:r w:rsidRPr="008C0351">
        <w:t xml:space="preserve"> savings was 350 kWh/ton and ex post savings </w:t>
      </w:r>
      <w:r>
        <w:t>were</w:t>
      </w:r>
      <w:r w:rsidRPr="008C0351">
        <w:t xml:space="preserve"> only 61 kWh/ton (11</w:t>
      </w:r>
      <w:r>
        <w:t xml:space="preserve"> percent</w:t>
      </w:r>
      <w:r w:rsidRPr="008C0351">
        <w:t xml:space="preserve">). Unfortunately, there were other confounding issues </w:t>
      </w:r>
      <w:r w:rsidRPr="008C0351">
        <w:lastRenderedPageBreak/>
        <w:t xml:space="preserve">including tracking data and claims issues so it not possible to apply these findings to specific DEER or workpaper measures. However, Commission </w:t>
      </w:r>
      <w:r>
        <w:t>s</w:t>
      </w:r>
      <w:r w:rsidRPr="008C0351">
        <w:t>taff will explore this issue further with the evaluation team and the PAs to determine if a DEER and/or workpaper prototype model update is warranted.</w:t>
      </w:r>
    </w:p>
    <w:p w:rsidRPr="008C0351" w:rsidR="00B04AB6" w:rsidP="00B04AB6" w:rsidRDefault="00B04AB6" w14:paraId="360F9E3F" w14:textId="77777777">
      <w:pPr>
        <w:pStyle w:val="GaramondNormal"/>
      </w:pPr>
      <w:r w:rsidRPr="008C0351">
        <w:t>The evaluation also found that tracking data for this midstream (distributor-offered) program were inconsistent and incomplete. A recommendation to require distributors and contractors to submit basic information about the end users such as facility/business name, address, account number, and contact info (phone, email, and back-up contact). The report also recommended requiring additional proof of installation such as invoices, photos, and commissioning reports (10</w:t>
      </w:r>
      <w:r>
        <w:t xml:space="preserve"> percent</w:t>
      </w:r>
      <w:r w:rsidRPr="008C0351">
        <w:t xml:space="preserve"> of sampled projects had </w:t>
      </w:r>
      <w:r w:rsidRPr="008C0351">
        <w:rPr>
          <w:i/>
          <w:iCs/>
        </w:rPr>
        <w:t>zero savings</w:t>
      </w:r>
      <w:r w:rsidRPr="008C0351">
        <w:t xml:space="preserve"> and 36</w:t>
      </w:r>
      <w:r>
        <w:t xml:space="preserve"> percent</w:t>
      </w:r>
      <w:r w:rsidRPr="008C0351">
        <w:t xml:space="preserve"> had field-verified equipment discrepancies). These requirements, especially those that can be obtained remotely and digitally may become easier and the primary evaluation method </w:t>
      </w:r>
      <w:proofErr w:type="gramStart"/>
      <w:r w:rsidRPr="008C0351">
        <w:t>as a result of</w:t>
      </w:r>
      <w:proofErr w:type="gramEnd"/>
      <w:r w:rsidRPr="008C0351">
        <w:t xml:space="preserve"> COVID-19. To address this issue, we direct the PAs and Cal TF to implement an overarching change to add a section to the workpaper template to specify the tracking and evaluation data required for a deemed measure, as described in Section </w:t>
      </w:r>
      <w:r w:rsidRPr="008C0351">
        <w:fldChar w:fldCharType="begin"/>
      </w:r>
      <w:r w:rsidRPr="008C0351">
        <w:instrText xml:space="preserve"> REF _Ref40626486 \r </w:instrText>
      </w:r>
      <w:r>
        <w:instrText xml:space="preserve"> \* MERGEFORMAT </w:instrText>
      </w:r>
      <w:r w:rsidRPr="008C0351">
        <w:fldChar w:fldCharType="separate"/>
      </w:r>
      <w:r>
        <w:t>4.1</w:t>
      </w:r>
      <w:r w:rsidRPr="008C0351">
        <w:fldChar w:fldCharType="end"/>
      </w:r>
      <w:r w:rsidRPr="008C0351">
        <w:t>.</w:t>
      </w:r>
    </w:p>
    <w:p w:rsidRPr="008C0351" w:rsidR="00B04AB6" w:rsidP="00B04AB6" w:rsidRDefault="00B04AB6" w14:paraId="103696BB" w14:textId="77777777">
      <w:pPr>
        <w:pStyle w:val="GaramondNormal"/>
      </w:pPr>
      <w:r w:rsidRPr="008C0351">
        <w:t xml:space="preserve">The average evaluated NTG values for both fuels </w:t>
      </w:r>
      <w:r>
        <w:t>were</w:t>
      </w:r>
      <w:r w:rsidRPr="008C0351">
        <w:t xml:space="preserve"> 48</w:t>
      </w:r>
      <w:r>
        <w:t xml:space="preserve"> percent</w:t>
      </w:r>
      <w:r w:rsidRPr="008C0351">
        <w:t xml:space="preserve"> to 60</w:t>
      </w:r>
      <w:r>
        <w:t xml:space="preserve"> percent,</w:t>
      </w:r>
      <w:r w:rsidRPr="008C0351">
        <w:t xml:space="preserve"> which is significantly lower than the current </w:t>
      </w:r>
      <w:r>
        <w:t>estimated</w:t>
      </w:r>
      <w:r w:rsidRPr="008C0351">
        <w:t xml:space="preserve"> value</w:t>
      </w:r>
      <w:r>
        <w:t>s</w:t>
      </w:r>
      <w:r w:rsidRPr="008C0351">
        <w:t xml:space="preserve"> of 7</w:t>
      </w:r>
      <w:r>
        <w:t xml:space="preserve">6 percent to </w:t>
      </w:r>
      <w:r w:rsidRPr="008C0351">
        <w:t>77</w:t>
      </w:r>
      <w:r>
        <w:t>percent</w:t>
      </w:r>
      <w:r w:rsidRPr="008C0351">
        <w:t xml:space="preserve">. </w:t>
      </w:r>
      <w:r>
        <w:t>T</w:t>
      </w:r>
      <w:r w:rsidRPr="008C0351">
        <w:t>he 2018 EM&amp;V results were much higher than 2017 EM&amp;V results (12</w:t>
      </w:r>
      <w:r>
        <w:t xml:space="preserve"> percent</w:t>
      </w:r>
      <w:r w:rsidRPr="008C0351">
        <w:t xml:space="preserve"> to 29</w:t>
      </w:r>
      <w:r>
        <w:t xml:space="preserve"> percent</w:t>
      </w:r>
      <w:r w:rsidRPr="008C0351">
        <w:t>)</w:t>
      </w:r>
      <w:r>
        <w:t>,</w:t>
      </w:r>
      <w:r w:rsidRPr="008C0351">
        <w:t xml:space="preserve"> </w:t>
      </w:r>
      <w:r>
        <w:t>but because</w:t>
      </w:r>
      <w:r w:rsidRPr="008C0351">
        <w:t xml:space="preserve"> both years NTG values were lower than the existing NTG value</w:t>
      </w:r>
      <w:r>
        <w:t xml:space="preserve">, </w:t>
      </w:r>
      <w:r w:rsidRPr="008C0351">
        <w:t xml:space="preserve">a lower NTG value </w:t>
      </w:r>
      <w:r>
        <w:t xml:space="preserve">is </w:t>
      </w:r>
      <w:r w:rsidRPr="008C0351">
        <w:t>warranted</w:t>
      </w:r>
      <w:r>
        <w:t xml:space="preserve"> by this trend. </w:t>
      </w:r>
      <w:bookmarkStart w:name="_Hlk40792125" w:id="130"/>
      <w:r w:rsidRPr="008C0351">
        <w:t xml:space="preserve">Therefore, we direct the use of the </w:t>
      </w:r>
      <w:r>
        <w:t xml:space="preserve">2018 EM&amp;V average electric </w:t>
      </w:r>
      <w:r w:rsidRPr="008C0351">
        <w:t>NTG value of 0.</w:t>
      </w:r>
      <w:r>
        <w:t xml:space="preserve">50 and natural gas </w:t>
      </w:r>
      <w:r w:rsidRPr="008C0351">
        <w:t>NTG value of 0.</w:t>
      </w:r>
      <w:r>
        <w:t>60</w:t>
      </w:r>
      <w:r w:rsidRPr="008C0351">
        <w:t>.</w:t>
      </w:r>
      <w:bookmarkEnd w:id="130"/>
    </w:p>
    <w:p w:rsidR="00B04AB6" w:rsidP="00B04AB6" w:rsidRDefault="00B04AB6" w14:paraId="19412E1F" w14:textId="77777777">
      <w:pPr>
        <w:pStyle w:val="AttachmentHeading3"/>
      </w:pPr>
      <w:bookmarkStart w:name="_Toc45023438" w:id="131"/>
      <w:r>
        <w:t>Fan Motor Replacement</w:t>
      </w:r>
      <w:bookmarkEnd w:id="131"/>
    </w:p>
    <w:p w:rsidRPr="008C0351" w:rsidR="00B04AB6" w:rsidP="00B04AB6" w:rsidRDefault="00B04AB6" w14:paraId="749318DA" w14:textId="77777777">
      <w:pPr>
        <w:pStyle w:val="GaramondNormal"/>
      </w:pPr>
      <w:r>
        <w:t xml:space="preserve">The </w:t>
      </w:r>
      <w:r w:rsidRPr="008C0351">
        <w:t>2</w:t>
      </w:r>
      <w:bookmarkStart w:name="_Hlk40792248" w:id="132"/>
      <w:r w:rsidRPr="008C0351">
        <w:t>018 EM&amp;V results indicated that a significant change is warranted for both the UES and net savings as indicated by the GRR and the NTG values. The evaluated average GRR for electric savings was 124</w:t>
      </w:r>
      <w:r>
        <w:t xml:space="preserve"> percent</w:t>
      </w:r>
      <w:r w:rsidRPr="008C0351">
        <w:t xml:space="preserve"> and for natural gas </w:t>
      </w:r>
      <w:proofErr w:type="spellStart"/>
      <w:r w:rsidRPr="008C0351">
        <w:t>therm</w:t>
      </w:r>
      <w:proofErr w:type="spellEnd"/>
      <w:r w:rsidRPr="008C0351">
        <w:t xml:space="preserve"> savings 148</w:t>
      </w:r>
      <w:r>
        <w:t xml:space="preserve"> percent</w:t>
      </w:r>
      <w:r w:rsidRPr="008C0351">
        <w:t>. The average electric demand savings GRR was less than one at 46</w:t>
      </w:r>
      <w:r>
        <w:t xml:space="preserve"> percent</w:t>
      </w:r>
      <w:r w:rsidRPr="008C0351">
        <w:t>, but values varied significantly from northern to southern California: 40</w:t>
      </w:r>
      <w:r>
        <w:t xml:space="preserve"> percent</w:t>
      </w:r>
      <w:r w:rsidRPr="008C0351">
        <w:t xml:space="preserve"> for PG&amp;E, 67</w:t>
      </w:r>
      <w:r>
        <w:t xml:space="preserve"> percent</w:t>
      </w:r>
      <w:r w:rsidRPr="008C0351">
        <w:t xml:space="preserve"> for SCE, </w:t>
      </w:r>
      <w:r>
        <w:t xml:space="preserve">and </w:t>
      </w:r>
      <w:r w:rsidRPr="008C0351">
        <w:t>75</w:t>
      </w:r>
      <w:r>
        <w:t xml:space="preserve"> percent</w:t>
      </w:r>
      <w:r w:rsidRPr="008C0351">
        <w:t xml:space="preserve"> for SDG&amp;E. Although a change to some of the DEER prototype modeling parameters are strongly indicated (specifically Fan Watt Draw (kW/CFM) and Supply Delta-T) there are other factors such as PAs using single-family UES values for all residential building types, that prevent us from specifying a clear UES update.</w:t>
      </w:r>
      <w:bookmarkEnd w:id="132"/>
      <w:r w:rsidRPr="008C0351">
        <w:t xml:space="preserve"> However, the PAs should explore this issue further with the evaluation team and determine if a prototype update is warranted for a future update.</w:t>
      </w:r>
    </w:p>
    <w:p w:rsidRPr="008C0351" w:rsidR="00B04AB6" w:rsidP="00B04AB6" w:rsidRDefault="00B04AB6" w14:paraId="4A2D48DF" w14:textId="77777777">
      <w:pPr>
        <w:pStyle w:val="GaramondNormal"/>
      </w:pPr>
      <w:r w:rsidRPr="008C0351">
        <w:t>The average evaluated NTG value of 85</w:t>
      </w:r>
      <w:r>
        <w:t xml:space="preserve"> percent</w:t>
      </w:r>
      <w:r w:rsidRPr="008C0351">
        <w:t xml:space="preserve"> is significantly higher than the current </w:t>
      </w:r>
      <w:r>
        <w:t>estimated</w:t>
      </w:r>
      <w:r w:rsidRPr="008C0351">
        <w:t xml:space="preserve"> value</w:t>
      </w:r>
      <w:r>
        <w:t>s</w:t>
      </w:r>
      <w:r w:rsidRPr="008C0351">
        <w:t xml:space="preserve"> </w:t>
      </w:r>
      <w:r>
        <w:t xml:space="preserve">which differ by utility </w:t>
      </w:r>
      <w:r w:rsidRPr="008C0351">
        <w:t>(55</w:t>
      </w:r>
      <w:r>
        <w:t xml:space="preserve"> percent, </w:t>
      </w:r>
      <w:r w:rsidRPr="008C0351">
        <w:t>67</w:t>
      </w:r>
      <w:r>
        <w:t xml:space="preserve"> percent, </w:t>
      </w:r>
      <w:r w:rsidRPr="008C0351">
        <w:t>74</w:t>
      </w:r>
      <w:r>
        <w:t xml:space="preserve"> percent</w:t>
      </w:r>
      <w:r w:rsidRPr="008C0351">
        <w:t>). The increased higher attribution is a result of the program delivery approach. The program offers free upgrades via a direct install approach which relies on direct customer recruitment and offers a free service which the customer would not have otherwise found out about or likely even otherwise considered doing on their own. Therefore, we direct the use of the DEER NTG value of 0.85 for direct install fan motor replacement programs.</w:t>
      </w:r>
      <w:r>
        <w:t xml:space="preserve"> </w:t>
      </w:r>
    </w:p>
    <w:p w:rsidR="00B04AB6" w:rsidP="00B04AB6" w:rsidRDefault="00B04AB6" w14:paraId="46517F95" w14:textId="77777777">
      <w:pPr>
        <w:pStyle w:val="AttachmentHeading3"/>
      </w:pPr>
      <w:bookmarkStart w:name="_Toc45023439" w:id="133"/>
      <w:r>
        <w:lastRenderedPageBreak/>
        <w:t>Duct Testing and Sealing</w:t>
      </w:r>
      <w:bookmarkEnd w:id="133"/>
    </w:p>
    <w:p w:rsidR="00B04AB6" w:rsidP="00B04AB6" w:rsidRDefault="00B04AB6" w14:paraId="3F985889" w14:textId="77777777">
      <w:pPr>
        <w:pStyle w:val="GaramondNormal"/>
      </w:pPr>
      <w:r>
        <w:t>For this measure group, a billing analysis was performed so there are no DEER or workpaper parameters to update, but the evaluation does provide an independent assessment/comparison of existing deemed values.</w:t>
      </w:r>
      <w:r w:rsidRPr="00B92AE6">
        <w:t xml:space="preserve"> </w:t>
      </w:r>
      <w:r>
        <w:t>The electric GRR was 109 percent and generally indicates the existing UES values are acceptable. The overall natural gas GRR was 146 percent indicating a change is warranted, however the utility level results vary widely: P</w:t>
      </w:r>
      <w:r w:rsidRPr="00B92AE6">
        <w:t xml:space="preserve">ositive and statistically significant gas savings </w:t>
      </w:r>
      <w:r>
        <w:t xml:space="preserve">were found </w:t>
      </w:r>
      <w:r w:rsidRPr="00B92AE6">
        <w:t xml:space="preserve">for SCG </w:t>
      </w:r>
      <w:r>
        <w:t xml:space="preserve">with </w:t>
      </w:r>
      <w:r w:rsidRPr="00B92AE6">
        <w:t xml:space="preserve">a </w:t>
      </w:r>
      <w:r>
        <w:t xml:space="preserve">310 percent GRR, while the </w:t>
      </w:r>
      <w:r w:rsidRPr="00B92AE6">
        <w:t>gas estimates for PG&amp;E and SDG&amp;E are negative but not statistically significant</w:t>
      </w:r>
      <w:r>
        <w:t>, so t</w:t>
      </w:r>
      <w:r w:rsidRPr="00B92AE6">
        <w:t>he</w:t>
      </w:r>
      <w:r>
        <w:t>ir</w:t>
      </w:r>
      <w:r w:rsidRPr="00B92AE6">
        <w:t xml:space="preserve"> </w:t>
      </w:r>
      <w:r>
        <w:t xml:space="preserve">GRRs </w:t>
      </w:r>
      <w:r w:rsidRPr="00B92AE6">
        <w:t>w</w:t>
      </w:r>
      <w:r>
        <w:t>ere</w:t>
      </w:r>
      <w:r w:rsidRPr="00B92AE6">
        <w:t xml:space="preserve"> zero.</w:t>
      </w:r>
      <w:r>
        <w:t xml:space="preserve"> Therefore, no changes are recommended for either electric or gas UES estimates.</w:t>
      </w:r>
    </w:p>
    <w:p w:rsidR="00B04AB6" w:rsidP="00B04AB6" w:rsidRDefault="00B04AB6" w14:paraId="52895EB4" w14:textId="77777777">
      <w:pPr>
        <w:pStyle w:val="GaramondNormal"/>
      </w:pPr>
      <w:r w:rsidRPr="005F63A5">
        <w:t xml:space="preserve">The average evaluated NTG value of </w:t>
      </w:r>
      <w:r>
        <w:t>9</w:t>
      </w:r>
      <w:r w:rsidRPr="005F63A5">
        <w:t>5</w:t>
      </w:r>
      <w:r>
        <w:t xml:space="preserve"> percent</w:t>
      </w:r>
      <w:r w:rsidRPr="005F63A5">
        <w:t xml:space="preserve"> is significantly higher than the current </w:t>
      </w:r>
      <w:r>
        <w:t>estimated</w:t>
      </w:r>
      <w:r w:rsidRPr="005F63A5">
        <w:t xml:space="preserve"> </w:t>
      </w:r>
      <w:r>
        <w:t xml:space="preserve">average </w:t>
      </w:r>
      <w:r w:rsidRPr="005F63A5">
        <w:t xml:space="preserve">value for all utilities </w:t>
      </w:r>
      <w:r>
        <w:t>of 79 percent (range 78 percent to 85 percent)</w:t>
      </w:r>
      <w:r w:rsidRPr="005F63A5">
        <w:t>. The increased higher attribution is a result of the program delivery approach.</w:t>
      </w:r>
      <w:r>
        <w:t xml:space="preserve"> </w:t>
      </w:r>
      <w:r w:rsidRPr="005F63A5">
        <w:t xml:space="preserve">The program offers free upgrades </w:t>
      </w:r>
      <w:r>
        <w:t xml:space="preserve">for a package of measures </w:t>
      </w:r>
      <w:r w:rsidRPr="005F63A5">
        <w:t xml:space="preserve">via a direct install approach which relies on direct customer recruitment and offers a service which the customer would not have otherwise found out about or considered doing on their own. Therefore, we direct the use of </w:t>
      </w:r>
      <w:r>
        <w:t>an</w:t>
      </w:r>
      <w:r w:rsidRPr="005F63A5">
        <w:t xml:space="preserve"> NTG value of 0.</w:t>
      </w:r>
      <w:r>
        <w:t>9</w:t>
      </w:r>
      <w:r w:rsidRPr="005F63A5">
        <w:t xml:space="preserve">5 </w:t>
      </w:r>
      <w:r>
        <w:t xml:space="preserve">for duct testing and sealing offered under this direct install </w:t>
      </w:r>
      <w:r w:rsidRPr="005F63A5">
        <w:t>program</w:t>
      </w:r>
      <w:r>
        <w:t>, with applicable Workpaper IDs provided in the evaluation Appendix C</w:t>
      </w:r>
      <w:r w:rsidRPr="005F63A5">
        <w:t>.</w:t>
      </w:r>
    </w:p>
    <w:p w:rsidR="00B04AB6" w:rsidP="00B04AB6" w:rsidRDefault="00B04AB6" w14:paraId="7B02FE8C" w14:textId="77777777">
      <w:pPr>
        <w:pStyle w:val="AttachmentHeading3"/>
      </w:pPr>
      <w:bookmarkStart w:name="_Toc45023440" w:id="134"/>
      <w:r>
        <w:t>Water-Cooled Chillers</w:t>
      </w:r>
      <w:bookmarkEnd w:id="134"/>
    </w:p>
    <w:p w:rsidR="00B04AB6" w:rsidP="00B04AB6" w:rsidRDefault="00B04AB6" w14:paraId="3CEC34EC" w14:textId="77777777">
      <w:pPr>
        <w:pStyle w:val="GaramondNormal"/>
      </w:pPr>
      <w:r>
        <w:t xml:space="preserve">Only </w:t>
      </w:r>
      <w:r w:rsidRPr="00D1720B">
        <w:t xml:space="preserve">SCE reported savings </w:t>
      </w:r>
      <w:r>
        <w:t xml:space="preserve">for water-cooled chillers in 2018 and they were delivered as a midstream program. </w:t>
      </w:r>
      <w:r w:rsidRPr="001F34E8">
        <w:t>2018 EM&amp;V results indicated that no change was needed for DEER UES values but a change to the NTG value is warranted. The evaluated GRR for electric savings was 221</w:t>
      </w:r>
      <w:r>
        <w:t xml:space="preserve"> percent</w:t>
      </w:r>
      <w:r w:rsidRPr="001F34E8">
        <w:t xml:space="preserve"> and</w:t>
      </w:r>
      <w:r>
        <w:t xml:space="preserve"> </w:t>
      </w:r>
      <w:r w:rsidRPr="001F34E8">
        <w:t>demand was 179</w:t>
      </w:r>
      <w:r>
        <w:t xml:space="preserve"> percent</w:t>
      </w:r>
      <w:r w:rsidRPr="001F34E8">
        <w:t>.</w:t>
      </w:r>
      <w:r w:rsidRPr="005902FD">
        <w:t xml:space="preserve"> </w:t>
      </w:r>
      <w:r>
        <w:t xml:space="preserve">However, the primary issue was low savings claims due to PAs using average savings for a “commercial” building instead of savings available for explicit building types. The operating hours are significantly different for a hospital versus a primary school or office, and operating </w:t>
      </w:r>
      <w:proofErr w:type="spellStart"/>
      <w:r>
        <w:t>hours</w:t>
      </w:r>
      <w:proofErr w:type="spellEnd"/>
      <w:r>
        <w:t xml:space="preserve"> drive the savings. Although tracking building type for an upstream or midstream program may be considered a burden on the distributor, the estimated savings will always be incorrectly estimated by a sector average, and in this case, they were grossly underestimated. In most cases the building type can be easily determined from the end user’s business name. In addition, although the sample was only 10 points, the evaluation found one reported chiller that was never installed. Although there are no UES updates for this measure, these findings justify additional tracking and evaluation data requirements. To address this issue, we direct the PAs and Cal TF to implement an overarching change to add a section to the workpaper template to specify the tracking and evaluation data required for a deemed measure, as described in Section </w:t>
      </w:r>
      <w:r>
        <w:fldChar w:fldCharType="begin"/>
      </w:r>
      <w:r>
        <w:instrText>REF _Ref40626486 \r</w:instrText>
      </w:r>
      <w:r>
        <w:fldChar w:fldCharType="separate"/>
      </w:r>
      <w:r>
        <w:t>4.1</w:t>
      </w:r>
      <w:r>
        <w:fldChar w:fldCharType="end"/>
      </w:r>
      <w:r>
        <w:t>.</w:t>
      </w:r>
    </w:p>
    <w:p w:rsidRPr="00BC16B7" w:rsidR="00B04AB6" w:rsidP="00B04AB6" w:rsidRDefault="00B04AB6" w14:paraId="4CB72982" w14:textId="77777777">
      <w:pPr>
        <w:pStyle w:val="GaramondNormal"/>
        <w:rPr>
          <w:szCs w:val="24"/>
        </w:rPr>
      </w:pPr>
      <w:r w:rsidRPr="00BC16B7">
        <w:rPr>
          <w:szCs w:val="24"/>
        </w:rPr>
        <w:t xml:space="preserve">The average evaluated NTG value of </w:t>
      </w:r>
      <w:r>
        <w:rPr>
          <w:szCs w:val="24"/>
        </w:rPr>
        <w:t>0.</w:t>
      </w:r>
      <w:r w:rsidRPr="00BC16B7">
        <w:rPr>
          <w:szCs w:val="24"/>
        </w:rPr>
        <w:t>81/</w:t>
      </w:r>
      <w:r>
        <w:rPr>
          <w:szCs w:val="24"/>
        </w:rPr>
        <w:t>0.</w:t>
      </w:r>
      <w:r w:rsidRPr="00BC16B7">
        <w:rPr>
          <w:szCs w:val="24"/>
        </w:rPr>
        <w:t xml:space="preserve">82 for energy/demand is significantly higher than the current </w:t>
      </w:r>
      <w:r>
        <w:rPr>
          <w:szCs w:val="24"/>
        </w:rPr>
        <w:t>estimated</w:t>
      </w:r>
      <w:r w:rsidRPr="00BC16B7">
        <w:rPr>
          <w:szCs w:val="24"/>
        </w:rPr>
        <w:t xml:space="preserve"> value of </w:t>
      </w:r>
      <w:r>
        <w:rPr>
          <w:szCs w:val="24"/>
        </w:rPr>
        <w:t>0.</w:t>
      </w:r>
      <w:r w:rsidRPr="00BC16B7">
        <w:rPr>
          <w:szCs w:val="24"/>
        </w:rPr>
        <w:t xml:space="preserve">60. Distributors reported that the program improved the sale of high efficiency chillers as the incentives helped them to offset some of the incremental cost for the end users. However, the distributors did this without providing any explicit knowledge of the program or incentive to the end user. An EM&amp;V end user survey confirmed that they had no awareness of the program or high efficiency equipment decisions. The evaluation also showed that the installed chillers were even higher efficiency than reported in the PA tracking data. Although the 2018 sample size and uptake for this measure was small, the distributor survey results indicate a strong influence </w:t>
      </w:r>
      <w:r w:rsidRPr="00BC16B7">
        <w:rPr>
          <w:szCs w:val="24"/>
        </w:rPr>
        <w:lastRenderedPageBreak/>
        <w:t xml:space="preserve">on higher-efficiency chillers sales. We therefore direct the use of an updated NTG value for water-cooled chillers offered via a midstream program from </w:t>
      </w:r>
      <w:r>
        <w:rPr>
          <w:szCs w:val="24"/>
        </w:rPr>
        <w:t xml:space="preserve">the current value of </w:t>
      </w:r>
      <w:r w:rsidRPr="00BC16B7">
        <w:rPr>
          <w:szCs w:val="24"/>
        </w:rPr>
        <w:t>0.60 to 0.80, rounding off to the nearest 0.05.</w:t>
      </w:r>
    </w:p>
    <w:p w:rsidR="00B04AB6" w:rsidP="00B04AB6" w:rsidRDefault="00B04AB6" w14:paraId="29C05005" w14:textId="77777777">
      <w:pPr>
        <w:pStyle w:val="AttachmentHeading3"/>
      </w:pPr>
      <w:bookmarkStart w:name="_Toc45023441" w:id="135"/>
      <w:r>
        <w:t>Natural Gas Boilers</w:t>
      </w:r>
      <w:bookmarkEnd w:id="135"/>
    </w:p>
    <w:p w:rsidR="00B04AB6" w:rsidP="00B04AB6" w:rsidRDefault="00B04AB6" w14:paraId="51CAA9F4" w14:textId="77777777">
      <w:pPr>
        <w:pStyle w:val="GaramondNormal"/>
      </w:pPr>
      <w:r>
        <w:t>SoCalGas is the only PA that reported savings for boilers. The UES values had been previously evaluated in 2017 and the GRR was close to 100 percent (102 percent) so savings were not evaluated in 2018. However, the NTG was evaluated for 2018 and an update is warranted.</w:t>
      </w:r>
      <w:r w:rsidRPr="00BF3617">
        <w:rPr>
          <w:szCs w:val="24"/>
        </w:rPr>
        <w:t xml:space="preserve"> </w:t>
      </w:r>
      <w:r w:rsidRPr="00BC16B7">
        <w:rPr>
          <w:szCs w:val="24"/>
        </w:rPr>
        <w:t xml:space="preserve">The evaluated NTG value of </w:t>
      </w:r>
      <w:r>
        <w:rPr>
          <w:szCs w:val="24"/>
        </w:rPr>
        <w:t>19 percent</w:t>
      </w:r>
      <w:r w:rsidRPr="00BC16B7">
        <w:rPr>
          <w:szCs w:val="24"/>
        </w:rPr>
        <w:t xml:space="preserve"> for </w:t>
      </w:r>
      <w:proofErr w:type="spellStart"/>
      <w:r>
        <w:rPr>
          <w:szCs w:val="24"/>
        </w:rPr>
        <w:t>therms</w:t>
      </w:r>
      <w:proofErr w:type="spellEnd"/>
      <w:r>
        <w:rPr>
          <w:szCs w:val="24"/>
        </w:rPr>
        <w:t xml:space="preserve"> </w:t>
      </w:r>
      <w:r w:rsidRPr="00BC16B7">
        <w:rPr>
          <w:szCs w:val="24"/>
        </w:rPr>
        <w:t xml:space="preserve">is significantly </w:t>
      </w:r>
      <w:r>
        <w:rPr>
          <w:szCs w:val="24"/>
        </w:rPr>
        <w:t xml:space="preserve">lower </w:t>
      </w:r>
      <w:r w:rsidRPr="00BC16B7">
        <w:rPr>
          <w:szCs w:val="24"/>
        </w:rPr>
        <w:t xml:space="preserve">than the current </w:t>
      </w:r>
      <w:r>
        <w:rPr>
          <w:szCs w:val="24"/>
        </w:rPr>
        <w:t>estimated</w:t>
      </w:r>
      <w:r w:rsidRPr="00BC16B7">
        <w:rPr>
          <w:szCs w:val="24"/>
        </w:rPr>
        <w:t xml:space="preserve"> value of 6</w:t>
      </w:r>
      <w:r>
        <w:rPr>
          <w:szCs w:val="24"/>
        </w:rPr>
        <w:t>5 percent</w:t>
      </w:r>
      <w:r w:rsidRPr="00BC16B7">
        <w:rPr>
          <w:szCs w:val="24"/>
        </w:rPr>
        <w:t>.</w:t>
      </w:r>
      <w:r>
        <w:rPr>
          <w:szCs w:val="24"/>
        </w:rPr>
        <w:t xml:space="preserve">  </w:t>
      </w:r>
      <w:r>
        <w:t>The measure is offered as a downstream measure and that might be one cause for high-free-ridership because 70 percent</w:t>
      </w:r>
      <w:r w:rsidRPr="00BF3617">
        <w:t xml:space="preserve"> of survey respondents said they learned about the program </w:t>
      </w:r>
      <w:r w:rsidRPr="002E697B">
        <w:rPr>
          <w:u w:val="single"/>
        </w:rPr>
        <w:t>after</w:t>
      </w:r>
      <w:r w:rsidRPr="00BF3617">
        <w:t xml:space="preserve"> making the decision to purchase a high efficiency boiler</w:t>
      </w:r>
      <w:r>
        <w:t xml:space="preserve">. This is also an indication that high-efficiency boilers are already standard practice for many customers, and that an industry standard-practice study is warranted. </w:t>
      </w:r>
      <w:r w:rsidRPr="00BC16B7">
        <w:rPr>
          <w:szCs w:val="24"/>
        </w:rPr>
        <w:t xml:space="preserve">We therefore direct the use of an updated NTG value for </w:t>
      </w:r>
      <w:r>
        <w:rPr>
          <w:szCs w:val="24"/>
        </w:rPr>
        <w:t xml:space="preserve">gas boilers </w:t>
      </w:r>
      <w:r w:rsidRPr="00BC16B7">
        <w:rPr>
          <w:szCs w:val="24"/>
        </w:rPr>
        <w:t xml:space="preserve">offered </w:t>
      </w:r>
      <w:r>
        <w:rPr>
          <w:szCs w:val="24"/>
        </w:rPr>
        <w:t xml:space="preserve">via a downstream program </w:t>
      </w:r>
      <w:r w:rsidRPr="00BC16B7">
        <w:rPr>
          <w:szCs w:val="24"/>
        </w:rPr>
        <w:t>from 0.6</w:t>
      </w:r>
      <w:r>
        <w:rPr>
          <w:szCs w:val="24"/>
        </w:rPr>
        <w:t>5</w:t>
      </w:r>
      <w:r w:rsidRPr="00BC16B7">
        <w:rPr>
          <w:szCs w:val="24"/>
        </w:rPr>
        <w:t xml:space="preserve"> to 0.</w:t>
      </w:r>
      <w:r>
        <w:rPr>
          <w:szCs w:val="24"/>
        </w:rPr>
        <w:t>20</w:t>
      </w:r>
      <w:r w:rsidRPr="00BC16B7">
        <w:rPr>
          <w:szCs w:val="24"/>
        </w:rPr>
        <w:t>, rounding off to the nearest 0.05.</w:t>
      </w:r>
    </w:p>
    <w:p w:rsidR="00B04AB6" w:rsidP="00B04AB6" w:rsidRDefault="00B04AB6" w14:paraId="66E6E32F" w14:textId="77777777">
      <w:pPr>
        <w:pStyle w:val="AttachmentHeading2"/>
      </w:pPr>
      <w:bookmarkStart w:name="_Toc45023442" w:id="136"/>
      <w:r w:rsidRPr="008327DF">
        <w:t>Small</w:t>
      </w:r>
      <w:r>
        <w:t xml:space="preserve"> and </w:t>
      </w:r>
      <w:r w:rsidRPr="008327DF">
        <w:t xml:space="preserve">Medium Commercial </w:t>
      </w:r>
      <w:r>
        <w:t>2018</w:t>
      </w:r>
      <w:r w:rsidRPr="008327DF">
        <w:t xml:space="preserve"> EM&amp;V Updates</w:t>
      </w:r>
      <w:bookmarkEnd w:id="136"/>
    </w:p>
    <w:p w:rsidR="00B04AB6" w:rsidP="00B04AB6" w:rsidRDefault="00B04AB6" w14:paraId="42A67158" w14:textId="77777777">
      <w:pPr>
        <w:pStyle w:val="GaramondNormal"/>
      </w:pPr>
      <w:r w:rsidRPr="0077694F">
        <w:rPr>
          <w:u w:val="single"/>
        </w:rPr>
        <w:t xml:space="preserve">Effective Program Year: </w:t>
      </w:r>
      <w:r>
        <w:rPr>
          <w:u w:val="single"/>
        </w:rPr>
        <w:t>2022</w:t>
      </w:r>
      <w:r w:rsidRPr="0077694F">
        <w:rPr>
          <w:u w:val="single"/>
        </w:rPr>
        <w:t>.</w:t>
      </w:r>
      <w:r>
        <w:t xml:space="preserve"> Commission staff reviewed the ESPI EM&amp;V report for the 2018 small/medium commercial sector.</w:t>
      </w:r>
      <w:r>
        <w:rPr>
          <w:rStyle w:val="FootnoteReference"/>
        </w:rPr>
        <w:footnoteReference w:id="47"/>
      </w:r>
      <w:r>
        <w:t xml:space="preserve"> </w:t>
      </w:r>
      <w:bookmarkStart w:name="_Hlk40795748" w:id="137"/>
      <w:r>
        <w:t xml:space="preserve">The measures selected for evaluation represent the most significant percent of the savings encompassed by this market/sector evaluation group. Results and findings are strongly dependent on the delivery method used (upstream, midstream, downstream, direct install). </w:t>
      </w:r>
      <w:r w:rsidRPr="00374A67">
        <w:t xml:space="preserve">All measures were reviewed for </w:t>
      </w:r>
      <w:r>
        <w:t xml:space="preserve">potential </w:t>
      </w:r>
      <w:r w:rsidRPr="00374A67">
        <w:t>UES and NTG updates.</w:t>
      </w:r>
      <w:bookmarkEnd w:id="137"/>
      <w:r w:rsidRPr="00374A67">
        <w:t xml:space="preserve"> </w:t>
      </w:r>
    </w:p>
    <w:p w:rsidR="00B04AB6" w:rsidP="00B04AB6" w:rsidRDefault="00B04AB6" w14:paraId="06570CB2" w14:textId="77777777">
      <w:pPr>
        <w:pStyle w:val="AttachmentHeading3"/>
      </w:pPr>
      <w:bookmarkStart w:name="_Toc45023443" w:id="138"/>
      <w:r>
        <w:t>Refrigeration-Case LED Lighting</w:t>
      </w:r>
      <w:bookmarkEnd w:id="138"/>
    </w:p>
    <w:p w:rsidR="00B04AB6" w:rsidP="00B04AB6" w:rsidRDefault="00B04AB6" w14:paraId="548EC654" w14:textId="77777777">
      <w:pPr>
        <w:pStyle w:val="GaramondNormal"/>
      </w:pPr>
      <w:r>
        <w:t xml:space="preserve">For refrigeration-case LED lighting, 2017 and 2018 evaluation results found similar causes for GRRs that were much less than 1. </w:t>
      </w:r>
      <w:r w:rsidRPr="008C0351">
        <w:rPr>
          <w:szCs w:val="24"/>
        </w:rPr>
        <w:t xml:space="preserve">The evaluated average GRR for electric savings was </w:t>
      </w:r>
      <w:r>
        <w:t>0.77. However, the largest impact was due to double counting of the measure at some stores, not a UES parameter issue. There was also a minor issue with one utility assuming T12s for the baseline and using a higher estimate of lamps per door (the unit basis for the measure) which also reduced savings.  In addition, both evaluations recommend shorter EUL/remaining useful life (RUL) values. The 2017 evaluation recommended 5.3 years and the 2018 evaluation recommended a four-year lifetime, compared to the current 16-year EUL and 5.3 RUL.</w:t>
      </w:r>
      <w:r w:rsidRPr="003A60A3">
        <w:t xml:space="preserve"> </w:t>
      </w:r>
      <w:r>
        <w:t xml:space="preserve">A revised EUL for this measure would reflect the finding that when the case is replaced, the LEDs rebated through the program will be removed from service. However, because this is an add-on equipment (AOE) measure no updates are needed for the EUL values, only in the actual application of the existing values by the PAs where the EUL of the AOE is limited by the RUL of the host equipment. Regarding the NTG values, both the 2017 and 2018 evaluations confirmed the estimated NTG values, so no updates are needed. Most </w:t>
      </w:r>
      <w:r>
        <w:lastRenderedPageBreak/>
        <w:t>recently, the 2018 evaluation found a statewide weighted NTG value of 0.63 versus the 0.60 estimated value.</w:t>
      </w:r>
    </w:p>
    <w:p w:rsidR="00B04AB6" w:rsidP="00B04AB6" w:rsidRDefault="00B04AB6" w14:paraId="045B712A" w14:textId="77777777">
      <w:pPr>
        <w:pStyle w:val="AttachmentHeading3"/>
      </w:pPr>
      <w:bookmarkStart w:name="_Toc45023444" w:id="139"/>
      <w:r>
        <w:t>Tankless Water Heaters</w:t>
      </w:r>
      <w:bookmarkEnd w:id="139"/>
    </w:p>
    <w:p w:rsidR="00B04AB6" w:rsidP="00B04AB6" w:rsidRDefault="00B04AB6" w14:paraId="43111A45" w14:textId="77777777">
      <w:pPr>
        <w:pStyle w:val="GaramondNormal"/>
      </w:pPr>
      <w:r>
        <w:t>No updates are recommended for tankless water heater UES parameters or NTG values. The evaluated NTGR of 0.55 was comparable to the estimated value of 0.58. Some minor issues were identified with system types (closed-loop systems versus open-loop systems assumed in the workpaper), system temperatures, and UES values assumed for workpapers versus those found in the field.</w:t>
      </w:r>
      <w:bookmarkStart w:name="_Hlk40796852" w:id="140"/>
      <w:r>
        <w:t xml:space="preserve"> The deemed review team will review these findings and integrate into the next version of the DEER water heating calculator if warranted.</w:t>
      </w:r>
      <w:bookmarkEnd w:id="140"/>
    </w:p>
    <w:p w:rsidR="00B04AB6" w:rsidP="00B04AB6" w:rsidRDefault="00B04AB6" w14:paraId="0229A3E2" w14:textId="77777777">
      <w:pPr>
        <w:pStyle w:val="AttachmentHeading3"/>
      </w:pPr>
      <w:bookmarkStart w:name="_Toc45023445" w:id="141"/>
      <w:r>
        <w:t>Process Pumping VFD</w:t>
      </w:r>
      <w:bookmarkEnd w:id="141"/>
    </w:p>
    <w:p w:rsidR="00B04AB6" w:rsidP="00B04AB6" w:rsidRDefault="00B04AB6" w14:paraId="1280CE46" w14:textId="77777777">
      <w:pPr>
        <w:pStyle w:val="GaramondNormal"/>
      </w:pPr>
      <w:r>
        <w:t xml:space="preserve">Process pumping VFDs were only evaluated in 2018 not 2017. The evaluation found that most differences were due to incorrect utility calculations, so no UES changes are needed. However, the ex post NTG value of 0.39 is significantly lower than the estimated value of 0.60. Therefore, </w:t>
      </w:r>
      <w:r>
        <w:rPr>
          <w:szCs w:val="24"/>
        </w:rPr>
        <w:t>w</w:t>
      </w:r>
      <w:r w:rsidRPr="00BC16B7">
        <w:rPr>
          <w:szCs w:val="24"/>
        </w:rPr>
        <w:t xml:space="preserve">e direct </w:t>
      </w:r>
      <w:r>
        <w:rPr>
          <w:szCs w:val="24"/>
        </w:rPr>
        <w:t xml:space="preserve">the </w:t>
      </w:r>
      <w:r w:rsidRPr="00BC16B7">
        <w:rPr>
          <w:szCs w:val="24"/>
        </w:rPr>
        <w:t xml:space="preserve">NTG value for </w:t>
      </w:r>
      <w:r>
        <w:rPr>
          <w:szCs w:val="24"/>
        </w:rPr>
        <w:t xml:space="preserve">process pumping VFD to be changed from </w:t>
      </w:r>
      <w:r w:rsidRPr="00BC16B7">
        <w:rPr>
          <w:szCs w:val="24"/>
        </w:rPr>
        <w:t>0.</w:t>
      </w:r>
      <w:r>
        <w:rPr>
          <w:szCs w:val="24"/>
        </w:rPr>
        <w:t>60</w:t>
      </w:r>
      <w:r w:rsidRPr="00BC16B7">
        <w:rPr>
          <w:szCs w:val="24"/>
        </w:rPr>
        <w:t xml:space="preserve"> to 0.</w:t>
      </w:r>
      <w:r>
        <w:rPr>
          <w:szCs w:val="24"/>
        </w:rPr>
        <w:t>40</w:t>
      </w:r>
      <w:r w:rsidRPr="00BC16B7">
        <w:rPr>
          <w:szCs w:val="24"/>
        </w:rPr>
        <w:t>, rounding to the nearest 0.05.</w:t>
      </w:r>
    </w:p>
    <w:p w:rsidR="00B04AB6" w:rsidP="00B04AB6" w:rsidRDefault="00B04AB6" w14:paraId="72761D9C" w14:textId="77777777">
      <w:pPr>
        <w:pStyle w:val="AttachmentHeading3"/>
      </w:pPr>
      <w:bookmarkStart w:name="_Toc45023446" w:id="142"/>
      <w:r>
        <w:t>Agricultural Irrigation</w:t>
      </w:r>
      <w:bookmarkEnd w:id="142"/>
    </w:p>
    <w:p w:rsidR="00B04AB6" w:rsidP="00B04AB6" w:rsidRDefault="00B04AB6" w14:paraId="385AD3C5" w14:textId="77777777">
      <w:pPr>
        <w:pStyle w:val="GaramondNormal"/>
      </w:pPr>
      <w:r>
        <w:t xml:space="preserve">Both 2017 and 2018 evaluations recommended one quantitative change and several qualitative estimation process changes. In both years, EM&amp;V teams found an average pumping discharge pressure different than the previous workpaper guideline of 20 pounds per square inch (psi) – in 2017 the average evaluated value was 34 psi and in 2018 it was 22.1 psi. The current Statewide workpaper does not specify a value for pumping discharge pressure. In 2017, the evaluation recommended that a guideline for operating hours be established, as the measured operating hours contributed to a reduced GRR. In 2018, the evaluation recommended that the savings calculation include the pre-project crop, pre-project irrigation method, and post-project crop. Finally, qualitative evidence showed that effective useful lifetimes (EULs) are shorter than the deemed value of 20 years but did not gather enough information to offer an alternative value. No updates to the UES values and approach can be recommended for this cycle even though updates are needed, so future EM&amp;V efforts and PAs should focus on collecting the data needed to improve UES estimates. </w:t>
      </w:r>
    </w:p>
    <w:p w:rsidRPr="003049BE" w:rsidR="00B04AB6" w:rsidP="00B04AB6" w:rsidRDefault="00B04AB6" w14:paraId="0F7B0E34" w14:textId="77777777">
      <w:pPr>
        <w:pStyle w:val="GaramondNormal"/>
      </w:pPr>
      <w:r>
        <w:t>NTG values also appear to need to need updating. The 2017 evaluation found estimated NTGs were about half of the estimated values (0.28 vs 0.60). The primary reason for the reduced value was that program factors were much less important than other factors in the customer’s purchase decision. For the 2018 evaluation, the sample size was too small to estimate a robust NTG</w:t>
      </w:r>
      <w:r w:rsidRPr="003049BE">
        <w:t>.</w:t>
      </w:r>
      <w:r>
        <w:t xml:space="preserve"> However, given the definitive results of the 2017 evaluation, </w:t>
      </w:r>
      <w:r>
        <w:rPr>
          <w:szCs w:val="24"/>
        </w:rPr>
        <w:t xml:space="preserve">Commission staff </w:t>
      </w:r>
      <w:r w:rsidRPr="00BC16B7">
        <w:rPr>
          <w:szCs w:val="24"/>
        </w:rPr>
        <w:t xml:space="preserve">direct </w:t>
      </w:r>
      <w:r>
        <w:rPr>
          <w:szCs w:val="24"/>
        </w:rPr>
        <w:t xml:space="preserve">the </w:t>
      </w:r>
      <w:r w:rsidRPr="00BC16B7">
        <w:rPr>
          <w:szCs w:val="24"/>
        </w:rPr>
        <w:t xml:space="preserve">NTG value for </w:t>
      </w:r>
      <w:r>
        <w:rPr>
          <w:szCs w:val="24"/>
        </w:rPr>
        <w:t xml:space="preserve">agricultural irrigation to be changed from </w:t>
      </w:r>
      <w:r w:rsidRPr="00BC16B7">
        <w:rPr>
          <w:szCs w:val="24"/>
        </w:rPr>
        <w:t>0.</w:t>
      </w:r>
      <w:r>
        <w:rPr>
          <w:szCs w:val="24"/>
        </w:rPr>
        <w:t>60</w:t>
      </w:r>
      <w:r w:rsidRPr="00BC16B7">
        <w:rPr>
          <w:szCs w:val="24"/>
        </w:rPr>
        <w:t xml:space="preserve"> to 0.</w:t>
      </w:r>
      <w:r>
        <w:rPr>
          <w:szCs w:val="24"/>
        </w:rPr>
        <w:t>30</w:t>
      </w:r>
      <w:r w:rsidRPr="00BC16B7">
        <w:rPr>
          <w:szCs w:val="24"/>
        </w:rPr>
        <w:t xml:space="preserve"> (</w:t>
      </w:r>
      <w:r>
        <w:rPr>
          <w:szCs w:val="24"/>
        </w:rPr>
        <w:t>30 percent</w:t>
      </w:r>
      <w:r w:rsidRPr="00BC16B7">
        <w:rPr>
          <w:szCs w:val="24"/>
        </w:rPr>
        <w:t>), rounding to the nearest 0.05.</w:t>
      </w:r>
    </w:p>
    <w:p w:rsidRPr="00895020" w:rsidR="00B04AB6" w:rsidP="00B04AB6" w:rsidRDefault="00B04AB6" w14:paraId="7EDC8800" w14:textId="77777777">
      <w:pPr>
        <w:pStyle w:val="AttachmentHeading1"/>
      </w:pPr>
      <w:bookmarkStart w:name="_Toc11318069" w:id="143"/>
      <w:bookmarkStart w:name="_Toc11336986" w:id="144"/>
      <w:bookmarkStart w:name="_Toc11321484" w:id="145"/>
      <w:bookmarkStart w:name="_Toc11326434" w:id="146"/>
      <w:bookmarkStart w:name="_Toc11647331" w:id="147"/>
      <w:bookmarkStart w:name="_Toc11318070" w:id="148"/>
      <w:bookmarkStart w:name="_Toc11336987" w:id="149"/>
      <w:bookmarkStart w:name="_Toc11321485" w:id="150"/>
      <w:bookmarkStart w:name="_Toc11326435" w:id="151"/>
      <w:bookmarkStart w:name="_Toc11647332" w:id="152"/>
      <w:bookmarkStart w:name="_Toc11318071" w:id="153"/>
      <w:bookmarkStart w:name="_Toc11336988" w:id="154"/>
      <w:bookmarkStart w:name="_Toc11321486" w:id="155"/>
      <w:bookmarkStart w:name="_Toc11326436" w:id="156"/>
      <w:bookmarkStart w:name="_Toc11647333" w:id="157"/>
      <w:bookmarkStart w:name="_Toc11318072" w:id="158"/>
      <w:bookmarkStart w:name="_Toc11336989" w:id="159"/>
      <w:bookmarkStart w:name="_Toc11321487" w:id="160"/>
      <w:bookmarkStart w:name="_Toc11326437" w:id="161"/>
      <w:bookmarkStart w:name="_Toc11647334" w:id="162"/>
      <w:bookmarkStart w:name="_Toc11318073" w:id="163"/>
      <w:bookmarkStart w:name="_Toc11336990" w:id="164"/>
      <w:bookmarkStart w:name="_Toc11321488" w:id="165"/>
      <w:bookmarkStart w:name="_Toc11326438" w:id="166"/>
      <w:bookmarkStart w:name="_Toc11647335" w:id="167"/>
      <w:bookmarkStart w:name="_Toc11318074" w:id="168"/>
      <w:bookmarkStart w:name="_Toc11336991" w:id="169"/>
      <w:bookmarkStart w:name="_Toc11321489" w:id="170"/>
      <w:bookmarkStart w:name="_Toc11326439" w:id="171"/>
      <w:bookmarkStart w:name="_Toc11647336" w:id="172"/>
      <w:bookmarkStart w:name="_Toc45023447" w:id="173"/>
      <w:bookmarkEnd w:id="72"/>
      <w:bookmarkEnd w:id="73"/>
      <w:bookmarkEnd w:id="74"/>
      <w:bookmarkEnd w:id="81"/>
      <w:bookmarkEnd w:id="8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t>New Code Revisions or Code Revisions Not Covered in Previous DEER Updates</w:t>
      </w:r>
      <w:bookmarkEnd w:id="173"/>
    </w:p>
    <w:p w:rsidR="00B04AB6" w:rsidP="00B04AB6" w:rsidRDefault="00B04AB6" w14:paraId="6D5A6128" w14:textId="77777777">
      <w:pPr>
        <w:pStyle w:val="GaramondNormal"/>
      </w:pPr>
      <w:r>
        <w:t>F</w:t>
      </w:r>
      <w:r w:rsidRPr="004F6A96">
        <w:t>or this update cycle</w:t>
      </w:r>
      <w:r>
        <w:t>,</w:t>
      </w:r>
      <w:r w:rsidRPr="004F6A96">
        <w:t xml:space="preserve"> there are no</w:t>
      </w:r>
      <w:r>
        <w:t xml:space="preserve"> changes to consider for</w:t>
      </w:r>
      <w:r w:rsidRPr="004F6A96">
        <w:t xml:space="preserve"> </w:t>
      </w:r>
      <w:r>
        <w:t>codes or standards</w:t>
      </w:r>
      <w:r w:rsidRPr="008B73E2">
        <w:t>.</w:t>
      </w:r>
      <w:r>
        <w:t xml:space="preserve"> </w:t>
      </w:r>
      <w:r w:rsidRPr="004F6A96">
        <w:t xml:space="preserve">The 2019 Title 24 code cycle </w:t>
      </w:r>
      <w:r>
        <w:t>s</w:t>
      </w:r>
      <w:r w:rsidRPr="004F6A96">
        <w:t xml:space="preserve">tandards were </w:t>
      </w:r>
      <w:r>
        <w:t>previously implemented</w:t>
      </w:r>
      <w:r w:rsidRPr="004F6A96">
        <w:t xml:space="preserve"> </w:t>
      </w:r>
      <w:r>
        <w:t>under</w:t>
      </w:r>
      <w:r w:rsidRPr="004F6A96">
        <w:t xml:space="preserve"> Resolution E</w:t>
      </w:r>
      <w:r>
        <w:noBreakHyphen/>
      </w:r>
      <w:r w:rsidRPr="004F6A96">
        <w:t xml:space="preserve">4952. </w:t>
      </w:r>
      <w:bookmarkStart w:name="_Hlk40793966" w:id="174"/>
      <w:r w:rsidRPr="004F6A96">
        <w:t xml:space="preserve">Scheduled updates of </w:t>
      </w:r>
      <w:r>
        <w:lastRenderedPageBreak/>
        <w:t>f</w:t>
      </w:r>
      <w:r w:rsidRPr="004F6A96">
        <w:t xml:space="preserve">ederal </w:t>
      </w:r>
      <w:r>
        <w:t>appliance and e</w:t>
      </w:r>
      <w:r w:rsidRPr="004F6A96">
        <w:t xml:space="preserve">quipment </w:t>
      </w:r>
      <w:r>
        <w:t>s</w:t>
      </w:r>
      <w:r w:rsidRPr="004F6A96">
        <w:t>tandards have all missed their intended deadlines</w:t>
      </w:r>
      <w:bookmarkEnd w:id="174"/>
      <w:r w:rsidRPr="004F6A96">
        <w:t>, as shown on the Appliance Standards Awareness Project (ASAP) products summary web page.</w:t>
      </w:r>
      <w:r>
        <w:rPr>
          <w:rStyle w:val="FootnoteReference"/>
        </w:rPr>
        <w:footnoteReference w:id="48"/>
      </w:r>
      <w:r>
        <w:t xml:space="preserve"> </w:t>
      </w:r>
      <w:r w:rsidRPr="004F6A96">
        <w:t xml:space="preserve">Products that were supposed to </w:t>
      </w:r>
      <w:r>
        <w:t>receive</w:t>
      </w:r>
      <w:r w:rsidRPr="004F6A96">
        <w:t xml:space="preserve"> efficiency updates effective in 2022 include clothes dryers, refrigerators/freezers, fluorescent lamp ballasts, and metal</w:t>
      </w:r>
      <w:r>
        <w:t>-</w:t>
      </w:r>
      <w:r w:rsidRPr="004F6A96">
        <w:t xml:space="preserve">halide lamp fixtures. These delays are added to the 2021 delay which included pool heaters, commercial water heaters, computer-room air conditioners (CRAC) and small electric motors. There are many updates scheduled for 2023 </w:t>
      </w:r>
      <w:r>
        <w:t xml:space="preserve">that will also miss their deadlines </w:t>
      </w:r>
      <w:r w:rsidRPr="004F6A96">
        <w:t xml:space="preserve">including residential water heaters, commercial central air conditioner/heat pump water or evaporative-cooled units, commercial refrigeration equipment, walk-in coolers/freezers, and </w:t>
      </w:r>
      <w:r>
        <w:t>high-intensity discharge (</w:t>
      </w:r>
      <w:r w:rsidRPr="004F6A96">
        <w:t>HID</w:t>
      </w:r>
      <w:r>
        <w:t>)</w:t>
      </w:r>
      <w:r w:rsidRPr="004F6A96">
        <w:t xml:space="preserve"> lamps.</w:t>
      </w:r>
      <w:r>
        <w:t xml:space="preserve"> Pool pumps are not a DEER measure, but they do have an update mentioned here as a courtesy: As of July 19, 2021, there is a federal requirement for variable speed pool pumps, hence the energy efficiency measure will be required by law.  </w:t>
      </w:r>
    </w:p>
    <w:p w:rsidRPr="00895020" w:rsidR="00B04AB6" w:rsidP="00B04AB6" w:rsidRDefault="00B04AB6" w14:paraId="3F4E30CB" w14:textId="77777777">
      <w:pPr>
        <w:pStyle w:val="AttachmentHeading1"/>
      </w:pPr>
      <w:bookmarkStart w:name="_Toc45023448" w:id="175"/>
      <w:r>
        <w:t>Review of Market and Research Studies</w:t>
      </w:r>
      <w:bookmarkEnd w:id="175"/>
    </w:p>
    <w:p w:rsidR="00B04AB6" w:rsidP="00B04AB6" w:rsidRDefault="00B04AB6" w14:paraId="35B2BFED" w14:textId="77777777">
      <w:pPr>
        <w:pStyle w:val="GaramondNormal"/>
      </w:pPr>
      <w:r w:rsidRPr="004F6A96">
        <w:t>Market and research studies, including</w:t>
      </w:r>
      <w:r>
        <w:t xml:space="preserve"> industry standard-practice studies and </w:t>
      </w:r>
      <w:r w:rsidRPr="004F6A96">
        <w:t>baseline studies</w:t>
      </w:r>
      <w:r>
        <w:rPr>
          <w:rStyle w:val="FootnoteReference"/>
        </w:rPr>
        <w:footnoteReference w:id="49"/>
      </w:r>
      <w:r>
        <w:t xml:space="preserve"> </w:t>
      </w:r>
      <w:r w:rsidRPr="004F6A96">
        <w:t xml:space="preserve">are a rich source of update information but are only periodically conducted. These types of studies can be used for calibration of whole site and end use energy use, establishing industry standard and/or best practices, developing operating hours, and developing model prototype characteristics. A critical issue in the past with these studies is the time lag between study completion and integration of the results into DEER. Towards that goal, we are tracking current sector-scale </w:t>
      </w:r>
      <w:r>
        <w:t>baseline studies</w:t>
      </w:r>
      <w:r w:rsidRPr="004F6A96">
        <w:t>, considerations for future DEER update cycles, even if the results cannot be used for the current cycle.</w:t>
      </w:r>
      <w:r>
        <w:t xml:space="preserve"> There are no updates to DEER this year resulting from these types of studies.</w:t>
      </w:r>
    </w:p>
    <w:p w:rsidRPr="00895020" w:rsidR="00B04AB6" w:rsidP="00B04AB6" w:rsidRDefault="00B04AB6" w14:paraId="2579BB52" w14:textId="77777777">
      <w:pPr>
        <w:pStyle w:val="AttachmentHeading1"/>
      </w:pPr>
      <w:bookmarkStart w:name="_Toc45023449" w:id="176"/>
      <w:r>
        <w:t>New Measure Additions</w:t>
      </w:r>
      <w:bookmarkEnd w:id="176"/>
    </w:p>
    <w:p w:rsidR="00B04AB6" w:rsidP="00B04AB6" w:rsidRDefault="00B04AB6" w14:paraId="4A13F28F" w14:textId="77777777">
      <w:pPr>
        <w:pStyle w:val="GaramondNormal"/>
      </w:pPr>
      <w:r w:rsidRPr="00681C0D">
        <w:t xml:space="preserve">CPUC </w:t>
      </w:r>
      <w:r>
        <w:t>s</w:t>
      </w:r>
      <w:r w:rsidRPr="00681C0D">
        <w:t>taff will be implementing several new DEER database measures for 2022. As a result of the statewide workpaper consolidation effort and the increased participation of third</w:t>
      </w:r>
      <w:r>
        <w:t>-</w:t>
      </w:r>
      <w:r w:rsidRPr="00681C0D">
        <w:t>party</w:t>
      </w:r>
      <w:r>
        <w:t xml:space="preserve"> </w:t>
      </w:r>
      <w:r w:rsidRPr="00681C0D">
        <w:t xml:space="preserve">implementers, we anticipate that new measures may be proposed via workpapers and in response to this </w:t>
      </w:r>
      <w:r>
        <w:t>Resolution</w:t>
      </w:r>
      <w:r w:rsidRPr="00681C0D">
        <w:t>.</w:t>
      </w:r>
      <w:r>
        <w:t xml:space="preserve"> </w:t>
      </w:r>
    </w:p>
    <w:p w:rsidR="00B04AB6" w:rsidP="00B04AB6" w:rsidRDefault="00B04AB6" w14:paraId="7A4D3382" w14:textId="77777777">
      <w:pPr>
        <w:pStyle w:val="AttachmentHeading2"/>
      </w:pPr>
      <w:bookmarkStart w:name="_Toc45023450" w:id="177"/>
      <w:r>
        <w:t>Normalized Metered Energy Consumption (NMEC) measures</w:t>
      </w:r>
      <w:bookmarkEnd w:id="177"/>
    </w:p>
    <w:p w:rsidR="00B04AB6" w:rsidP="00B04AB6" w:rsidRDefault="00B04AB6" w14:paraId="7EBE0114" w14:textId="77777777">
      <w:pPr>
        <w:pStyle w:val="GaramondNormal"/>
      </w:pPr>
      <w:r w:rsidRPr="003456CD">
        <w:t>The introduction of NMEC measures to the demand-side management portfolios require</w:t>
      </w:r>
      <w:r>
        <w:t>d</w:t>
      </w:r>
      <w:r w:rsidRPr="003456CD">
        <w:t xml:space="preserve"> the addition of new records to existing support tables in the DEER database</w:t>
      </w:r>
      <w:r>
        <w:t xml:space="preserve"> as described in the PEAR change log</w:t>
      </w:r>
      <w:r w:rsidRPr="003456CD">
        <w:t>.</w:t>
      </w:r>
      <w:r>
        <w:rPr>
          <w:rStyle w:val="FootnoteReference"/>
        </w:rPr>
        <w:footnoteReference w:id="50"/>
      </w:r>
      <w:r w:rsidRPr="003456CD">
        <w:t xml:space="preserve"> No other effects on the DEER databases are anticipated.</w:t>
      </w:r>
    </w:p>
    <w:p w:rsidR="00B04AB6" w:rsidP="00B04AB6" w:rsidRDefault="00B04AB6" w14:paraId="5A3C4A09" w14:textId="77777777">
      <w:pPr>
        <w:pStyle w:val="AttachmentHeading2"/>
      </w:pPr>
      <w:bookmarkStart w:name="_Toc45023451" w:id="178"/>
      <w:r>
        <w:lastRenderedPageBreak/>
        <w:t>Fuel-Substitution Measures</w:t>
      </w:r>
      <w:bookmarkEnd w:id="178"/>
    </w:p>
    <w:p w:rsidRPr="003456CD" w:rsidR="00B04AB6" w:rsidP="00B04AB6" w:rsidRDefault="00B04AB6" w14:paraId="55F11927" w14:textId="77777777">
      <w:pPr>
        <w:pStyle w:val="GaramondNormal"/>
      </w:pPr>
      <w:r w:rsidRPr="003456CD">
        <w:t xml:space="preserve">The introduction of fuel substitution energy efficiency measures to the deemed portfolio may require the addition of new fields to the workpaper </w:t>
      </w:r>
      <w:r>
        <w:t>e</w:t>
      </w:r>
      <w:r w:rsidRPr="003456CD">
        <w:t xml:space="preserve">x </w:t>
      </w:r>
      <w:r>
        <w:t>a</w:t>
      </w:r>
      <w:r w:rsidRPr="003456CD">
        <w:t xml:space="preserve">nte </w:t>
      </w:r>
      <w:r>
        <w:t>d</w:t>
      </w:r>
      <w:r w:rsidRPr="003456CD">
        <w:t xml:space="preserve">ata (EAD) tables and the DEER database—which largely share the same data specification. These fields are important for future reporting of California greenhouse gas (GHG) reduction goals and </w:t>
      </w:r>
      <w:r>
        <w:t xml:space="preserve">may </w:t>
      </w:r>
      <w:r w:rsidRPr="003456CD">
        <w:t>include lifecycle CO2 emissions reduction, lifecycle source energy savings, and infrastructure cost. The Fuel Substitution Technical Guidance for Energy Efficiency</w:t>
      </w:r>
      <w:r>
        <w:rPr>
          <w:rStyle w:val="FootnoteReference"/>
        </w:rPr>
        <w:footnoteReference w:id="51"/>
      </w:r>
      <w:r w:rsidRPr="003456CD">
        <w:t xml:space="preserve"> issued in 2019 required careful review to determine the ways that DEER and workpapers would be affected. These effects are described in the sub-sections that follow</w:t>
      </w:r>
      <w:r>
        <w:t>.</w:t>
      </w:r>
    </w:p>
    <w:p w:rsidR="00B04AB6" w:rsidP="00B04AB6" w:rsidRDefault="00B04AB6" w14:paraId="1D5EDDDD" w14:textId="77777777">
      <w:pPr>
        <w:pStyle w:val="AttachmentHeading3"/>
        <w:numPr>
          <w:ilvl w:val="2"/>
          <w:numId w:val="8"/>
        </w:numPr>
        <w:ind w:left="540"/>
      </w:pPr>
      <w:bookmarkStart w:name="_Toc45023452" w:id="179"/>
      <w:r>
        <w:t>Fuel-Substitution Measure Impact Type</w:t>
      </w:r>
      <w:bookmarkEnd w:id="179"/>
    </w:p>
    <w:p w:rsidR="00B04AB6" w:rsidP="00B04AB6" w:rsidRDefault="00B04AB6" w14:paraId="5B7221F4" w14:textId="77777777">
      <w:pPr>
        <w:pStyle w:val="GaramondNormal"/>
      </w:pPr>
      <w:r w:rsidRPr="0077694F">
        <w:rPr>
          <w:u w:val="single"/>
        </w:rPr>
        <w:t xml:space="preserve">Effective Program Year: </w:t>
      </w:r>
      <w:r>
        <w:rPr>
          <w:u w:val="single"/>
        </w:rPr>
        <w:t>2020</w:t>
      </w:r>
      <w:r w:rsidRPr="0077694F">
        <w:rPr>
          <w:u w:val="single"/>
        </w:rPr>
        <w:t>.</w:t>
      </w:r>
      <w:r>
        <w:t xml:space="preserve"> </w:t>
      </w:r>
      <w:r w:rsidRPr="003456CD">
        <w:t>The Fuel Substitution Technical Guidance for Energy Efficiency specifies the measure impact type to select when submitting a workpaper regarding a fuel-substitution measure. According to the technical guidance, the workpaper documentation should indicate that the measure impact type is “Fuel Sub-Deemed.” This option—as well as two others—were added as described in</w:t>
      </w:r>
      <w:r>
        <w:t xml:space="preserve"> the PEAR change log.</w:t>
      </w:r>
    </w:p>
    <w:p w:rsidR="00B04AB6" w:rsidP="00B04AB6" w:rsidRDefault="00B04AB6" w14:paraId="448D7019" w14:textId="77777777">
      <w:pPr>
        <w:pStyle w:val="AttachmentHeading3"/>
        <w:numPr>
          <w:ilvl w:val="2"/>
          <w:numId w:val="10"/>
        </w:numPr>
        <w:ind w:left="540"/>
      </w:pPr>
      <w:bookmarkStart w:name="_Toc45023453" w:id="180"/>
      <w:r w:rsidRPr="00350385">
        <w:rPr>
          <w:webHidden/>
        </w:rPr>
        <w:t>A-</w:t>
      </w:r>
      <w:r>
        <w:t>Fuel-Substitution Effective Useful Life</w:t>
      </w:r>
      <w:bookmarkEnd w:id="180"/>
    </w:p>
    <w:p w:rsidR="00B04AB6" w:rsidP="00B04AB6" w:rsidRDefault="00B04AB6" w14:paraId="01123C7D" w14:textId="77777777">
      <w:pPr>
        <w:pStyle w:val="GaramondNormal"/>
      </w:pPr>
      <w:r w:rsidRPr="0077694F">
        <w:rPr>
          <w:u w:val="single"/>
        </w:rPr>
        <w:t xml:space="preserve">Effective Program Year: </w:t>
      </w:r>
      <w:r>
        <w:rPr>
          <w:u w:val="single"/>
        </w:rPr>
        <w:t>2020</w:t>
      </w:r>
      <w:r w:rsidRPr="0077694F">
        <w:rPr>
          <w:u w:val="single"/>
        </w:rPr>
        <w:t>.</w:t>
      </w:r>
      <w:r>
        <w:t xml:space="preserve"> The Fuel Substitution Technical Guidance for Energy Efficiency indicates that the measure EUL should be used to calculate lifetime source-energy savings and avoided CO2 emissions in several places as follows: </w:t>
      </w:r>
    </w:p>
    <w:p w:rsidR="00B04AB6" w:rsidP="00B04AB6" w:rsidRDefault="00B04AB6" w14:paraId="33A72CE0" w14:textId="77777777">
      <w:pPr>
        <w:pStyle w:val="GaramondBullets"/>
        <w:ind w:left="648"/>
      </w:pPr>
      <w:r>
        <w:t>To calculate the life-cycle source energy savings, the fuel substitution calculator multiplies annual source energy factors from Table 2 and Table 3 (in Btu/kWh and Btu/</w:t>
      </w:r>
      <w:proofErr w:type="spellStart"/>
      <w:r>
        <w:t>therm</w:t>
      </w:r>
      <w:proofErr w:type="spellEnd"/>
      <w:r>
        <w:t xml:space="preserve"> for electricity and natural gas, respectively) by the site energy savings for each year of the measure’s EUL.</w:t>
      </w:r>
      <w:r>
        <w:rPr>
          <w:rStyle w:val="FootnoteReference"/>
        </w:rPr>
        <w:footnoteReference w:id="52"/>
      </w:r>
    </w:p>
    <w:p w:rsidR="00B04AB6" w:rsidP="00B04AB6" w:rsidRDefault="00B04AB6" w14:paraId="2F716053" w14:textId="77777777">
      <w:pPr>
        <w:pStyle w:val="GaramondBullets"/>
        <w:ind w:left="648"/>
      </w:pPr>
      <w:r>
        <w:t>Chapter 2, Section 2.3, p. 7: “Life-cycle CO2 emissions are defined as the total CO2 emissions over the EUL of the measure technology.</w:t>
      </w:r>
      <w:r>
        <w:rPr>
          <w:rStyle w:val="FootnoteReference"/>
        </w:rPr>
        <w:footnoteReference w:id="53"/>
      </w:r>
      <w:r>
        <w:t xml:space="preserve"> </w:t>
      </w:r>
    </w:p>
    <w:p w:rsidR="00B04AB6" w:rsidP="00B04AB6" w:rsidRDefault="00B04AB6" w14:paraId="2B89120E" w14:textId="77777777">
      <w:pPr>
        <w:pStyle w:val="GaramondBullets"/>
        <w:ind w:left="648"/>
      </w:pPr>
      <w:r>
        <w:t>As with energy efficiency measures, the EUL and remaining useful life (RUL) values corresponds to the measure technology for the fuel substitution measures.</w:t>
      </w:r>
      <w:r>
        <w:rPr>
          <w:rStyle w:val="FootnoteReference"/>
        </w:rPr>
        <w:footnoteReference w:id="54"/>
      </w:r>
      <w:r w:rsidRPr="001C05F8">
        <w:rPr>
          <w:vertAlign w:val="superscript"/>
        </w:rPr>
        <w:t xml:space="preserve">, </w:t>
      </w:r>
      <w:r>
        <w:rPr>
          <w:rStyle w:val="FootnoteReference"/>
        </w:rPr>
        <w:footnoteReference w:id="55"/>
      </w:r>
      <w:r>
        <w:t xml:space="preserve"> </w:t>
      </w:r>
    </w:p>
    <w:p w:rsidR="00B04AB6" w:rsidP="00B04AB6" w:rsidRDefault="00B04AB6" w14:paraId="44866044" w14:textId="77777777">
      <w:pPr>
        <w:pStyle w:val="GaramondNormal"/>
      </w:pPr>
      <w:r>
        <w:lastRenderedPageBreak/>
        <w:t xml:space="preserve">Furthermore, all equations provided in Chapter 3 of the Guidance employ a single EUL variable. As a result, two EULs were added as listed </w:t>
      </w:r>
      <w:r w:rsidRPr="00613408">
        <w:t>in the PEAR change log to</w:t>
      </w:r>
      <w:r>
        <w:t xml:space="preserve"> support the submission of a fuel-substitution workpaper for residential cooking appliance upgrades that was submitted in 2020.</w:t>
      </w:r>
    </w:p>
    <w:p w:rsidR="00B04AB6" w:rsidP="00B04AB6" w:rsidRDefault="00B04AB6" w14:paraId="7227E33C" w14:textId="77777777">
      <w:pPr>
        <w:pStyle w:val="AttachmentHeading3"/>
        <w:numPr>
          <w:ilvl w:val="2"/>
          <w:numId w:val="10"/>
        </w:numPr>
        <w:ind w:left="540"/>
      </w:pPr>
      <w:bookmarkStart w:name="_Toc45023454" w:id="181"/>
      <w:r>
        <w:t>Fuel-Substitution Measure NTG Values</w:t>
      </w:r>
      <w:bookmarkEnd w:id="181"/>
    </w:p>
    <w:p w:rsidR="00B04AB6" w:rsidP="00B04AB6" w:rsidRDefault="00B04AB6" w14:paraId="7F4564BC" w14:textId="77777777">
      <w:pPr>
        <w:pStyle w:val="GaramondNormal"/>
      </w:pPr>
      <w:r w:rsidRPr="001E15DC">
        <w:rPr>
          <w:u w:val="single"/>
        </w:rPr>
        <w:t>Effective Program Year: 2020.</w:t>
      </w:r>
      <w:r w:rsidRPr="00246AD3">
        <w:t xml:space="preserve"> The Fuel Substitution Technical Guidance for Energy Efficiency indicates that—consistent with Decision 19-08-009</w:t>
      </w:r>
      <w:r>
        <w:rPr>
          <w:rStyle w:val="FootnoteReference"/>
        </w:rPr>
        <w:footnoteReference w:id="56"/>
      </w:r>
      <w:r w:rsidRPr="00246AD3">
        <w:t xml:space="preserve">—fuel-substitution measures shall use a net-to-gross ratio of 1.00 until impact evaluation results become available. Details are </w:t>
      </w:r>
      <w:r w:rsidRPr="00613408">
        <w:t>provided in the PEAR change log.</w:t>
      </w:r>
    </w:p>
    <w:p w:rsidR="00B04AB6" w:rsidP="00B04AB6" w:rsidRDefault="00B04AB6" w14:paraId="24368EE3" w14:textId="77777777">
      <w:pPr>
        <w:pStyle w:val="AttachmentHeading3"/>
        <w:numPr>
          <w:ilvl w:val="2"/>
          <w:numId w:val="10"/>
        </w:numPr>
        <w:ind w:left="540"/>
      </w:pPr>
      <w:bookmarkStart w:name="_Toc45023455" w:id="182"/>
      <w:r>
        <w:t>Future Fuel-Substitution Measure Considerations</w:t>
      </w:r>
      <w:bookmarkEnd w:id="182"/>
    </w:p>
    <w:p w:rsidRPr="001E15DC" w:rsidR="00B04AB6" w:rsidP="00B04AB6" w:rsidRDefault="00B04AB6" w14:paraId="5C14676A" w14:textId="77777777">
      <w:pPr>
        <w:pStyle w:val="GaramondNormal"/>
      </w:pPr>
      <w:r w:rsidRPr="001E15DC">
        <w:t xml:space="preserve">Background: </w:t>
      </w:r>
    </w:p>
    <w:p w:rsidR="00B04AB6" w:rsidP="00B04AB6" w:rsidRDefault="00B04AB6" w14:paraId="15D03C41" w14:textId="77777777">
      <w:pPr>
        <w:pStyle w:val="GaramondBullets"/>
        <w:ind w:left="648"/>
      </w:pPr>
      <w:r>
        <w:t xml:space="preserve">Lifecycle CO2 and lifecycle source energy savings are outputs of the cost-effectiveness tool (CET) and are available from the </w:t>
      </w:r>
      <w:r w:rsidRPr="009838C1">
        <w:t>California Energy Data and Reporting System</w:t>
      </w:r>
      <w:r>
        <w:t xml:space="preserve"> CEDARS. </w:t>
      </w:r>
    </w:p>
    <w:p w:rsidR="00B04AB6" w:rsidP="00B04AB6" w:rsidRDefault="00B04AB6" w14:paraId="70A44EEB" w14:textId="77777777">
      <w:pPr>
        <w:pStyle w:val="GaramondBullets"/>
        <w:ind w:left="648"/>
      </w:pPr>
      <w:r>
        <w:t xml:space="preserve">Methodology for determining lifecycle CO2 emissions is currently being investigated for potential revisions, however these values will continue to be available from CEDARS. </w:t>
      </w:r>
    </w:p>
    <w:p w:rsidR="00B04AB6" w:rsidP="00B04AB6" w:rsidRDefault="00B04AB6" w14:paraId="6A748E3F" w14:textId="77777777">
      <w:pPr>
        <w:pStyle w:val="GaramondBullets"/>
        <w:ind w:left="648"/>
      </w:pPr>
      <w:r>
        <w:t>PAs are required to collect and report infrastructure cost data for downstream measures, but that data is not currently being used because there is no guidance yet on how these costs should be incorporated into the CET calculation or the avoided costs. (That said, it would still be useful to provide a field to collect infrastructure cost data.)</w:t>
      </w:r>
    </w:p>
    <w:p w:rsidR="00B04AB6" w:rsidP="00B04AB6" w:rsidRDefault="00B04AB6" w14:paraId="1481F0EA" w14:textId="77777777">
      <w:pPr>
        <w:pStyle w:val="GaramondNormal"/>
      </w:pPr>
      <w:r w:rsidRPr="001E15DC">
        <w:rPr>
          <w:u w:val="single"/>
        </w:rPr>
        <w:t>Effective Program Year: 202</w:t>
      </w:r>
      <w:r>
        <w:rPr>
          <w:u w:val="single"/>
        </w:rPr>
        <w:t>2</w:t>
      </w:r>
      <w:r w:rsidRPr="00246AD3">
        <w:t xml:space="preserve">. </w:t>
      </w:r>
      <w:r>
        <w:t xml:space="preserve">The introduction of fuel substitution energy efficiency measures to the deemed portfolio may require the addition of new fields to the workpaper Ex Ante Data (EAD) tables and the DEER database—which largely share the same data specification. These fields are important for future reporting of California avoided GHG goals and include lifecycle avoided CO2 emissions, lifecycle source energy savings, and infrastructure costs. Discussion of this topic was initiated in 2019 with the CPUC Reporting and Data Management Project Coordination Group (Reporting PCG). </w:t>
      </w:r>
    </w:p>
    <w:p w:rsidR="00B04AB6" w:rsidP="00B04AB6" w:rsidRDefault="00B04AB6" w14:paraId="5803F54E" w14:textId="77777777">
      <w:pPr>
        <w:pStyle w:val="GaramondNormal"/>
      </w:pPr>
      <w:r>
        <w:t xml:space="preserve">Fields that might be considered to track infrastructure costs in the </w:t>
      </w:r>
      <w:proofErr w:type="spellStart"/>
      <w:r>
        <w:t>MeasureCost</w:t>
      </w:r>
      <w:proofErr w:type="spellEnd"/>
      <w:r>
        <w:t xml:space="preserve"> table of DEER for fuel substitution measures include: </w:t>
      </w:r>
      <w:proofErr w:type="spellStart"/>
      <w:r>
        <w:t>FSInfraLaborCost</w:t>
      </w:r>
      <w:proofErr w:type="spellEnd"/>
      <w:r>
        <w:t xml:space="preserve">, </w:t>
      </w:r>
      <w:proofErr w:type="spellStart"/>
      <w:r>
        <w:t>FSInfraMatlCost</w:t>
      </w:r>
      <w:proofErr w:type="spellEnd"/>
      <w:r>
        <w:t xml:space="preserve">, and </w:t>
      </w:r>
      <w:proofErr w:type="spellStart"/>
      <w:r>
        <w:t>FSInfraInstallHrs</w:t>
      </w:r>
      <w:proofErr w:type="spellEnd"/>
      <w:r>
        <w:t>.</w:t>
      </w:r>
    </w:p>
    <w:p w:rsidR="00B04AB6" w:rsidP="00B04AB6" w:rsidRDefault="00B04AB6" w14:paraId="2AE6A94C" w14:textId="77777777">
      <w:pPr>
        <w:pStyle w:val="AttachmentHeading2"/>
      </w:pPr>
      <w:bookmarkStart w:name="_Toc45023456" w:id="183"/>
      <w:r>
        <w:t>Updated Energy-</w:t>
      </w:r>
      <w:r w:rsidRPr="00AE364F">
        <w:t>Efficie</w:t>
      </w:r>
      <w:r>
        <w:t>nt/Baseline Thresholds for</w:t>
      </w:r>
      <w:r w:rsidRPr="00AE364F">
        <w:t xml:space="preserve"> Water Heaters</w:t>
      </w:r>
      <w:bookmarkEnd w:id="183"/>
    </w:p>
    <w:p w:rsidR="00B04AB6" w:rsidP="00B04AB6" w:rsidRDefault="00B04AB6" w14:paraId="6DF99B07" w14:textId="77777777">
      <w:pPr>
        <w:pStyle w:val="GaramondNormal"/>
      </w:pPr>
      <w:r w:rsidRPr="0077694F">
        <w:rPr>
          <w:u w:val="single"/>
        </w:rPr>
        <w:t xml:space="preserve">Effective Program Year: </w:t>
      </w:r>
      <w:r>
        <w:rPr>
          <w:u w:val="single"/>
        </w:rPr>
        <w:t>2021</w:t>
      </w:r>
      <w:r w:rsidRPr="0077694F">
        <w:rPr>
          <w:u w:val="single"/>
        </w:rPr>
        <w:t>.</w:t>
      </w:r>
      <w:r>
        <w:t xml:space="preserve"> </w:t>
      </w:r>
      <w:r w:rsidRPr="00681C0D">
        <w:t>As part of the effort to update the water heater calculator (described in</w:t>
      </w:r>
      <w:r>
        <w:t xml:space="preserve"> </w:t>
      </w:r>
      <w:r>
        <w:fldChar w:fldCharType="begin"/>
      </w:r>
      <w:r>
        <w:instrText xml:space="preserve"> REF _Ref40807714 \r \h </w:instrText>
      </w:r>
      <w:r>
        <w:fldChar w:fldCharType="separate"/>
      </w:r>
      <w:r>
        <w:t>3.1</w:t>
      </w:r>
      <w:r>
        <w:fldChar w:fldCharType="end"/>
      </w:r>
      <w:r w:rsidRPr="00681C0D">
        <w:t xml:space="preserve">), recent manufacturer data were downloaded from the Air-conditioning, Heating, and Refrigeration Institute (AHRI) website to verify that the </w:t>
      </w:r>
      <w:r>
        <w:t xml:space="preserve">baseline and </w:t>
      </w:r>
      <w:r w:rsidRPr="00681C0D">
        <w:t xml:space="preserve">energy-efficient </w:t>
      </w:r>
      <w:r>
        <w:t>cases</w:t>
      </w:r>
      <w:r w:rsidRPr="00681C0D">
        <w:t xml:space="preserve"> are appropriate given the availability of various product categories that are code compliant in California. </w:t>
      </w:r>
      <w:r>
        <w:t xml:space="preserve">These updates resulted in revised energy impacts for many of the pre-existing measures. Five fuel substitution measures were also added for both residential and commercial applications. </w:t>
      </w:r>
      <w:r w:rsidRPr="00C70A5A">
        <w:t xml:space="preserve">A revised </w:t>
      </w:r>
      <w:r w:rsidRPr="00C70A5A">
        <w:lastRenderedPageBreak/>
        <w:t>version of the water heater binning tool Excel workbook has been made available at the same time as the water heater calculator was released for stakeholder review (May 1, 2020).</w:t>
      </w:r>
    </w:p>
    <w:p w:rsidR="00B04AB6" w:rsidP="00B04AB6" w:rsidRDefault="00B04AB6" w14:paraId="1BBD5441" w14:textId="77777777">
      <w:pPr>
        <w:pStyle w:val="AttachmentHeading2"/>
      </w:pPr>
      <w:bookmarkStart w:name="_Toc45023457" w:id="184"/>
      <w:r w:rsidRPr="00AE364F">
        <w:t>Residential Heat Pumps for SEER ≥19 SEER</w:t>
      </w:r>
      <w:bookmarkEnd w:id="184"/>
    </w:p>
    <w:p w:rsidR="00B04AB6" w:rsidP="00B04AB6" w:rsidRDefault="00B04AB6" w14:paraId="49560D11" w14:textId="77777777">
      <w:pPr>
        <w:pStyle w:val="GaramondNormal"/>
      </w:pPr>
      <w:r w:rsidRPr="0077694F">
        <w:rPr>
          <w:u w:val="single"/>
        </w:rPr>
        <w:t xml:space="preserve">Effective Program Year: </w:t>
      </w:r>
      <w:r>
        <w:rPr>
          <w:u w:val="single"/>
        </w:rPr>
        <w:t>2022</w:t>
      </w:r>
      <w:r w:rsidRPr="0077694F">
        <w:rPr>
          <w:u w:val="single"/>
        </w:rPr>
        <w:t>.</w:t>
      </w:r>
      <w:r>
        <w:t xml:space="preserve"> </w:t>
      </w:r>
      <w:r w:rsidRPr="00681C0D">
        <w:t>New measures for high-efficiency heat pumps (SEER 19, 20, and 21) will be created using DEER2020 building prototypes and MASControl3.</w:t>
      </w:r>
      <w:r>
        <w:t xml:space="preserve"> Since high SEER systems have variable capacity compressors, they will have different performance curves than lower SEER systems, hence the performance curve will be updated in MASControl3 for these high SEER systems.</w:t>
      </w:r>
    </w:p>
    <w:p w:rsidRPr="004374BE" w:rsidR="00B04AB6" w:rsidP="00B04AB6" w:rsidRDefault="00B04AB6" w14:paraId="05401BA6" w14:textId="77777777">
      <w:pPr>
        <w:pStyle w:val="AttachmentHeading1"/>
      </w:pPr>
      <w:bookmarkStart w:name="_Toc11321492" w:id="185"/>
      <w:bookmarkStart w:name="_Toc11326442" w:id="186"/>
      <w:bookmarkStart w:name="_Toc11647339" w:id="187"/>
      <w:bookmarkStart w:name="_Toc10545660" w:id="188"/>
      <w:bookmarkStart w:name="_Toc11055623" w:id="189"/>
      <w:bookmarkStart w:name="_Toc11055624" w:id="190"/>
      <w:bookmarkStart w:name="_Toc11055625" w:id="191"/>
      <w:bookmarkStart w:name="_Toc11055626" w:id="192"/>
      <w:bookmarkStart w:name="_Toc11055627" w:id="193"/>
      <w:bookmarkStart w:name="_Toc11055628" w:id="194"/>
      <w:bookmarkStart w:name="_Toc11055629" w:id="195"/>
      <w:bookmarkStart w:name="_Toc11055630" w:id="196"/>
      <w:bookmarkStart w:name="_Toc11055631" w:id="197"/>
      <w:bookmarkStart w:name="_Toc11055632" w:id="198"/>
      <w:bookmarkStart w:name="_Toc11055633" w:id="199"/>
      <w:bookmarkStart w:name="_Toc11055634" w:id="200"/>
      <w:bookmarkStart w:name="_Ref10321841" w:id="201"/>
      <w:bookmarkStart w:name="_Toc10397800" w:id="202"/>
      <w:bookmarkStart w:name="_Toc10543721" w:id="203"/>
      <w:bookmarkStart w:name="_Toc10545666" w:id="204"/>
      <w:bookmarkStart w:name="_Toc11336994" w:id="205"/>
      <w:bookmarkStart w:name="_Toc45023458" w:id="206"/>
      <w:bookmarkStart w:name="_Toc519764448" w:id="207"/>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t>Comments on DEER2022 Update and CPUC Staff Responses</w:t>
      </w:r>
      <w:bookmarkEnd w:id="201"/>
      <w:bookmarkEnd w:id="202"/>
      <w:bookmarkEnd w:id="203"/>
      <w:bookmarkEnd w:id="204"/>
      <w:bookmarkEnd w:id="205"/>
      <w:bookmarkEnd w:id="206"/>
    </w:p>
    <w:p w:rsidRPr="00B73798" w:rsidR="00B04AB6" w:rsidP="00B04AB6" w:rsidRDefault="00B04AB6" w14:paraId="077153F3" w14:textId="77777777">
      <w:pPr>
        <w:pStyle w:val="GaramondNormal"/>
      </w:pPr>
      <w:r w:rsidRPr="00B73798">
        <w:t>On April 2</w:t>
      </w:r>
      <w:r>
        <w:t>1</w:t>
      </w:r>
      <w:r w:rsidRPr="00B73798">
        <w:t>, 20</w:t>
      </w:r>
      <w:r>
        <w:t>20</w:t>
      </w:r>
      <w:r w:rsidRPr="00B73798">
        <w:t xml:space="preserve"> </w:t>
      </w:r>
      <w:r>
        <w:t>CPUC staff</w:t>
      </w:r>
      <w:r w:rsidRPr="00B73798">
        <w:t xml:space="preserve"> published to the Energy Efficiency Proceeding </w:t>
      </w:r>
      <w:r w:rsidRPr="00B657F6">
        <w:t>R.13-11-005</w:t>
      </w:r>
      <w:r w:rsidRPr="00B73798">
        <w:t xml:space="preserve"> </w:t>
      </w:r>
      <w:r>
        <w:t xml:space="preserve">service list </w:t>
      </w:r>
      <w:r w:rsidRPr="00B73798">
        <w:t xml:space="preserve">a memo outlining the intended scope of the planned update to the DEER and a solicitation of comments on that proposed scope. Comments were filed by </w:t>
      </w:r>
      <w:r>
        <w:t>QC Manufacturing</w:t>
      </w:r>
      <w:r w:rsidRPr="00C70A5A">
        <w:t>,</w:t>
      </w:r>
      <w:r w:rsidRPr="00B73798">
        <w:t xml:space="preserve"> </w:t>
      </w:r>
      <w:r w:rsidRPr="00C70A5A">
        <w:t>Google Nest, Pacific Gas &amp; Electric</w:t>
      </w:r>
      <w:r>
        <w:t xml:space="preserve"> Company</w:t>
      </w:r>
      <w:r w:rsidRPr="00C70A5A">
        <w:t>, Southern California Edison, San Diego Gas and Electric, Southern California Gas, and Southern California Regional Energy Network.</w:t>
      </w:r>
      <w:r w:rsidRPr="00B73798">
        <w:t xml:space="preserve"> Those comments were grouped by topic and </w:t>
      </w:r>
      <w:r>
        <w:t xml:space="preserve">the most significant issues are </w:t>
      </w:r>
      <w:r w:rsidRPr="00B73798">
        <w:t xml:space="preserve">summarized below </w:t>
      </w:r>
      <w:r>
        <w:t xml:space="preserve">along </w:t>
      </w:r>
      <w:r w:rsidRPr="00B73798">
        <w:t xml:space="preserve">with a response from the </w:t>
      </w:r>
      <w:r>
        <w:t>CPUC staff.</w:t>
      </w:r>
    </w:p>
    <w:p w:rsidR="00B04AB6" w:rsidP="00B04AB6" w:rsidRDefault="00B04AB6" w14:paraId="21AE3DF0" w14:textId="77777777">
      <w:pPr>
        <w:pStyle w:val="AttachmentHeading2"/>
      </w:pPr>
      <w:bookmarkStart w:name="_Toc45023459" w:id="208"/>
      <w:bookmarkEnd w:id="23"/>
      <w:bookmarkEnd w:id="207"/>
      <w:r>
        <w:t>BRO EULs</w:t>
      </w:r>
      <w:bookmarkEnd w:id="208"/>
    </w:p>
    <w:p w:rsidRPr="00C03477" w:rsidR="00B04AB6" w:rsidP="00B04AB6" w:rsidRDefault="00B04AB6" w14:paraId="348ADD8E" w14:textId="77777777">
      <w:pPr>
        <w:pStyle w:val="GaramondNormal"/>
        <w:keepNext/>
        <w:rPr>
          <w:i/>
        </w:rPr>
      </w:pPr>
      <w:r w:rsidRPr="006D5CB8">
        <w:rPr>
          <w:i/>
          <w:iCs/>
        </w:rPr>
        <w:t>Southern California Regional E</w:t>
      </w:r>
      <w:r w:rsidRPr="00C03477">
        <w:rPr>
          <w:i/>
        </w:rPr>
        <w:t>nergy Network (</w:t>
      </w:r>
      <w:proofErr w:type="spellStart"/>
      <w:r w:rsidRPr="00C03477">
        <w:rPr>
          <w:i/>
        </w:rPr>
        <w:t>SoCalRen</w:t>
      </w:r>
      <w:proofErr w:type="spellEnd"/>
      <w:r w:rsidRPr="00C03477">
        <w:rPr>
          <w:i/>
        </w:rPr>
        <w:t xml:space="preserve">): </w:t>
      </w:r>
    </w:p>
    <w:p w:rsidR="00B04AB6" w:rsidP="00B04AB6" w:rsidRDefault="00B04AB6" w14:paraId="4E62615C" w14:textId="77777777">
      <w:pPr>
        <w:pStyle w:val="GaramondNormal"/>
      </w:pPr>
      <w:proofErr w:type="spellStart"/>
      <w:r w:rsidRPr="000D562B">
        <w:t>SoCalREN</w:t>
      </w:r>
      <w:proofErr w:type="spellEnd"/>
      <w:r w:rsidRPr="000D562B">
        <w:t xml:space="preserve"> supports the consideration of EULs for </w:t>
      </w:r>
      <w:r>
        <w:t xml:space="preserve">Behavior, </w:t>
      </w:r>
      <w:proofErr w:type="spellStart"/>
      <w:r>
        <w:t>Retrocomissioning</w:t>
      </w:r>
      <w:proofErr w:type="spellEnd"/>
      <w:r>
        <w:t>, and Operational (</w:t>
      </w:r>
      <w:r w:rsidRPr="000D562B">
        <w:t>BRO</w:t>
      </w:r>
      <w:r>
        <w:t>)</w:t>
      </w:r>
      <w:r w:rsidRPr="000D562B">
        <w:t xml:space="preserve"> measure classifications in a future decision and suggests this be addressed prior to the DEER2022 resolution.</w:t>
      </w:r>
    </w:p>
    <w:p w:rsidRPr="00603EBB" w:rsidR="00B04AB6" w:rsidP="00B04AB6" w:rsidRDefault="00B04AB6" w14:paraId="2F3DD8EB" w14:textId="77777777">
      <w:pPr>
        <w:pStyle w:val="GaramondNormal"/>
        <w:keepNext/>
        <w:rPr>
          <w:i/>
          <w:iCs/>
        </w:rPr>
      </w:pPr>
      <w:r w:rsidRPr="00603EBB">
        <w:rPr>
          <w:i/>
          <w:iCs/>
        </w:rPr>
        <w:t>Southern California Edison (SCE):</w:t>
      </w:r>
    </w:p>
    <w:p w:rsidRPr="000D562B" w:rsidR="00B04AB6" w:rsidP="00B04AB6" w:rsidRDefault="00B04AB6" w14:paraId="72B788AF" w14:textId="77777777">
      <w:pPr>
        <w:pStyle w:val="GaramondNormal"/>
      </w:pPr>
      <w:r w:rsidRPr="000D562B">
        <w:t>Section 2.5: Clarification of BRO measure application type, provides a regulatory history of the technical policy for BRO effective useful life.</w:t>
      </w:r>
      <w:r>
        <w:t xml:space="preserve"> </w:t>
      </w:r>
      <w:r w:rsidRPr="000D562B">
        <w:t>However, the scope of the BRO EUL update is unclear.</w:t>
      </w:r>
      <w:r>
        <w:t xml:space="preserve"> </w:t>
      </w:r>
      <w:r w:rsidRPr="000D562B">
        <w:t>The section states, “The EULs for BRO measures can only be updated by a future decision.” SCE seeks clarity on the scope of DEER updates planned for BRO measure EULs.</w:t>
      </w:r>
    </w:p>
    <w:p w:rsidRPr="00DE3C03" w:rsidR="00B04AB6" w:rsidP="00B04AB6" w:rsidRDefault="00B04AB6" w14:paraId="06038F33" w14:textId="77777777">
      <w:pPr>
        <w:pStyle w:val="GaramondNormal"/>
        <w:rPr>
          <w:u w:val="single"/>
        </w:rPr>
      </w:pPr>
      <w:r w:rsidRPr="00DE3C03">
        <w:rPr>
          <w:u w:val="single"/>
        </w:rPr>
        <w:t xml:space="preserve">CPUC Staff </w:t>
      </w:r>
      <w:r>
        <w:rPr>
          <w:u w:val="single"/>
        </w:rPr>
        <w:t>R</w:t>
      </w:r>
      <w:r w:rsidRPr="00DE3C03">
        <w:rPr>
          <w:u w:val="single"/>
        </w:rPr>
        <w:t>esponse:</w:t>
      </w:r>
    </w:p>
    <w:p w:rsidR="00B04AB6" w:rsidP="00B04AB6" w:rsidRDefault="00B04AB6" w14:paraId="5199411D" w14:textId="77777777">
      <w:pPr>
        <w:pStyle w:val="GaramondNormal"/>
      </w:pPr>
      <w:r>
        <w:t>EULs for the BRO measure application type were established by Decision 16-08-019; hence, they can only be changed by a future Decision. Since several parties have asked CPUC staff for clarification of BRO measure EULs in the past year, we thought clarification was appropriate. No changes will be made to the EUL for BRO measures until such time as it is addressed in a future Decision.</w:t>
      </w:r>
    </w:p>
    <w:p w:rsidR="00B04AB6" w:rsidP="00B04AB6" w:rsidRDefault="00B04AB6" w14:paraId="7F63C81A" w14:textId="77777777">
      <w:pPr>
        <w:pStyle w:val="AttachmentHeading2"/>
      </w:pPr>
      <w:bookmarkStart w:name="_Toc45023460" w:id="209"/>
      <w:r>
        <w:lastRenderedPageBreak/>
        <w:t xml:space="preserve">Reclassifying </w:t>
      </w:r>
      <w:r w:rsidRPr="000D562B">
        <w:t>Duct Sealing</w:t>
      </w:r>
      <w:bookmarkEnd w:id="209"/>
    </w:p>
    <w:p w:rsidRPr="00603EBB" w:rsidR="00B04AB6" w:rsidP="00B04AB6" w:rsidRDefault="00B04AB6" w14:paraId="32009418" w14:textId="77777777">
      <w:pPr>
        <w:pStyle w:val="GaramondNormal"/>
        <w:keepNext/>
        <w:rPr>
          <w:i/>
          <w:iCs/>
        </w:rPr>
      </w:pPr>
      <w:r w:rsidRPr="00603EBB">
        <w:rPr>
          <w:i/>
          <w:iCs/>
        </w:rPr>
        <w:t>Southern California Gas Co. (SoCalGas):</w:t>
      </w:r>
    </w:p>
    <w:p w:rsidRPr="000D562B" w:rsidR="00B04AB6" w:rsidP="00B04AB6" w:rsidRDefault="00B04AB6" w14:paraId="5B3E1FEE" w14:textId="77777777">
      <w:pPr>
        <w:pStyle w:val="GaramondNormal"/>
      </w:pPr>
      <w:r w:rsidRPr="000D562B">
        <w:t>SoCalGas intends to follow CPUC’s direction to use two measure application types for duct sealing based on the building vintage and suggests creating two new EUL IDs in DEER for duct sealing measures as BRO and building weatherization.</w:t>
      </w:r>
    </w:p>
    <w:p w:rsidRPr="00DE3C03" w:rsidR="00B04AB6" w:rsidP="00B04AB6" w:rsidRDefault="00B04AB6" w14:paraId="795BC4AD" w14:textId="77777777">
      <w:pPr>
        <w:pStyle w:val="GaramondNormal"/>
        <w:keepNext/>
        <w:rPr>
          <w:u w:val="single"/>
        </w:rPr>
      </w:pPr>
      <w:r w:rsidRPr="00DE3C03">
        <w:rPr>
          <w:u w:val="single"/>
        </w:rPr>
        <w:t>CPUC Staff Response:</w:t>
      </w:r>
    </w:p>
    <w:p w:rsidRPr="00C03477" w:rsidR="00B04AB6" w:rsidP="00B04AB6" w:rsidRDefault="00B04AB6" w14:paraId="50950B2C" w14:textId="77777777">
      <w:pPr>
        <w:pStyle w:val="GaramondNormal"/>
      </w:pPr>
      <w:r w:rsidRPr="00C03477">
        <w:t xml:space="preserve">We will create a new EUL ID in DEER for </w:t>
      </w:r>
      <w:r>
        <w:t xml:space="preserve">duct sealing measures of the </w:t>
      </w:r>
      <w:r w:rsidRPr="00C03477">
        <w:t xml:space="preserve">building weatherization </w:t>
      </w:r>
      <w:r>
        <w:t>measure application type</w:t>
      </w:r>
      <w:r w:rsidRPr="00C03477">
        <w:t>.</w:t>
      </w:r>
    </w:p>
    <w:p w:rsidRPr="00603EBB" w:rsidR="00B04AB6" w:rsidP="00B04AB6" w:rsidRDefault="00B04AB6" w14:paraId="00DA673D" w14:textId="77777777">
      <w:pPr>
        <w:pStyle w:val="GaramondNormal"/>
        <w:keepNext/>
        <w:rPr>
          <w:i/>
          <w:iCs/>
        </w:rPr>
      </w:pPr>
      <w:r w:rsidRPr="00603EBB">
        <w:rPr>
          <w:i/>
          <w:iCs/>
        </w:rPr>
        <w:t xml:space="preserve">Pacific Gas &amp; Electric </w:t>
      </w:r>
      <w:r>
        <w:rPr>
          <w:i/>
          <w:iCs/>
        </w:rPr>
        <w:t xml:space="preserve">Co. </w:t>
      </w:r>
      <w:r w:rsidRPr="00603EBB">
        <w:rPr>
          <w:i/>
          <w:iCs/>
        </w:rPr>
        <w:t>(PG&amp;E):</w:t>
      </w:r>
    </w:p>
    <w:p w:rsidR="00B04AB6" w:rsidP="00B04AB6" w:rsidRDefault="00B04AB6" w14:paraId="55B730E0" w14:textId="77777777">
      <w:pPr>
        <w:pStyle w:val="GaramondNormal"/>
      </w:pPr>
      <w:r w:rsidRPr="000D562B">
        <w:t xml:space="preserve">PG&amp;E requests that the Duct Sealing reclassification be considered an error correction and make the changes effective in 2021. Resolution E-4952 (October 11, 2018) directed a measure classification for Duct Sealing that conflicts with direction in Resolution E-4818 (March 3, 2017). This resulted in a reduction of EUL for Duct Sealing from 18 years to </w:t>
      </w:r>
      <w:r>
        <w:t>three</w:t>
      </w:r>
      <w:r w:rsidRPr="000D562B">
        <w:t xml:space="preserve"> years, drastically reducing its cost-effectiveness. Resolution E-5009 states that there is consensus that </w:t>
      </w:r>
      <w:r>
        <w:t>three</w:t>
      </w:r>
      <w:r w:rsidRPr="000D562B">
        <w:t xml:space="preserve"> years is too low of an EUL for this measure and makes plans to work towards a correction, effective 2021. This erroneous 3-year EUL for Duct Sealing is creating disruption in the market and produces an artificially low </w:t>
      </w:r>
      <w:r>
        <w:t>total resource cost (</w:t>
      </w:r>
      <w:r w:rsidRPr="000D562B">
        <w:t>TRC</w:t>
      </w:r>
      <w:r>
        <w:t>)</w:t>
      </w:r>
      <w:r w:rsidRPr="000D562B">
        <w:t xml:space="preserve"> for residential programs. Correcting this EUL is a simple fix that has real impacts on residential programs and should be made as soon as possible.</w:t>
      </w:r>
    </w:p>
    <w:p w:rsidRPr="00603EBB" w:rsidR="00B04AB6" w:rsidP="00B04AB6" w:rsidRDefault="00B04AB6" w14:paraId="6FDAF789" w14:textId="77777777">
      <w:pPr>
        <w:pStyle w:val="GaramondNormal"/>
        <w:keepNext/>
        <w:rPr>
          <w:i/>
          <w:iCs/>
        </w:rPr>
      </w:pPr>
      <w:r w:rsidRPr="00603EBB">
        <w:rPr>
          <w:i/>
          <w:iCs/>
        </w:rPr>
        <w:t>Southern California Edison (SCE):</w:t>
      </w:r>
    </w:p>
    <w:p w:rsidRPr="000D562B" w:rsidR="00B04AB6" w:rsidP="00B04AB6" w:rsidRDefault="00B04AB6" w14:paraId="3E57393B" w14:textId="77777777">
      <w:pPr>
        <w:pStyle w:val="GaramondNormal"/>
      </w:pPr>
      <w:r w:rsidRPr="000D562B">
        <w:t>SCE recommends implementation in 2020, as the prior EUL classification would be a correction for certain applications.</w:t>
      </w:r>
    </w:p>
    <w:p w:rsidRPr="00603EBB" w:rsidR="00B04AB6" w:rsidP="00B04AB6" w:rsidRDefault="00B04AB6" w14:paraId="333B6D04" w14:textId="77777777">
      <w:pPr>
        <w:pStyle w:val="GaramondNormal"/>
        <w:keepNext/>
        <w:rPr>
          <w:i/>
          <w:iCs/>
        </w:rPr>
      </w:pPr>
      <w:r w:rsidRPr="00603EBB">
        <w:rPr>
          <w:i/>
          <w:iCs/>
        </w:rPr>
        <w:t xml:space="preserve">San Diego Gas &amp; Electric </w:t>
      </w:r>
      <w:r>
        <w:rPr>
          <w:i/>
          <w:iCs/>
        </w:rPr>
        <w:t xml:space="preserve">Co. </w:t>
      </w:r>
      <w:r w:rsidRPr="00603EBB">
        <w:rPr>
          <w:i/>
          <w:iCs/>
        </w:rPr>
        <w:t>(SDG&amp;E):</w:t>
      </w:r>
    </w:p>
    <w:p w:rsidR="00B04AB6" w:rsidP="00B04AB6" w:rsidRDefault="00B04AB6" w14:paraId="09D21177" w14:textId="77777777">
      <w:pPr>
        <w:pStyle w:val="GaramondNormal"/>
      </w:pPr>
      <w:r w:rsidRPr="000D562B">
        <w:t xml:space="preserve">Reclassifying duct sealing from EUL = </w:t>
      </w:r>
      <w:r>
        <w:t>t</w:t>
      </w:r>
      <w:r w:rsidRPr="000D562B">
        <w:t xml:space="preserve"> years due to BRO-RCx, to EUL = 18 years due to BW for buildings constructed before </w:t>
      </w:r>
      <w:r>
        <w:t>January 1, 20</w:t>
      </w:r>
      <w:r w:rsidRPr="000D562B">
        <w:t>06 has an effective date of 2022.</w:t>
      </w:r>
      <w:r>
        <w:t xml:space="preserve"> </w:t>
      </w:r>
      <w:r w:rsidRPr="000D562B">
        <w:t>This change should be applicable to 2020 since the conditions for the change exist today.</w:t>
      </w:r>
      <w:r>
        <w:t xml:space="preserve"> </w:t>
      </w:r>
      <w:r w:rsidRPr="000D562B">
        <w:t>It does not make sense to wait until 2022 when programs can implement the measure now, subject to updated workpapers.</w:t>
      </w:r>
    </w:p>
    <w:p w:rsidRPr="00DE3C03" w:rsidR="00B04AB6" w:rsidP="00B04AB6" w:rsidRDefault="00B04AB6" w14:paraId="5AF4C1FE" w14:textId="77777777">
      <w:pPr>
        <w:pStyle w:val="GaramondNormal"/>
        <w:keepNext/>
        <w:rPr>
          <w:i/>
          <w:u w:val="single"/>
        </w:rPr>
      </w:pPr>
      <w:r w:rsidRPr="00DE3C03">
        <w:rPr>
          <w:u w:val="single"/>
        </w:rPr>
        <w:t xml:space="preserve">CPUC Staff </w:t>
      </w:r>
      <w:r>
        <w:rPr>
          <w:u w:val="single"/>
        </w:rPr>
        <w:t>R</w:t>
      </w:r>
      <w:r w:rsidRPr="00DE3C03">
        <w:rPr>
          <w:u w:val="single"/>
        </w:rPr>
        <w:t>esponse:</w:t>
      </w:r>
    </w:p>
    <w:p w:rsidRPr="00FF07F0" w:rsidR="00B04AB6" w:rsidP="00B04AB6" w:rsidRDefault="00B04AB6" w14:paraId="7AC31D37" w14:textId="77777777">
      <w:pPr>
        <w:pStyle w:val="GaramondNormal"/>
      </w:pPr>
      <w:r w:rsidRPr="00FF07F0">
        <w:t xml:space="preserve">Although the reclassification of a set of duct sealing measures is not an error correction, we will change the effective date to 2021 for the reclassification of duct sealing </w:t>
      </w:r>
      <w:r>
        <w:t xml:space="preserve">as a MAT of BW with an EUL of 18 years </w:t>
      </w:r>
      <w:r w:rsidRPr="00FF07F0">
        <w:t xml:space="preserve">in pre-2006 buildings. </w:t>
      </w:r>
    </w:p>
    <w:p w:rsidR="00B04AB6" w:rsidP="00B04AB6" w:rsidRDefault="00B04AB6" w14:paraId="2A44AF0F" w14:textId="77777777">
      <w:pPr>
        <w:pStyle w:val="AttachmentHeading2"/>
      </w:pPr>
      <w:bookmarkStart w:name="_Toc45023461" w:id="210"/>
      <w:r w:rsidRPr="000D562B">
        <w:t>Ecosystem</w:t>
      </w:r>
      <w:bookmarkEnd w:id="210"/>
    </w:p>
    <w:p w:rsidRPr="00603EBB" w:rsidR="00B04AB6" w:rsidP="00B04AB6" w:rsidRDefault="00B04AB6" w14:paraId="27FC9177" w14:textId="77777777">
      <w:pPr>
        <w:pStyle w:val="GaramondNormal"/>
        <w:keepNext/>
        <w:rPr>
          <w:i/>
          <w:iCs/>
        </w:rPr>
      </w:pPr>
      <w:r w:rsidRPr="00603EBB">
        <w:rPr>
          <w:i/>
          <w:iCs/>
        </w:rPr>
        <w:t>Pacific Gas &amp; Electric (PG&amp;E):</w:t>
      </w:r>
    </w:p>
    <w:p w:rsidR="00B04AB6" w:rsidP="00B04AB6" w:rsidRDefault="00B04AB6" w14:paraId="1F6552DB" w14:textId="77777777">
      <w:pPr>
        <w:pStyle w:val="GaramondNormal"/>
      </w:pPr>
      <w:r>
        <w:t>"Topics that may require IT upgrades: There are two sections which indicate revisions to the structure of the DEER tables,</w:t>
      </w:r>
    </w:p>
    <w:p w:rsidR="00B04AB6" w:rsidP="00B04AB6" w:rsidRDefault="00B04AB6" w14:paraId="0D28601F" w14:textId="77777777">
      <w:pPr>
        <w:pStyle w:val="GaramondBullets"/>
        <w:ind w:left="648"/>
      </w:pPr>
      <w:r>
        <w:t xml:space="preserve">Load shape update process revision, </w:t>
      </w:r>
      <w:proofErr w:type="spellStart"/>
      <w:r>
        <w:t>pg</w:t>
      </w:r>
      <w:proofErr w:type="spellEnd"/>
      <w:r>
        <w:t xml:space="preserve"> A-3, which states “a new table or tables will be added to DEER…”</w:t>
      </w:r>
    </w:p>
    <w:p w:rsidR="00B04AB6" w:rsidP="00B04AB6" w:rsidRDefault="00B04AB6" w14:paraId="60FC4074" w14:textId="77777777">
      <w:pPr>
        <w:pStyle w:val="GaramondBullets"/>
        <w:ind w:left="648"/>
      </w:pPr>
      <w:r>
        <w:lastRenderedPageBreak/>
        <w:t xml:space="preserve">Future fuel-substitution measure considerations, </w:t>
      </w:r>
      <w:proofErr w:type="spellStart"/>
      <w:r>
        <w:t>pg</w:t>
      </w:r>
      <w:proofErr w:type="spellEnd"/>
      <w:r>
        <w:t xml:space="preserve"> A-13, which states “The introduction of fuel substitution energy efficiency measures to the deemed portfolio may require the addition of new fields to the workpaper Ex Ante Data (EAD) tables and the DEER database…”</w:t>
      </w:r>
    </w:p>
    <w:p w:rsidR="00B04AB6" w:rsidP="00B04AB6" w:rsidRDefault="00B04AB6" w14:paraId="48418F03" w14:textId="77777777">
      <w:pPr>
        <w:pStyle w:val="GaramondNormal"/>
      </w:pPr>
      <w:r>
        <w:t>PG&amp;E would like to highlight that structural IT changes to the DEER database and/or reporting also requires IOU database structure changes. PG&amp;E requests that CPUC incorporate ample notice and time for utilities to comply."</w:t>
      </w:r>
    </w:p>
    <w:p w:rsidRPr="00DE3C03" w:rsidR="00B04AB6" w:rsidP="00B04AB6" w:rsidRDefault="00B04AB6" w14:paraId="16183D02" w14:textId="77777777">
      <w:pPr>
        <w:pStyle w:val="GaramondNormal"/>
        <w:keepNext/>
        <w:rPr>
          <w:u w:val="single"/>
        </w:rPr>
      </w:pPr>
      <w:r w:rsidRPr="00DE3C03">
        <w:rPr>
          <w:u w:val="single"/>
        </w:rPr>
        <w:t xml:space="preserve">CPUC Staff </w:t>
      </w:r>
      <w:r>
        <w:rPr>
          <w:u w:val="single"/>
        </w:rPr>
        <w:t>R</w:t>
      </w:r>
      <w:r w:rsidRPr="00DE3C03">
        <w:rPr>
          <w:u w:val="single"/>
        </w:rPr>
        <w:t>esponse:</w:t>
      </w:r>
    </w:p>
    <w:p w:rsidR="00B04AB6" w:rsidP="00B04AB6" w:rsidRDefault="00B04AB6" w14:paraId="3AE9442D" w14:textId="77777777">
      <w:pPr>
        <w:pStyle w:val="GaramondNormal"/>
      </w:pPr>
      <w:r>
        <w:t>We recognize that the indicated updates are characterized as structural changes and will give ample notice of such changes through the Reporting PCG.</w:t>
      </w:r>
    </w:p>
    <w:p w:rsidRPr="00603EBB" w:rsidR="00B04AB6" w:rsidP="00B04AB6" w:rsidRDefault="00B04AB6" w14:paraId="21E95302" w14:textId="77777777">
      <w:pPr>
        <w:pStyle w:val="GaramondNormal"/>
        <w:keepNext/>
        <w:rPr>
          <w:i/>
          <w:iCs/>
        </w:rPr>
      </w:pPr>
      <w:r w:rsidRPr="00603EBB">
        <w:rPr>
          <w:i/>
          <w:iCs/>
        </w:rPr>
        <w:t>Southern California Regional Energy Network (</w:t>
      </w:r>
      <w:proofErr w:type="spellStart"/>
      <w:r w:rsidRPr="00603EBB">
        <w:rPr>
          <w:i/>
          <w:iCs/>
        </w:rPr>
        <w:t>SoCalRen</w:t>
      </w:r>
      <w:proofErr w:type="spellEnd"/>
      <w:r w:rsidRPr="00603EBB">
        <w:rPr>
          <w:i/>
          <w:iCs/>
        </w:rPr>
        <w:t xml:space="preserve">): </w:t>
      </w:r>
    </w:p>
    <w:p w:rsidR="00B04AB6" w:rsidP="00B04AB6" w:rsidRDefault="00B04AB6" w14:paraId="0F223358" w14:textId="77777777">
      <w:pPr>
        <w:pStyle w:val="GaramondNormal"/>
      </w:pPr>
      <w:r w:rsidRPr="000D562B">
        <w:t>One area that requires clarification in the Scope Update to DEER 2022 is the intersection of DEER and CEDARS Sources of Truth (</w:t>
      </w:r>
      <w:proofErr w:type="spellStart"/>
      <w:r w:rsidRPr="000D562B">
        <w:t>SoT</w:t>
      </w:r>
      <w:proofErr w:type="spellEnd"/>
      <w:r w:rsidRPr="000D562B">
        <w:t xml:space="preserve">). The Sources of Truth are not currently aligned with DEER and specific coordination on this would be helpful for compliance filings. </w:t>
      </w:r>
    </w:p>
    <w:p w:rsidR="00B04AB6" w:rsidP="00B04AB6" w:rsidRDefault="00B04AB6" w14:paraId="2E18729D" w14:textId="77777777">
      <w:pPr>
        <w:pStyle w:val="GaramondNormal"/>
      </w:pPr>
      <w:r w:rsidRPr="000D562B">
        <w:t xml:space="preserve">Additionally, the CPUC has rightfully continued to make the connection between DEER and the P&amp;G study. </w:t>
      </w:r>
      <w:proofErr w:type="spellStart"/>
      <w:r w:rsidRPr="000D562B">
        <w:t>SoCalREN</w:t>
      </w:r>
      <w:proofErr w:type="spellEnd"/>
      <w:r w:rsidRPr="000D562B">
        <w:t xml:space="preserve"> recommends that particular attention is given to align DEER values, such as NTG and GRR</w:t>
      </w:r>
      <w:r>
        <w:t>s</w:t>
      </w:r>
      <w:r w:rsidRPr="000D562B">
        <w:t xml:space="preserve">, with the measure level values used in the Potential and Goals (P&amp;G) study for all levels of analysis on Technical, Economic and Market Potential. This should be aligned with the DEER Bus Stop approach and integrated into the P&amp;G study. </w:t>
      </w:r>
    </w:p>
    <w:p w:rsidR="00B04AB6" w:rsidP="00B04AB6" w:rsidRDefault="00B04AB6" w14:paraId="7AF1BAFC" w14:textId="77777777">
      <w:pPr>
        <w:pStyle w:val="GaramondNormal"/>
        <w:spacing w:before="120"/>
      </w:pPr>
      <w:r w:rsidRPr="000D562B">
        <w:t>With respect to the integration of DEER values and the</w:t>
      </w:r>
      <w:r>
        <w:t xml:space="preserve"> Integrated Resource Plan</w:t>
      </w:r>
      <w:r w:rsidRPr="000D562B">
        <w:t xml:space="preserve"> </w:t>
      </w:r>
      <w:r>
        <w:t>(</w:t>
      </w:r>
      <w:r w:rsidRPr="000D562B">
        <w:t>IRP</w:t>
      </w:r>
      <w:r>
        <w:t>)</w:t>
      </w:r>
      <w:r w:rsidRPr="000D562B">
        <w:t xml:space="preserve">, </w:t>
      </w:r>
      <w:proofErr w:type="spellStart"/>
      <w:r w:rsidRPr="000D562B">
        <w:t>SoCalREN</w:t>
      </w:r>
      <w:proofErr w:type="spellEnd"/>
      <w:r w:rsidRPr="000D562B">
        <w:t xml:space="preserve"> commends the Commissioned staff in their Staff Proposal for Incorporating Energy Efficiency into the SB 350 Integrated Resource Planning Process.</w:t>
      </w:r>
      <w:r>
        <w:t xml:space="preserve"> </w:t>
      </w:r>
      <w:proofErr w:type="spellStart"/>
      <w:r w:rsidRPr="000D562B">
        <w:t>SoCalREN</w:t>
      </w:r>
      <w:proofErr w:type="spellEnd"/>
      <w:r w:rsidRPr="000D562B">
        <w:t xml:space="preserve"> recommends that the Commission continue their diligence in sequencing and incorporating DEER updates with IRP activities as appropriate. </w:t>
      </w:r>
    </w:p>
    <w:p w:rsidR="00B04AB6" w:rsidP="00B04AB6" w:rsidRDefault="00B04AB6" w14:paraId="269F6077" w14:textId="77777777">
      <w:pPr>
        <w:pStyle w:val="GaramondNormal"/>
        <w:spacing w:before="120"/>
      </w:pPr>
      <w:proofErr w:type="spellStart"/>
      <w:r w:rsidRPr="000D562B">
        <w:t>SoCalREN</w:t>
      </w:r>
      <w:proofErr w:type="spellEnd"/>
      <w:r w:rsidRPr="000D562B">
        <w:t xml:space="preserve"> understands that two landmark updates will be made to the </w:t>
      </w:r>
      <w:r>
        <w:t>RASS</w:t>
      </w:r>
      <w:r w:rsidRPr="000D562B">
        <w:t xml:space="preserve"> and the </w:t>
      </w:r>
      <w:r>
        <w:t>CEUS studies</w:t>
      </w:r>
      <w:r w:rsidRPr="000D562B">
        <w:t xml:space="preserve">. Given that the technical value and potential impacts to DEER values may be significant, </w:t>
      </w:r>
      <w:proofErr w:type="spellStart"/>
      <w:r w:rsidRPr="000D562B">
        <w:t>SoCalREN</w:t>
      </w:r>
      <w:proofErr w:type="spellEnd"/>
      <w:r w:rsidRPr="000D562B">
        <w:t xml:space="preserve"> requests the opportunity for public comment on all study drafts related to RASS and CEUS. Not only will they impact DEER but may shape future business plan filings and implementation plans. </w:t>
      </w:r>
    </w:p>
    <w:p w:rsidRPr="00603EBB" w:rsidR="00B04AB6" w:rsidP="00B04AB6" w:rsidRDefault="00B04AB6" w14:paraId="4B448614" w14:textId="77777777">
      <w:pPr>
        <w:pStyle w:val="GaramondNormal"/>
        <w:keepNext/>
        <w:rPr>
          <w:i/>
          <w:iCs/>
          <w:szCs w:val="24"/>
        </w:rPr>
      </w:pPr>
      <w:r w:rsidRPr="00603EBB">
        <w:rPr>
          <w:i/>
          <w:iCs/>
        </w:rPr>
        <w:t xml:space="preserve">Southern </w:t>
      </w:r>
      <w:r w:rsidRPr="00603EBB">
        <w:rPr>
          <w:i/>
          <w:iCs/>
          <w:szCs w:val="24"/>
        </w:rPr>
        <w:t>California Edison (SCE):</w:t>
      </w:r>
    </w:p>
    <w:p w:rsidRPr="000D562B" w:rsidR="00B04AB6" w:rsidP="00B04AB6" w:rsidRDefault="00B04AB6" w14:paraId="1ED886BB" w14:textId="77777777">
      <w:pPr>
        <w:pStyle w:val="GaramondNormal"/>
      </w:pPr>
      <w:r w:rsidRPr="000D562B">
        <w:t>SCE recommends that technical assumptions for goal development and portfolio assessment be aligned as reasonably as possible. The proposal</w:t>
      </w:r>
      <w:r>
        <w:rPr>
          <w:rStyle w:val="FootnoteReference"/>
        </w:rPr>
        <w:footnoteReference w:id="57"/>
      </w:r>
      <w:r w:rsidRPr="000D562B">
        <w:t xml:space="preserve"> recently filed by the National Resources Defense Council (NRDC) discusses alignment considerations.</w:t>
      </w:r>
      <w:r>
        <w:t xml:space="preserve"> </w:t>
      </w:r>
      <w:r w:rsidRPr="000D562B">
        <w:t xml:space="preserve"> </w:t>
      </w:r>
    </w:p>
    <w:p w:rsidRPr="00DE3C03" w:rsidR="00B04AB6" w:rsidP="00B04AB6" w:rsidRDefault="00B04AB6" w14:paraId="73B58920" w14:textId="77777777">
      <w:pPr>
        <w:pStyle w:val="GaramondNormal"/>
        <w:keepNext/>
        <w:rPr>
          <w:i/>
          <w:u w:val="single"/>
        </w:rPr>
      </w:pPr>
      <w:r w:rsidRPr="00DE3C03">
        <w:rPr>
          <w:u w:val="single"/>
        </w:rPr>
        <w:t xml:space="preserve">CPUC Staff </w:t>
      </w:r>
      <w:r>
        <w:rPr>
          <w:u w:val="single"/>
        </w:rPr>
        <w:t>R</w:t>
      </w:r>
      <w:r w:rsidRPr="00DE3C03">
        <w:rPr>
          <w:u w:val="single"/>
        </w:rPr>
        <w:t>esponse:</w:t>
      </w:r>
    </w:p>
    <w:p w:rsidR="00B04AB6" w:rsidP="00B04AB6" w:rsidRDefault="00B04AB6" w14:paraId="165A7E9F" w14:textId="77777777">
      <w:pPr>
        <w:pStyle w:val="GaramondNormal"/>
      </w:pPr>
      <w:r>
        <w:t xml:space="preserve">Work is underway to </w:t>
      </w:r>
      <w:proofErr w:type="gramStart"/>
      <w:r>
        <w:t>more closely align CEDARS and DEER variable names</w:t>
      </w:r>
      <w:proofErr w:type="gramEnd"/>
      <w:r>
        <w:t xml:space="preserve">. DEER values are inputs used in the Potential &amp; Goals. Discussion of P&amp;G study technical inputs are in the scope of said study and dealt with in that venue. Any changes to DEER based on the RASS or CEUS studies </w:t>
      </w:r>
      <w:r>
        <w:lastRenderedPageBreak/>
        <w:t xml:space="preserve">will be implemented according to the DEER update process and, as such, will be available for review during the Scoping Memo comment period and during the Resolution Draft comment period. </w:t>
      </w:r>
    </w:p>
    <w:p w:rsidR="00B04AB6" w:rsidP="00B04AB6" w:rsidRDefault="00B04AB6" w14:paraId="28B8661E" w14:textId="77777777">
      <w:pPr>
        <w:pStyle w:val="AttachmentHeading2"/>
      </w:pPr>
      <w:bookmarkStart w:name="_Toc45023462" w:id="211"/>
      <w:r w:rsidRPr="000D562B">
        <w:t>EM&amp;V</w:t>
      </w:r>
      <w:bookmarkEnd w:id="211"/>
    </w:p>
    <w:p w:rsidRPr="00603EBB" w:rsidR="00B04AB6" w:rsidP="00B04AB6" w:rsidRDefault="00B04AB6" w14:paraId="453243E5" w14:textId="77777777">
      <w:pPr>
        <w:pStyle w:val="GaramondNormal"/>
        <w:keepNext/>
        <w:rPr>
          <w:i/>
          <w:iCs/>
          <w:szCs w:val="24"/>
        </w:rPr>
      </w:pPr>
      <w:r w:rsidRPr="00603EBB">
        <w:rPr>
          <w:i/>
          <w:iCs/>
        </w:rPr>
        <w:t xml:space="preserve">Pacific Gas &amp; Electric </w:t>
      </w:r>
      <w:r>
        <w:rPr>
          <w:i/>
          <w:iCs/>
        </w:rPr>
        <w:t xml:space="preserve">Co. </w:t>
      </w:r>
      <w:r w:rsidRPr="00603EBB">
        <w:rPr>
          <w:i/>
          <w:iCs/>
        </w:rPr>
        <w:t>(PG&amp;E):</w:t>
      </w:r>
    </w:p>
    <w:p w:rsidRPr="00CC7335" w:rsidR="00B04AB6" w:rsidP="00B04AB6" w:rsidRDefault="00B04AB6" w14:paraId="34638E78" w14:textId="77777777">
      <w:pPr>
        <w:pStyle w:val="GaramondNormal"/>
      </w:pPr>
      <w:r>
        <w:t xml:space="preserve">Regarding </w:t>
      </w:r>
      <w:r w:rsidRPr="00CC7335">
        <w:t>Table A-4-1</w:t>
      </w:r>
      <w:r>
        <w:t>:</w:t>
      </w:r>
      <w:r w:rsidRPr="00CC7335">
        <w:t xml:space="preserve"> Summary of recent EM&amp;V study results, A-10: The scoping memo identifies many NTG values to be considered for update based on California EM&amp;V studies only (</w:t>
      </w:r>
      <w:proofErr w:type="spellStart"/>
      <w:r w:rsidRPr="00CC7335">
        <w:t>pg</w:t>
      </w:r>
      <w:proofErr w:type="spellEnd"/>
      <w:r w:rsidRPr="00CC7335">
        <w:t xml:space="preserve"> A-9). PG&amp;E recommends that DEER also consider the ACEEE national average NTG values as well. California EM&amp;V studies rely on unverified self-report surveys with a circuitous scoring methodology that has undergone multiple revisions, and the NTG surveys often take place one or more years after project completions.</w:t>
      </w:r>
      <w:r>
        <w:t xml:space="preserve"> </w:t>
      </w:r>
      <w:r w:rsidRPr="00CC7335">
        <w:t>Additionally, a recent PY2018 impact evaluation reported that it was clear customers were interpreting questions differently from the survey's intent.</w:t>
      </w:r>
      <w:r>
        <w:t xml:space="preserve"> </w:t>
      </w:r>
      <w:r w:rsidRPr="00CC7335">
        <w:t>For many years ACEEE’s State Energy Efficiency Scorecard annual report (https://www.aceee.org/state-policy/scorecard) has dropped CA NTG values since they are extreme outliers on the national stage.</w:t>
      </w:r>
      <w:r>
        <w:t xml:space="preserve"> </w:t>
      </w:r>
      <w:r w:rsidRPr="00CC7335">
        <w:t>The most recent (2019) ACEEE Scorecard report shows national average electricity NTG of 0.84, and gas NTG of 0.90, while the most recent CA portfolio NTG values are electricity NTG of 0.64 and gas NTG of 0.67 (Energy Efficiency Portfolio Report, CPUC, May 2018).</w:t>
      </w:r>
    </w:p>
    <w:p w:rsidRPr="00DE3C03" w:rsidR="00B04AB6" w:rsidP="00B04AB6" w:rsidRDefault="00B04AB6" w14:paraId="6A5D691C" w14:textId="77777777">
      <w:pPr>
        <w:pStyle w:val="GaramondNormal"/>
        <w:keepNext/>
        <w:rPr>
          <w:i/>
          <w:u w:val="single"/>
        </w:rPr>
      </w:pPr>
      <w:r w:rsidRPr="00DE3C03">
        <w:rPr>
          <w:u w:val="single"/>
        </w:rPr>
        <w:t xml:space="preserve">CPUC Staff </w:t>
      </w:r>
      <w:r>
        <w:rPr>
          <w:u w:val="single"/>
        </w:rPr>
        <w:t>R</w:t>
      </w:r>
      <w:r w:rsidRPr="00DE3C03">
        <w:rPr>
          <w:u w:val="single"/>
        </w:rPr>
        <w:t>esponse:</w:t>
      </w:r>
    </w:p>
    <w:p w:rsidRPr="00D47DF3" w:rsidR="00B04AB6" w:rsidP="00B04AB6" w:rsidRDefault="00B04AB6" w14:paraId="1C963702" w14:textId="77777777">
      <w:pPr>
        <w:pStyle w:val="GaramondNormal"/>
      </w:pPr>
      <w:r>
        <w:t>T</w:t>
      </w:r>
      <w:r w:rsidRPr="00D47DF3">
        <w:t xml:space="preserve">he NTG values determined through California EM&amp;V studies are more appropriate to use in DEER updates than national average NTG values. California EM&amp;V studies </w:t>
      </w:r>
      <w:r>
        <w:t xml:space="preserve">target </w:t>
      </w:r>
      <w:r w:rsidRPr="00D47DF3">
        <w:t xml:space="preserve">specific </w:t>
      </w:r>
      <w:r>
        <w:t>program and utility offerings and develop NTG values for that specific program, which will yield more relevant NTG values. An average at the fuel type level is not even a good metric given the diversity of EE programs and offerings. Regarding the NTG survey questions, there is always room for improvement and issues like the one mentioned should be considered in the scope of respective impact evaluations.</w:t>
      </w:r>
    </w:p>
    <w:p w:rsidRPr="004200CB" w:rsidR="00B04AB6" w:rsidP="00B04AB6" w:rsidRDefault="00B04AB6" w14:paraId="49C9076A" w14:textId="77777777">
      <w:pPr>
        <w:pStyle w:val="GaramondNormal"/>
        <w:keepNext/>
        <w:rPr>
          <w:i/>
          <w:iCs/>
        </w:rPr>
      </w:pPr>
      <w:r w:rsidRPr="004200CB">
        <w:rPr>
          <w:i/>
          <w:iCs/>
        </w:rPr>
        <w:t>Southern California Regional Energy Network (</w:t>
      </w:r>
      <w:proofErr w:type="spellStart"/>
      <w:r w:rsidRPr="004200CB">
        <w:rPr>
          <w:i/>
          <w:iCs/>
        </w:rPr>
        <w:t>SoCalRen</w:t>
      </w:r>
      <w:proofErr w:type="spellEnd"/>
      <w:r w:rsidRPr="004200CB">
        <w:rPr>
          <w:i/>
          <w:iCs/>
        </w:rPr>
        <w:t xml:space="preserve">): </w:t>
      </w:r>
    </w:p>
    <w:p w:rsidRPr="00B707B4" w:rsidR="00B04AB6" w:rsidP="00B04AB6" w:rsidRDefault="00B04AB6" w14:paraId="402E567C" w14:textId="77777777">
      <w:pPr>
        <w:pStyle w:val="GaramondNormal"/>
      </w:pPr>
      <w:proofErr w:type="spellStart"/>
      <w:r w:rsidRPr="00B707B4">
        <w:t>SoCalREN</w:t>
      </w:r>
      <w:proofErr w:type="spellEnd"/>
      <w:r w:rsidRPr="00B707B4">
        <w:t xml:space="preserve"> generally supports reviewing current impact evaluation reports to update energy savings. It is recommended to supplement these studies with additional publicly available reports and studies from </w:t>
      </w:r>
      <w:proofErr w:type="spellStart"/>
      <w:r w:rsidRPr="00B707B4">
        <w:t>ESource</w:t>
      </w:r>
      <w:proofErr w:type="spellEnd"/>
      <w:r w:rsidRPr="00B707B4">
        <w:t xml:space="preserve">, </w:t>
      </w:r>
      <w:r>
        <w:t>Electric Power Research Institute (</w:t>
      </w:r>
      <w:r w:rsidRPr="00B707B4">
        <w:t>EPRI</w:t>
      </w:r>
      <w:r>
        <w:t>)</w:t>
      </w:r>
      <w:r w:rsidRPr="00B707B4">
        <w:t xml:space="preserve">, and other such organizations. Additionally, the updates to RASS will be beneficial to include in updates to key DEER parameters. </w:t>
      </w:r>
    </w:p>
    <w:p w:rsidRPr="00B707B4" w:rsidR="00B04AB6" w:rsidP="00B04AB6" w:rsidRDefault="00B04AB6" w14:paraId="4CB898E1" w14:textId="77777777">
      <w:pPr>
        <w:pStyle w:val="GaramondNormal"/>
      </w:pPr>
      <w:proofErr w:type="spellStart"/>
      <w:r w:rsidRPr="00B707B4">
        <w:t>SoCalREN</w:t>
      </w:r>
      <w:proofErr w:type="spellEnd"/>
      <w:r w:rsidRPr="00B707B4">
        <w:t xml:space="preserve"> recommends that the changes to the refrigerated case lighting and water heating measures be considered in parallel with any statewide water heating program activities, as well as any related control measures that increase the cost effectiveness of such measures. </w:t>
      </w:r>
    </w:p>
    <w:p w:rsidRPr="00DE3C03" w:rsidR="00B04AB6" w:rsidP="00B04AB6" w:rsidRDefault="00B04AB6" w14:paraId="60CDD4AA" w14:textId="77777777">
      <w:pPr>
        <w:pStyle w:val="GaramondNormal"/>
        <w:keepNext/>
        <w:rPr>
          <w:i/>
          <w:u w:val="single"/>
        </w:rPr>
      </w:pPr>
      <w:r w:rsidRPr="00DE3C03">
        <w:rPr>
          <w:u w:val="single"/>
        </w:rPr>
        <w:t xml:space="preserve">CPUC Staff </w:t>
      </w:r>
      <w:r>
        <w:rPr>
          <w:u w:val="single"/>
        </w:rPr>
        <w:t>R</w:t>
      </w:r>
      <w:r w:rsidRPr="00DE3C03">
        <w:rPr>
          <w:u w:val="single"/>
        </w:rPr>
        <w:t>esponse:</w:t>
      </w:r>
    </w:p>
    <w:p w:rsidRPr="000E6AE1" w:rsidR="00B04AB6" w:rsidP="00B04AB6" w:rsidRDefault="00B04AB6" w14:paraId="5364714C" w14:textId="77777777">
      <w:pPr>
        <w:pStyle w:val="GaramondNormal"/>
      </w:pPr>
      <w:r w:rsidRPr="000E6AE1">
        <w:t>We will make updates based on RASS next year when the study is completed and will bring in results from other studies where appropriate</w:t>
      </w:r>
      <w:r>
        <w:t xml:space="preserve"> and if California sources do not exist</w:t>
      </w:r>
      <w:r w:rsidRPr="000E6AE1">
        <w:t>. We agree that controls are a useful future consideration</w:t>
      </w:r>
      <w:r>
        <w:t xml:space="preserve"> for future workpapers</w:t>
      </w:r>
      <w:r w:rsidRPr="000E6AE1">
        <w:t xml:space="preserve">. </w:t>
      </w:r>
    </w:p>
    <w:p w:rsidRPr="004200CB" w:rsidR="00B04AB6" w:rsidP="00B04AB6" w:rsidRDefault="00B04AB6" w14:paraId="4F5B4DE5" w14:textId="77777777">
      <w:pPr>
        <w:pStyle w:val="GaramondNormal"/>
        <w:keepNext/>
        <w:rPr>
          <w:i/>
          <w:iCs/>
        </w:rPr>
      </w:pPr>
      <w:r w:rsidRPr="004200CB">
        <w:rPr>
          <w:i/>
          <w:iCs/>
        </w:rPr>
        <w:lastRenderedPageBreak/>
        <w:t xml:space="preserve">San Diego Gas &amp; Electric </w:t>
      </w:r>
      <w:r>
        <w:rPr>
          <w:i/>
          <w:iCs/>
        </w:rPr>
        <w:t xml:space="preserve">Co. </w:t>
      </w:r>
      <w:r w:rsidRPr="004200CB">
        <w:rPr>
          <w:i/>
          <w:iCs/>
        </w:rPr>
        <w:t>(SDG&amp;E):</w:t>
      </w:r>
    </w:p>
    <w:p w:rsidRPr="00B707B4" w:rsidR="00B04AB6" w:rsidP="00B04AB6" w:rsidRDefault="00B04AB6" w14:paraId="7CC8297F" w14:textId="77777777">
      <w:pPr>
        <w:pStyle w:val="GaramondNormal"/>
      </w:pPr>
      <w:r w:rsidRPr="00B707B4">
        <w:t xml:space="preserve">The list of EM&amp;V studies does not include smart thermostats under “Residential EM&amp;V” even though the other measures were studied for PY2018. </w:t>
      </w:r>
      <w:r>
        <w:t>We r</w:t>
      </w:r>
      <w:r w:rsidRPr="00B707B4">
        <w:t>ecommend add</w:t>
      </w:r>
      <w:r>
        <w:t>ing</w:t>
      </w:r>
      <w:r w:rsidRPr="00B707B4">
        <w:t xml:space="preserve"> to the priorities.</w:t>
      </w:r>
    </w:p>
    <w:p w:rsidRPr="00B707B4" w:rsidR="00B04AB6" w:rsidP="00B04AB6" w:rsidRDefault="00B04AB6" w14:paraId="25ECEF24" w14:textId="77777777">
      <w:pPr>
        <w:pStyle w:val="GaramondNormal"/>
      </w:pPr>
      <w:r w:rsidRPr="00B707B4">
        <w:t>Under “Review of EM&amp;V Studies” the smart thermostat measure is listed.</w:t>
      </w:r>
      <w:r>
        <w:t xml:space="preserve"> </w:t>
      </w:r>
      <w:r w:rsidRPr="00B707B4">
        <w:t xml:space="preserve">Why is it the only measure excluded from Residential measures evaluation? Add to Table 1-2 as it is a priority as it has current impacts to what would be appropriate to forecast in 2021 </w:t>
      </w:r>
      <w:r>
        <w:t>Annual Budget Advice Letter (</w:t>
      </w:r>
      <w:r w:rsidRPr="00B707B4">
        <w:t>ABAL</w:t>
      </w:r>
      <w:r>
        <w:t>)</w:t>
      </w:r>
      <w:r w:rsidRPr="00B707B4">
        <w:t xml:space="preserve"> and future solicitations.</w:t>
      </w:r>
      <w:r>
        <w:t xml:space="preserve"> </w:t>
      </w:r>
      <w:r w:rsidRPr="00B707B4">
        <w:t xml:space="preserve">In addition, smart thermostats are part of the EE+DR measure opportunities for control but if the WP is only reflecting the EE component it is difficult to justify including it in the portfolio from a cost effectiveness perspective. </w:t>
      </w:r>
    </w:p>
    <w:p w:rsidRPr="00B707B4" w:rsidR="00B04AB6" w:rsidP="00B04AB6" w:rsidRDefault="00B04AB6" w14:paraId="0D9EF140" w14:textId="77777777">
      <w:pPr>
        <w:pStyle w:val="GaramondNormal"/>
      </w:pPr>
      <w:r>
        <w:t>The memo describes the timeline of when the impact evaluations would be included in DEER updates when giving an example about “[l]</w:t>
      </w:r>
      <w:proofErr w:type="spellStart"/>
      <w:r>
        <w:t>oad</w:t>
      </w:r>
      <w:proofErr w:type="spellEnd"/>
      <w:r>
        <w:t xml:space="preserve"> shapes applicable to measures updated through 2019 EM&amp;V efforts or via DEER 2022 will be available for use in 2022.” </w:t>
      </w:r>
      <w:proofErr w:type="gramStart"/>
      <w:r>
        <w:t>The 2019 EM&amp;V efforts,</w:t>
      </w:r>
      <w:proofErr w:type="gramEnd"/>
      <w:r>
        <w:t xml:space="preserve"> also </w:t>
      </w:r>
      <w:proofErr w:type="spellStart"/>
      <w:r>
        <w:t>know</w:t>
      </w:r>
      <w:proofErr w:type="spellEnd"/>
      <w:r>
        <w:t xml:space="preserve"> as PY2018 impact evaluations, the available for “use year” or “Effective Program Year” is 2021 and not year 2022. It should be included in DEER2022 as noted. </w:t>
      </w:r>
    </w:p>
    <w:p w:rsidRPr="00B707B4" w:rsidR="00B04AB6" w:rsidP="00B04AB6" w:rsidRDefault="00B04AB6" w14:paraId="2599EE6E" w14:textId="77777777">
      <w:pPr>
        <w:pStyle w:val="GaramondNormal"/>
      </w:pPr>
      <w:r w:rsidRPr="00B707B4">
        <w:t xml:space="preserve">“The Home Energy Reports, Smart Thermostat, and </w:t>
      </w:r>
      <w:r>
        <w:t>P</w:t>
      </w:r>
      <w:r w:rsidRPr="00B707B4">
        <w:t xml:space="preserve">ool </w:t>
      </w:r>
      <w:r>
        <w:t>P</w:t>
      </w:r>
      <w:r w:rsidRPr="00B707B4">
        <w:t>ump evaluations may impact workpapers for PY2021 and PY2022, but these measures are not being considered for addition to DEER in 2022”.</w:t>
      </w:r>
      <w:r>
        <w:t xml:space="preserve"> </w:t>
      </w:r>
      <w:r w:rsidRPr="00B707B4">
        <w:t xml:space="preserve">While SDG&amp;E can agree with the Pool Pump not needing to be considered for workpaper updates as the measure will become code in 2021, there is a huge drop in savings for Smart Thermostats found in the impact evaluation that would necessitate a workpaper update. Provide clarity on the required timing to update the smart thermostat workpapers. </w:t>
      </w:r>
    </w:p>
    <w:p w:rsidR="00B04AB6" w:rsidP="00B04AB6" w:rsidRDefault="00B04AB6" w14:paraId="1D5CC50F" w14:textId="77777777">
      <w:pPr>
        <w:pStyle w:val="GaramondNormal"/>
      </w:pPr>
      <w:r w:rsidRPr="00B707B4">
        <w:t>The list of EM&amp;V studies omitted residential “Fan Motors” from “HVAC EM&amp;V” technologies listed in parentheses. Residential “Fan Motor” technology was included in the 2018 HVAC Impact Evaluation Report by DNV GL. Add “Fan Motor Replacement” to the DEER 2022 priorities. (section 5.2.2 in HVAC eval report)</w:t>
      </w:r>
      <w:r>
        <w:t>.</w:t>
      </w:r>
    </w:p>
    <w:p w:rsidRPr="00DE3C03" w:rsidR="00B04AB6" w:rsidP="00B04AB6" w:rsidRDefault="00B04AB6" w14:paraId="0B0094CA" w14:textId="77777777">
      <w:pPr>
        <w:pStyle w:val="GaramondNormal"/>
        <w:keepNext/>
        <w:rPr>
          <w:i/>
          <w:u w:val="single"/>
        </w:rPr>
      </w:pPr>
      <w:r w:rsidRPr="00DE3C03">
        <w:rPr>
          <w:u w:val="single"/>
        </w:rPr>
        <w:t xml:space="preserve">CPUC Staff </w:t>
      </w:r>
      <w:r>
        <w:rPr>
          <w:u w:val="single"/>
        </w:rPr>
        <w:t>R</w:t>
      </w:r>
      <w:r w:rsidRPr="00DE3C03">
        <w:rPr>
          <w:u w:val="single"/>
        </w:rPr>
        <w:t>esponse:</w:t>
      </w:r>
    </w:p>
    <w:p w:rsidRPr="004C63F1" w:rsidR="00B04AB6" w:rsidP="00B04AB6" w:rsidRDefault="00B04AB6" w14:paraId="3058AFAC" w14:textId="77777777">
      <w:pPr>
        <w:pStyle w:val="GaramondNormal"/>
      </w:pPr>
      <w:r w:rsidRPr="004C63F1">
        <w:t xml:space="preserve">Smart thermostats are not a DEER measure, so </w:t>
      </w:r>
      <w:r>
        <w:t xml:space="preserve">guidance is being provided through the workpaper process. </w:t>
      </w:r>
      <w:r w:rsidRPr="004C63F1">
        <w:t>However</w:t>
      </w:r>
      <w:r>
        <w:t>,</w:t>
      </w:r>
      <w:r w:rsidRPr="004C63F1">
        <w:t xml:space="preserve"> the smart thermostat NTG values are held </w:t>
      </w:r>
      <w:r>
        <w:t xml:space="preserve">in the DEER database support </w:t>
      </w:r>
      <w:r w:rsidRPr="004C63F1">
        <w:t>tables, and those will be updated with the new NTG values from the 2018 smart thermostat evaluation.</w:t>
      </w:r>
      <w:r w:rsidRPr="00221EF0">
        <w:t xml:space="preserve"> Fan motors were </w:t>
      </w:r>
      <w:r>
        <w:t>inadvertently</w:t>
      </w:r>
      <w:r w:rsidRPr="00221EF0">
        <w:t xml:space="preserve"> </w:t>
      </w:r>
      <w:r>
        <w:t>excluded from</w:t>
      </w:r>
      <w:r w:rsidRPr="00221EF0">
        <w:t xml:space="preserve"> the scoping memo, but </w:t>
      </w:r>
      <w:r>
        <w:t>evaluation results are being reviewed for possible inclusion in the 2022 DEER update</w:t>
      </w:r>
      <w:r w:rsidRPr="00221EF0">
        <w:t>.</w:t>
      </w:r>
      <w:r>
        <w:t xml:space="preserve"> EM&amp;V results are available for use in workpapers as soon as they are released. The results relevant to DEER measures are updated on the normal DEER update cycle, i.e. they are included in the current year, 2022 DEER update. The results will be in the database and available for use in September 2020 when the Resolution is voted out. </w:t>
      </w:r>
    </w:p>
    <w:p w:rsidRPr="00E3168C" w:rsidR="00B04AB6" w:rsidP="00B04AB6" w:rsidRDefault="00B04AB6" w14:paraId="55582C5B" w14:textId="77777777">
      <w:pPr>
        <w:pStyle w:val="AttachmentHeading2"/>
      </w:pPr>
      <w:bookmarkStart w:name="_Toc45023463" w:id="212"/>
      <w:bookmarkStart w:name="_Hlk40774721" w:id="213"/>
      <w:r>
        <w:t xml:space="preserve">Transition to </w:t>
      </w:r>
      <w:proofErr w:type="spellStart"/>
      <w:r w:rsidRPr="00E3168C">
        <w:t>eTRM</w:t>
      </w:r>
      <w:bookmarkEnd w:id="212"/>
      <w:proofErr w:type="spellEnd"/>
    </w:p>
    <w:p w:rsidRPr="004200CB" w:rsidR="00B04AB6" w:rsidP="00B04AB6" w:rsidRDefault="00B04AB6" w14:paraId="32AA74DA" w14:textId="77777777">
      <w:pPr>
        <w:pStyle w:val="GaramondNormal"/>
        <w:keepNext/>
        <w:rPr>
          <w:i/>
          <w:iCs/>
        </w:rPr>
      </w:pPr>
      <w:r w:rsidRPr="004200CB">
        <w:rPr>
          <w:i/>
          <w:iCs/>
        </w:rPr>
        <w:t>Southern California Regional Energy Network (</w:t>
      </w:r>
      <w:proofErr w:type="spellStart"/>
      <w:r w:rsidRPr="004200CB">
        <w:rPr>
          <w:i/>
          <w:iCs/>
        </w:rPr>
        <w:t>SoCalRen</w:t>
      </w:r>
      <w:proofErr w:type="spellEnd"/>
      <w:r w:rsidRPr="004200CB">
        <w:rPr>
          <w:i/>
          <w:iCs/>
        </w:rPr>
        <w:t xml:space="preserve">): </w:t>
      </w:r>
    </w:p>
    <w:p w:rsidRPr="00E3168C" w:rsidR="00B04AB6" w:rsidP="00B04AB6" w:rsidRDefault="00B04AB6" w14:paraId="5051A836" w14:textId="77777777">
      <w:pPr>
        <w:pStyle w:val="GaramondNormal"/>
      </w:pPr>
      <w:proofErr w:type="spellStart"/>
      <w:r w:rsidRPr="00E3168C">
        <w:t>SoCalREN</w:t>
      </w:r>
      <w:proofErr w:type="spellEnd"/>
      <w:r w:rsidRPr="00E3168C">
        <w:t xml:space="preserve"> supports the transition to the electronic reference manual (</w:t>
      </w:r>
      <w:proofErr w:type="spellStart"/>
      <w:r w:rsidRPr="00E3168C">
        <w:t>eTRM</w:t>
      </w:r>
      <w:proofErr w:type="spellEnd"/>
      <w:r w:rsidRPr="00E3168C">
        <w:t xml:space="preserve">) and the general direction of the DEER-workpaper ecosystem. The potential of the </w:t>
      </w:r>
      <w:proofErr w:type="spellStart"/>
      <w:r w:rsidRPr="00E3168C">
        <w:t>eTRM</w:t>
      </w:r>
      <w:proofErr w:type="spellEnd"/>
      <w:r w:rsidRPr="00E3168C">
        <w:t xml:space="preserve"> to further streamline the </w:t>
      </w:r>
      <w:r w:rsidRPr="00E3168C">
        <w:lastRenderedPageBreak/>
        <w:t xml:space="preserve">workpaper process, as well as upstream and downstream efforts that use DEER values is strongly supported. If the </w:t>
      </w:r>
      <w:proofErr w:type="spellStart"/>
      <w:r w:rsidRPr="00E3168C">
        <w:t>eTRM</w:t>
      </w:r>
      <w:proofErr w:type="spellEnd"/>
      <w:r w:rsidRPr="00E3168C">
        <w:t xml:space="preserve"> were to serve as a single database of record as mentioned in Section 2.4 of Attachment 2 - DEER2022 Update Summary, many stakeholders would greatly benefit from this consolidation. Furthermore, </w:t>
      </w:r>
      <w:proofErr w:type="spellStart"/>
      <w:r w:rsidRPr="00E3168C">
        <w:t>SoCalREN</w:t>
      </w:r>
      <w:proofErr w:type="spellEnd"/>
      <w:r w:rsidRPr="00E3168C">
        <w:t xml:space="preserve"> looks forward to the role of the </w:t>
      </w:r>
      <w:proofErr w:type="spellStart"/>
      <w:r w:rsidRPr="00E3168C">
        <w:t>eTRM</w:t>
      </w:r>
      <w:proofErr w:type="spellEnd"/>
      <w:r w:rsidRPr="00E3168C">
        <w:t xml:space="preserve"> in streamlining the new workpaper process as well as serving as an easily searchable workpaper database. Additionally, the promise for the </w:t>
      </w:r>
      <w:proofErr w:type="spellStart"/>
      <w:r w:rsidRPr="00E3168C">
        <w:t>eTRM</w:t>
      </w:r>
      <w:proofErr w:type="spellEnd"/>
      <w:r w:rsidRPr="00E3168C">
        <w:t xml:space="preserve"> to also contain load shapes is of great importance. The ability to access the load shapes as well as the underlying assumptions would greatly benefit the Program Administrators, Implementers and third parties. In the future cycle updates of the </w:t>
      </w:r>
      <w:proofErr w:type="spellStart"/>
      <w:r w:rsidRPr="00E3168C">
        <w:t>eTRM</w:t>
      </w:r>
      <w:proofErr w:type="spellEnd"/>
      <w:r w:rsidRPr="00E3168C">
        <w:t xml:space="preserve">, </w:t>
      </w:r>
      <w:proofErr w:type="spellStart"/>
      <w:r w:rsidRPr="00E3168C">
        <w:t>SoCalREN</w:t>
      </w:r>
      <w:proofErr w:type="spellEnd"/>
      <w:r w:rsidRPr="00E3168C">
        <w:t xml:space="preserve"> looks forward to understanding how Section 5.2 of Resolution E-5009 is more fully addressed in the future of building simulation prototypes and modeling. Accessing load shapes and a robust dataset through interoperable software such as </w:t>
      </w:r>
      <w:proofErr w:type="spellStart"/>
      <w:r w:rsidRPr="00E3168C">
        <w:t>EnergyPlus</w:t>
      </w:r>
      <w:proofErr w:type="spellEnd"/>
      <w:r w:rsidRPr="00E3168C">
        <w:t xml:space="preserve"> would allow for significant workflow improvements across stakeholders. Lastly, </w:t>
      </w:r>
      <w:proofErr w:type="spellStart"/>
      <w:r w:rsidRPr="00E3168C">
        <w:t>SoCalREN</w:t>
      </w:r>
      <w:proofErr w:type="spellEnd"/>
      <w:r w:rsidRPr="00E3168C">
        <w:t xml:space="preserve"> is interested in joint efforts related to standardizing prototypes and compliance rulesets. </w:t>
      </w:r>
    </w:p>
    <w:p w:rsidRPr="00E3168C" w:rsidR="00B04AB6" w:rsidP="00B04AB6" w:rsidRDefault="00B04AB6" w14:paraId="67AEF15D" w14:textId="77777777">
      <w:pPr>
        <w:pStyle w:val="GaramondNormal"/>
      </w:pPr>
      <w:r w:rsidRPr="00E3168C">
        <w:t xml:space="preserve">As mentioned throughout these comments, </w:t>
      </w:r>
      <w:proofErr w:type="spellStart"/>
      <w:r w:rsidRPr="00E3168C">
        <w:t>SoCalREN</w:t>
      </w:r>
      <w:proofErr w:type="spellEnd"/>
      <w:r w:rsidRPr="00E3168C">
        <w:t xml:space="preserve"> supports the transition to the </w:t>
      </w:r>
      <w:proofErr w:type="spellStart"/>
      <w:r w:rsidRPr="00E3168C">
        <w:t>eTRM</w:t>
      </w:r>
      <w:proofErr w:type="spellEnd"/>
      <w:r w:rsidRPr="00E3168C">
        <w:t xml:space="preserve"> and look forward to the expected benefits of its progressive launch and continued development. </w:t>
      </w:r>
    </w:p>
    <w:p w:rsidRPr="004200CB" w:rsidR="00B04AB6" w:rsidP="00B04AB6" w:rsidRDefault="00B04AB6" w14:paraId="3D6E5D25" w14:textId="77777777">
      <w:pPr>
        <w:pStyle w:val="GaramondNormal"/>
        <w:keepNext/>
        <w:rPr>
          <w:i/>
          <w:iCs/>
        </w:rPr>
      </w:pPr>
      <w:r w:rsidRPr="004200CB">
        <w:rPr>
          <w:i/>
          <w:iCs/>
        </w:rPr>
        <w:t>Southern California Edison (SCE):</w:t>
      </w:r>
    </w:p>
    <w:p w:rsidRPr="00E3168C" w:rsidR="00B04AB6" w:rsidP="00B04AB6" w:rsidRDefault="00B04AB6" w14:paraId="4DF81E8C" w14:textId="77777777">
      <w:pPr>
        <w:pStyle w:val="GaramondNormal"/>
      </w:pPr>
      <w:r w:rsidRPr="00E3168C">
        <w:t xml:space="preserve">Transition to </w:t>
      </w:r>
      <w:proofErr w:type="spellStart"/>
      <w:r w:rsidRPr="00E3168C">
        <w:t>eTRM</w:t>
      </w:r>
      <w:proofErr w:type="spellEnd"/>
      <w:r w:rsidRPr="00E3168C">
        <w:t xml:space="preserve">: Table 1.2 includes the following Update Topic Area description: “Implement </w:t>
      </w:r>
      <w:proofErr w:type="spellStart"/>
      <w:r w:rsidRPr="00E3168C">
        <w:t>eTRM</w:t>
      </w:r>
      <w:proofErr w:type="spellEnd"/>
      <w:r w:rsidRPr="00E3168C">
        <w:t xml:space="preserve"> Transition Plan (Includes User testing/acceptance Plan, Ex ante data Compliance Plan, Governance plan, IOU co-funding plan, IT Administration plan, systems integration plan); establish CPUC position on </w:t>
      </w:r>
      <w:proofErr w:type="spellStart"/>
      <w:r w:rsidRPr="00E3168C">
        <w:t>CalTF</w:t>
      </w:r>
      <w:proofErr w:type="spellEnd"/>
      <w:r w:rsidRPr="00E3168C">
        <w:t xml:space="preserve"> governing board.”</w:t>
      </w:r>
      <w:r>
        <w:t xml:space="preserve"> </w:t>
      </w:r>
      <w:r w:rsidRPr="00E3168C">
        <w:t>SCE recommends a correction from “</w:t>
      </w:r>
      <w:proofErr w:type="spellStart"/>
      <w:r w:rsidRPr="00E3168C">
        <w:t>CalTF</w:t>
      </w:r>
      <w:proofErr w:type="spellEnd"/>
      <w:r w:rsidRPr="00E3168C">
        <w:t xml:space="preserve"> governing board” to “</w:t>
      </w:r>
      <w:proofErr w:type="spellStart"/>
      <w:r w:rsidRPr="00E3168C">
        <w:t>eTRM</w:t>
      </w:r>
      <w:proofErr w:type="spellEnd"/>
      <w:r w:rsidRPr="00E3168C">
        <w:t xml:space="preserve"> governing board”.</w:t>
      </w:r>
      <w:r>
        <w:t xml:space="preserve"> </w:t>
      </w:r>
    </w:p>
    <w:p w:rsidR="00B04AB6" w:rsidP="00B04AB6" w:rsidRDefault="00B04AB6" w14:paraId="42B8ACFD" w14:textId="77777777">
      <w:pPr>
        <w:pStyle w:val="GaramondNormal"/>
      </w:pPr>
      <w:r w:rsidRPr="00E3168C">
        <w:t xml:space="preserve">Transition to </w:t>
      </w:r>
      <w:proofErr w:type="spellStart"/>
      <w:r w:rsidRPr="00E3168C">
        <w:t>eTRM</w:t>
      </w:r>
      <w:proofErr w:type="spellEnd"/>
      <w:r w:rsidRPr="00E3168C">
        <w:t xml:space="preserve"> – Section 9: describes a multi-year transition plan to the Electronic Technical Reference Manual (</w:t>
      </w:r>
      <w:proofErr w:type="spellStart"/>
      <w:r w:rsidRPr="00E3168C">
        <w:t>eTRM</w:t>
      </w:r>
      <w:proofErr w:type="spellEnd"/>
      <w:r w:rsidRPr="00E3168C">
        <w:t xml:space="preserve">). SCE recommends that the transition consider a distinct cutover to the </w:t>
      </w:r>
      <w:proofErr w:type="spellStart"/>
      <w:r w:rsidRPr="00E3168C">
        <w:t>eTRM</w:t>
      </w:r>
      <w:proofErr w:type="spellEnd"/>
      <w:r w:rsidRPr="00E3168C">
        <w:t xml:space="preserve"> environment, rather than a transition plan that includes hosting and funding two systems in parallel. SCE recommends setting a goal of having DEER sunset at the end of 2021 and </w:t>
      </w:r>
      <w:proofErr w:type="spellStart"/>
      <w:r w:rsidRPr="00E3168C">
        <w:t>eTRM</w:t>
      </w:r>
      <w:proofErr w:type="spellEnd"/>
      <w:r w:rsidRPr="00E3168C">
        <w:t xml:space="preserve"> become the system of record thereafter.</w:t>
      </w:r>
      <w:r>
        <w:t xml:space="preserve"> </w:t>
      </w:r>
      <w:r w:rsidRPr="00E3168C">
        <w:t xml:space="preserve">Furthermore, SCE recommends that funding for the transition to </w:t>
      </w:r>
      <w:proofErr w:type="spellStart"/>
      <w:r w:rsidRPr="00E3168C">
        <w:t>eTRM</w:t>
      </w:r>
      <w:proofErr w:type="spellEnd"/>
      <w:r w:rsidRPr="00E3168C">
        <w:t xml:space="preserve"> be discussed and decided upon during the DEER 2022 update. </w:t>
      </w:r>
    </w:p>
    <w:p w:rsidRPr="004200CB" w:rsidR="00B04AB6" w:rsidP="00B04AB6" w:rsidRDefault="00B04AB6" w14:paraId="41D12E5E" w14:textId="77777777">
      <w:pPr>
        <w:pStyle w:val="GaramondNormal"/>
        <w:keepNext/>
        <w:rPr>
          <w:i/>
          <w:iCs/>
        </w:rPr>
      </w:pPr>
      <w:r w:rsidRPr="004200CB">
        <w:rPr>
          <w:i/>
          <w:iCs/>
        </w:rPr>
        <w:t xml:space="preserve">San Diego Gas &amp; Electric </w:t>
      </w:r>
      <w:r>
        <w:rPr>
          <w:i/>
          <w:iCs/>
        </w:rPr>
        <w:t xml:space="preserve">Co. </w:t>
      </w:r>
      <w:r w:rsidRPr="004200CB">
        <w:rPr>
          <w:i/>
          <w:iCs/>
        </w:rPr>
        <w:t>(SDG&amp;E):</w:t>
      </w:r>
    </w:p>
    <w:p w:rsidRPr="00E3168C" w:rsidR="00B04AB6" w:rsidP="00B04AB6" w:rsidRDefault="00B04AB6" w14:paraId="10EC986E" w14:textId="77777777">
      <w:pPr>
        <w:pStyle w:val="GaramondNormal"/>
      </w:pPr>
      <w:r w:rsidRPr="00E3168C">
        <w:t xml:space="preserve">Under “Support </w:t>
      </w:r>
      <w:proofErr w:type="spellStart"/>
      <w:r w:rsidRPr="00E3168C">
        <w:t>DEEResources</w:t>
      </w:r>
      <w:proofErr w:type="spellEnd"/>
      <w:r w:rsidRPr="00E3168C">
        <w:t>…”</w:t>
      </w:r>
      <w:r>
        <w:t xml:space="preserve"> </w:t>
      </w:r>
      <w:r w:rsidRPr="00E3168C">
        <w:t>The following should be added to the end of the sentence, “…</w:t>
      </w:r>
      <w:proofErr w:type="spellStart"/>
      <w:r w:rsidRPr="00E3168C">
        <w:t>eTRM</w:t>
      </w:r>
      <w:proofErr w:type="spellEnd"/>
      <w:r w:rsidRPr="00E3168C">
        <w:t xml:space="preserve"> platform complete, on or before 12/31/21.” </w:t>
      </w:r>
    </w:p>
    <w:p w:rsidRPr="00DE3C03" w:rsidR="00B04AB6" w:rsidP="00B04AB6" w:rsidRDefault="00B04AB6" w14:paraId="5FA063FD" w14:textId="77777777">
      <w:pPr>
        <w:pStyle w:val="GaramondNormal"/>
        <w:keepNext/>
        <w:rPr>
          <w:u w:val="single"/>
        </w:rPr>
      </w:pPr>
      <w:r w:rsidRPr="00DE3C03">
        <w:rPr>
          <w:u w:val="single"/>
        </w:rPr>
        <w:t xml:space="preserve">CPUC Staff </w:t>
      </w:r>
      <w:r>
        <w:rPr>
          <w:u w:val="single"/>
        </w:rPr>
        <w:t>R</w:t>
      </w:r>
      <w:r w:rsidRPr="00DE3C03">
        <w:rPr>
          <w:u w:val="single"/>
        </w:rPr>
        <w:t>esponse:</w:t>
      </w:r>
    </w:p>
    <w:p w:rsidR="00B04AB6" w:rsidP="00B04AB6" w:rsidRDefault="00B04AB6" w14:paraId="2728CB4F" w14:textId="77777777">
      <w:pPr>
        <w:pStyle w:val="GaramondNormal"/>
      </w:pPr>
      <w:r>
        <w:t xml:space="preserve">We agree that load shapes should be accessible and transparent and will work toward that goal as part of the final state of the ecosystem. We have removed language regarding a governing board from the resolution </w:t>
      </w:r>
      <w:proofErr w:type="gramStart"/>
      <w:r>
        <w:t>at this point in time</w:t>
      </w:r>
      <w:proofErr w:type="gramEnd"/>
      <w:r>
        <w:t xml:space="preserve"> and acknowledge the comment for future consideration. </w:t>
      </w:r>
      <w:r w:rsidRPr="007D54B8">
        <w:t xml:space="preserve">We agree that an expeditious transition to avoid duplicative platforms is important, and CPUC staff have identified modifications to the </w:t>
      </w:r>
      <w:proofErr w:type="spellStart"/>
      <w:r w:rsidRPr="007D54B8">
        <w:t>eTRM</w:t>
      </w:r>
      <w:proofErr w:type="spellEnd"/>
      <w:r w:rsidRPr="007D54B8">
        <w:t xml:space="preserve"> necessary to accommodate workpaper submission, review, tracking and approval that shall begin in July 2020. </w:t>
      </w:r>
      <w:r>
        <w:t xml:space="preserve">A parallel transition is necessary </w:t>
      </w:r>
      <w:r w:rsidRPr="0066494F">
        <w:t>to fully sunset the existing DEER, Ex</w:t>
      </w:r>
      <w:r>
        <w:t xml:space="preserve"> </w:t>
      </w:r>
      <w:r w:rsidRPr="0066494F">
        <w:t>Ante</w:t>
      </w:r>
      <w:r>
        <w:t>,</w:t>
      </w:r>
      <w:r w:rsidRPr="0066494F">
        <w:t xml:space="preserve"> and PEAR databases by the end of 2021. The decision to sunset the existing systems will depend on the replacement solutions’ ability to meet all policy- and </w:t>
      </w:r>
      <w:r w:rsidRPr="0066494F">
        <w:lastRenderedPageBreak/>
        <w:t>technology-related requirements. The CPUC will sunset the existing systems once it is satisfied that these needs are met by the replacement solution.</w:t>
      </w:r>
    </w:p>
    <w:p w:rsidRPr="00E3168C" w:rsidR="00B04AB6" w:rsidP="00B04AB6" w:rsidRDefault="00B04AB6" w14:paraId="630C6CD7" w14:textId="77777777">
      <w:pPr>
        <w:pStyle w:val="AttachmentHeading2"/>
      </w:pPr>
      <w:bookmarkStart w:name="_Toc45023464" w:id="214"/>
      <w:bookmarkEnd w:id="213"/>
      <w:r w:rsidRPr="00E3168C">
        <w:t>EUL</w:t>
      </w:r>
      <w:bookmarkEnd w:id="214"/>
    </w:p>
    <w:p w:rsidRPr="004200CB" w:rsidR="00B04AB6" w:rsidP="00B04AB6" w:rsidRDefault="00B04AB6" w14:paraId="6EB85775" w14:textId="77777777">
      <w:pPr>
        <w:pStyle w:val="GaramondNormal"/>
        <w:keepNext/>
        <w:rPr>
          <w:i/>
          <w:iCs/>
          <w:szCs w:val="24"/>
        </w:rPr>
      </w:pPr>
      <w:r w:rsidRPr="004200CB">
        <w:rPr>
          <w:i/>
          <w:iCs/>
        </w:rPr>
        <w:t>Southern California Regional Energy Network (</w:t>
      </w:r>
      <w:proofErr w:type="spellStart"/>
      <w:r w:rsidRPr="004200CB">
        <w:rPr>
          <w:i/>
          <w:iCs/>
        </w:rPr>
        <w:t>SoCalRen</w:t>
      </w:r>
      <w:proofErr w:type="spellEnd"/>
      <w:r w:rsidRPr="004200CB">
        <w:rPr>
          <w:i/>
          <w:iCs/>
        </w:rPr>
        <w:t xml:space="preserve">): </w:t>
      </w:r>
    </w:p>
    <w:p w:rsidRPr="00E3168C" w:rsidR="00B04AB6" w:rsidP="00B04AB6" w:rsidRDefault="00B04AB6" w14:paraId="31001E2A" w14:textId="77777777">
      <w:pPr>
        <w:pStyle w:val="GaramondNormal"/>
      </w:pPr>
      <w:proofErr w:type="spellStart"/>
      <w:r w:rsidRPr="00E3168C">
        <w:t>SoCalREN</w:t>
      </w:r>
      <w:proofErr w:type="spellEnd"/>
      <w:r w:rsidRPr="00E3168C">
        <w:t xml:space="preserve"> recommends the Commission consider this update (2.2 EUL updates) prior to the DEER2022 Resolution or at least early enough to inform the next iteration of the Potential and Goals Study. </w:t>
      </w:r>
    </w:p>
    <w:p w:rsidRPr="00E3168C" w:rsidR="00B04AB6" w:rsidP="00B04AB6" w:rsidRDefault="00B04AB6" w14:paraId="6C91F212" w14:textId="77777777">
      <w:pPr>
        <w:pStyle w:val="GaramondNormal"/>
      </w:pPr>
      <w:r w:rsidRPr="00E3168C">
        <w:t xml:space="preserve">(10.2) </w:t>
      </w:r>
      <w:proofErr w:type="spellStart"/>
      <w:r w:rsidRPr="00E3168C">
        <w:t>SoCalREN</w:t>
      </w:r>
      <w:proofErr w:type="spellEnd"/>
      <w:r w:rsidRPr="00E3168C">
        <w:t xml:space="preserve"> supports the Commission exploring the EUL updates for add-on equipment which will more accurately reflect the savings potential and claims expected to exist in the market. </w:t>
      </w:r>
    </w:p>
    <w:p w:rsidRPr="004200CB" w:rsidR="00B04AB6" w:rsidP="00B04AB6" w:rsidRDefault="00B04AB6" w14:paraId="36007AF3" w14:textId="77777777">
      <w:pPr>
        <w:pStyle w:val="GaramondNormal"/>
        <w:keepNext/>
        <w:rPr>
          <w:i/>
          <w:iCs/>
          <w:szCs w:val="24"/>
        </w:rPr>
      </w:pPr>
      <w:r w:rsidRPr="004200CB">
        <w:rPr>
          <w:i/>
          <w:iCs/>
        </w:rPr>
        <w:t>Southern California Edison (SCE):</w:t>
      </w:r>
    </w:p>
    <w:p w:rsidRPr="00E3168C" w:rsidR="00B04AB6" w:rsidP="00B04AB6" w:rsidRDefault="00B04AB6" w14:paraId="4B799105" w14:textId="77777777">
      <w:pPr>
        <w:pStyle w:val="GaramondNormal"/>
      </w:pPr>
      <w:r w:rsidRPr="00E3168C">
        <w:t xml:space="preserve">Timing of EUL updates and process – Section 2.2: Effective useful life (EUL) updates and process, describes a new process CPUC is planning for the 2022 program year, to allow for proposed changes or additions to EUL values in DEER. SCE recommends implementing the process in 2020, instead of implementation in 2022. SCE has leveraged this existing process for EUL values in 2019 and 2020 workpaper submissions and would like to see this process continue through 2020 and forward to allow best available data to be considered by CPUC for approved DEER values. </w:t>
      </w:r>
    </w:p>
    <w:p w:rsidRPr="00DE3C03" w:rsidR="00B04AB6" w:rsidP="00B04AB6" w:rsidRDefault="00B04AB6" w14:paraId="11BD575E" w14:textId="77777777">
      <w:pPr>
        <w:pStyle w:val="GaramondNormal"/>
        <w:keepNext/>
        <w:rPr>
          <w:i/>
          <w:szCs w:val="24"/>
          <w:u w:val="single"/>
        </w:rPr>
      </w:pPr>
      <w:r w:rsidRPr="00DE3C03">
        <w:rPr>
          <w:u w:val="single"/>
        </w:rPr>
        <w:t xml:space="preserve">CPUC Staff </w:t>
      </w:r>
      <w:r>
        <w:rPr>
          <w:u w:val="single"/>
        </w:rPr>
        <w:t>R</w:t>
      </w:r>
      <w:r w:rsidRPr="00DE3C03">
        <w:rPr>
          <w:u w:val="single"/>
        </w:rPr>
        <w:t>esponse</w:t>
      </w:r>
      <w:r w:rsidRPr="00DE3C03">
        <w:rPr>
          <w:i/>
          <w:szCs w:val="24"/>
          <w:u w:val="single"/>
        </w:rPr>
        <w:t>:</w:t>
      </w:r>
    </w:p>
    <w:p w:rsidR="00B04AB6" w:rsidP="00B04AB6" w:rsidRDefault="00B04AB6" w14:paraId="27CD6FDD" w14:textId="77777777">
      <w:pPr>
        <w:pStyle w:val="GaramondNormal"/>
        <w:rPr>
          <w:szCs w:val="24"/>
        </w:rPr>
      </w:pPr>
      <w:r>
        <w:rPr>
          <w:szCs w:val="24"/>
        </w:rPr>
        <w:t>The revisions to the EUL update process</w:t>
      </w:r>
      <w:r>
        <w:t>—</w:t>
      </w:r>
      <w:r>
        <w:rPr>
          <w:szCs w:val="24"/>
        </w:rPr>
        <w:t>while not officially effective until 2022</w:t>
      </w:r>
      <w:r>
        <w:t>—</w:t>
      </w:r>
      <w:r>
        <w:rPr>
          <w:szCs w:val="24"/>
        </w:rPr>
        <w:t xml:space="preserve">may be utilized earlier. </w:t>
      </w:r>
    </w:p>
    <w:p w:rsidR="00B04AB6" w:rsidP="00B04AB6" w:rsidRDefault="00B04AB6" w14:paraId="0F494C67" w14:textId="77777777">
      <w:pPr>
        <w:pStyle w:val="GaramondNormal"/>
        <w:rPr>
          <w:szCs w:val="24"/>
        </w:rPr>
      </w:pPr>
      <w:r>
        <w:rPr>
          <w:szCs w:val="24"/>
        </w:rPr>
        <w:t>EULs will be updated and available for use as soon as the EUL research is published and reviewed. Upcoming work under the current EUL study contract includes determining the EUL for residential insulation. Other measures are being reviewed and prioritized for 2020 (to continue the research without site-based research due to COVID-19-related risk) and 2021 of that study.</w:t>
      </w:r>
    </w:p>
    <w:p w:rsidR="00B04AB6" w:rsidP="00B04AB6" w:rsidRDefault="00B04AB6" w14:paraId="0A04BA1A" w14:textId="77777777">
      <w:pPr>
        <w:pStyle w:val="GaramondNormal"/>
        <w:rPr>
          <w:szCs w:val="24"/>
        </w:rPr>
      </w:pPr>
      <w:r>
        <w:t>We</w:t>
      </w:r>
      <w:r w:rsidDel="00FF50A8">
        <w:t xml:space="preserve"> </w:t>
      </w:r>
      <w:r>
        <w:t>may explore updates to the</w:t>
      </w:r>
      <w:r>
        <w:rPr>
          <w:szCs w:val="24"/>
        </w:rPr>
        <w:t xml:space="preserve"> add-on equipment/host EUL policy for the DEER2023 update. The host equipment is defined as the equipment that saves energy as a result of the add-on measure.</w:t>
      </w:r>
      <w:r>
        <w:rPr>
          <w:rStyle w:val="FootnoteReference"/>
          <w:szCs w:val="24"/>
        </w:rPr>
        <w:footnoteReference w:id="58"/>
      </w:r>
      <w:r>
        <w:rPr>
          <w:szCs w:val="24"/>
        </w:rPr>
        <w:t xml:space="preserve"> However, in some cases the add-on measure is not installed directly on the host equipment allowing the measure to remain in place even if the host equipment is replaced. Current policy zeros out savings when the host equipment is replaced, but we recognize that savings for the remote AOE will in fact be different, not zero. We have allowed changes to the host equipment to increase the EUL of the add-on measure in some of these cases where the add-on measure is not installed directly on the host equipment. Additionally, the suggestion has been made that the AOE EUL as the smaller of the EUL of the equipment or the RUL of the host equipment may be too low since AOE is not installed on old host equipment. </w:t>
      </w:r>
      <w:r w:rsidRPr="00F86B94">
        <w:rPr>
          <w:szCs w:val="24"/>
        </w:rPr>
        <w:t>The DEER</w:t>
      </w:r>
      <w:r>
        <w:rPr>
          <w:szCs w:val="24"/>
        </w:rPr>
        <w:t>20</w:t>
      </w:r>
      <w:r w:rsidRPr="00F86B94">
        <w:rPr>
          <w:szCs w:val="24"/>
        </w:rPr>
        <w:t>20 update</w:t>
      </w:r>
      <w:r>
        <w:rPr>
          <w:rStyle w:val="FootnoteReference"/>
          <w:szCs w:val="24"/>
        </w:rPr>
        <w:footnoteReference w:id="59"/>
      </w:r>
      <w:r w:rsidRPr="00F86B94">
        <w:rPr>
          <w:szCs w:val="24"/>
        </w:rPr>
        <w:t xml:space="preserve"> does consider add-on equipment that is installed onto new equipment, and already allows </w:t>
      </w:r>
      <w:r>
        <w:rPr>
          <w:szCs w:val="24"/>
        </w:rPr>
        <w:t xml:space="preserve">the host equipment RUL to be replaced by the host equipment EUL when the host equipment is installed at the same time as the add-on </w:t>
      </w:r>
      <w:r>
        <w:rPr>
          <w:szCs w:val="24"/>
        </w:rPr>
        <w:lastRenderedPageBreak/>
        <w:t>equipment.</w:t>
      </w:r>
      <w:r w:rsidRPr="00F86B94">
        <w:rPr>
          <w:szCs w:val="24"/>
        </w:rPr>
        <w:t xml:space="preserve"> </w:t>
      </w:r>
      <w:r>
        <w:rPr>
          <w:szCs w:val="24"/>
        </w:rPr>
        <w:t>Additionally, the DEER2019 resolution allowed the EUL of host equipment to be increased to 30 years in some cases (windows) to allow a RUL of 10 years for add-on equipment (window film).</w:t>
      </w:r>
      <w:r>
        <w:rPr>
          <w:rStyle w:val="FootnoteReference"/>
          <w:szCs w:val="24"/>
        </w:rPr>
        <w:footnoteReference w:id="60"/>
      </w:r>
      <w:r>
        <w:rPr>
          <w:szCs w:val="24"/>
        </w:rPr>
        <w:t xml:space="preserve"> The policy regarding AOE installed on non-new host equipment will not change until a study has been conducted that supports such a change. </w:t>
      </w:r>
    </w:p>
    <w:p w:rsidRPr="00E3168C" w:rsidR="00B04AB6" w:rsidP="00B04AB6" w:rsidRDefault="00B04AB6" w14:paraId="72643123" w14:textId="77777777">
      <w:pPr>
        <w:pStyle w:val="AttachmentHeading2"/>
      </w:pPr>
      <w:bookmarkStart w:name="_Toc45023465" w:id="215"/>
      <w:r w:rsidRPr="00E3168C">
        <w:t>Fuel Substitution</w:t>
      </w:r>
      <w:bookmarkEnd w:id="215"/>
    </w:p>
    <w:p w:rsidRPr="004200CB" w:rsidR="00B04AB6" w:rsidP="00B04AB6" w:rsidRDefault="00B04AB6" w14:paraId="08BE06AD" w14:textId="77777777">
      <w:pPr>
        <w:pStyle w:val="GaramondNormal"/>
        <w:keepNext/>
        <w:rPr>
          <w:i/>
          <w:iCs/>
        </w:rPr>
      </w:pPr>
      <w:r w:rsidRPr="004200CB">
        <w:rPr>
          <w:i/>
          <w:iCs/>
        </w:rPr>
        <w:t>Southern California Regional Energy Network (</w:t>
      </w:r>
      <w:proofErr w:type="spellStart"/>
      <w:r w:rsidRPr="004200CB">
        <w:rPr>
          <w:i/>
          <w:iCs/>
        </w:rPr>
        <w:t>SoCalRen</w:t>
      </w:r>
      <w:proofErr w:type="spellEnd"/>
      <w:r w:rsidRPr="004200CB">
        <w:rPr>
          <w:i/>
          <w:iCs/>
        </w:rPr>
        <w:t xml:space="preserve">): </w:t>
      </w:r>
    </w:p>
    <w:p w:rsidR="00B04AB6" w:rsidP="00B04AB6" w:rsidRDefault="00B04AB6" w14:paraId="7D12D12B" w14:textId="77777777">
      <w:pPr>
        <w:pStyle w:val="GaramondNormal"/>
      </w:pPr>
      <w:proofErr w:type="spellStart"/>
      <w:r>
        <w:t>S</w:t>
      </w:r>
      <w:r w:rsidRPr="00E3168C">
        <w:t>oCalREN</w:t>
      </w:r>
      <w:proofErr w:type="spellEnd"/>
      <w:r w:rsidRPr="00E3168C">
        <w:t xml:space="preserve"> supports the methodology outlined in the appendix and recommends that the Commission begin to collect information on changes to participant behavior resulting from fuel substitution. In some cases, default DEER values may not capture how a participant may operate equipment of a new fuel type due to economic or thermal comfort considerations. </w:t>
      </w:r>
    </w:p>
    <w:p w:rsidRPr="00DE3C03" w:rsidR="00B04AB6" w:rsidP="00B04AB6" w:rsidRDefault="00B04AB6" w14:paraId="55EF52E9" w14:textId="77777777">
      <w:pPr>
        <w:pStyle w:val="GaramondNormal"/>
        <w:keepNext/>
        <w:rPr>
          <w:u w:val="single"/>
        </w:rPr>
      </w:pPr>
      <w:r w:rsidRPr="00DE3C03">
        <w:rPr>
          <w:u w:val="single"/>
        </w:rPr>
        <w:t>CPUC Response:</w:t>
      </w:r>
    </w:p>
    <w:p w:rsidRPr="00E3168C" w:rsidR="00B04AB6" w:rsidP="00B04AB6" w:rsidRDefault="00B04AB6" w14:paraId="594C8AE3" w14:textId="77777777">
      <w:pPr>
        <w:pStyle w:val="GaramondNormal"/>
      </w:pPr>
      <w:r>
        <w:t>Collecting data on participant behavior is outside of the DEER update scope, but maybe considered by PAs or EM&amp;V teams.</w:t>
      </w:r>
    </w:p>
    <w:p w:rsidRPr="004200CB" w:rsidR="00B04AB6" w:rsidP="00B04AB6" w:rsidRDefault="00B04AB6" w14:paraId="687902ED" w14:textId="77777777">
      <w:pPr>
        <w:pStyle w:val="GaramondNormal"/>
        <w:keepNext/>
        <w:rPr>
          <w:i/>
          <w:iCs/>
          <w:szCs w:val="24"/>
        </w:rPr>
      </w:pPr>
      <w:r w:rsidRPr="004200CB">
        <w:rPr>
          <w:i/>
          <w:iCs/>
        </w:rPr>
        <w:t>Southern California Edison (SCE):</w:t>
      </w:r>
    </w:p>
    <w:p w:rsidRPr="00E3168C" w:rsidR="00B04AB6" w:rsidP="00B04AB6" w:rsidRDefault="00B04AB6" w14:paraId="05721D7C" w14:textId="77777777">
      <w:pPr>
        <w:pStyle w:val="GaramondNormal"/>
      </w:pPr>
      <w:r>
        <w:t>F</w:t>
      </w:r>
      <w:r w:rsidRPr="00E3168C">
        <w:t xml:space="preserve">uel Substitution Measures – Section 7.2.4: Future fuel-substitution measure considerations states, “CPUC staff proposes to write a script to calculate the annual source energy and avoided CO2 emissions using the existing annual electric energy and natural gas savings values. The script will employ the equations provided in the Fuel Substitution Technical Guidance for Energy Efficiency. A similar change will be recommended for the workpaper EAD </w:t>
      </w:r>
      <w:proofErr w:type="spellStart"/>
      <w:r w:rsidRPr="00E3168C">
        <w:t>EnergyImpact</w:t>
      </w:r>
      <w:proofErr w:type="spellEnd"/>
      <w:r w:rsidRPr="00E3168C">
        <w:t xml:space="preserve"> worksheet. This change will help automate and consolidate calculations that now need to be performed externally.” SCE recommends that CPUC </w:t>
      </w:r>
      <w:r>
        <w:t>s</w:t>
      </w:r>
      <w:r w:rsidRPr="00E3168C">
        <w:t xml:space="preserve">taff consider that annual source energy and avoided CO2 emissions will change every year, as the percentage of renewable energy generation in the state increases. Also, the Fuel Substitution Technical Guidance will be subject to revisions in the future, to address stakeholder comments and concerns. Providing a script in the EAD </w:t>
      </w:r>
      <w:proofErr w:type="spellStart"/>
      <w:r w:rsidRPr="00E3168C">
        <w:t>EnergyImpact</w:t>
      </w:r>
      <w:proofErr w:type="spellEnd"/>
      <w:r w:rsidRPr="00E3168C">
        <w:t xml:space="preserve"> worksheet, would require constant maintenance, to stay current with changes in the Guidance. SCE proposes that the Fuel Substitution Calculator remain a separate, agile tool that would allow for low cost adjustments to annual source energy and avoided CO2 emissions changes. </w:t>
      </w:r>
    </w:p>
    <w:p w:rsidRPr="00E3168C" w:rsidR="00B04AB6" w:rsidP="00B04AB6" w:rsidRDefault="00B04AB6" w14:paraId="05E1DA4B" w14:textId="77777777">
      <w:pPr>
        <w:pStyle w:val="GaramondNormal"/>
      </w:pPr>
      <w:r w:rsidRPr="00E3168C">
        <w:t>Fuel Substitution Measures – Section 7.2.4:</w:t>
      </w:r>
      <w:r>
        <w:t xml:space="preserve"> </w:t>
      </w:r>
      <w:r w:rsidRPr="00E3168C">
        <w:t xml:space="preserve">SCE supports the addition of fields to the Ex Ante Tables, to record unique information. These fields include </w:t>
      </w:r>
      <w:proofErr w:type="spellStart"/>
      <w:r w:rsidRPr="00E3168C">
        <w:t>FSInfraLaborCost</w:t>
      </w:r>
      <w:proofErr w:type="spellEnd"/>
      <w:r w:rsidRPr="00E3168C">
        <w:t xml:space="preserve">, </w:t>
      </w:r>
      <w:proofErr w:type="spellStart"/>
      <w:r w:rsidRPr="00E3168C">
        <w:t>FSInfraMatlCost</w:t>
      </w:r>
      <w:proofErr w:type="spellEnd"/>
      <w:r w:rsidRPr="00E3168C">
        <w:t xml:space="preserve">, </w:t>
      </w:r>
      <w:proofErr w:type="spellStart"/>
      <w:r w:rsidRPr="00E3168C">
        <w:t>FSInfraInstallHrs</w:t>
      </w:r>
      <w:proofErr w:type="spellEnd"/>
      <w:r w:rsidRPr="00E3168C">
        <w:t>, Life-cycle Source Energy Savings, and Life</w:t>
      </w:r>
      <w:r w:rsidRPr="00E3168C">
        <w:rPr>
          <w:rFonts w:ascii="Times New Roman" w:hAnsi="Times New Roman"/>
        </w:rPr>
        <w:t>‐</w:t>
      </w:r>
      <w:r w:rsidRPr="00E3168C">
        <w:t xml:space="preserve">cycle CO2 emissions reduction. SCE recommends that the timing of these additions </w:t>
      </w:r>
      <w:proofErr w:type="gramStart"/>
      <w:r w:rsidRPr="00E3168C">
        <w:t>take into account</w:t>
      </w:r>
      <w:proofErr w:type="gramEnd"/>
      <w:r w:rsidRPr="00E3168C">
        <w:t xml:space="preserve"> the entire ecosystem of energy efficiency measures reporting, including internal IOU systems. The Scoping Memo cites discussions begun in 2019 with the Reporting and Data Management Project Coordination Group (Reporting PCG) regarding this topic. Because workpapers effective in 2022 need to be submitted by 12/31/2020, SCE recommends holding statewide workshops to plan implementation of these changes with IOUs and stakeholders to mitigate issues with reporting claims and calculating TRC </w:t>
      </w:r>
      <w:r w:rsidRPr="00E3168C">
        <w:lastRenderedPageBreak/>
        <w:t>for future program designs and ABAL filings.</w:t>
      </w:r>
      <w:r>
        <w:t xml:space="preserve"> </w:t>
      </w:r>
      <w:r w:rsidRPr="00E3168C">
        <w:t xml:space="preserve">SCE also recommends including statewide custom project stakeholders, as these added fields will require additional project data tracking and reporting. </w:t>
      </w:r>
    </w:p>
    <w:p w:rsidRPr="004200CB" w:rsidR="00B04AB6" w:rsidP="00B04AB6" w:rsidRDefault="00B04AB6" w14:paraId="44802438" w14:textId="77777777">
      <w:pPr>
        <w:pStyle w:val="GaramondNormal"/>
        <w:keepNext/>
        <w:rPr>
          <w:i/>
          <w:iCs/>
          <w:szCs w:val="24"/>
        </w:rPr>
      </w:pPr>
      <w:r w:rsidRPr="004200CB">
        <w:rPr>
          <w:i/>
          <w:iCs/>
        </w:rPr>
        <w:t xml:space="preserve">San Diego Gas &amp; Electric </w:t>
      </w:r>
      <w:r>
        <w:rPr>
          <w:i/>
          <w:iCs/>
        </w:rPr>
        <w:t xml:space="preserve">Co. </w:t>
      </w:r>
      <w:r w:rsidRPr="004200CB">
        <w:rPr>
          <w:i/>
          <w:iCs/>
        </w:rPr>
        <w:t>(SDG&amp;E):</w:t>
      </w:r>
    </w:p>
    <w:p w:rsidRPr="00E3168C" w:rsidR="00B04AB6" w:rsidP="00B04AB6" w:rsidRDefault="00B04AB6" w14:paraId="02FA624C" w14:textId="77777777">
      <w:pPr>
        <w:pStyle w:val="GaramondNormal"/>
      </w:pPr>
      <w:r w:rsidRPr="00E3168C">
        <w:t>Support table updates omits updating and or editing information. For example, the READI tool DEER Support Table “NTG Ratio (2020)” for “</w:t>
      </w:r>
      <w:proofErr w:type="spellStart"/>
      <w:r w:rsidRPr="00E3168C">
        <w:t>FuelSubst</w:t>
      </w:r>
      <w:proofErr w:type="spellEnd"/>
      <w:r w:rsidRPr="00E3168C">
        <w:t xml:space="preserve">-Default” has not been updated to include the recently added measure impact types associated with fuel substitution. Revise and edit existing support table tables data fields such as “NTG_ID” = </w:t>
      </w:r>
      <w:proofErr w:type="spellStart"/>
      <w:r w:rsidRPr="00E3168C">
        <w:t>FuelSubst</w:t>
      </w:r>
      <w:proofErr w:type="spellEnd"/>
      <w:r w:rsidRPr="00E3168C">
        <w:t xml:space="preserve">-Default, so the Savings determination method (measure type): </w:t>
      </w:r>
    </w:p>
    <w:p w:rsidRPr="004200CB" w:rsidR="00B04AB6" w:rsidP="00B04AB6" w:rsidRDefault="00B04AB6" w14:paraId="5A99AAF1" w14:textId="77777777">
      <w:pPr>
        <w:pStyle w:val="GaramondNormal"/>
        <w:keepNext/>
        <w:rPr>
          <w:i/>
          <w:iCs/>
          <w:szCs w:val="24"/>
        </w:rPr>
      </w:pPr>
      <w:r w:rsidRPr="004200CB">
        <w:rPr>
          <w:i/>
          <w:iCs/>
        </w:rPr>
        <w:t>Southe</w:t>
      </w:r>
      <w:r w:rsidRPr="004200CB">
        <w:rPr>
          <w:i/>
          <w:iCs/>
          <w:szCs w:val="24"/>
        </w:rPr>
        <w:t>rn California Gas Co. (SoCalGas):</w:t>
      </w:r>
    </w:p>
    <w:p w:rsidR="00B04AB6" w:rsidP="00B04AB6" w:rsidRDefault="00B04AB6" w14:paraId="543FB545" w14:textId="77777777">
      <w:pPr>
        <w:pStyle w:val="GaramondNormal"/>
      </w:pPr>
      <w:r w:rsidRPr="00E3168C">
        <w:t>The memo states that the DEER database may be modified to accommodates the fuel substitution measures. The cost-effectiveness tool (CET) was recently updated to address the unique nature of this type of measure, and SoCalGas believes further improvement can be made to the tool. We suggest that the consideration of new data fields for the DEER database to be carried out with further CET calculation update to properly handle the source energy savings (full energy savings in Decision 19-08-009)1 and the emissions reduction.</w:t>
      </w:r>
    </w:p>
    <w:p w:rsidRPr="00DE3C03" w:rsidR="00B04AB6" w:rsidP="00B04AB6" w:rsidRDefault="00B04AB6" w14:paraId="2B1A011E" w14:textId="77777777">
      <w:pPr>
        <w:pStyle w:val="GaramondNormal"/>
        <w:keepNext/>
        <w:rPr>
          <w:u w:val="single"/>
        </w:rPr>
      </w:pPr>
      <w:r w:rsidRPr="00DE3C03">
        <w:rPr>
          <w:u w:val="single"/>
        </w:rPr>
        <w:t>CPUC Response:</w:t>
      </w:r>
    </w:p>
    <w:p w:rsidR="00B04AB6" w:rsidP="00B04AB6" w:rsidRDefault="00B04AB6" w14:paraId="1FA9A8B4" w14:textId="77777777">
      <w:pPr>
        <w:pStyle w:val="GaramondNormal"/>
      </w:pPr>
      <w:r>
        <w:t xml:space="preserve">At this time, the fuel substitution test will remain outside of the CET and maintained by CPUC staff and consultants. Previously proposed changes to the </w:t>
      </w:r>
      <w:proofErr w:type="spellStart"/>
      <w:r>
        <w:t>EnergyImpact</w:t>
      </w:r>
      <w:proofErr w:type="spellEnd"/>
      <w:r>
        <w:t xml:space="preserve"> table has been reconsidered and removed. The </w:t>
      </w:r>
      <w:r w:rsidRPr="00E3168C">
        <w:t>READI tool DEER Support Table “NTG Ratio (2020)” for “</w:t>
      </w:r>
      <w:proofErr w:type="spellStart"/>
      <w:r w:rsidRPr="00E3168C">
        <w:t>FuelSubst</w:t>
      </w:r>
      <w:proofErr w:type="spellEnd"/>
      <w:r w:rsidRPr="00E3168C">
        <w:t>-Default” has been updated to include the recently added measure impact types associated with fuel substitution</w:t>
      </w:r>
      <w:r>
        <w:t xml:space="preserve"> as indicated on the PEAR change log</w:t>
      </w:r>
      <w:r w:rsidRPr="00E3168C">
        <w:t>.</w:t>
      </w:r>
      <w:r>
        <w:t xml:space="preserve"> </w:t>
      </w:r>
    </w:p>
    <w:p w:rsidR="00B04AB6" w:rsidP="00B04AB6" w:rsidRDefault="00B04AB6" w14:paraId="4AB9BBD6" w14:textId="77777777">
      <w:pPr>
        <w:pStyle w:val="AttachmentHeading2"/>
      </w:pPr>
      <w:bookmarkStart w:name="_Toc45023466" w:id="216"/>
      <w:r w:rsidRPr="000D562B">
        <w:t>Load Shapes</w:t>
      </w:r>
      <w:bookmarkEnd w:id="216"/>
    </w:p>
    <w:p w:rsidRPr="003204CB" w:rsidR="00B04AB6" w:rsidP="00B04AB6" w:rsidRDefault="00B04AB6" w14:paraId="5267CE4B" w14:textId="77777777">
      <w:pPr>
        <w:pStyle w:val="GaramondNormal"/>
        <w:keepNext/>
        <w:rPr>
          <w:i/>
          <w:iCs/>
        </w:rPr>
      </w:pPr>
      <w:r w:rsidRPr="003204CB">
        <w:rPr>
          <w:i/>
          <w:iCs/>
        </w:rPr>
        <w:t>Southern California Regional Energy Network (</w:t>
      </w:r>
      <w:proofErr w:type="spellStart"/>
      <w:r w:rsidRPr="003204CB">
        <w:rPr>
          <w:i/>
          <w:iCs/>
        </w:rPr>
        <w:t>SoCalRen</w:t>
      </w:r>
      <w:proofErr w:type="spellEnd"/>
      <w:r w:rsidRPr="003204CB">
        <w:rPr>
          <w:i/>
          <w:iCs/>
        </w:rPr>
        <w:t xml:space="preserve">): </w:t>
      </w:r>
    </w:p>
    <w:p w:rsidR="00B04AB6" w:rsidP="00B04AB6" w:rsidRDefault="00B04AB6" w14:paraId="7361ED02" w14:textId="77777777">
      <w:pPr>
        <w:pStyle w:val="GaramondNormal"/>
      </w:pPr>
      <w:r w:rsidRPr="004D521F">
        <w:t xml:space="preserve">See comments on Table 1-2. “For load shape updates, we recommend the Commission ensure that the “no-peak” methodology be </w:t>
      </w:r>
      <w:proofErr w:type="gramStart"/>
      <w:r w:rsidRPr="004D521F">
        <w:t>taken into account</w:t>
      </w:r>
      <w:proofErr w:type="gramEnd"/>
      <w:r w:rsidRPr="004D521F">
        <w:t xml:space="preserve"> as the load shapes are developed. Since this will be a dynamic peak and geographically specific, the load shapes require new methods and file formats when shared with stakeholders.”</w:t>
      </w:r>
      <w:r>
        <w:t xml:space="preserve"> </w:t>
      </w:r>
    </w:p>
    <w:p w:rsidRPr="003204CB" w:rsidR="00B04AB6" w:rsidP="00B04AB6" w:rsidRDefault="00B04AB6" w14:paraId="0ECE56CC" w14:textId="77777777">
      <w:pPr>
        <w:pStyle w:val="GaramondNormal"/>
        <w:keepNext/>
        <w:rPr>
          <w:i/>
          <w:iCs/>
        </w:rPr>
      </w:pPr>
      <w:r w:rsidRPr="003204CB">
        <w:rPr>
          <w:i/>
          <w:iCs/>
        </w:rPr>
        <w:t>Southern California Edison (SCE):</w:t>
      </w:r>
    </w:p>
    <w:p w:rsidRPr="004D521F" w:rsidR="00B04AB6" w:rsidP="00B04AB6" w:rsidRDefault="00B04AB6" w14:paraId="1CE48756" w14:textId="77777777">
      <w:pPr>
        <w:pStyle w:val="GaramondNormal"/>
      </w:pPr>
      <w:r w:rsidRPr="004D521F">
        <w:t>Timing of Load Shape updates – Section 2.1: SCE does not recommend updating load shapes in the DEER 2022 Resolution for implementation in the 2021 program year.</w:t>
      </w:r>
      <w:r>
        <w:t xml:space="preserve"> </w:t>
      </w:r>
      <w:r w:rsidRPr="004D521F">
        <w:t>Section 2.1 describes the effective program year for load shape updates is 2021 and 2022. PAs and Third Parties are currently planning their 2021 portfolios and programs using workpaper values already approved by CPUC for 2021.</w:t>
      </w:r>
      <w:r>
        <w:t xml:space="preserve"> </w:t>
      </w:r>
      <w:r w:rsidRPr="004D521F">
        <w:t>A load shape update, released in the DEER 2022 Final Resolution in Fall 2020, will likely require updated workpaper values for the 2021 program year.</w:t>
      </w:r>
      <w:r>
        <w:t xml:space="preserve"> </w:t>
      </w:r>
      <w:r w:rsidRPr="004D521F">
        <w:t xml:space="preserve">This delayed update to 2021 workpaper values may disrupt the market and not allow sufficient time for PAs and Third Parties to react and plan accordingly. SCE recommends that any new load shape releases be prioritized for 2022 implementation to allow the market to adapt to new measure assumptions. </w:t>
      </w:r>
    </w:p>
    <w:p w:rsidRPr="0098197C" w:rsidR="00B04AB6" w:rsidP="00B04AB6" w:rsidRDefault="00B04AB6" w14:paraId="06289CB4" w14:textId="77777777">
      <w:pPr>
        <w:pStyle w:val="GaramondNormal"/>
        <w:keepNext/>
        <w:rPr>
          <w:u w:val="single"/>
        </w:rPr>
      </w:pPr>
      <w:r w:rsidRPr="0098197C">
        <w:rPr>
          <w:u w:val="single"/>
        </w:rPr>
        <w:lastRenderedPageBreak/>
        <w:t xml:space="preserve">CPUC Staff </w:t>
      </w:r>
      <w:r>
        <w:rPr>
          <w:u w:val="single"/>
        </w:rPr>
        <w:t>R</w:t>
      </w:r>
      <w:r w:rsidRPr="0098197C">
        <w:rPr>
          <w:u w:val="single"/>
        </w:rPr>
        <w:t>esponse:</w:t>
      </w:r>
    </w:p>
    <w:p w:rsidRPr="00D02517" w:rsidR="00B04AB6" w:rsidP="00B04AB6" w:rsidRDefault="00B04AB6" w14:paraId="5F104A2E" w14:textId="77777777">
      <w:pPr>
        <w:pStyle w:val="GaramondNormal"/>
        <w:keepNext/>
        <w:rPr>
          <w:iCs/>
        </w:rPr>
      </w:pPr>
      <w:r w:rsidRPr="00D02517">
        <w:rPr>
          <w:iCs/>
        </w:rPr>
        <w:t xml:space="preserve">The load shape update is a multi-year process. </w:t>
      </w:r>
      <w:r>
        <w:rPr>
          <w:iCs/>
        </w:rPr>
        <w:t xml:space="preserve">New formats have been created and a memo describing the format will accompany the new data tables. </w:t>
      </w:r>
      <w:r w:rsidRPr="00D02517">
        <w:rPr>
          <w:iCs/>
        </w:rPr>
        <w:t xml:space="preserve">New load shapes will not be required for the 2021 ABAL planning process. A limited number of added load shapes will be available for review and use as part of DEER2022 for the 2022 ABAL planning process. </w:t>
      </w:r>
      <w:r>
        <w:rPr>
          <w:iCs/>
        </w:rPr>
        <w:t xml:space="preserve">Additional load shapes from EM&amp;V studies and new measures will be added going forward. </w:t>
      </w:r>
      <w:r w:rsidRPr="00D02517">
        <w:rPr>
          <w:iCs/>
        </w:rPr>
        <w:t>These load</w:t>
      </w:r>
      <w:r>
        <w:rPr>
          <w:iCs/>
        </w:rPr>
        <w:t xml:space="preserve"> </w:t>
      </w:r>
      <w:r w:rsidRPr="00D02517">
        <w:rPr>
          <w:iCs/>
        </w:rPr>
        <w:t xml:space="preserve">shapes are being updated </w:t>
      </w:r>
      <w:r>
        <w:rPr>
          <w:iCs/>
        </w:rPr>
        <w:t xml:space="preserve">in the CET </w:t>
      </w:r>
      <w:r w:rsidRPr="00D02517">
        <w:rPr>
          <w:iCs/>
        </w:rPr>
        <w:t xml:space="preserve">and will be available for use in </w:t>
      </w:r>
      <w:r>
        <w:rPr>
          <w:iCs/>
        </w:rPr>
        <w:t>2021</w:t>
      </w:r>
      <w:r w:rsidRPr="00D02517">
        <w:rPr>
          <w:iCs/>
        </w:rPr>
        <w:t xml:space="preserve">.    </w:t>
      </w:r>
    </w:p>
    <w:p w:rsidR="00B04AB6" w:rsidP="00B04AB6" w:rsidRDefault="00B04AB6" w14:paraId="0EFAA7AC" w14:textId="77777777">
      <w:pPr>
        <w:pStyle w:val="AttachmentHeading2"/>
      </w:pPr>
      <w:bookmarkStart w:name="_Toc45023467" w:id="217"/>
      <w:r>
        <w:t xml:space="preserve">Updates to Existing or Addition of </w:t>
      </w:r>
      <w:r w:rsidRPr="000D562B">
        <w:t>New Measures</w:t>
      </w:r>
      <w:bookmarkEnd w:id="217"/>
    </w:p>
    <w:p w:rsidRPr="00CB0E25" w:rsidR="00B04AB6" w:rsidP="00B04AB6" w:rsidRDefault="00B04AB6" w14:paraId="40FF269C" w14:textId="77777777">
      <w:pPr>
        <w:pStyle w:val="GaramondNormal"/>
        <w:keepNext/>
        <w:rPr>
          <w:i/>
          <w:iCs/>
        </w:rPr>
      </w:pPr>
      <w:proofErr w:type="spellStart"/>
      <w:r w:rsidRPr="00CB0E25">
        <w:rPr>
          <w:i/>
          <w:iCs/>
        </w:rPr>
        <w:t>QuietCool</w:t>
      </w:r>
      <w:proofErr w:type="spellEnd"/>
      <w:r w:rsidRPr="00CB0E25">
        <w:rPr>
          <w:i/>
          <w:iCs/>
        </w:rPr>
        <w:t xml:space="preserve"> Manufacturing, Inc.:</w:t>
      </w:r>
    </w:p>
    <w:p w:rsidR="00B04AB6" w:rsidP="00B04AB6" w:rsidRDefault="00B04AB6" w14:paraId="17790032" w14:textId="77777777">
      <w:pPr>
        <w:pStyle w:val="GaramondNormal"/>
      </w:pPr>
      <w:r w:rsidRPr="00CD2CE2">
        <w:t xml:space="preserve">The following comments are submitted in order bring to your attention a topic that should be prioritized for the current update cycle to meet 2022 program needs, pertaining to previous DEER study data regarding whole house fans and nighttime ventilation cooling measures. </w:t>
      </w:r>
    </w:p>
    <w:p w:rsidR="00B04AB6" w:rsidP="00B04AB6" w:rsidRDefault="00B04AB6" w14:paraId="1809499F" w14:textId="77777777">
      <w:pPr>
        <w:pStyle w:val="GaramondNormal"/>
      </w:pPr>
      <w:r w:rsidRPr="00CD2CE2">
        <w:t>Upon reviewing the data from previous 2020 and 2021 programs, it has come to our attention that the DEER study data pertaining to whole house fans is very outdated, using data from Davis energy reports going as far back as 2004, making them nearly 16 years old. The incentive rebate programs offered by utility companies such as SCE use this data for measure cost analysis and computational evaluation of measure k</w:t>
      </w:r>
      <w:r>
        <w:t>W</w:t>
      </w:r>
      <w:r w:rsidRPr="00CD2CE2">
        <w:t xml:space="preserve">h savings, and are deeming whole house fans and nighttime ventilation cooling measures to be non-cost effective based on outdated data. </w:t>
      </w:r>
    </w:p>
    <w:p w:rsidR="00B04AB6" w:rsidP="00B04AB6" w:rsidRDefault="00B04AB6" w14:paraId="375A08DE" w14:textId="77777777">
      <w:pPr>
        <w:pStyle w:val="GaramondNormal"/>
      </w:pPr>
      <w:r w:rsidRPr="00CD2CE2">
        <w:t xml:space="preserve">In the last 15 years much has changed in both the manufacturing and efficacy of these types of products, and they warrant a re-evaluation for utility rebate incentives to properly evaluate their benefits when implemented by homeowners, allowing them to be incentivized for doing so. Considering the huge impact to peak grid usage, carbon footprint reduction, and improved indoor air quality, whole house fans cannot be disregarded in homeowner incentive programs, which rely on DEER for their TRC cost-to-measure analysis. Title 24 CBECC analysis of additions/alterations retrofitted with whole house fans show huge kwh benefits which are not reflected in the DEER study, and therefore are not incentivized currently. </w:t>
      </w:r>
    </w:p>
    <w:p w:rsidR="00B04AB6" w:rsidP="00B04AB6" w:rsidRDefault="00B04AB6" w14:paraId="1412F7A8" w14:textId="77777777">
      <w:pPr>
        <w:pStyle w:val="GaramondNormal"/>
      </w:pPr>
      <w:r w:rsidRPr="00CD2CE2">
        <w:t xml:space="preserve">We feel that the following recent studies should be used to produce the 2022 DEER study data pertaining to whole house fans: </w:t>
      </w:r>
    </w:p>
    <w:p w:rsidR="00B04AB6" w:rsidP="00B04AB6" w:rsidRDefault="00B04AB6" w14:paraId="36B394B0" w14:textId="77777777">
      <w:pPr>
        <w:pStyle w:val="GaramondBullets"/>
        <w:ind w:left="648"/>
      </w:pPr>
      <w:r w:rsidRPr="00CD2CE2">
        <w:t xml:space="preserve"> 2013 Code CASE R SEMPRA Study for Nighttime Ventilation Cooling dated Sept. 2011</w:t>
      </w:r>
      <w:r>
        <w:t>:</w:t>
      </w:r>
      <w:r w:rsidRPr="00CD2CE2">
        <w:t xml:space="preserve"> </w:t>
      </w:r>
      <w:r>
        <w:t xml:space="preserve"> </w:t>
      </w:r>
      <w:r w:rsidRPr="00CD2CE2">
        <w:t>This report shows the HVAC reduction capable with whole house fans</w:t>
      </w:r>
      <w:r>
        <w:t>.</w:t>
      </w:r>
    </w:p>
    <w:p w:rsidR="00B04AB6" w:rsidP="00B04AB6" w:rsidRDefault="00B04AB6" w14:paraId="225C07AB" w14:textId="77777777">
      <w:pPr>
        <w:pStyle w:val="GaramondBullets"/>
        <w:ind w:left="648"/>
      </w:pPr>
      <w:r w:rsidRPr="00CD2CE2">
        <w:t>UCLA Study on eliminating HVAC usage</w:t>
      </w:r>
      <w:r>
        <w:t xml:space="preserve">:  </w:t>
      </w:r>
      <w:r w:rsidRPr="00CD2CE2">
        <w:t xml:space="preserve">Documents effectively removing HVAC in </w:t>
      </w:r>
      <w:proofErr w:type="gramStart"/>
      <w:r w:rsidRPr="00CD2CE2">
        <w:t>a majority of</w:t>
      </w:r>
      <w:proofErr w:type="gramEnd"/>
      <w:r w:rsidRPr="00CD2CE2">
        <w:t xml:space="preserve"> CA climate zones, documenting the viability reducing HVAC costs by nearly 100</w:t>
      </w:r>
      <w:r>
        <w:t xml:space="preserve"> percent</w:t>
      </w:r>
      <w:r w:rsidRPr="00CD2CE2">
        <w:t xml:space="preserve"> with whole house fans.</w:t>
      </w:r>
    </w:p>
    <w:p w:rsidR="00B04AB6" w:rsidP="00B04AB6" w:rsidRDefault="00B04AB6" w14:paraId="3F9EFBE5" w14:textId="77777777">
      <w:pPr>
        <w:pStyle w:val="GaramondBullets"/>
        <w:ind w:left="648"/>
      </w:pPr>
      <w:r w:rsidRPr="00CD2CE2">
        <w:t>LBNL Study dated 2006-07-11 Ventilation Behavior report for the ARB</w:t>
      </w:r>
      <w:r>
        <w:t xml:space="preserve">: </w:t>
      </w:r>
      <w:r w:rsidRPr="00CD2CE2">
        <w:t xml:space="preserve"> Report shows that 50</w:t>
      </w:r>
      <w:r>
        <w:t xml:space="preserve"> percent to </w:t>
      </w:r>
      <w:r w:rsidRPr="00CD2CE2">
        <w:t>80</w:t>
      </w:r>
      <w:r>
        <w:t xml:space="preserve"> percent</w:t>
      </w:r>
      <w:r w:rsidRPr="00CD2CE2">
        <w:t xml:space="preserve"> of homeowners are more than somewhat likely to open windows for energy saving purposes, refuting the old report claims that only 33</w:t>
      </w:r>
      <w:r>
        <w:t xml:space="preserve"> percent</w:t>
      </w:r>
      <w:r w:rsidRPr="00CD2CE2">
        <w:t xml:space="preserve"> of people will open windows and run a whole house fan. Currently Title24, part 6 energy software assumes only </w:t>
      </w:r>
      <w:r>
        <w:t>one-third</w:t>
      </w:r>
      <w:r w:rsidRPr="00CD2CE2">
        <w:t xml:space="preserve"> of homeowners will use a whole house fan and applies an automatic derating </w:t>
      </w:r>
      <w:r w:rsidRPr="00CD2CE2">
        <w:lastRenderedPageBreak/>
        <w:t>of 66</w:t>
      </w:r>
      <w:r>
        <w:t xml:space="preserve"> percent</w:t>
      </w:r>
      <w:r w:rsidRPr="00CD2CE2">
        <w:t xml:space="preserve"> to this measure during computational analysis, which is mathematically unjustified. </w:t>
      </w:r>
    </w:p>
    <w:p w:rsidR="00B04AB6" w:rsidP="00B04AB6" w:rsidRDefault="00B04AB6" w14:paraId="513252B0" w14:textId="77777777">
      <w:pPr>
        <w:pStyle w:val="GaramondNormal"/>
      </w:pPr>
      <w:r w:rsidRPr="00CD2CE2">
        <w:t xml:space="preserve">In addition, we feel that the efficiency of the average whole house fan systems has changed drastically with the inception of ECM motors, capable of being able to cool a home both passively and actively, with as little as 50 watts, as opposed to an HVAC system which consumes 800 to 1500 watts. Prices used in previous DEER studies are also higher than current values, causing further errors. </w:t>
      </w:r>
    </w:p>
    <w:p w:rsidR="00B04AB6" w:rsidP="00B04AB6" w:rsidRDefault="00B04AB6" w14:paraId="129B0341" w14:textId="77777777">
      <w:pPr>
        <w:pStyle w:val="GaramondNormal"/>
      </w:pPr>
      <w:r w:rsidRPr="00CD2CE2">
        <w:t>We would be happy to provide public copies of these reports for the CPUC and DEER study team to review, in hopes that we can facilitate the public utilities commission to properly encourage utility companies to incentive homeowners who choose to upgrade their homes with whole house fans, and reduce up to 60</w:t>
      </w:r>
      <w:r>
        <w:t xml:space="preserve"> percent </w:t>
      </w:r>
      <w:r w:rsidRPr="00CD2CE2">
        <w:t>90</w:t>
      </w:r>
      <w:r>
        <w:t xml:space="preserve"> percent</w:t>
      </w:r>
      <w:r w:rsidRPr="00CD2CE2">
        <w:t xml:space="preserve"> of their kwh consumption during the summer months. </w:t>
      </w:r>
    </w:p>
    <w:p w:rsidRPr="00457909" w:rsidR="00B04AB6" w:rsidP="00B04AB6" w:rsidRDefault="00B04AB6" w14:paraId="5FD89BDE" w14:textId="77777777">
      <w:pPr>
        <w:pStyle w:val="GaramondNormal"/>
        <w:keepNext/>
        <w:rPr>
          <w:u w:val="single"/>
        </w:rPr>
      </w:pPr>
      <w:r w:rsidRPr="00457909">
        <w:rPr>
          <w:u w:val="single"/>
        </w:rPr>
        <w:t xml:space="preserve">CPUC Staff </w:t>
      </w:r>
      <w:r>
        <w:rPr>
          <w:u w:val="single"/>
        </w:rPr>
        <w:t>R</w:t>
      </w:r>
      <w:r w:rsidRPr="00457909">
        <w:rPr>
          <w:u w:val="single"/>
        </w:rPr>
        <w:t>esponse:</w:t>
      </w:r>
    </w:p>
    <w:p w:rsidR="00B04AB6" w:rsidP="00B04AB6" w:rsidRDefault="00B04AB6" w14:paraId="13E089E3" w14:textId="77777777">
      <w:pPr>
        <w:pStyle w:val="GaramondNormal"/>
        <w:rPr>
          <w:szCs w:val="24"/>
        </w:rPr>
      </w:pPr>
      <w:r>
        <w:rPr>
          <w:szCs w:val="24"/>
        </w:rPr>
        <w:t>CPUC staff will assess whether the energy impacts for the whole house fan measure should be updated for the next resolution. Four DEER measures for whole house fans were updated for DEER2020 that assume that ECM motors drive the fans: WholeHouseFan-0.7CFM-ECM, WholeHouseFan-1.5CFM-ECM, WholeHouseFan-2.0CFM-ECM, and WholeHouseFan-3.0CFM-ECM.The measure cost data in the DEER databases, however, are known to be out of date and are not currently in use. Each statewide workpaper was submitted with updated measure cost data for the 2020 program year. In addition, SCE has recently submitted a new whole house fan workpaper for 2021 approval.</w:t>
      </w:r>
    </w:p>
    <w:p w:rsidRPr="003204CB" w:rsidR="00B04AB6" w:rsidP="00B04AB6" w:rsidRDefault="00B04AB6" w14:paraId="28169512" w14:textId="77777777">
      <w:pPr>
        <w:pStyle w:val="GaramondNormal"/>
        <w:keepNext/>
        <w:rPr>
          <w:i/>
          <w:iCs/>
          <w:szCs w:val="24"/>
        </w:rPr>
      </w:pPr>
      <w:r w:rsidRPr="003204CB">
        <w:rPr>
          <w:i/>
          <w:iCs/>
        </w:rPr>
        <w:t>Southern Cali</w:t>
      </w:r>
      <w:r w:rsidRPr="003204CB">
        <w:rPr>
          <w:i/>
          <w:iCs/>
          <w:szCs w:val="24"/>
        </w:rPr>
        <w:t>fornia Edison (SCE):</w:t>
      </w:r>
    </w:p>
    <w:p w:rsidRPr="00365B5C" w:rsidR="00B04AB6" w:rsidP="00B04AB6" w:rsidRDefault="00B04AB6" w14:paraId="05619195" w14:textId="77777777">
      <w:pPr>
        <w:pStyle w:val="GaramondNormal"/>
      </w:pPr>
      <w:r w:rsidRPr="00365B5C">
        <w:t>13. New Measure Addition – Section 7: SCE recommends inclusion of measures for Residential HVAC Mini-Split systems, in addition to heat pumps (HP).</w:t>
      </w:r>
      <w:r>
        <w:t xml:space="preserve"> </w:t>
      </w:r>
      <w:r w:rsidRPr="00365B5C">
        <w:t>Given statewide Energy Efficiency and decarbonization goals, these offering</w:t>
      </w:r>
      <w:r>
        <w:t>s</w:t>
      </w:r>
      <w:r w:rsidRPr="00365B5C">
        <w:t xml:space="preserve"> (both HP and Mini-Split HP) are critical for many programs including Residential, Upstream, and New Construction. </w:t>
      </w:r>
    </w:p>
    <w:p w:rsidRPr="003204CB" w:rsidR="00B04AB6" w:rsidP="00B04AB6" w:rsidRDefault="00B04AB6" w14:paraId="0B1AC3E5" w14:textId="77777777">
      <w:pPr>
        <w:pStyle w:val="GaramondNormal"/>
        <w:keepNext/>
        <w:rPr>
          <w:i/>
          <w:iCs/>
          <w:szCs w:val="24"/>
        </w:rPr>
      </w:pPr>
      <w:r w:rsidRPr="003204CB">
        <w:rPr>
          <w:i/>
          <w:iCs/>
        </w:rPr>
        <w:t>Sa</w:t>
      </w:r>
      <w:r w:rsidRPr="003204CB">
        <w:rPr>
          <w:i/>
          <w:iCs/>
          <w:szCs w:val="24"/>
        </w:rPr>
        <w:t xml:space="preserve">n Diego Gas &amp; Electric </w:t>
      </w:r>
      <w:r>
        <w:rPr>
          <w:i/>
          <w:iCs/>
          <w:szCs w:val="24"/>
        </w:rPr>
        <w:t xml:space="preserve">Co. </w:t>
      </w:r>
      <w:r w:rsidRPr="003204CB">
        <w:rPr>
          <w:i/>
          <w:iCs/>
          <w:szCs w:val="24"/>
        </w:rPr>
        <w:t>(SDG&amp;E):</w:t>
      </w:r>
    </w:p>
    <w:p w:rsidR="00B04AB6" w:rsidP="00B04AB6" w:rsidRDefault="00B04AB6" w14:paraId="1CD9D59A" w14:textId="77777777">
      <w:pPr>
        <w:pStyle w:val="GaramondNormal"/>
      </w:pPr>
      <w:r w:rsidRPr="00365B5C">
        <w:t xml:space="preserve">Please include these industrial applications measures in the Update: </w:t>
      </w:r>
    </w:p>
    <w:p w:rsidR="00B04AB6" w:rsidP="00B04AB6" w:rsidRDefault="00B04AB6" w14:paraId="6BE42B44" w14:textId="77777777">
      <w:pPr>
        <w:pStyle w:val="GaramondBullets"/>
        <w:ind w:left="648"/>
      </w:pPr>
      <w:r w:rsidRPr="00365B5C">
        <w:t>Oil pipe insulation</w:t>
      </w:r>
    </w:p>
    <w:p w:rsidR="00B04AB6" w:rsidP="00B04AB6" w:rsidRDefault="00B04AB6" w14:paraId="2B5CC3FE" w14:textId="77777777">
      <w:pPr>
        <w:pStyle w:val="GaramondBullets"/>
        <w:ind w:left="648"/>
      </w:pPr>
      <w:r w:rsidRPr="00365B5C">
        <w:t xml:space="preserve">Oil tank insulation </w:t>
      </w:r>
    </w:p>
    <w:p w:rsidR="00B04AB6" w:rsidP="00B04AB6" w:rsidRDefault="00B04AB6" w14:paraId="20D7BD85" w14:textId="77777777">
      <w:pPr>
        <w:pStyle w:val="GaramondBullets"/>
        <w:ind w:left="648"/>
      </w:pPr>
      <w:r w:rsidRPr="00365B5C">
        <w:t xml:space="preserve">Oil heater (both electric and </w:t>
      </w:r>
      <w:proofErr w:type="spellStart"/>
      <w:r w:rsidRPr="00365B5C">
        <w:t>therms</w:t>
      </w:r>
      <w:proofErr w:type="spellEnd"/>
      <w:r w:rsidRPr="00365B5C">
        <w:t>)</w:t>
      </w:r>
    </w:p>
    <w:p w:rsidR="00B04AB6" w:rsidP="00B04AB6" w:rsidRDefault="00B04AB6" w14:paraId="0F8E4D6B" w14:textId="77777777">
      <w:pPr>
        <w:pStyle w:val="GaramondBullets"/>
        <w:ind w:left="648"/>
      </w:pPr>
      <w:r w:rsidRPr="00365B5C">
        <w:t xml:space="preserve">Material blower VSD (currently we use motor VSD) any process using air to move product </w:t>
      </w:r>
    </w:p>
    <w:p w:rsidR="00B04AB6" w:rsidP="00B04AB6" w:rsidRDefault="00B04AB6" w14:paraId="613CBAE4" w14:textId="77777777">
      <w:pPr>
        <w:pStyle w:val="GaramondBullets"/>
        <w:ind w:left="648"/>
      </w:pPr>
      <w:r w:rsidRPr="00365B5C">
        <w:t>Material Dryer VSD (currently we use motor VSD) Example drying sand or rock</w:t>
      </w:r>
    </w:p>
    <w:p w:rsidRPr="00365B5C" w:rsidR="00B04AB6" w:rsidP="00B04AB6" w:rsidRDefault="00B04AB6" w14:paraId="71DA9F6E" w14:textId="77777777">
      <w:pPr>
        <w:pStyle w:val="GaramondBullets"/>
        <w:ind w:left="648"/>
      </w:pPr>
      <w:r w:rsidRPr="00365B5C">
        <w:t xml:space="preserve">Gas compressor (other than air) </w:t>
      </w:r>
    </w:p>
    <w:p w:rsidR="00B04AB6" w:rsidP="00B04AB6" w:rsidRDefault="00B04AB6" w14:paraId="6B2340A9" w14:textId="77777777">
      <w:pPr>
        <w:pStyle w:val="GaramondNormal"/>
        <w:keepNext/>
        <w:rPr>
          <w:u w:val="single"/>
        </w:rPr>
      </w:pPr>
    </w:p>
    <w:p w:rsidRPr="00457909" w:rsidR="00B04AB6" w:rsidP="00B04AB6" w:rsidRDefault="00B04AB6" w14:paraId="42747D6B" w14:textId="77777777">
      <w:pPr>
        <w:pStyle w:val="GaramondNormal"/>
        <w:keepNext/>
        <w:rPr>
          <w:u w:val="single"/>
        </w:rPr>
      </w:pPr>
      <w:r w:rsidRPr="00457909">
        <w:rPr>
          <w:u w:val="single"/>
        </w:rPr>
        <w:t xml:space="preserve">CPUC Staff </w:t>
      </w:r>
      <w:r>
        <w:rPr>
          <w:u w:val="single"/>
        </w:rPr>
        <w:t>R</w:t>
      </w:r>
      <w:r w:rsidRPr="00457909">
        <w:rPr>
          <w:u w:val="single"/>
        </w:rPr>
        <w:t>esponse:</w:t>
      </w:r>
    </w:p>
    <w:p w:rsidRPr="00A83A7C" w:rsidR="00B04AB6" w:rsidP="00B04AB6" w:rsidRDefault="00B04AB6" w14:paraId="09FC4C9D" w14:textId="77777777">
      <w:pPr>
        <w:pStyle w:val="GaramondNormal"/>
        <w:rPr>
          <w:szCs w:val="24"/>
        </w:rPr>
      </w:pPr>
      <w:r>
        <w:rPr>
          <w:szCs w:val="24"/>
        </w:rPr>
        <w:t>CPUC staff will also assess whether residential heat pump and mini-split heat pump systems will be modeled using MASControl3 or a comparable tool in time for the next resolution. Staff do not, however, agree that the recommended industrial measures should be added to the deemed measure list in the DEER databases. Instead, these measures should be introduced and vetted through the work paper process.</w:t>
      </w:r>
    </w:p>
    <w:p w:rsidRPr="00A83A7C" w:rsidR="00B04AB6" w:rsidP="00B04AB6" w:rsidRDefault="00B04AB6" w14:paraId="2F13D53D" w14:textId="77777777">
      <w:pPr>
        <w:pStyle w:val="AttachmentHeading2"/>
      </w:pPr>
      <w:bookmarkStart w:name="_Toc45023468" w:id="218"/>
      <w:r w:rsidRPr="00A83A7C">
        <w:t>Water Heaters</w:t>
      </w:r>
      <w:bookmarkEnd w:id="218"/>
    </w:p>
    <w:p w:rsidRPr="005E2E53" w:rsidR="00B04AB6" w:rsidP="00B04AB6" w:rsidRDefault="00B04AB6" w14:paraId="26E85376" w14:textId="77777777">
      <w:pPr>
        <w:pStyle w:val="GaramondNormal"/>
        <w:keepNext/>
        <w:rPr>
          <w:i/>
          <w:iCs/>
          <w:szCs w:val="24"/>
        </w:rPr>
      </w:pPr>
      <w:r w:rsidRPr="005E2E53">
        <w:rPr>
          <w:i/>
          <w:iCs/>
        </w:rPr>
        <w:t>Southern California Gas Co. (SoCalGa</w:t>
      </w:r>
      <w:r w:rsidRPr="005E2E53">
        <w:rPr>
          <w:i/>
          <w:iCs/>
          <w:szCs w:val="24"/>
        </w:rPr>
        <w:t>s):</w:t>
      </w:r>
    </w:p>
    <w:p w:rsidRPr="00A83A7C" w:rsidR="00B04AB6" w:rsidP="00B04AB6" w:rsidRDefault="00B04AB6" w14:paraId="39D6A897" w14:textId="77777777">
      <w:pPr>
        <w:pStyle w:val="GaramondNormal"/>
      </w:pPr>
      <w:r w:rsidRPr="00A83A7C">
        <w:t xml:space="preserve">As stated in this section, the revised water heater tool was made available on May 1, 2020. SoCalGas will update relevant water heater workpapers to incorporate the new DEER values and work with the </w:t>
      </w:r>
      <w:r>
        <w:t>CPUC staff</w:t>
      </w:r>
      <w:r w:rsidRPr="00A83A7C">
        <w:t xml:space="preserve"> if we find any comment after further review.</w:t>
      </w:r>
    </w:p>
    <w:p w:rsidRPr="005E2E53" w:rsidR="00B04AB6" w:rsidP="00B04AB6" w:rsidRDefault="00B04AB6" w14:paraId="7B0E70B5" w14:textId="77777777">
      <w:pPr>
        <w:pStyle w:val="GaramondNormal"/>
        <w:keepNext/>
        <w:rPr>
          <w:i/>
          <w:iCs/>
          <w:szCs w:val="24"/>
        </w:rPr>
      </w:pPr>
      <w:r w:rsidRPr="005E2E53">
        <w:rPr>
          <w:i/>
          <w:iCs/>
        </w:rPr>
        <w:t>Southern California Regional Energy Net</w:t>
      </w:r>
      <w:r w:rsidRPr="005E2E53">
        <w:rPr>
          <w:i/>
          <w:iCs/>
          <w:szCs w:val="24"/>
        </w:rPr>
        <w:t>work (</w:t>
      </w:r>
      <w:proofErr w:type="spellStart"/>
      <w:r w:rsidRPr="005E2E53">
        <w:rPr>
          <w:i/>
          <w:iCs/>
          <w:szCs w:val="24"/>
        </w:rPr>
        <w:t>SoCalRen</w:t>
      </w:r>
      <w:proofErr w:type="spellEnd"/>
      <w:r w:rsidRPr="005E2E53">
        <w:rPr>
          <w:i/>
          <w:iCs/>
          <w:szCs w:val="24"/>
        </w:rPr>
        <w:t xml:space="preserve">): </w:t>
      </w:r>
    </w:p>
    <w:p w:rsidRPr="00A83A7C" w:rsidR="00B04AB6" w:rsidP="00B04AB6" w:rsidRDefault="00B04AB6" w14:paraId="7406D75F" w14:textId="77777777">
      <w:pPr>
        <w:pStyle w:val="GaramondNormal"/>
      </w:pPr>
      <w:proofErr w:type="spellStart"/>
      <w:r w:rsidRPr="00A83A7C">
        <w:t>SoCalREN</w:t>
      </w:r>
      <w:proofErr w:type="spellEnd"/>
      <w:r w:rsidRPr="00A83A7C">
        <w:t xml:space="preserve"> supports the update from EF to UEF for heat pump water heaters. This will better align with current manufacturer efficiency ratings, as well as improving diversity between residential and commercial water heaters. As part of this update, </w:t>
      </w:r>
      <w:proofErr w:type="spellStart"/>
      <w:r w:rsidRPr="00A83A7C">
        <w:t>SoCalREN</w:t>
      </w:r>
      <w:proofErr w:type="spellEnd"/>
      <w:r w:rsidRPr="00A83A7C">
        <w:t xml:space="preserve"> recommends considering the value of grid interactive capabilities for HPWHs either as it relates to the water heater calculator or fuel substitution. The use of HPWHs for demand response and/or for their energy storage capability supports California’s long-term goals towards GHG reduction. </w:t>
      </w:r>
    </w:p>
    <w:p w:rsidRPr="00457909" w:rsidR="00B04AB6" w:rsidP="00B04AB6" w:rsidRDefault="00B04AB6" w14:paraId="45814F06" w14:textId="77777777">
      <w:pPr>
        <w:pStyle w:val="GaramondNormal"/>
        <w:keepNext/>
        <w:rPr>
          <w:u w:val="single"/>
        </w:rPr>
      </w:pPr>
      <w:r w:rsidRPr="00457909">
        <w:rPr>
          <w:u w:val="single"/>
        </w:rPr>
        <w:t xml:space="preserve">CPUC Staff </w:t>
      </w:r>
      <w:r>
        <w:rPr>
          <w:u w:val="single"/>
        </w:rPr>
        <w:t>R</w:t>
      </w:r>
      <w:r w:rsidRPr="00457909">
        <w:rPr>
          <w:u w:val="single"/>
        </w:rPr>
        <w:t>esponse:</w:t>
      </w:r>
    </w:p>
    <w:p w:rsidR="00B04AB6" w:rsidP="00B04AB6" w:rsidRDefault="00B04AB6" w14:paraId="0CC1683C" w14:textId="77777777">
      <w:pPr>
        <w:pStyle w:val="GaramondNormal"/>
      </w:pPr>
      <w:r>
        <w:t>The water heater calculator does not currently have the functionality to account for demand response measures. While we agree that this functionality would be of value, adding it will be considered for a subsequent update.</w:t>
      </w:r>
    </w:p>
    <w:p w:rsidRPr="004F5C89" w:rsidR="00B04AB6" w:rsidP="00B04AB6" w:rsidRDefault="00B04AB6" w14:paraId="72C86B1C" w14:textId="77777777">
      <w:pPr>
        <w:pStyle w:val="GaramondNormal"/>
      </w:pPr>
    </w:p>
    <w:p w:rsidR="00B04AB6" w:rsidP="00B04AB6" w:rsidRDefault="00B04AB6" w14:paraId="66024593" w14:textId="77777777">
      <w:pPr>
        <w:pStyle w:val="AttachmentHeading1"/>
      </w:pPr>
      <w:bookmarkStart w:name="_Toc45023469" w:id="219"/>
      <w:bookmarkStart w:name="_Toc40807032" w:id="220"/>
      <w:r>
        <w:t xml:space="preserve">Appendix 1 – </w:t>
      </w:r>
      <w:proofErr w:type="spellStart"/>
      <w:r>
        <w:t>eTRM</w:t>
      </w:r>
      <w:proofErr w:type="spellEnd"/>
      <w:r>
        <w:t xml:space="preserve"> Enhancement Planning</w:t>
      </w:r>
      <w:bookmarkEnd w:id="219"/>
      <w:r>
        <w:t xml:space="preserve">  </w:t>
      </w:r>
    </w:p>
    <w:p w:rsidR="00B04AB6" w:rsidP="00B04AB6" w:rsidRDefault="00B04AB6" w14:paraId="0033F385" w14:textId="0AC26C9F">
      <w:pPr>
        <w:pStyle w:val="AttachmentNormal"/>
      </w:pPr>
      <w:r>
        <w:fldChar w:fldCharType="begin"/>
      </w:r>
      <w:r>
        <w:instrText xml:space="preserve"> REF _Ref41467751 \h </w:instrText>
      </w:r>
      <w:r>
        <w:fldChar w:fldCharType="separate"/>
      </w:r>
      <w:r w:rsidRPr="00B95F21">
        <w:t xml:space="preserve">Table </w:t>
      </w:r>
      <w:r>
        <w:t>A</w:t>
      </w:r>
      <w:r w:rsidRPr="00B95F21">
        <w:noBreakHyphen/>
      </w:r>
      <w:r>
        <w:rPr>
          <w:noProof/>
        </w:rPr>
        <w:t>3</w:t>
      </w:r>
      <w:r>
        <w:fldChar w:fldCharType="end"/>
      </w:r>
      <w:r>
        <w:t xml:space="preserve"> </w:t>
      </w:r>
      <w:r w:rsidRPr="008E0DAB">
        <w:t xml:space="preserve">contains the necessary enhancements to the </w:t>
      </w:r>
      <w:proofErr w:type="spellStart"/>
      <w:r w:rsidRPr="008E0DAB">
        <w:t>eTRM</w:t>
      </w:r>
      <w:proofErr w:type="spellEnd"/>
      <w:r w:rsidRPr="008E0DAB">
        <w:t>, at a minimum, needed to satisfy the Energy Division’s two-phased transition approach. Phase 1 enhancements are expected to begin in July</w:t>
      </w:r>
      <w:r>
        <w:t>/August</w:t>
      </w:r>
      <w:r w:rsidRPr="008E0DAB">
        <w:t xml:space="preserve"> 2020 and are required to be completed satisfactorily as a condition of the Data Source of Record designation</w:t>
      </w:r>
      <w:r>
        <w:t xml:space="preserve"> by January 1, 2021</w:t>
      </w:r>
      <w:r w:rsidRPr="008E0DAB">
        <w:t xml:space="preserve">. </w:t>
      </w:r>
      <w:r>
        <w:t xml:space="preserve"> Phase 2 requirements may </w:t>
      </w:r>
      <w:proofErr w:type="gramStart"/>
      <w:r>
        <w:t>being</w:t>
      </w:r>
      <w:proofErr w:type="gramEnd"/>
      <w:r>
        <w:t xml:space="preserve"> in 2020, and will be completed in June, 2021.</w:t>
      </w:r>
    </w:p>
    <w:p w:rsidRPr="008E0DAB" w:rsidR="00E8323A" w:rsidP="00B04AB6" w:rsidRDefault="00E8323A" w14:paraId="5FCDD8BE" w14:textId="77777777">
      <w:pPr>
        <w:pStyle w:val="AttachmentNormal"/>
      </w:pPr>
    </w:p>
    <w:p w:rsidRPr="00E8323A" w:rsidR="00B04AB6" w:rsidP="00E8323A" w:rsidRDefault="00B04AB6" w14:paraId="1D648DB3" w14:textId="7700C7B6">
      <w:pPr>
        <w:pStyle w:val="CenturyGothicTableHeader"/>
        <w:keepNext/>
        <w:keepLines/>
      </w:pPr>
      <w:bookmarkStart w:name="_Ref41467751" w:id="221"/>
      <w:bookmarkStart w:name="_Ref41467747" w:id="222"/>
      <w:r w:rsidRPr="00B95F21">
        <w:lastRenderedPageBreak/>
        <w:t xml:space="preserve">Table </w:t>
      </w:r>
      <w:r>
        <w:t>A</w:t>
      </w:r>
      <w:r w:rsidRPr="00B95F21">
        <w:noBreakHyphen/>
      </w:r>
      <w:r w:rsidRPr="00B95F21">
        <w:fldChar w:fldCharType="begin"/>
      </w:r>
      <w:r w:rsidRPr="00B95F21">
        <w:instrText>SEQ Table \* ARABIC \s 1</w:instrText>
      </w:r>
      <w:r w:rsidRPr="00B95F21">
        <w:fldChar w:fldCharType="separate"/>
      </w:r>
      <w:r>
        <w:rPr>
          <w:noProof/>
        </w:rPr>
        <w:t>3</w:t>
      </w:r>
      <w:r w:rsidRPr="00B95F21">
        <w:fldChar w:fldCharType="end"/>
      </w:r>
      <w:bookmarkEnd w:id="221"/>
      <w:r w:rsidRPr="00B95F21">
        <w:t xml:space="preserve">. Required </w:t>
      </w:r>
      <w:proofErr w:type="spellStart"/>
      <w:r w:rsidRPr="00B95F21">
        <w:t>eTRM</w:t>
      </w:r>
      <w:proofErr w:type="spellEnd"/>
      <w:r w:rsidRPr="00B95F21">
        <w:t xml:space="preserve"> Enhancements</w:t>
      </w:r>
      <w:bookmarkEnd w:id="222"/>
      <w:r>
        <w:t xml:space="preserve">  </w:t>
      </w:r>
      <w:r>
        <w:fldChar w:fldCharType="begin"/>
      </w:r>
      <w:r>
        <w:instrText xml:space="preserve"> LINK Excel.Sheet.12 "https://capuc-my.sharepoint.com/personal/amy_reardon_cpuc_ca_gov/Documents/1%20Work%20Papers/eTRM/DEER2022%20Resolution/Appendices/eTRM%20Enhancements%20List-v7.xlsx" "Sheet1!R1C1:R98C6" \a \f 4 \h </w:instrText>
      </w:r>
      <w:r>
        <w:fldChar w:fldCharType="separate"/>
      </w:r>
    </w:p>
    <w:tbl>
      <w:tblPr>
        <w:tblW w:w="9800" w:type="dxa"/>
        <w:tblLook w:val="04A0" w:firstRow="1" w:lastRow="0" w:firstColumn="1" w:lastColumn="0" w:noHBand="0" w:noVBand="1"/>
      </w:tblPr>
      <w:tblGrid>
        <w:gridCol w:w="760"/>
        <w:gridCol w:w="4240"/>
        <w:gridCol w:w="1120"/>
        <w:gridCol w:w="1120"/>
        <w:gridCol w:w="1120"/>
        <w:gridCol w:w="1440"/>
      </w:tblGrid>
      <w:tr w:rsidRPr="00A172B1" w:rsidR="00B04AB6" w:rsidTr="00B04AB6" w14:paraId="35A31EB0" w14:textId="77777777">
        <w:trPr>
          <w:trHeight w:val="675"/>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172B1" w:rsidR="00B04AB6" w:rsidP="00E8323A" w:rsidRDefault="00B04AB6" w14:paraId="359CC8A5" w14:textId="77777777">
            <w:pPr>
              <w:keepNext/>
              <w:keepLines/>
              <w:spacing w:after="0"/>
              <w:jc w:val="center"/>
              <w:rPr>
                <w:rFonts w:cs="Calibri"/>
                <w:b/>
                <w:bCs/>
                <w:color w:val="000000"/>
                <w:sz w:val="20"/>
                <w:szCs w:val="20"/>
              </w:rPr>
            </w:pPr>
            <w:r w:rsidRPr="00A172B1">
              <w:rPr>
                <w:rFonts w:cs="Calibri"/>
                <w:b/>
                <w:bCs/>
                <w:color w:val="000000"/>
                <w:sz w:val="20"/>
                <w:szCs w:val="20"/>
              </w:rPr>
              <w:t>Row</w:t>
            </w:r>
          </w:p>
        </w:tc>
        <w:tc>
          <w:tcPr>
            <w:tcW w:w="4240" w:type="dxa"/>
            <w:tcBorders>
              <w:top w:val="single" w:color="auto" w:sz="8" w:space="0"/>
              <w:left w:val="nil"/>
              <w:bottom w:val="single" w:color="auto" w:sz="8" w:space="0"/>
              <w:right w:val="nil"/>
            </w:tcBorders>
            <w:shd w:val="clear" w:color="auto" w:fill="auto"/>
            <w:vAlign w:val="center"/>
            <w:hideMark/>
          </w:tcPr>
          <w:p w:rsidRPr="00A172B1" w:rsidR="00B04AB6" w:rsidP="00E8323A" w:rsidRDefault="00B04AB6" w14:paraId="5ACA39C2" w14:textId="77777777">
            <w:pPr>
              <w:keepNext/>
              <w:keepLines/>
              <w:spacing w:after="0"/>
              <w:jc w:val="center"/>
              <w:rPr>
                <w:rFonts w:cs="Calibri"/>
                <w:b/>
                <w:bCs/>
                <w:color w:val="000000"/>
                <w:sz w:val="20"/>
                <w:szCs w:val="20"/>
              </w:rPr>
            </w:pPr>
            <w:proofErr w:type="spellStart"/>
            <w:r w:rsidRPr="00A172B1">
              <w:rPr>
                <w:rFonts w:cs="Calibri"/>
                <w:b/>
                <w:bCs/>
                <w:color w:val="000000"/>
                <w:sz w:val="20"/>
                <w:szCs w:val="20"/>
              </w:rPr>
              <w:t>eTRM</w:t>
            </w:r>
            <w:proofErr w:type="spellEnd"/>
            <w:r w:rsidRPr="00A172B1">
              <w:rPr>
                <w:rFonts w:cs="Calibri"/>
                <w:b/>
                <w:bCs/>
                <w:color w:val="000000"/>
                <w:sz w:val="20"/>
                <w:szCs w:val="20"/>
              </w:rPr>
              <w:t xml:space="preserve"> Enhancement Requirements</w:t>
            </w:r>
          </w:p>
        </w:tc>
        <w:tc>
          <w:tcPr>
            <w:tcW w:w="112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A172B1" w:rsidR="00B04AB6" w:rsidP="00E8323A" w:rsidRDefault="00B04AB6" w14:paraId="1B169CD3" w14:textId="77777777">
            <w:pPr>
              <w:keepNext/>
              <w:keepLines/>
              <w:spacing w:after="0"/>
              <w:jc w:val="center"/>
              <w:rPr>
                <w:rFonts w:cs="Calibri"/>
                <w:b/>
                <w:bCs/>
                <w:color w:val="000000"/>
                <w:sz w:val="20"/>
                <w:szCs w:val="20"/>
              </w:rPr>
            </w:pPr>
            <w:r w:rsidRPr="00A172B1">
              <w:rPr>
                <w:rFonts w:cs="Calibri"/>
                <w:b/>
                <w:bCs/>
                <w:color w:val="000000"/>
                <w:sz w:val="20"/>
                <w:szCs w:val="20"/>
              </w:rPr>
              <w:t>Phase 1 2020</w:t>
            </w:r>
          </w:p>
        </w:tc>
        <w:tc>
          <w:tcPr>
            <w:tcW w:w="1120" w:type="dxa"/>
            <w:tcBorders>
              <w:top w:val="single" w:color="auto" w:sz="4" w:space="0"/>
              <w:left w:val="nil"/>
              <w:bottom w:val="single" w:color="auto" w:sz="4" w:space="0"/>
              <w:right w:val="single" w:color="auto" w:sz="4" w:space="0"/>
            </w:tcBorders>
            <w:shd w:val="clear" w:color="auto" w:fill="auto"/>
            <w:vAlign w:val="center"/>
            <w:hideMark/>
          </w:tcPr>
          <w:p w:rsidRPr="00A172B1" w:rsidR="00B04AB6" w:rsidP="00E8323A" w:rsidRDefault="00B04AB6" w14:paraId="4D8AF9DB" w14:textId="77777777">
            <w:pPr>
              <w:keepNext/>
              <w:keepLines/>
              <w:spacing w:after="0"/>
              <w:jc w:val="center"/>
              <w:rPr>
                <w:rFonts w:cs="Calibri"/>
                <w:b/>
                <w:bCs/>
                <w:color w:val="000000"/>
                <w:sz w:val="20"/>
                <w:szCs w:val="20"/>
              </w:rPr>
            </w:pPr>
            <w:r w:rsidRPr="00A172B1">
              <w:rPr>
                <w:rFonts w:cs="Calibri"/>
                <w:b/>
                <w:bCs/>
                <w:color w:val="000000"/>
                <w:sz w:val="20"/>
                <w:szCs w:val="20"/>
              </w:rPr>
              <w:t>Phase 2 2020</w:t>
            </w:r>
          </w:p>
        </w:tc>
        <w:tc>
          <w:tcPr>
            <w:tcW w:w="1120" w:type="dxa"/>
            <w:tcBorders>
              <w:top w:val="single" w:color="auto" w:sz="4" w:space="0"/>
              <w:left w:val="nil"/>
              <w:bottom w:val="single" w:color="auto" w:sz="4" w:space="0"/>
              <w:right w:val="single" w:color="auto" w:sz="4" w:space="0"/>
            </w:tcBorders>
            <w:shd w:val="clear" w:color="auto" w:fill="auto"/>
            <w:vAlign w:val="center"/>
            <w:hideMark/>
          </w:tcPr>
          <w:p w:rsidRPr="00A172B1" w:rsidR="00B04AB6" w:rsidP="00E8323A" w:rsidRDefault="00B04AB6" w14:paraId="67A03108" w14:textId="77777777">
            <w:pPr>
              <w:keepNext/>
              <w:keepLines/>
              <w:spacing w:after="0"/>
              <w:jc w:val="center"/>
              <w:rPr>
                <w:rFonts w:cs="Calibri"/>
                <w:b/>
                <w:bCs/>
                <w:color w:val="000000"/>
                <w:sz w:val="20"/>
                <w:szCs w:val="20"/>
              </w:rPr>
            </w:pPr>
            <w:r w:rsidRPr="00A172B1">
              <w:rPr>
                <w:rFonts w:cs="Calibri"/>
                <w:b/>
                <w:bCs/>
                <w:color w:val="000000"/>
                <w:sz w:val="20"/>
                <w:szCs w:val="20"/>
              </w:rPr>
              <w:t>Phase 2 2021</w:t>
            </w:r>
          </w:p>
        </w:tc>
        <w:tc>
          <w:tcPr>
            <w:tcW w:w="1440" w:type="dxa"/>
            <w:tcBorders>
              <w:top w:val="single" w:color="auto" w:sz="4" w:space="0"/>
              <w:left w:val="nil"/>
              <w:bottom w:val="single" w:color="auto" w:sz="4" w:space="0"/>
              <w:right w:val="single" w:color="auto" w:sz="4" w:space="0"/>
            </w:tcBorders>
            <w:shd w:val="clear" w:color="auto" w:fill="auto"/>
            <w:vAlign w:val="center"/>
            <w:hideMark/>
          </w:tcPr>
          <w:p w:rsidRPr="00A172B1" w:rsidR="00B04AB6" w:rsidP="00E8323A" w:rsidRDefault="00B04AB6" w14:paraId="0785DE05" w14:textId="77777777">
            <w:pPr>
              <w:keepNext/>
              <w:keepLines/>
              <w:spacing w:after="0"/>
              <w:jc w:val="center"/>
              <w:rPr>
                <w:rFonts w:cs="Calibri"/>
                <w:b/>
                <w:bCs/>
                <w:color w:val="000000"/>
                <w:sz w:val="20"/>
                <w:szCs w:val="20"/>
              </w:rPr>
            </w:pPr>
            <w:r w:rsidRPr="00A172B1">
              <w:rPr>
                <w:rFonts w:cs="Calibri"/>
                <w:b/>
                <w:bCs/>
                <w:color w:val="000000"/>
                <w:sz w:val="20"/>
                <w:szCs w:val="20"/>
              </w:rPr>
              <w:t>Both 2020/ 2021</w:t>
            </w:r>
          </w:p>
        </w:tc>
      </w:tr>
      <w:tr w:rsidRPr="00A172B1" w:rsidR="00B04AB6" w:rsidTr="00B04AB6" w14:paraId="5A080805" w14:textId="77777777">
        <w:trPr>
          <w:trHeight w:val="72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E8323A" w:rsidRDefault="00B04AB6" w14:paraId="4DDD1A9B" w14:textId="77777777">
            <w:pPr>
              <w:keepNext/>
              <w:keepLines/>
              <w:spacing w:after="0"/>
              <w:jc w:val="center"/>
              <w:rPr>
                <w:rFonts w:ascii="Calibri" w:hAnsi="Calibri" w:cs="Calibri"/>
                <w:color w:val="000000"/>
                <w:sz w:val="22"/>
              </w:rPr>
            </w:pPr>
            <w:r w:rsidRPr="00A172B1">
              <w:rPr>
                <w:rFonts w:ascii="Calibri" w:hAnsi="Calibri" w:cs="Calibri"/>
                <w:color w:val="000000"/>
                <w:sz w:val="22"/>
              </w:rPr>
              <w:t>2</w:t>
            </w:r>
          </w:p>
        </w:tc>
        <w:tc>
          <w:tcPr>
            <w:tcW w:w="4240" w:type="dxa"/>
            <w:tcBorders>
              <w:top w:val="nil"/>
              <w:left w:val="nil"/>
              <w:bottom w:val="single" w:color="auto" w:sz="8" w:space="0"/>
              <w:right w:val="nil"/>
            </w:tcBorders>
            <w:shd w:val="clear" w:color="auto" w:fill="auto"/>
            <w:vAlign w:val="center"/>
            <w:hideMark/>
          </w:tcPr>
          <w:p w:rsidRPr="00A172B1" w:rsidR="00B04AB6" w:rsidP="00E8323A" w:rsidRDefault="00B04AB6" w14:paraId="36528FE4" w14:textId="77777777">
            <w:pPr>
              <w:keepNext/>
              <w:keepLines/>
              <w:spacing w:after="0"/>
              <w:rPr>
                <w:rFonts w:cs="Calibri"/>
                <w:color w:val="000000"/>
                <w:sz w:val="22"/>
              </w:rPr>
            </w:pPr>
            <w:r w:rsidRPr="00A172B1">
              <w:rPr>
                <w:rFonts w:cs="Calibri"/>
                <w:color w:val="000000"/>
                <w:sz w:val="22"/>
              </w:rPr>
              <w:t>Add additional data fields at staff direction to meet the Deemed Data Standard.</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E8323A" w:rsidRDefault="00B04AB6" w14:paraId="1866E0AB" w14:textId="77777777">
            <w:pPr>
              <w:keepNext/>
              <w:keepLines/>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E8323A" w:rsidRDefault="00B04AB6" w14:paraId="3DC5B47F" w14:textId="77777777">
            <w:pPr>
              <w:keepNext/>
              <w:keepLines/>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E8323A" w:rsidRDefault="00B04AB6" w14:paraId="64AA44B3" w14:textId="77777777">
            <w:pPr>
              <w:keepNext/>
              <w:keepLines/>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E8323A" w:rsidRDefault="00B04AB6" w14:paraId="731A7BB0" w14:textId="77777777">
            <w:pPr>
              <w:keepNext/>
              <w:keepLines/>
              <w:spacing w:after="0"/>
              <w:jc w:val="center"/>
              <w:rPr>
                <w:rFonts w:cs="Calibri"/>
                <w:color w:val="000000"/>
                <w:sz w:val="22"/>
              </w:rPr>
            </w:pPr>
            <w:r w:rsidRPr="00A172B1">
              <w:rPr>
                <w:rFonts w:cs="Calibri"/>
                <w:color w:val="000000"/>
                <w:sz w:val="22"/>
              </w:rPr>
              <w:t> </w:t>
            </w:r>
          </w:p>
        </w:tc>
      </w:tr>
      <w:tr w:rsidRPr="00A172B1" w:rsidR="00B04AB6" w:rsidTr="00B04AB6" w14:paraId="37933DD8" w14:textId="77777777">
        <w:trPr>
          <w:trHeight w:val="15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0128960A" w14:textId="77777777">
            <w:pPr>
              <w:spacing w:after="0"/>
              <w:jc w:val="center"/>
              <w:rPr>
                <w:rFonts w:ascii="Calibri" w:hAnsi="Calibri" w:cs="Calibri"/>
                <w:color w:val="000000"/>
                <w:sz w:val="22"/>
              </w:rPr>
            </w:pPr>
            <w:r w:rsidRPr="00A172B1">
              <w:rPr>
                <w:rFonts w:ascii="Calibri" w:hAnsi="Calibri" w:cs="Calibri"/>
                <w:color w:val="000000"/>
                <w:sz w:val="22"/>
              </w:rPr>
              <w:t>3</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0D10B888" w14:textId="77777777">
            <w:pPr>
              <w:spacing w:after="0"/>
              <w:rPr>
                <w:rFonts w:cs="Calibri"/>
                <w:color w:val="000000"/>
                <w:sz w:val="22"/>
              </w:rPr>
            </w:pPr>
            <w:r w:rsidRPr="00A172B1">
              <w:rPr>
                <w:rFonts w:cs="Calibri"/>
                <w:color w:val="000000"/>
                <w:sz w:val="22"/>
              </w:rPr>
              <w:t xml:space="preserve">Create a process (API with specific views designed by the </w:t>
            </w:r>
            <w:proofErr w:type="spellStart"/>
            <w:r w:rsidRPr="00A172B1">
              <w:rPr>
                <w:rFonts w:cs="Calibri"/>
                <w:color w:val="000000"/>
                <w:sz w:val="22"/>
              </w:rPr>
              <w:t>ex ante</w:t>
            </w:r>
            <w:proofErr w:type="spellEnd"/>
            <w:r w:rsidRPr="00A172B1">
              <w:rPr>
                <w:rFonts w:cs="Calibri"/>
                <w:color w:val="000000"/>
                <w:sz w:val="22"/>
              </w:rPr>
              <w:t xml:space="preserve"> team for the </w:t>
            </w:r>
            <w:proofErr w:type="spellStart"/>
            <w:r w:rsidRPr="00A172B1">
              <w:rPr>
                <w:rFonts w:cs="Calibri"/>
                <w:color w:val="000000"/>
                <w:sz w:val="22"/>
              </w:rPr>
              <w:t>eTRM</w:t>
            </w:r>
            <w:proofErr w:type="spellEnd"/>
            <w:r w:rsidRPr="00A172B1">
              <w:rPr>
                <w:rFonts w:cs="Calibri"/>
                <w:color w:val="000000"/>
                <w:sz w:val="22"/>
              </w:rPr>
              <w:t xml:space="preserve">) that would sync with the Ex Ante tables and update the </w:t>
            </w:r>
            <w:proofErr w:type="spellStart"/>
            <w:r w:rsidRPr="00A172B1">
              <w:rPr>
                <w:rFonts w:cs="Calibri"/>
                <w:color w:val="000000"/>
                <w:sz w:val="22"/>
              </w:rPr>
              <w:t>eTRM</w:t>
            </w:r>
            <w:proofErr w:type="spellEnd"/>
            <w:r w:rsidRPr="00A172B1">
              <w:rPr>
                <w:rFonts w:cs="Calibri"/>
                <w:color w:val="000000"/>
                <w:sz w:val="22"/>
              </w:rPr>
              <w:t xml:space="preserve"> shared tables </w:t>
            </w:r>
            <w:proofErr w:type="gramStart"/>
            <w:r w:rsidRPr="00A172B1">
              <w:rPr>
                <w:rFonts w:cs="Calibri"/>
                <w:color w:val="000000"/>
                <w:sz w:val="22"/>
              </w:rPr>
              <w:t>on a daily basis</w:t>
            </w:r>
            <w:proofErr w:type="gramEnd"/>
            <w:r w:rsidRPr="00A172B1">
              <w:rPr>
                <w:rFonts w:cs="Calibri"/>
                <w:color w:val="000000"/>
                <w:sz w:val="22"/>
              </w:rPr>
              <w:t>.</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583E40A"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FD04689"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42ED155"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3218260" w14:textId="77777777">
            <w:pPr>
              <w:spacing w:after="0"/>
              <w:jc w:val="center"/>
              <w:rPr>
                <w:rFonts w:cs="Calibri"/>
                <w:color w:val="000000"/>
                <w:sz w:val="22"/>
              </w:rPr>
            </w:pPr>
            <w:r w:rsidRPr="00A172B1">
              <w:rPr>
                <w:rFonts w:cs="Calibri"/>
                <w:color w:val="000000"/>
                <w:sz w:val="22"/>
              </w:rPr>
              <w:t> </w:t>
            </w:r>
          </w:p>
        </w:tc>
      </w:tr>
      <w:tr w:rsidRPr="00A172B1" w:rsidR="00B04AB6" w:rsidTr="00B04AB6" w14:paraId="5C53EF0F"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26B85E51" w14:textId="77777777">
            <w:pPr>
              <w:spacing w:after="0"/>
              <w:jc w:val="center"/>
              <w:rPr>
                <w:rFonts w:ascii="Calibri" w:hAnsi="Calibri" w:cs="Calibri"/>
                <w:color w:val="000000"/>
                <w:sz w:val="22"/>
              </w:rPr>
            </w:pPr>
            <w:r w:rsidRPr="00A172B1">
              <w:rPr>
                <w:rFonts w:ascii="Calibri" w:hAnsi="Calibri" w:cs="Calibri"/>
                <w:color w:val="000000"/>
                <w:sz w:val="22"/>
              </w:rPr>
              <w:t>4</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0A07018D" w14:textId="77777777">
            <w:pPr>
              <w:spacing w:after="0"/>
              <w:rPr>
                <w:rFonts w:cs="Calibri"/>
                <w:color w:val="000000"/>
                <w:sz w:val="22"/>
              </w:rPr>
            </w:pPr>
            <w:r w:rsidRPr="00A172B1">
              <w:rPr>
                <w:rFonts w:cs="Calibri"/>
                <w:color w:val="000000"/>
                <w:sz w:val="22"/>
              </w:rPr>
              <w:t>Set versioning of shared parameters and value tables at the object (table/parameter) level rather than at the shared data library level.</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49D33392"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66E4E77"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0C510B0"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31DE12A" w14:textId="77777777">
            <w:pPr>
              <w:spacing w:after="0"/>
              <w:jc w:val="center"/>
              <w:rPr>
                <w:rFonts w:cs="Calibri"/>
                <w:color w:val="000000"/>
                <w:sz w:val="22"/>
              </w:rPr>
            </w:pPr>
            <w:r w:rsidRPr="00A172B1">
              <w:rPr>
                <w:rFonts w:cs="Calibri"/>
                <w:color w:val="000000"/>
                <w:sz w:val="22"/>
              </w:rPr>
              <w:t> </w:t>
            </w:r>
          </w:p>
        </w:tc>
      </w:tr>
      <w:tr w:rsidRPr="00A172B1" w:rsidR="00B04AB6" w:rsidTr="00B04AB6" w14:paraId="08420640"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1B06F462" w14:textId="77777777">
            <w:pPr>
              <w:spacing w:after="0"/>
              <w:jc w:val="center"/>
              <w:rPr>
                <w:rFonts w:ascii="Calibri" w:hAnsi="Calibri" w:cs="Calibri"/>
                <w:color w:val="000000"/>
                <w:sz w:val="22"/>
              </w:rPr>
            </w:pPr>
            <w:r w:rsidRPr="00A172B1">
              <w:rPr>
                <w:rFonts w:ascii="Calibri" w:hAnsi="Calibri" w:cs="Calibri"/>
                <w:color w:val="000000"/>
                <w:sz w:val="22"/>
              </w:rPr>
              <w:t>5</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74DA1696" w14:textId="77777777">
            <w:pPr>
              <w:spacing w:after="0"/>
              <w:rPr>
                <w:rFonts w:cs="Calibri"/>
                <w:color w:val="000000"/>
                <w:sz w:val="22"/>
              </w:rPr>
            </w:pPr>
            <w:r w:rsidRPr="00A172B1">
              <w:rPr>
                <w:rFonts w:cs="Calibri"/>
                <w:color w:val="000000"/>
                <w:sz w:val="22"/>
              </w:rPr>
              <w:t>Add ability for editors to choose what columns appear (and their order) in the characterization when a value table is embedded (both shared and measure-specific).</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6DA1612A"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3197F04"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42AB8E8"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604912B" w14:textId="77777777">
            <w:pPr>
              <w:spacing w:after="0"/>
              <w:jc w:val="center"/>
              <w:rPr>
                <w:rFonts w:cs="Calibri"/>
                <w:color w:val="000000"/>
                <w:sz w:val="22"/>
              </w:rPr>
            </w:pPr>
            <w:r w:rsidRPr="00A172B1">
              <w:rPr>
                <w:rFonts w:cs="Calibri"/>
                <w:color w:val="000000"/>
                <w:sz w:val="22"/>
              </w:rPr>
              <w:t> </w:t>
            </w:r>
          </w:p>
        </w:tc>
      </w:tr>
      <w:tr w:rsidRPr="00A172B1" w:rsidR="00B04AB6" w:rsidTr="00B04AB6" w14:paraId="774A42EF" w14:textId="77777777">
        <w:trPr>
          <w:trHeight w:val="15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67F680BE" w14:textId="77777777">
            <w:pPr>
              <w:spacing w:after="0"/>
              <w:jc w:val="center"/>
              <w:rPr>
                <w:rFonts w:ascii="Calibri" w:hAnsi="Calibri" w:cs="Calibri"/>
                <w:color w:val="000000"/>
                <w:sz w:val="22"/>
              </w:rPr>
            </w:pPr>
            <w:r w:rsidRPr="00A172B1">
              <w:rPr>
                <w:rFonts w:ascii="Calibri" w:hAnsi="Calibri" w:cs="Calibri"/>
                <w:color w:val="000000"/>
                <w:sz w:val="22"/>
              </w:rPr>
              <w:t>6</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76B5DB67" w14:textId="77777777">
            <w:pPr>
              <w:spacing w:after="0"/>
              <w:rPr>
                <w:rFonts w:cs="Calibri"/>
                <w:color w:val="000000"/>
                <w:sz w:val="22"/>
              </w:rPr>
            </w:pPr>
            <w:r w:rsidRPr="00A172B1">
              <w:rPr>
                <w:rFonts w:cs="Calibri"/>
                <w:color w:val="000000"/>
                <w:sz w:val="22"/>
              </w:rPr>
              <w:t xml:space="preserve">Creation of a CPUC-specific shared data library for DEER measures. This shared data library would support versioned parameters and value tables managed by CPUC and available for </w:t>
            </w:r>
            <w:proofErr w:type="spellStart"/>
            <w:r w:rsidRPr="00A172B1">
              <w:rPr>
                <w:rFonts w:cs="Calibri"/>
                <w:color w:val="000000"/>
                <w:sz w:val="22"/>
              </w:rPr>
              <w:t>eTRM</w:t>
            </w:r>
            <w:proofErr w:type="spellEnd"/>
            <w:r w:rsidRPr="00A172B1">
              <w:rPr>
                <w:rFonts w:cs="Calibri"/>
                <w:color w:val="000000"/>
                <w:sz w:val="22"/>
              </w:rPr>
              <w:t xml:space="preserve"> measures to import.</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39AEEB37"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6826CE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499B908"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85C4831" w14:textId="77777777">
            <w:pPr>
              <w:spacing w:after="0"/>
              <w:jc w:val="center"/>
              <w:rPr>
                <w:rFonts w:cs="Calibri"/>
                <w:color w:val="000000"/>
                <w:sz w:val="22"/>
              </w:rPr>
            </w:pPr>
            <w:r w:rsidRPr="00A172B1">
              <w:rPr>
                <w:rFonts w:cs="Calibri"/>
                <w:color w:val="000000"/>
                <w:sz w:val="22"/>
              </w:rPr>
              <w:t> </w:t>
            </w:r>
          </w:p>
        </w:tc>
      </w:tr>
      <w:tr w:rsidRPr="00A172B1" w:rsidR="00B04AB6" w:rsidTr="00B04AB6" w14:paraId="13BF4C88" w14:textId="77777777">
        <w:trPr>
          <w:trHeight w:val="15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6F6C16F" w14:textId="77777777">
            <w:pPr>
              <w:spacing w:after="0"/>
              <w:jc w:val="center"/>
              <w:rPr>
                <w:rFonts w:ascii="Calibri" w:hAnsi="Calibri" w:cs="Calibri"/>
                <w:color w:val="000000"/>
                <w:sz w:val="22"/>
              </w:rPr>
            </w:pPr>
            <w:r w:rsidRPr="00A172B1">
              <w:rPr>
                <w:rFonts w:ascii="Calibri" w:hAnsi="Calibri" w:cs="Calibri"/>
                <w:color w:val="000000"/>
                <w:sz w:val="22"/>
              </w:rPr>
              <w:t>7</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7367ADD7" w14:textId="77777777">
            <w:pPr>
              <w:spacing w:after="0"/>
              <w:rPr>
                <w:rFonts w:cs="Calibri"/>
                <w:color w:val="000000"/>
                <w:sz w:val="22"/>
              </w:rPr>
            </w:pPr>
            <w:r w:rsidRPr="00A172B1">
              <w:rPr>
                <w:rFonts w:cs="Calibri"/>
                <w:color w:val="000000"/>
                <w:sz w:val="22"/>
              </w:rPr>
              <w:t xml:space="preserve">Creation of a CPUC-specific shared data library for DEER measures. This shared data library would support versioned parameters and value tables managed by CPUC and available for </w:t>
            </w:r>
            <w:proofErr w:type="spellStart"/>
            <w:r w:rsidRPr="00A172B1">
              <w:rPr>
                <w:rFonts w:cs="Calibri"/>
                <w:color w:val="000000"/>
                <w:sz w:val="22"/>
              </w:rPr>
              <w:t>eTRM</w:t>
            </w:r>
            <w:proofErr w:type="spellEnd"/>
            <w:r w:rsidRPr="00A172B1">
              <w:rPr>
                <w:rFonts w:cs="Calibri"/>
                <w:color w:val="000000"/>
                <w:sz w:val="22"/>
              </w:rPr>
              <w:t xml:space="preserve"> measures to import.</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6B850E4F" w14:textId="77777777">
            <w:pPr>
              <w:spacing w:after="0"/>
              <w:jc w:val="center"/>
              <w:rPr>
                <w:rFonts w:cs="Calibri"/>
                <w:color w:val="000000"/>
                <w:sz w:val="22"/>
              </w:rPr>
            </w:pP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A82DA9E" w14:textId="77777777">
            <w:pPr>
              <w:spacing w:after="0"/>
              <w:jc w:val="center"/>
              <w:rPr>
                <w:rFonts w:cs="Calibri"/>
                <w:color w:val="000000"/>
                <w:sz w:val="22"/>
              </w:rPr>
            </w:pPr>
            <w:r w:rsidRPr="00A172B1">
              <w:rPr>
                <w:rFonts w:cs="Calibri"/>
                <w:color w:val="000000"/>
                <w:sz w:val="22"/>
              </w:rPr>
              <w:t> </w:t>
            </w:r>
            <w:r>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909CB39"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7C60BCB" w14:textId="77777777">
            <w:pPr>
              <w:spacing w:after="0"/>
              <w:jc w:val="center"/>
              <w:rPr>
                <w:rFonts w:cs="Calibri"/>
                <w:color w:val="000000"/>
                <w:sz w:val="22"/>
              </w:rPr>
            </w:pPr>
            <w:r w:rsidRPr="00A172B1">
              <w:rPr>
                <w:rFonts w:cs="Calibri"/>
                <w:color w:val="000000"/>
                <w:sz w:val="22"/>
              </w:rPr>
              <w:t> </w:t>
            </w:r>
          </w:p>
        </w:tc>
      </w:tr>
      <w:tr w:rsidRPr="00A172B1" w:rsidR="00B04AB6" w:rsidTr="00B04AB6" w14:paraId="6448B18F" w14:textId="77777777">
        <w:trPr>
          <w:trHeight w:val="15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2CE7B275" w14:textId="77777777">
            <w:pPr>
              <w:spacing w:after="0"/>
              <w:jc w:val="center"/>
              <w:rPr>
                <w:rFonts w:ascii="Calibri" w:hAnsi="Calibri" w:cs="Calibri"/>
                <w:color w:val="000000"/>
                <w:sz w:val="22"/>
              </w:rPr>
            </w:pPr>
            <w:r w:rsidRPr="00A172B1">
              <w:rPr>
                <w:rFonts w:ascii="Calibri" w:hAnsi="Calibri" w:cs="Calibri"/>
                <w:color w:val="000000"/>
                <w:sz w:val="22"/>
              </w:rPr>
              <w:t>8</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4FB5FD0F" w14:textId="77777777">
            <w:pPr>
              <w:spacing w:after="0"/>
              <w:rPr>
                <w:rFonts w:cs="Calibri"/>
                <w:color w:val="000000"/>
                <w:sz w:val="22"/>
              </w:rPr>
            </w:pPr>
            <w:r w:rsidRPr="00A172B1">
              <w:rPr>
                <w:rFonts w:cs="Calibri"/>
                <w:color w:val="000000"/>
                <w:sz w:val="22"/>
              </w:rPr>
              <w:t>Add the ability to maximize production system uptime during deployment of enhancements and fixes. Deployments that require system downtime should be deployed outside typical business hours.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3B9F807"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06CD445"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A184FF4"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1C02B45" w14:textId="77777777">
            <w:pPr>
              <w:spacing w:after="0"/>
              <w:jc w:val="center"/>
              <w:rPr>
                <w:rFonts w:cs="Calibri"/>
                <w:color w:val="000000"/>
                <w:sz w:val="22"/>
              </w:rPr>
            </w:pPr>
            <w:r w:rsidRPr="00A172B1">
              <w:rPr>
                <w:rFonts w:cs="Calibri"/>
                <w:color w:val="000000"/>
                <w:sz w:val="22"/>
              </w:rPr>
              <w:t>X</w:t>
            </w:r>
          </w:p>
        </w:tc>
      </w:tr>
      <w:tr w:rsidRPr="00A172B1" w:rsidR="00B04AB6" w:rsidTr="00B04AB6" w14:paraId="68482173"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53D09D54" w14:textId="77777777">
            <w:pPr>
              <w:spacing w:after="0"/>
              <w:jc w:val="center"/>
              <w:rPr>
                <w:rFonts w:ascii="Calibri" w:hAnsi="Calibri" w:cs="Calibri"/>
                <w:color w:val="000000"/>
                <w:sz w:val="22"/>
              </w:rPr>
            </w:pPr>
            <w:r w:rsidRPr="00A172B1">
              <w:rPr>
                <w:rFonts w:ascii="Calibri" w:hAnsi="Calibri" w:cs="Calibri"/>
                <w:color w:val="000000"/>
                <w:sz w:val="22"/>
              </w:rPr>
              <w:t>9</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05308C51" w14:textId="77777777">
            <w:pPr>
              <w:spacing w:after="0"/>
              <w:rPr>
                <w:rFonts w:cs="Calibri"/>
                <w:color w:val="000000"/>
                <w:sz w:val="22"/>
              </w:rPr>
            </w:pPr>
            <w:r w:rsidRPr="00A172B1">
              <w:rPr>
                <w:rFonts w:cs="Calibri"/>
                <w:color w:val="000000"/>
                <w:sz w:val="22"/>
              </w:rPr>
              <w:t>Add the ability to utilize the staging environment as a User Acceptance Testing platform for all enhancements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3283A903"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FF7AAA8"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B5AF5AD"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B8FD76C" w14:textId="77777777">
            <w:pPr>
              <w:spacing w:after="0"/>
              <w:jc w:val="center"/>
              <w:rPr>
                <w:rFonts w:cs="Calibri"/>
                <w:color w:val="000000"/>
                <w:sz w:val="22"/>
              </w:rPr>
            </w:pPr>
            <w:r w:rsidRPr="00A172B1">
              <w:rPr>
                <w:rFonts w:cs="Calibri"/>
                <w:color w:val="000000"/>
                <w:sz w:val="22"/>
              </w:rPr>
              <w:t>X</w:t>
            </w:r>
          </w:p>
        </w:tc>
      </w:tr>
      <w:tr w:rsidRPr="00A172B1" w:rsidR="00B04AB6" w:rsidTr="00B04AB6" w14:paraId="7C585BA7"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3238231A" w14:textId="77777777">
            <w:pPr>
              <w:spacing w:after="0"/>
              <w:jc w:val="center"/>
              <w:rPr>
                <w:rFonts w:ascii="Calibri" w:hAnsi="Calibri" w:cs="Calibri"/>
                <w:color w:val="000000"/>
                <w:sz w:val="22"/>
              </w:rPr>
            </w:pPr>
            <w:r w:rsidRPr="00A172B1">
              <w:rPr>
                <w:rFonts w:ascii="Calibri" w:hAnsi="Calibri" w:cs="Calibri"/>
                <w:color w:val="000000"/>
                <w:sz w:val="22"/>
              </w:rPr>
              <w:lastRenderedPageBreak/>
              <w:t>10</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2EA76C9F" w14:textId="77777777">
            <w:pPr>
              <w:spacing w:after="0"/>
              <w:rPr>
                <w:rFonts w:cs="Calibri"/>
                <w:color w:val="000000"/>
                <w:sz w:val="22"/>
              </w:rPr>
            </w:pPr>
            <w:r w:rsidRPr="00A172B1">
              <w:rPr>
                <w:rFonts w:cs="Calibri"/>
                <w:color w:val="000000"/>
                <w:sz w:val="22"/>
              </w:rPr>
              <w:t>Add the ability to retain independent user profiles between staging and production environments during deployment of enhancements and fixes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67FED0D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59FF54C"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49228DE"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636B8B3" w14:textId="77777777">
            <w:pPr>
              <w:spacing w:after="0"/>
              <w:jc w:val="center"/>
              <w:rPr>
                <w:rFonts w:cs="Calibri"/>
                <w:color w:val="000000"/>
                <w:sz w:val="22"/>
              </w:rPr>
            </w:pPr>
            <w:r w:rsidRPr="00A172B1">
              <w:rPr>
                <w:rFonts w:cs="Calibri"/>
                <w:color w:val="000000"/>
                <w:sz w:val="22"/>
              </w:rPr>
              <w:t>X</w:t>
            </w:r>
          </w:p>
        </w:tc>
      </w:tr>
      <w:tr w:rsidRPr="00A172B1" w:rsidR="00B04AB6" w:rsidTr="00B04AB6" w14:paraId="178611EA"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64C11173" w14:textId="77777777">
            <w:pPr>
              <w:spacing w:after="0"/>
              <w:jc w:val="center"/>
              <w:rPr>
                <w:rFonts w:ascii="Calibri" w:hAnsi="Calibri" w:cs="Calibri"/>
                <w:color w:val="000000"/>
                <w:sz w:val="22"/>
              </w:rPr>
            </w:pPr>
            <w:r w:rsidRPr="00A172B1">
              <w:rPr>
                <w:rFonts w:ascii="Calibri" w:hAnsi="Calibri" w:cs="Calibri"/>
                <w:color w:val="000000"/>
                <w:sz w:val="22"/>
              </w:rPr>
              <w:t>11</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5DC74550" w14:textId="77777777">
            <w:pPr>
              <w:spacing w:after="0"/>
              <w:rPr>
                <w:rFonts w:cs="Calibri"/>
                <w:color w:val="000000"/>
                <w:sz w:val="22"/>
              </w:rPr>
            </w:pPr>
            <w:r w:rsidRPr="00A172B1">
              <w:rPr>
                <w:rFonts w:cs="Calibri"/>
                <w:color w:val="000000"/>
                <w:sz w:val="22"/>
              </w:rPr>
              <w:t>Add the ability to deploy enhancements to production environment without compromising existing measures, measure data and user tracking data</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40BAF46A"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F3F64FE"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E123FFD"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D2D8CF9" w14:textId="77777777">
            <w:pPr>
              <w:spacing w:after="0"/>
              <w:jc w:val="center"/>
              <w:rPr>
                <w:rFonts w:cs="Calibri"/>
                <w:color w:val="000000"/>
                <w:sz w:val="22"/>
              </w:rPr>
            </w:pPr>
            <w:r w:rsidRPr="00A172B1">
              <w:rPr>
                <w:rFonts w:cs="Calibri"/>
                <w:color w:val="000000"/>
                <w:sz w:val="22"/>
              </w:rPr>
              <w:t>X</w:t>
            </w:r>
          </w:p>
        </w:tc>
      </w:tr>
      <w:tr w:rsidRPr="00A172B1" w:rsidR="00B04AB6" w:rsidTr="00B04AB6" w14:paraId="685DD8B8" w14:textId="77777777">
        <w:trPr>
          <w:trHeight w:val="90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0D69EF3D" w14:textId="77777777">
            <w:pPr>
              <w:spacing w:after="0"/>
              <w:jc w:val="center"/>
              <w:rPr>
                <w:rFonts w:ascii="Calibri" w:hAnsi="Calibri" w:cs="Calibri"/>
                <w:color w:val="000000"/>
                <w:sz w:val="22"/>
              </w:rPr>
            </w:pPr>
            <w:r w:rsidRPr="00A172B1">
              <w:rPr>
                <w:rFonts w:ascii="Calibri" w:hAnsi="Calibri" w:cs="Calibri"/>
                <w:color w:val="000000"/>
                <w:sz w:val="22"/>
              </w:rPr>
              <w:t>12</w:t>
            </w:r>
          </w:p>
        </w:tc>
        <w:tc>
          <w:tcPr>
            <w:tcW w:w="42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40BB799" w14:textId="77777777">
            <w:pPr>
              <w:spacing w:after="0"/>
              <w:rPr>
                <w:rFonts w:cs="Calibri"/>
                <w:color w:val="000000"/>
                <w:sz w:val="22"/>
              </w:rPr>
            </w:pPr>
            <w:r w:rsidRPr="00A172B1">
              <w:rPr>
                <w:rFonts w:cs="Calibri"/>
                <w:color w:val="000000"/>
                <w:sz w:val="22"/>
              </w:rPr>
              <w:t>Add the ability to roll-back changes in the event of failed deployment, without loss of data</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08F4A83"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42A6CF0"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AA21BDC"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813BD9C" w14:textId="77777777">
            <w:pPr>
              <w:spacing w:after="0"/>
              <w:jc w:val="center"/>
              <w:rPr>
                <w:rFonts w:cs="Calibri"/>
                <w:color w:val="000000"/>
                <w:sz w:val="22"/>
              </w:rPr>
            </w:pPr>
            <w:r w:rsidRPr="00A172B1">
              <w:rPr>
                <w:rFonts w:cs="Calibri"/>
                <w:color w:val="000000"/>
                <w:sz w:val="22"/>
              </w:rPr>
              <w:t>X</w:t>
            </w:r>
          </w:p>
        </w:tc>
      </w:tr>
      <w:tr w:rsidRPr="00A172B1" w:rsidR="00B04AB6" w:rsidTr="00B04AB6" w14:paraId="6D28D697" w14:textId="77777777">
        <w:trPr>
          <w:trHeight w:val="1800"/>
        </w:trPr>
        <w:tc>
          <w:tcPr>
            <w:tcW w:w="7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34FFCE2" w14:textId="77777777">
            <w:pPr>
              <w:spacing w:after="0"/>
              <w:jc w:val="center"/>
              <w:rPr>
                <w:rFonts w:ascii="Calibri" w:hAnsi="Calibri" w:cs="Calibri"/>
                <w:color w:val="000000"/>
                <w:sz w:val="22"/>
              </w:rPr>
            </w:pPr>
            <w:r w:rsidRPr="00A172B1">
              <w:rPr>
                <w:rFonts w:ascii="Calibri" w:hAnsi="Calibri" w:cs="Calibri"/>
                <w:color w:val="000000"/>
                <w:sz w:val="22"/>
              </w:rPr>
              <w:t>13</w:t>
            </w:r>
          </w:p>
        </w:tc>
        <w:tc>
          <w:tcPr>
            <w:tcW w:w="4240" w:type="dxa"/>
            <w:tcBorders>
              <w:top w:val="nil"/>
              <w:left w:val="nil"/>
              <w:bottom w:val="nil"/>
              <w:right w:val="nil"/>
            </w:tcBorders>
            <w:shd w:val="clear" w:color="auto" w:fill="auto"/>
            <w:vAlign w:val="center"/>
            <w:hideMark/>
          </w:tcPr>
          <w:p w:rsidRPr="00A172B1" w:rsidR="00B04AB6" w:rsidP="00B04AB6" w:rsidRDefault="00B04AB6" w14:paraId="5EA55579" w14:textId="77777777">
            <w:pPr>
              <w:spacing w:after="0"/>
              <w:rPr>
                <w:rFonts w:cs="Calibri"/>
                <w:color w:val="000000"/>
                <w:sz w:val="22"/>
              </w:rPr>
            </w:pPr>
            <w:r w:rsidRPr="00A172B1">
              <w:rPr>
                <w:rFonts w:cs="Calibri"/>
                <w:color w:val="000000"/>
                <w:sz w:val="22"/>
              </w:rPr>
              <w:t xml:space="preserve">Add ability to associate load shapes--either 8,760-hour or compressed format--to measure permutations based on permutation attributes. </w:t>
            </w:r>
            <w:proofErr w:type="spellStart"/>
            <w:r w:rsidRPr="00A172B1">
              <w:rPr>
                <w:rFonts w:cs="Calibri"/>
                <w:color w:val="000000"/>
                <w:sz w:val="22"/>
              </w:rPr>
              <w:t>eTRM</w:t>
            </w:r>
            <w:proofErr w:type="spellEnd"/>
            <w:r w:rsidRPr="00A172B1">
              <w:rPr>
                <w:rFonts w:cs="Calibri"/>
                <w:color w:val="000000"/>
                <w:sz w:val="22"/>
              </w:rPr>
              <w:t xml:space="preserve"> should store library of load shapes, which may be associated at the permutation level.</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07CCE80A"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AEE7C62"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0A2690A6" w14:textId="77777777">
            <w:pPr>
              <w:spacing w:after="0"/>
              <w:jc w:val="center"/>
              <w:rPr>
                <w:rFonts w:cs="Calibri"/>
                <w:color w:val="000000"/>
                <w:sz w:val="22"/>
              </w:rPr>
            </w:pPr>
            <w:r w:rsidRPr="00A172B1">
              <w:rPr>
                <w:rFonts w:cs="Calibri"/>
                <w:color w:val="000000"/>
                <w:sz w:val="22"/>
              </w:rPr>
              <w:t>X</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0487EA01" w14:textId="77777777">
            <w:pPr>
              <w:spacing w:after="0"/>
              <w:jc w:val="center"/>
              <w:rPr>
                <w:rFonts w:cs="Calibri"/>
                <w:color w:val="000000"/>
                <w:sz w:val="22"/>
              </w:rPr>
            </w:pPr>
            <w:r w:rsidRPr="00A172B1">
              <w:rPr>
                <w:rFonts w:cs="Calibri"/>
                <w:color w:val="000000"/>
                <w:sz w:val="22"/>
              </w:rPr>
              <w:t> </w:t>
            </w:r>
          </w:p>
        </w:tc>
      </w:tr>
      <w:tr w:rsidRPr="00A172B1" w:rsidR="00B04AB6" w:rsidTr="00B04AB6" w14:paraId="3E58466D" w14:textId="77777777">
        <w:trPr>
          <w:trHeight w:val="12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2BD61D4"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465EEF56" w14:textId="77777777">
            <w:pPr>
              <w:spacing w:after="0"/>
              <w:rPr>
                <w:rFonts w:cs="Calibri"/>
                <w:color w:val="000000"/>
                <w:sz w:val="22"/>
              </w:rPr>
            </w:pPr>
            <w:r w:rsidRPr="00A172B1">
              <w:rPr>
                <w:rFonts w:cs="Calibri"/>
                <w:color w:val="000000"/>
                <w:sz w:val="22"/>
              </w:rPr>
              <w:t>-- Energy Division will need to finalize appropriate measure-level load shapes that can be used for each measure or technology type, but we would like to add IDs now if we can.</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310909B"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6D886665"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4CD1399"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6A75A56D" w14:textId="77777777">
            <w:pPr>
              <w:spacing w:after="0"/>
              <w:rPr>
                <w:rFonts w:cs="Calibri"/>
                <w:color w:val="000000"/>
                <w:sz w:val="22"/>
              </w:rPr>
            </w:pPr>
          </w:p>
        </w:tc>
      </w:tr>
      <w:tr w:rsidRPr="00A172B1" w:rsidR="00B04AB6" w:rsidTr="00B04AB6" w14:paraId="55C5B263" w14:textId="77777777">
        <w:trPr>
          <w:trHeight w:val="15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5B9298CA" w14:textId="77777777">
            <w:pPr>
              <w:spacing w:after="0"/>
              <w:jc w:val="center"/>
              <w:rPr>
                <w:rFonts w:ascii="Calibri" w:hAnsi="Calibri" w:cs="Calibri"/>
                <w:color w:val="000000"/>
                <w:sz w:val="22"/>
              </w:rPr>
            </w:pPr>
            <w:r w:rsidRPr="00A172B1">
              <w:rPr>
                <w:rFonts w:ascii="Calibri" w:hAnsi="Calibri" w:cs="Calibri"/>
                <w:color w:val="000000"/>
                <w:sz w:val="22"/>
              </w:rPr>
              <w:t>14</w:t>
            </w:r>
          </w:p>
        </w:tc>
        <w:tc>
          <w:tcPr>
            <w:tcW w:w="4240" w:type="dxa"/>
            <w:tcBorders>
              <w:top w:val="single" w:color="auto" w:sz="4" w:space="0"/>
              <w:left w:val="nil"/>
              <w:bottom w:val="single" w:color="auto" w:sz="8" w:space="0"/>
              <w:right w:val="single" w:color="auto" w:sz="4" w:space="0"/>
            </w:tcBorders>
            <w:shd w:val="clear" w:color="auto" w:fill="auto"/>
            <w:vAlign w:val="center"/>
            <w:hideMark/>
          </w:tcPr>
          <w:p w:rsidRPr="00A172B1" w:rsidR="00B04AB6" w:rsidP="00B04AB6" w:rsidRDefault="00B04AB6" w14:paraId="21FC6B61" w14:textId="77777777">
            <w:pPr>
              <w:spacing w:after="0"/>
              <w:rPr>
                <w:rFonts w:cs="Calibri"/>
                <w:color w:val="000000"/>
                <w:sz w:val="22"/>
              </w:rPr>
            </w:pPr>
            <w:r w:rsidRPr="00A172B1">
              <w:rPr>
                <w:rFonts w:cs="Calibri"/>
                <w:color w:val="000000"/>
                <w:sz w:val="22"/>
              </w:rPr>
              <w:t>Add the ability to select any available public field in any order, downloadable as Excel or PDF file.  Ability for user to save report format associated with their specific log-in credentials so they can use repeatedly.</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BB03496"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1DE6237"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B6ABE69"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917813C" w14:textId="77777777">
            <w:pPr>
              <w:spacing w:after="0"/>
              <w:jc w:val="center"/>
              <w:rPr>
                <w:rFonts w:cs="Calibri"/>
                <w:color w:val="000000"/>
                <w:sz w:val="22"/>
              </w:rPr>
            </w:pPr>
            <w:r w:rsidRPr="00A172B1">
              <w:rPr>
                <w:rFonts w:cs="Calibri"/>
                <w:color w:val="000000"/>
                <w:sz w:val="22"/>
              </w:rPr>
              <w:t> </w:t>
            </w:r>
          </w:p>
        </w:tc>
      </w:tr>
      <w:tr w:rsidRPr="00A172B1" w:rsidR="00B04AB6" w:rsidTr="00B04AB6" w14:paraId="06900816" w14:textId="77777777">
        <w:trPr>
          <w:trHeight w:val="15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1C5966C5" w14:textId="77777777">
            <w:pPr>
              <w:spacing w:after="0"/>
              <w:jc w:val="center"/>
              <w:rPr>
                <w:rFonts w:ascii="Calibri" w:hAnsi="Calibri" w:cs="Calibri"/>
                <w:color w:val="000000"/>
                <w:sz w:val="22"/>
              </w:rPr>
            </w:pPr>
            <w:r w:rsidRPr="00A172B1">
              <w:rPr>
                <w:rFonts w:ascii="Calibri" w:hAnsi="Calibri" w:cs="Calibri"/>
                <w:color w:val="000000"/>
                <w:sz w:val="22"/>
              </w:rPr>
              <w:t>15</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2CC84F23" w14:textId="77777777">
            <w:pPr>
              <w:spacing w:after="0"/>
              <w:rPr>
                <w:rFonts w:cs="Calibri"/>
                <w:color w:val="000000"/>
                <w:sz w:val="22"/>
              </w:rPr>
            </w:pPr>
            <w:r w:rsidRPr="00A172B1">
              <w:rPr>
                <w:rFonts w:cs="Calibri"/>
                <w:color w:val="000000"/>
                <w:sz w:val="22"/>
              </w:rPr>
              <w:t xml:space="preserve">Incorporate interactive report rendering system (e.g., Tableau Public Version) with </w:t>
            </w:r>
            <w:proofErr w:type="spellStart"/>
            <w:r w:rsidRPr="00A172B1">
              <w:rPr>
                <w:rFonts w:cs="Calibri"/>
                <w:color w:val="000000"/>
                <w:sz w:val="22"/>
              </w:rPr>
              <w:t>eTRM</w:t>
            </w:r>
            <w:proofErr w:type="spellEnd"/>
            <w:r w:rsidRPr="00A172B1">
              <w:rPr>
                <w:rFonts w:cs="Calibri"/>
                <w:color w:val="000000"/>
                <w:sz w:val="22"/>
              </w:rPr>
              <w:t xml:space="preserve">. Build presentment into dedicated </w:t>
            </w:r>
            <w:proofErr w:type="spellStart"/>
            <w:r w:rsidRPr="00A172B1">
              <w:rPr>
                <w:rFonts w:cs="Calibri"/>
                <w:color w:val="000000"/>
                <w:sz w:val="22"/>
              </w:rPr>
              <w:t>eTRM</w:t>
            </w:r>
            <w:proofErr w:type="spellEnd"/>
            <w:r w:rsidRPr="00A172B1">
              <w:rPr>
                <w:rFonts w:cs="Calibri"/>
                <w:color w:val="000000"/>
                <w:sz w:val="22"/>
              </w:rPr>
              <w:t xml:space="preserve"> page (via iframe) and add Report link to global navigation. </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B90B4B4"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9711FB4"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3DA0CB7"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F269787" w14:textId="77777777">
            <w:pPr>
              <w:spacing w:after="0"/>
              <w:jc w:val="center"/>
              <w:rPr>
                <w:rFonts w:cs="Calibri"/>
                <w:color w:val="000000"/>
                <w:sz w:val="22"/>
              </w:rPr>
            </w:pPr>
            <w:r w:rsidRPr="00A172B1">
              <w:rPr>
                <w:rFonts w:cs="Calibri"/>
                <w:color w:val="000000"/>
                <w:sz w:val="22"/>
              </w:rPr>
              <w:t> </w:t>
            </w:r>
          </w:p>
        </w:tc>
      </w:tr>
      <w:tr w:rsidRPr="00A172B1" w:rsidR="00B04AB6" w:rsidTr="00B04AB6" w14:paraId="1CB64792" w14:textId="77777777">
        <w:trPr>
          <w:trHeight w:val="30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5E92F926" w14:textId="77777777">
            <w:pPr>
              <w:spacing w:after="0"/>
              <w:jc w:val="center"/>
              <w:rPr>
                <w:rFonts w:ascii="Calibri" w:hAnsi="Calibri" w:cs="Calibri"/>
                <w:color w:val="000000"/>
                <w:sz w:val="22"/>
              </w:rPr>
            </w:pPr>
            <w:r w:rsidRPr="00A172B1">
              <w:rPr>
                <w:rFonts w:ascii="Calibri" w:hAnsi="Calibri" w:cs="Calibri"/>
                <w:color w:val="000000"/>
                <w:sz w:val="22"/>
              </w:rPr>
              <w:lastRenderedPageBreak/>
              <w:t>16</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476D19BF" w14:textId="77777777">
            <w:pPr>
              <w:spacing w:after="0"/>
              <w:rPr>
                <w:rFonts w:cs="Calibri"/>
                <w:color w:val="000000"/>
                <w:sz w:val="22"/>
              </w:rPr>
            </w:pPr>
            <w:r w:rsidRPr="00A172B1">
              <w:rPr>
                <w:rFonts w:cs="Calibri"/>
                <w:color w:val="000000"/>
                <w:sz w:val="22"/>
              </w:rPr>
              <w:t xml:space="preserve">Add an extension of notifications available on measure and permutation reports. Any change to the data in the report, where the source is from a commit (NOT a saved draft) would trigger a notification to subscribers. Notifications would be aggregated so that a user only receives one notification per report per day, in the case that someone is committing updates to a measure </w:t>
            </w:r>
            <w:proofErr w:type="gramStart"/>
            <w:r w:rsidRPr="00A172B1">
              <w:rPr>
                <w:rFonts w:cs="Calibri"/>
                <w:color w:val="000000"/>
                <w:sz w:val="22"/>
              </w:rPr>
              <w:t>multiple times</w:t>
            </w:r>
            <w:proofErr w:type="gramEnd"/>
            <w:r w:rsidRPr="00A172B1">
              <w:rPr>
                <w:rFonts w:cs="Calibri"/>
                <w:color w:val="000000"/>
                <w:sz w:val="22"/>
              </w:rPr>
              <w:t xml:space="preserve"> in one day.</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3F81804A"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62370CB"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8AB1ABF"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72E0D04" w14:textId="77777777">
            <w:pPr>
              <w:spacing w:after="0"/>
              <w:jc w:val="center"/>
              <w:rPr>
                <w:rFonts w:cs="Calibri"/>
                <w:color w:val="000000"/>
                <w:sz w:val="22"/>
              </w:rPr>
            </w:pPr>
            <w:r w:rsidRPr="00A172B1">
              <w:rPr>
                <w:rFonts w:cs="Calibri"/>
                <w:color w:val="000000"/>
                <w:sz w:val="22"/>
              </w:rPr>
              <w:t> </w:t>
            </w:r>
          </w:p>
        </w:tc>
      </w:tr>
      <w:tr w:rsidRPr="00A172B1" w:rsidR="00B04AB6" w:rsidTr="00B04AB6" w14:paraId="3D9D49EC"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17E45BD9" w14:textId="77777777">
            <w:pPr>
              <w:spacing w:after="0"/>
              <w:jc w:val="center"/>
              <w:rPr>
                <w:rFonts w:ascii="Calibri" w:hAnsi="Calibri" w:cs="Calibri"/>
                <w:color w:val="000000"/>
                <w:sz w:val="22"/>
              </w:rPr>
            </w:pPr>
            <w:r w:rsidRPr="00A172B1">
              <w:rPr>
                <w:rFonts w:ascii="Calibri" w:hAnsi="Calibri" w:cs="Calibri"/>
                <w:color w:val="000000"/>
                <w:sz w:val="22"/>
              </w:rPr>
              <w:t>17</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2EA442F7" w14:textId="77777777">
            <w:pPr>
              <w:spacing w:after="0"/>
              <w:rPr>
                <w:rFonts w:cs="Calibri"/>
                <w:color w:val="000000"/>
                <w:sz w:val="22"/>
              </w:rPr>
            </w:pPr>
            <w:r w:rsidRPr="00A172B1">
              <w:rPr>
                <w:rFonts w:cs="Calibri"/>
                <w:color w:val="000000"/>
                <w:sz w:val="22"/>
              </w:rPr>
              <w:t>Develop and add ability to download master report (flat file) of measure permutations that is not limited to a single measure.</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6EA9BAD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072DF3F"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1EB2C75"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61563AA" w14:textId="77777777">
            <w:pPr>
              <w:spacing w:after="0"/>
              <w:jc w:val="center"/>
              <w:rPr>
                <w:rFonts w:cs="Calibri"/>
                <w:color w:val="000000"/>
                <w:sz w:val="22"/>
              </w:rPr>
            </w:pPr>
            <w:r w:rsidRPr="00A172B1">
              <w:rPr>
                <w:rFonts w:cs="Calibri"/>
                <w:color w:val="000000"/>
                <w:sz w:val="22"/>
              </w:rPr>
              <w:t> </w:t>
            </w:r>
          </w:p>
        </w:tc>
      </w:tr>
      <w:tr w:rsidRPr="00A172B1" w:rsidR="00B04AB6" w:rsidTr="00B04AB6" w14:paraId="785F225F"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5629C26B" w14:textId="77777777">
            <w:pPr>
              <w:spacing w:after="0"/>
              <w:jc w:val="center"/>
              <w:rPr>
                <w:rFonts w:ascii="Calibri" w:hAnsi="Calibri" w:cs="Calibri"/>
                <w:color w:val="000000"/>
                <w:sz w:val="22"/>
              </w:rPr>
            </w:pPr>
            <w:r w:rsidRPr="00A172B1">
              <w:rPr>
                <w:rFonts w:ascii="Calibri" w:hAnsi="Calibri" w:cs="Calibri"/>
                <w:color w:val="000000"/>
                <w:sz w:val="22"/>
              </w:rPr>
              <w:t>18</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1B145AFD" w14:textId="77777777">
            <w:pPr>
              <w:spacing w:after="0"/>
              <w:rPr>
                <w:rFonts w:cs="Calibri"/>
                <w:color w:val="000000"/>
                <w:sz w:val="22"/>
              </w:rPr>
            </w:pPr>
            <w:r w:rsidRPr="00A172B1">
              <w:rPr>
                <w:rFonts w:cs="Calibri"/>
                <w:color w:val="000000"/>
                <w:sz w:val="22"/>
              </w:rPr>
              <w:t>Develop master report (flat file) of measure permutations that is not limited to a single measure.</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76F366C3"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2BA3249"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C2806A4"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6939F9D" w14:textId="77777777">
            <w:pPr>
              <w:spacing w:after="0"/>
              <w:jc w:val="center"/>
              <w:rPr>
                <w:rFonts w:cs="Calibri"/>
                <w:color w:val="000000"/>
                <w:sz w:val="22"/>
              </w:rPr>
            </w:pPr>
            <w:r w:rsidRPr="00A172B1">
              <w:rPr>
                <w:rFonts w:cs="Calibri"/>
                <w:color w:val="000000"/>
                <w:sz w:val="22"/>
              </w:rPr>
              <w:t> </w:t>
            </w:r>
          </w:p>
        </w:tc>
      </w:tr>
      <w:tr w:rsidRPr="00A172B1" w:rsidR="00B04AB6" w:rsidTr="00B04AB6" w14:paraId="2006F960" w14:textId="77777777">
        <w:trPr>
          <w:trHeight w:val="150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4B69CA1" w14:textId="77777777">
            <w:pPr>
              <w:spacing w:after="0"/>
              <w:jc w:val="center"/>
              <w:rPr>
                <w:rFonts w:ascii="Calibri" w:hAnsi="Calibri" w:cs="Calibri"/>
                <w:color w:val="000000"/>
                <w:sz w:val="22"/>
              </w:rPr>
            </w:pPr>
            <w:r w:rsidRPr="00A172B1">
              <w:rPr>
                <w:rFonts w:ascii="Calibri" w:hAnsi="Calibri" w:cs="Calibri"/>
                <w:color w:val="000000"/>
                <w:sz w:val="22"/>
              </w:rPr>
              <w:t>19</w:t>
            </w:r>
          </w:p>
        </w:tc>
        <w:tc>
          <w:tcPr>
            <w:tcW w:w="4240" w:type="dxa"/>
            <w:tcBorders>
              <w:top w:val="nil"/>
              <w:left w:val="nil"/>
              <w:bottom w:val="nil"/>
              <w:right w:val="nil"/>
            </w:tcBorders>
            <w:shd w:val="clear" w:color="auto" w:fill="auto"/>
            <w:vAlign w:val="center"/>
            <w:hideMark/>
          </w:tcPr>
          <w:p w:rsidRPr="00A172B1" w:rsidR="00B04AB6" w:rsidP="00B04AB6" w:rsidRDefault="00B04AB6" w14:paraId="1CA3D217" w14:textId="77777777">
            <w:pPr>
              <w:spacing w:after="0"/>
              <w:rPr>
                <w:rFonts w:cs="Calibri"/>
                <w:color w:val="000000"/>
                <w:sz w:val="22"/>
              </w:rPr>
            </w:pPr>
            <w:r w:rsidRPr="00A172B1">
              <w:rPr>
                <w:rFonts w:cs="Calibri"/>
                <w:color w:val="000000"/>
                <w:sz w:val="22"/>
              </w:rPr>
              <w:t>Implement a software hard-coded roles and permissions matrix. Roles will still be categorized into system roles or measure roles. Included in the roles created shall be “CPUC User.”</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3BF6ABC"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16E98D8"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AEA7B8C"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092850C" w14:textId="77777777">
            <w:pPr>
              <w:spacing w:after="0"/>
              <w:jc w:val="center"/>
              <w:rPr>
                <w:rFonts w:cs="Calibri"/>
                <w:color w:val="000000"/>
                <w:sz w:val="22"/>
              </w:rPr>
            </w:pPr>
            <w:r w:rsidRPr="00A172B1">
              <w:rPr>
                <w:rFonts w:cs="Calibri"/>
                <w:color w:val="000000"/>
                <w:sz w:val="22"/>
              </w:rPr>
              <w:t> </w:t>
            </w:r>
          </w:p>
        </w:tc>
      </w:tr>
      <w:tr w:rsidRPr="00A172B1" w:rsidR="00B04AB6" w:rsidTr="00B04AB6" w14:paraId="6611C85C" w14:textId="77777777">
        <w:trPr>
          <w:trHeight w:val="120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46998D73" w14:textId="77777777">
            <w:pPr>
              <w:spacing w:after="0"/>
              <w:jc w:val="center"/>
              <w:rPr>
                <w:rFonts w:ascii="Calibri" w:hAnsi="Calibri" w:cs="Calibri"/>
                <w:color w:val="000000"/>
                <w:sz w:val="22"/>
              </w:rPr>
            </w:pPr>
            <w:r w:rsidRPr="00A172B1">
              <w:rPr>
                <w:rFonts w:ascii="Calibri" w:hAnsi="Calibri" w:cs="Calibri"/>
                <w:color w:val="000000"/>
                <w:sz w:val="22"/>
              </w:rPr>
              <w:t>20</w:t>
            </w:r>
          </w:p>
        </w:tc>
        <w:tc>
          <w:tcPr>
            <w:tcW w:w="4240" w:type="dxa"/>
            <w:tcBorders>
              <w:top w:val="single" w:color="auto" w:sz="4" w:space="0"/>
              <w:left w:val="nil"/>
              <w:bottom w:val="single" w:color="auto" w:sz="4" w:space="0"/>
              <w:right w:val="single" w:color="auto" w:sz="4" w:space="0"/>
            </w:tcBorders>
            <w:shd w:val="clear" w:color="auto" w:fill="auto"/>
            <w:vAlign w:val="center"/>
            <w:hideMark/>
          </w:tcPr>
          <w:p w:rsidRPr="00A172B1" w:rsidR="00B04AB6" w:rsidP="00B04AB6" w:rsidRDefault="00B04AB6" w14:paraId="0BD449C0" w14:textId="2E313FE5">
            <w:pPr>
              <w:spacing w:after="0"/>
              <w:rPr>
                <w:rFonts w:cs="Calibri"/>
                <w:color w:val="000000"/>
                <w:sz w:val="22"/>
              </w:rPr>
            </w:pPr>
            <w:r w:rsidRPr="00A172B1">
              <w:rPr>
                <w:rFonts w:cs="Calibri"/>
                <w:color w:val="000000"/>
                <w:sz w:val="22"/>
              </w:rPr>
              <w:t xml:space="preserve">Define and implement workflows to </w:t>
            </w:r>
            <w:proofErr w:type="spellStart"/>
            <w:r w:rsidRPr="00A172B1">
              <w:rPr>
                <w:rFonts w:cs="Calibri"/>
                <w:color w:val="000000"/>
                <w:sz w:val="22"/>
              </w:rPr>
              <w:t>eTRM</w:t>
            </w:r>
            <w:proofErr w:type="spellEnd"/>
            <w:r w:rsidRPr="00A172B1">
              <w:rPr>
                <w:rFonts w:cs="Calibri"/>
                <w:color w:val="000000"/>
                <w:sz w:val="22"/>
              </w:rPr>
              <w:t xml:space="preserve"> for Energy Division ex ante workpaper review, tracking, </w:t>
            </w:r>
            <w:proofErr w:type="gramStart"/>
            <w:r w:rsidRPr="00A172B1">
              <w:rPr>
                <w:rFonts w:cs="Calibri"/>
                <w:color w:val="000000"/>
                <w:sz w:val="22"/>
              </w:rPr>
              <w:t>approval</w:t>
            </w:r>
            <w:proofErr w:type="gramEnd"/>
            <w:r w:rsidRPr="00A172B1">
              <w:rPr>
                <w:rFonts w:cs="Calibri"/>
                <w:color w:val="000000"/>
                <w:sz w:val="22"/>
              </w:rPr>
              <w:t xml:space="preserve"> and value updating </w:t>
            </w:r>
            <w:r w:rsidRPr="00A172B1" w:rsidR="002D180B">
              <w:rPr>
                <w:rFonts w:cs="Calibri"/>
                <w:color w:val="000000"/>
                <w:sz w:val="22"/>
              </w:rPr>
              <w:t>functionality.</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A1DFD79"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B920A0A"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C97D781"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83360B4" w14:textId="77777777">
            <w:pPr>
              <w:spacing w:after="0"/>
              <w:jc w:val="center"/>
              <w:rPr>
                <w:rFonts w:cs="Calibri"/>
                <w:color w:val="000000"/>
                <w:sz w:val="22"/>
              </w:rPr>
            </w:pPr>
            <w:r w:rsidRPr="00A172B1">
              <w:rPr>
                <w:rFonts w:cs="Calibri"/>
                <w:color w:val="000000"/>
                <w:sz w:val="22"/>
              </w:rPr>
              <w:t> </w:t>
            </w:r>
          </w:p>
        </w:tc>
      </w:tr>
      <w:tr w:rsidRPr="00A172B1" w:rsidR="00B04AB6" w:rsidTr="00B04AB6" w14:paraId="6A8F32A9" w14:textId="77777777">
        <w:trPr>
          <w:trHeight w:val="330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53404BB6" w14:textId="77777777">
            <w:pPr>
              <w:spacing w:after="0"/>
              <w:jc w:val="center"/>
              <w:rPr>
                <w:rFonts w:ascii="Calibri" w:hAnsi="Calibri" w:cs="Calibri"/>
                <w:color w:val="000000"/>
                <w:sz w:val="22"/>
              </w:rPr>
            </w:pPr>
            <w:r w:rsidRPr="00A172B1">
              <w:rPr>
                <w:rFonts w:ascii="Calibri" w:hAnsi="Calibri" w:cs="Calibri"/>
                <w:color w:val="000000"/>
                <w:sz w:val="22"/>
              </w:rPr>
              <w:t>21</w:t>
            </w:r>
          </w:p>
        </w:tc>
        <w:tc>
          <w:tcPr>
            <w:tcW w:w="42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4A55A3C" w14:textId="77777777">
            <w:pPr>
              <w:spacing w:after="0"/>
              <w:rPr>
                <w:rFonts w:cs="Calibri"/>
                <w:color w:val="000000"/>
                <w:sz w:val="22"/>
              </w:rPr>
            </w:pPr>
            <w:r w:rsidRPr="00A172B1">
              <w:rPr>
                <w:rFonts w:cs="Calibri"/>
                <w:color w:val="000000"/>
                <w:sz w:val="22"/>
              </w:rPr>
              <w:t xml:space="preserve">Creation of CPUC-specific workspace to allow for storage and viewing of DEER Measure and Energy data that could be imported into the </w:t>
            </w:r>
            <w:proofErr w:type="spellStart"/>
            <w:r w:rsidRPr="00A172B1">
              <w:rPr>
                <w:rFonts w:cs="Calibri"/>
                <w:color w:val="000000"/>
                <w:sz w:val="22"/>
              </w:rPr>
              <w:t>eTRM</w:t>
            </w:r>
            <w:proofErr w:type="spellEnd"/>
            <w:r w:rsidRPr="00A172B1">
              <w:rPr>
                <w:rFonts w:cs="Calibri"/>
                <w:color w:val="000000"/>
                <w:sz w:val="22"/>
              </w:rPr>
              <w:t xml:space="preserve"> Measure Template for further development and approval.  Users who wish to develop a new measure based upon a valid DEER Measure (a DEER Measure that has not expired) shall be able to import DEER Energy data into the </w:t>
            </w:r>
            <w:proofErr w:type="spellStart"/>
            <w:r w:rsidRPr="00A172B1">
              <w:rPr>
                <w:rFonts w:cs="Calibri"/>
                <w:color w:val="000000"/>
                <w:sz w:val="22"/>
              </w:rPr>
              <w:t>eTRM</w:t>
            </w:r>
            <w:proofErr w:type="spellEnd"/>
            <w:r w:rsidRPr="00A172B1">
              <w:rPr>
                <w:rFonts w:cs="Calibri"/>
                <w:color w:val="000000"/>
                <w:sz w:val="22"/>
              </w:rPr>
              <w:t xml:space="preserve"> Measure Template for further development of a statewide measure.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68396D3"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13DED1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FBEC19C"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416678D" w14:textId="77777777">
            <w:pPr>
              <w:spacing w:after="0"/>
              <w:jc w:val="center"/>
              <w:rPr>
                <w:rFonts w:cs="Calibri"/>
                <w:color w:val="000000"/>
                <w:sz w:val="22"/>
              </w:rPr>
            </w:pPr>
            <w:r w:rsidRPr="00A172B1">
              <w:rPr>
                <w:rFonts w:cs="Calibri"/>
                <w:color w:val="000000"/>
                <w:sz w:val="22"/>
              </w:rPr>
              <w:t> </w:t>
            </w:r>
          </w:p>
        </w:tc>
      </w:tr>
      <w:tr w:rsidRPr="00A172B1" w:rsidR="00B04AB6" w:rsidTr="00B04AB6" w14:paraId="3A77855C" w14:textId="77777777">
        <w:trPr>
          <w:trHeight w:val="1200"/>
        </w:trPr>
        <w:tc>
          <w:tcPr>
            <w:tcW w:w="7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12975E34" w14:textId="77777777">
            <w:pPr>
              <w:spacing w:after="0"/>
              <w:jc w:val="center"/>
              <w:rPr>
                <w:rFonts w:ascii="Calibri" w:hAnsi="Calibri" w:cs="Calibri"/>
                <w:color w:val="000000"/>
                <w:sz w:val="22"/>
              </w:rPr>
            </w:pPr>
            <w:r w:rsidRPr="00A172B1">
              <w:rPr>
                <w:rFonts w:ascii="Calibri" w:hAnsi="Calibri" w:cs="Calibri"/>
                <w:color w:val="000000"/>
                <w:sz w:val="22"/>
              </w:rPr>
              <w:lastRenderedPageBreak/>
              <w:t>22</w:t>
            </w:r>
          </w:p>
        </w:tc>
        <w:tc>
          <w:tcPr>
            <w:tcW w:w="4240" w:type="dxa"/>
            <w:tcBorders>
              <w:top w:val="nil"/>
              <w:left w:val="nil"/>
              <w:bottom w:val="nil"/>
              <w:right w:val="nil"/>
            </w:tcBorders>
            <w:shd w:val="clear" w:color="auto" w:fill="auto"/>
            <w:vAlign w:val="center"/>
            <w:hideMark/>
          </w:tcPr>
          <w:p w:rsidRPr="00A172B1" w:rsidR="00B04AB6" w:rsidP="00B04AB6" w:rsidRDefault="00B04AB6" w14:paraId="5405BE71" w14:textId="77777777">
            <w:pPr>
              <w:spacing w:after="0"/>
              <w:rPr>
                <w:rFonts w:cs="Calibri"/>
                <w:color w:val="000000"/>
                <w:sz w:val="22"/>
              </w:rPr>
            </w:pPr>
            <w:r w:rsidRPr="00A172B1">
              <w:rPr>
                <w:rFonts w:cs="Calibri"/>
                <w:color w:val="000000"/>
                <w:sz w:val="22"/>
              </w:rPr>
              <w:t>Add Functions that support email notifications as a measure changes status and assignee, including: Ability for a user to assign a measure to another user</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7B67CED0"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875F2A1" w14:textId="77777777">
            <w:pPr>
              <w:spacing w:after="0"/>
              <w:jc w:val="center"/>
              <w:rPr>
                <w:rFonts w:cs="Calibri"/>
                <w:color w:val="000000"/>
                <w:sz w:val="22"/>
              </w:rPr>
            </w:pPr>
            <w:r w:rsidRPr="00A172B1">
              <w:rPr>
                <w:rFonts w:cs="Calibri"/>
                <w:color w:val="000000"/>
                <w:sz w:val="22"/>
              </w:rPr>
              <w:t>X</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3FE9E813" w14:textId="77777777">
            <w:pPr>
              <w:spacing w:after="0"/>
              <w:jc w:val="center"/>
              <w:rPr>
                <w:rFonts w:cs="Calibri"/>
                <w:color w:val="000000"/>
                <w:sz w:val="22"/>
              </w:rPr>
            </w:pPr>
            <w:r w:rsidRPr="00A172B1">
              <w:rPr>
                <w:rFonts w:cs="Calibri"/>
                <w:color w:val="000000"/>
                <w:sz w:val="22"/>
              </w:rPr>
              <w:t> </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0B78F5BA" w14:textId="77777777">
            <w:pPr>
              <w:spacing w:after="0"/>
              <w:jc w:val="center"/>
              <w:rPr>
                <w:rFonts w:cs="Calibri"/>
                <w:color w:val="000000"/>
                <w:sz w:val="22"/>
              </w:rPr>
            </w:pPr>
            <w:r w:rsidRPr="00A172B1">
              <w:rPr>
                <w:rFonts w:cs="Calibri"/>
                <w:color w:val="000000"/>
                <w:sz w:val="22"/>
              </w:rPr>
              <w:t> </w:t>
            </w:r>
          </w:p>
        </w:tc>
      </w:tr>
      <w:tr w:rsidRPr="00A172B1" w:rsidR="00B04AB6" w:rsidTr="00B04AB6" w14:paraId="74B50B5A" w14:textId="77777777">
        <w:trPr>
          <w:trHeight w:val="3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1643FB62"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490F93BA" w14:textId="77777777">
            <w:pPr>
              <w:spacing w:after="0"/>
              <w:rPr>
                <w:rFonts w:cs="Calibri"/>
                <w:color w:val="000000"/>
                <w:sz w:val="22"/>
              </w:rPr>
            </w:pPr>
            <w:r w:rsidRPr="00A172B1">
              <w:rPr>
                <w:rFonts w:cs="Calibri"/>
                <w:color w:val="000000"/>
                <w:sz w:val="22"/>
              </w:rPr>
              <w:t>– During a measure status change</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5A31817"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0CE01C2D"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0CA59A88"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825FF04" w14:textId="77777777">
            <w:pPr>
              <w:spacing w:after="0"/>
              <w:rPr>
                <w:rFonts w:cs="Calibri"/>
                <w:color w:val="000000"/>
                <w:sz w:val="22"/>
              </w:rPr>
            </w:pPr>
          </w:p>
        </w:tc>
      </w:tr>
      <w:tr w:rsidRPr="00A172B1" w:rsidR="00B04AB6" w:rsidTr="00B04AB6" w14:paraId="283B87C9" w14:textId="77777777">
        <w:trPr>
          <w:trHeight w:val="6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60815FCC"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5E4508B9" w14:textId="6F8E9DFC">
            <w:pPr>
              <w:spacing w:after="0"/>
              <w:rPr>
                <w:rFonts w:cs="Calibri"/>
                <w:color w:val="000000"/>
                <w:sz w:val="22"/>
              </w:rPr>
            </w:pPr>
            <w:r w:rsidRPr="00A172B1">
              <w:rPr>
                <w:rFonts w:cs="Calibri"/>
                <w:color w:val="000000"/>
                <w:sz w:val="22"/>
              </w:rPr>
              <w:t xml:space="preserve">– </w:t>
            </w:r>
            <w:r w:rsidRPr="00A172B1" w:rsidR="00E8323A">
              <w:rPr>
                <w:rFonts w:cs="Calibri"/>
                <w:color w:val="000000"/>
                <w:sz w:val="22"/>
              </w:rPr>
              <w:t>Independently of</w:t>
            </w:r>
            <w:r w:rsidRPr="00A172B1">
              <w:rPr>
                <w:rFonts w:cs="Calibri"/>
                <w:color w:val="000000"/>
                <w:sz w:val="22"/>
              </w:rPr>
              <w:t xml:space="preserve"> a measure status change (admin only)</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196C8577"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348DB0D"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D088419"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AC08F05" w14:textId="77777777">
            <w:pPr>
              <w:spacing w:after="0"/>
              <w:rPr>
                <w:rFonts w:cs="Calibri"/>
                <w:color w:val="000000"/>
                <w:sz w:val="22"/>
              </w:rPr>
            </w:pPr>
          </w:p>
        </w:tc>
      </w:tr>
      <w:tr w:rsidRPr="00A172B1" w:rsidR="00B04AB6" w:rsidTr="00B04AB6" w14:paraId="343FA730" w14:textId="77777777">
        <w:trPr>
          <w:trHeight w:val="6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0ED5031D"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1CE521E4" w14:textId="2ACA5F4B">
            <w:pPr>
              <w:spacing w:after="0"/>
              <w:rPr>
                <w:rFonts w:cs="Calibri"/>
                <w:color w:val="000000"/>
                <w:sz w:val="22"/>
              </w:rPr>
            </w:pPr>
            <w:r w:rsidRPr="00A172B1">
              <w:rPr>
                <w:rFonts w:cs="Calibri"/>
                <w:color w:val="000000"/>
                <w:sz w:val="22"/>
              </w:rPr>
              <w:t xml:space="preserve">– </w:t>
            </w:r>
            <w:r w:rsidRPr="00A172B1" w:rsidR="00E8323A">
              <w:rPr>
                <w:rFonts w:cs="Calibri"/>
                <w:color w:val="000000"/>
                <w:sz w:val="22"/>
              </w:rPr>
              <w:t>Email notifications</w:t>
            </w:r>
            <w:r w:rsidRPr="00A172B1">
              <w:rPr>
                <w:rFonts w:cs="Calibri"/>
                <w:color w:val="000000"/>
                <w:sz w:val="22"/>
              </w:rPr>
              <w:t xml:space="preserve"> when a measure is assigned to you</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1D51DDB4"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68B30CDE"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8018F9E"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EEF7A9D" w14:textId="77777777">
            <w:pPr>
              <w:spacing w:after="0"/>
              <w:rPr>
                <w:rFonts w:cs="Calibri"/>
                <w:color w:val="000000"/>
                <w:sz w:val="22"/>
              </w:rPr>
            </w:pPr>
          </w:p>
        </w:tc>
      </w:tr>
      <w:tr w:rsidRPr="00A172B1" w:rsidR="00B04AB6" w:rsidTr="00B04AB6" w14:paraId="5DCF99C6" w14:textId="77777777">
        <w:trPr>
          <w:trHeight w:val="6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08FDA13A"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051ED7CF" w14:textId="6875CD56">
            <w:pPr>
              <w:spacing w:after="0"/>
              <w:rPr>
                <w:rFonts w:cs="Calibri"/>
                <w:color w:val="000000"/>
                <w:sz w:val="22"/>
              </w:rPr>
            </w:pPr>
            <w:r w:rsidRPr="00A172B1">
              <w:rPr>
                <w:rFonts w:cs="Calibri"/>
                <w:color w:val="000000"/>
                <w:sz w:val="22"/>
              </w:rPr>
              <w:t xml:space="preserve">– </w:t>
            </w:r>
            <w:r w:rsidRPr="00A172B1" w:rsidR="00E8323A">
              <w:rPr>
                <w:rFonts w:cs="Calibri"/>
                <w:color w:val="000000"/>
                <w:sz w:val="22"/>
              </w:rPr>
              <w:t>Email reminders</w:t>
            </w:r>
            <w:r w:rsidRPr="00A172B1">
              <w:rPr>
                <w:rFonts w:cs="Calibri"/>
                <w:color w:val="000000"/>
                <w:sz w:val="22"/>
              </w:rPr>
              <w:t xml:space="preserve"> after </w:t>
            </w:r>
            <w:proofErr w:type="gramStart"/>
            <w:r w:rsidRPr="00A172B1">
              <w:rPr>
                <w:rFonts w:cs="Calibri"/>
                <w:color w:val="000000"/>
                <w:sz w:val="22"/>
              </w:rPr>
              <w:t>a period of time</w:t>
            </w:r>
            <w:proofErr w:type="gramEnd"/>
            <w:r w:rsidRPr="00A172B1">
              <w:rPr>
                <w:rFonts w:cs="Calibri"/>
                <w:color w:val="000000"/>
                <w:sz w:val="22"/>
              </w:rPr>
              <w:t xml:space="preserve"> that a measure has been assigned to you</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0B49DA59"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B4A3A03"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9A048F9"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51C6806" w14:textId="77777777">
            <w:pPr>
              <w:spacing w:after="0"/>
              <w:rPr>
                <w:rFonts w:cs="Calibri"/>
                <w:color w:val="000000"/>
                <w:sz w:val="22"/>
              </w:rPr>
            </w:pPr>
          </w:p>
        </w:tc>
      </w:tr>
      <w:tr w:rsidRPr="00A172B1" w:rsidR="00B04AB6" w:rsidTr="00B04AB6" w14:paraId="5D2F1E85" w14:textId="77777777">
        <w:trPr>
          <w:trHeight w:val="210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004B3AD8" w14:textId="77777777">
            <w:pPr>
              <w:spacing w:after="0"/>
              <w:jc w:val="center"/>
              <w:rPr>
                <w:rFonts w:ascii="Calibri" w:hAnsi="Calibri" w:cs="Calibri"/>
                <w:color w:val="000000"/>
                <w:sz w:val="22"/>
              </w:rPr>
            </w:pPr>
            <w:r w:rsidRPr="00A172B1">
              <w:rPr>
                <w:rFonts w:ascii="Calibri" w:hAnsi="Calibri" w:cs="Calibri"/>
                <w:color w:val="000000"/>
                <w:sz w:val="22"/>
              </w:rPr>
              <w:t>23</w:t>
            </w:r>
          </w:p>
        </w:tc>
        <w:tc>
          <w:tcPr>
            <w:tcW w:w="4240" w:type="dxa"/>
            <w:tcBorders>
              <w:top w:val="single" w:color="auto" w:sz="4" w:space="0"/>
              <w:left w:val="nil"/>
              <w:bottom w:val="single" w:color="auto" w:sz="4" w:space="0"/>
              <w:right w:val="single" w:color="auto" w:sz="4" w:space="0"/>
            </w:tcBorders>
            <w:shd w:val="clear" w:color="auto" w:fill="auto"/>
            <w:vAlign w:val="center"/>
            <w:hideMark/>
          </w:tcPr>
          <w:p w:rsidRPr="00A172B1" w:rsidR="00B04AB6" w:rsidP="00B04AB6" w:rsidRDefault="00B04AB6" w14:paraId="611D11E3" w14:textId="77777777">
            <w:pPr>
              <w:spacing w:after="0"/>
              <w:rPr>
                <w:rFonts w:cs="Calibri"/>
                <w:color w:val="000000"/>
                <w:sz w:val="22"/>
              </w:rPr>
            </w:pPr>
            <w:r w:rsidRPr="00A172B1">
              <w:rPr>
                <w:rFonts w:cs="Calibri"/>
                <w:color w:val="000000"/>
                <w:sz w:val="22"/>
              </w:rPr>
              <w:t>When Shared Table updates occur, the system will determine which measures are affected and permit the administrator to notify the appropriate parties who have registered for notification when specific measures or measure technology types change. Update notification would be at discretion of administrator.</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3440BC2"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483CE9E"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F9A65A1"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139B059" w14:textId="77777777">
            <w:pPr>
              <w:spacing w:after="0"/>
              <w:jc w:val="center"/>
              <w:rPr>
                <w:rFonts w:cs="Calibri"/>
                <w:color w:val="000000"/>
                <w:sz w:val="22"/>
              </w:rPr>
            </w:pPr>
            <w:r w:rsidRPr="00A172B1">
              <w:rPr>
                <w:rFonts w:cs="Calibri"/>
                <w:color w:val="000000"/>
                <w:sz w:val="22"/>
              </w:rPr>
              <w:t> </w:t>
            </w:r>
          </w:p>
        </w:tc>
      </w:tr>
      <w:tr w:rsidRPr="00A172B1" w:rsidR="00B04AB6" w:rsidTr="00B04AB6" w14:paraId="3F036014" w14:textId="77777777">
        <w:trPr>
          <w:trHeight w:val="900"/>
        </w:trPr>
        <w:tc>
          <w:tcPr>
            <w:tcW w:w="7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3B2CC80" w14:textId="77777777">
            <w:pPr>
              <w:spacing w:after="0"/>
              <w:jc w:val="center"/>
              <w:rPr>
                <w:rFonts w:ascii="Calibri" w:hAnsi="Calibri" w:cs="Calibri"/>
                <w:color w:val="000000"/>
                <w:sz w:val="22"/>
              </w:rPr>
            </w:pPr>
            <w:r w:rsidRPr="00A172B1">
              <w:rPr>
                <w:rFonts w:ascii="Calibri" w:hAnsi="Calibri" w:cs="Calibri"/>
                <w:color w:val="000000"/>
                <w:sz w:val="22"/>
              </w:rPr>
              <w:t>24</w:t>
            </w:r>
          </w:p>
        </w:tc>
        <w:tc>
          <w:tcPr>
            <w:tcW w:w="4240" w:type="dxa"/>
            <w:tcBorders>
              <w:top w:val="nil"/>
              <w:left w:val="nil"/>
              <w:bottom w:val="nil"/>
              <w:right w:val="nil"/>
            </w:tcBorders>
            <w:shd w:val="clear" w:color="auto" w:fill="auto"/>
            <w:vAlign w:val="center"/>
            <w:hideMark/>
          </w:tcPr>
          <w:p w:rsidRPr="00A172B1" w:rsidR="00B04AB6" w:rsidP="00B04AB6" w:rsidRDefault="00B04AB6" w14:paraId="2D5C31D4" w14:textId="77777777">
            <w:pPr>
              <w:spacing w:after="0"/>
              <w:rPr>
                <w:rFonts w:cs="Calibri"/>
                <w:color w:val="000000"/>
                <w:sz w:val="22"/>
              </w:rPr>
            </w:pPr>
            <w:r w:rsidRPr="00A172B1">
              <w:rPr>
                <w:rFonts w:cs="Calibri"/>
                <w:color w:val="000000"/>
                <w:sz w:val="22"/>
              </w:rPr>
              <w:t xml:space="preserve">Add ability for the </w:t>
            </w:r>
            <w:proofErr w:type="spellStart"/>
            <w:r w:rsidRPr="00A172B1">
              <w:rPr>
                <w:rFonts w:cs="Calibri"/>
                <w:color w:val="000000"/>
                <w:sz w:val="22"/>
              </w:rPr>
              <w:t>eTRM</w:t>
            </w:r>
            <w:proofErr w:type="spellEnd"/>
            <w:r w:rsidRPr="00A172B1">
              <w:rPr>
                <w:rFonts w:cs="Calibri"/>
                <w:color w:val="000000"/>
                <w:sz w:val="22"/>
              </w:rPr>
              <w:t xml:space="preserve"> to generate a flat-file export that is compatible with the CET measure import specification:</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44F05813"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36FA45F" w14:textId="77777777">
            <w:pPr>
              <w:spacing w:after="0"/>
              <w:jc w:val="center"/>
              <w:rPr>
                <w:rFonts w:cs="Calibri"/>
                <w:color w:val="000000"/>
                <w:sz w:val="22"/>
              </w:rPr>
            </w:pPr>
            <w:r w:rsidRPr="00A172B1">
              <w:rPr>
                <w:rFonts w:cs="Calibri"/>
                <w:color w:val="000000"/>
                <w:sz w:val="22"/>
              </w:rPr>
              <w:t>X</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7D01B7AF" w14:textId="77777777">
            <w:pPr>
              <w:spacing w:after="0"/>
              <w:jc w:val="center"/>
              <w:rPr>
                <w:rFonts w:cs="Calibri"/>
                <w:color w:val="000000"/>
                <w:sz w:val="22"/>
              </w:rPr>
            </w:pPr>
            <w:r w:rsidRPr="00A172B1">
              <w:rPr>
                <w:rFonts w:cs="Calibri"/>
                <w:color w:val="000000"/>
                <w:sz w:val="22"/>
              </w:rPr>
              <w:t> </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45F0B959" w14:textId="77777777">
            <w:pPr>
              <w:spacing w:after="0"/>
              <w:jc w:val="center"/>
              <w:rPr>
                <w:rFonts w:cs="Calibri"/>
                <w:color w:val="000000"/>
                <w:sz w:val="22"/>
              </w:rPr>
            </w:pPr>
            <w:r w:rsidRPr="00A172B1">
              <w:rPr>
                <w:rFonts w:cs="Calibri"/>
                <w:color w:val="000000"/>
                <w:sz w:val="22"/>
              </w:rPr>
              <w:t> </w:t>
            </w:r>
          </w:p>
        </w:tc>
      </w:tr>
      <w:tr w:rsidRPr="00A172B1" w:rsidR="00B04AB6" w:rsidTr="00B04AB6" w14:paraId="49E6F69D" w14:textId="77777777">
        <w:trPr>
          <w:trHeight w:val="6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F89A372"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5E5057DB" w14:textId="77777777">
            <w:pPr>
              <w:spacing w:after="0"/>
              <w:rPr>
                <w:rFonts w:cs="Calibri"/>
                <w:color w:val="000000"/>
                <w:sz w:val="22"/>
              </w:rPr>
            </w:pPr>
            <w:r w:rsidRPr="00A172B1">
              <w:rPr>
                <w:rFonts w:cs="Calibri"/>
                <w:color w:val="000000"/>
                <w:sz w:val="22"/>
              </w:rPr>
              <w:t>--The user shall be able to select measures from an available list</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B4747BF"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08984667"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4D192FE"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0700EF3F" w14:textId="77777777">
            <w:pPr>
              <w:spacing w:after="0"/>
              <w:rPr>
                <w:rFonts w:cs="Calibri"/>
                <w:color w:val="000000"/>
                <w:sz w:val="22"/>
              </w:rPr>
            </w:pPr>
          </w:p>
        </w:tc>
      </w:tr>
      <w:tr w:rsidRPr="00A172B1" w:rsidR="00B04AB6" w:rsidTr="00B04AB6" w14:paraId="5BB9C9F3" w14:textId="77777777">
        <w:trPr>
          <w:trHeight w:val="9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C8FBDC0"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716F4AFC" w14:textId="77777777">
            <w:pPr>
              <w:spacing w:after="0"/>
              <w:rPr>
                <w:rFonts w:cs="Calibri"/>
                <w:color w:val="000000"/>
                <w:sz w:val="22"/>
              </w:rPr>
            </w:pPr>
            <w:r w:rsidRPr="00A172B1">
              <w:rPr>
                <w:rFonts w:cs="Calibri"/>
                <w:color w:val="000000"/>
                <w:sz w:val="22"/>
              </w:rPr>
              <w:t>--The user should be able to filter the measures based on parameters that define permutations (e.g., Delivery type, MAT)</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59C9663"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3424315"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01464C7"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96B12B7" w14:textId="77777777">
            <w:pPr>
              <w:spacing w:after="0"/>
              <w:rPr>
                <w:rFonts w:cs="Calibri"/>
                <w:color w:val="000000"/>
                <w:sz w:val="22"/>
              </w:rPr>
            </w:pPr>
          </w:p>
        </w:tc>
      </w:tr>
      <w:tr w:rsidRPr="00A172B1" w:rsidR="00B04AB6" w:rsidTr="00B04AB6" w14:paraId="1577B71A" w14:textId="77777777">
        <w:trPr>
          <w:trHeight w:val="12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01855675"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73527E8C" w14:textId="77777777">
            <w:pPr>
              <w:spacing w:after="0"/>
              <w:rPr>
                <w:rFonts w:cs="Calibri"/>
                <w:color w:val="000000"/>
                <w:sz w:val="22"/>
              </w:rPr>
            </w:pPr>
            <w:proofErr w:type="spellStart"/>
            <w:r w:rsidRPr="00A172B1">
              <w:rPr>
                <w:rFonts w:cs="Calibri"/>
                <w:color w:val="000000"/>
                <w:sz w:val="22"/>
              </w:rPr>
              <w:t>eTRM</w:t>
            </w:r>
            <w:proofErr w:type="spellEnd"/>
            <w:r w:rsidRPr="00A172B1">
              <w:rPr>
                <w:rFonts w:cs="Calibri"/>
                <w:color w:val="000000"/>
                <w:sz w:val="22"/>
              </w:rPr>
              <w:t xml:space="preserve"> shall be able to import permutation-level cost-effectiveness values from a flat file that is compatible with CET measure results file specifications:</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ECDBBF8"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5B0E8E4"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1EE35DD4"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1393502E" w14:textId="77777777">
            <w:pPr>
              <w:spacing w:after="0"/>
              <w:rPr>
                <w:rFonts w:cs="Calibri"/>
                <w:color w:val="000000"/>
                <w:sz w:val="22"/>
              </w:rPr>
            </w:pPr>
          </w:p>
        </w:tc>
      </w:tr>
      <w:tr w:rsidRPr="00A172B1" w:rsidR="00B04AB6" w:rsidTr="00B04AB6" w14:paraId="2AD7350B" w14:textId="77777777">
        <w:trPr>
          <w:trHeight w:val="6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CB81160"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2C7F5ACE" w14:textId="77777777">
            <w:pPr>
              <w:spacing w:after="0"/>
              <w:rPr>
                <w:rFonts w:cs="Calibri"/>
                <w:color w:val="000000"/>
                <w:sz w:val="22"/>
              </w:rPr>
            </w:pPr>
            <w:r w:rsidRPr="00A172B1">
              <w:rPr>
                <w:rFonts w:cs="Calibri"/>
                <w:color w:val="000000"/>
                <w:sz w:val="22"/>
              </w:rPr>
              <w:t>--Values will be loaded and stored at the measure permutation level.</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CCB5CE4"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10B75852"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64C3EBD2"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B3AD3AB" w14:textId="77777777">
            <w:pPr>
              <w:spacing w:after="0"/>
              <w:rPr>
                <w:rFonts w:cs="Calibri"/>
                <w:color w:val="000000"/>
                <w:sz w:val="22"/>
              </w:rPr>
            </w:pPr>
          </w:p>
        </w:tc>
      </w:tr>
      <w:tr w:rsidRPr="00A172B1" w:rsidR="00B04AB6" w:rsidTr="00B04AB6" w14:paraId="362AD2FA" w14:textId="77777777">
        <w:trPr>
          <w:trHeight w:val="18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1D1AAC62" w14:textId="77777777">
            <w:pPr>
              <w:spacing w:after="0"/>
              <w:jc w:val="center"/>
              <w:rPr>
                <w:rFonts w:ascii="Calibri" w:hAnsi="Calibri" w:cs="Calibri"/>
                <w:color w:val="000000"/>
                <w:sz w:val="22"/>
              </w:rPr>
            </w:pPr>
            <w:r w:rsidRPr="00A172B1">
              <w:rPr>
                <w:rFonts w:ascii="Calibri" w:hAnsi="Calibri" w:cs="Calibri"/>
                <w:color w:val="000000"/>
                <w:sz w:val="22"/>
              </w:rPr>
              <w:lastRenderedPageBreak/>
              <w:t>25</w:t>
            </w:r>
          </w:p>
        </w:tc>
        <w:tc>
          <w:tcPr>
            <w:tcW w:w="4240" w:type="dxa"/>
            <w:tcBorders>
              <w:top w:val="single" w:color="auto" w:sz="4" w:space="0"/>
              <w:left w:val="nil"/>
              <w:bottom w:val="single" w:color="auto" w:sz="8" w:space="0"/>
              <w:right w:val="single" w:color="auto" w:sz="4" w:space="0"/>
            </w:tcBorders>
            <w:shd w:val="clear" w:color="auto" w:fill="auto"/>
            <w:vAlign w:val="center"/>
            <w:hideMark/>
          </w:tcPr>
          <w:p w:rsidRPr="00A172B1" w:rsidR="00B04AB6" w:rsidP="00B04AB6" w:rsidRDefault="00B04AB6" w14:paraId="2353E6B9" w14:textId="77777777">
            <w:pPr>
              <w:spacing w:after="0"/>
              <w:rPr>
                <w:rFonts w:cs="Calibri"/>
                <w:color w:val="000000"/>
                <w:sz w:val="22"/>
              </w:rPr>
            </w:pPr>
            <w:r w:rsidRPr="00A172B1">
              <w:rPr>
                <w:rFonts w:cs="Calibri"/>
                <w:color w:val="000000"/>
                <w:sz w:val="22"/>
              </w:rPr>
              <w:t xml:space="preserve">Develop filters for dashboards that are specific to individual users.  The dashboards and filters shall only be viewable by a specific user, as determined by the user’s log-in credentials. as specified. Filters include end use, sector, and delivery type.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64C706BF"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425AA86D"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2AFC2BAD" w14:textId="77777777">
            <w:pPr>
              <w:spacing w:after="0"/>
              <w:jc w:val="center"/>
              <w:rPr>
                <w:rFonts w:cs="Calibri"/>
                <w:color w:val="000000"/>
                <w:sz w:val="22"/>
              </w:rPr>
            </w:pPr>
            <w:r w:rsidRPr="00A172B1">
              <w:rPr>
                <w:rFonts w:cs="Calibri"/>
                <w:color w:val="000000"/>
                <w:sz w:val="22"/>
              </w:rPr>
              <w:t>X</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272449AA" w14:textId="77777777">
            <w:pPr>
              <w:spacing w:after="0"/>
              <w:jc w:val="center"/>
              <w:rPr>
                <w:rFonts w:cs="Calibri"/>
                <w:color w:val="000000"/>
                <w:sz w:val="22"/>
              </w:rPr>
            </w:pPr>
            <w:r w:rsidRPr="00A172B1">
              <w:rPr>
                <w:rFonts w:cs="Calibri"/>
                <w:color w:val="000000"/>
                <w:sz w:val="22"/>
              </w:rPr>
              <w:t> </w:t>
            </w:r>
          </w:p>
        </w:tc>
      </w:tr>
      <w:tr w:rsidRPr="00A172B1" w:rsidR="00B04AB6" w:rsidTr="00B04AB6" w14:paraId="54337FB9"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23ECA0F5" w14:textId="77777777">
            <w:pPr>
              <w:spacing w:after="0"/>
              <w:jc w:val="center"/>
              <w:rPr>
                <w:rFonts w:ascii="Calibri" w:hAnsi="Calibri" w:cs="Calibri"/>
                <w:color w:val="000000"/>
                <w:sz w:val="22"/>
              </w:rPr>
            </w:pPr>
            <w:r w:rsidRPr="00A172B1">
              <w:rPr>
                <w:rFonts w:ascii="Calibri" w:hAnsi="Calibri" w:cs="Calibri"/>
                <w:color w:val="000000"/>
                <w:sz w:val="22"/>
              </w:rPr>
              <w:t>26</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47E78C34" w14:textId="77777777">
            <w:pPr>
              <w:spacing w:after="0"/>
              <w:rPr>
                <w:rFonts w:cs="Calibri"/>
                <w:color w:val="000000"/>
                <w:sz w:val="22"/>
              </w:rPr>
            </w:pPr>
            <w:r w:rsidRPr="00A172B1">
              <w:rPr>
                <w:rFonts w:cs="Calibri"/>
                <w:color w:val="000000"/>
                <w:sz w:val="22"/>
              </w:rPr>
              <w:t>Update the measure data model to include a new field for delivery type, so that it can be filtered on. Delivery type shall be added to the table of measures on the user's dashboard.</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18FA7F62"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CF599EF"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51F3CAA"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A67339B" w14:textId="77777777">
            <w:pPr>
              <w:spacing w:after="0"/>
              <w:rPr>
                <w:rFonts w:cs="Calibri"/>
                <w:color w:val="000000"/>
                <w:sz w:val="22"/>
              </w:rPr>
            </w:pPr>
          </w:p>
        </w:tc>
      </w:tr>
      <w:tr w:rsidRPr="00A172B1" w:rsidR="00B04AB6" w:rsidTr="00B04AB6" w14:paraId="07A367AC"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56B7C1CF" w14:textId="77777777">
            <w:pPr>
              <w:spacing w:after="0"/>
              <w:jc w:val="center"/>
              <w:rPr>
                <w:rFonts w:ascii="Calibri" w:hAnsi="Calibri" w:cs="Calibri"/>
                <w:color w:val="000000"/>
                <w:sz w:val="22"/>
              </w:rPr>
            </w:pPr>
            <w:r w:rsidRPr="00A172B1">
              <w:rPr>
                <w:rFonts w:ascii="Calibri" w:hAnsi="Calibri" w:cs="Calibri"/>
                <w:color w:val="000000"/>
                <w:sz w:val="22"/>
              </w:rPr>
              <w:t>27</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629307BA" w14:textId="77777777">
            <w:pPr>
              <w:spacing w:after="0"/>
              <w:rPr>
                <w:rFonts w:cs="Calibri"/>
                <w:color w:val="000000"/>
                <w:sz w:val="22"/>
              </w:rPr>
            </w:pPr>
            <w:r w:rsidRPr="00A172B1">
              <w:rPr>
                <w:rFonts w:cs="Calibri"/>
                <w:color w:val="000000"/>
                <w:sz w:val="22"/>
              </w:rPr>
              <w:t>Allow an editor to sort Value Tables based upon any column (parameter or value) and save that sort to embed that sort into a characterization field.</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3D9C4921"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FAE59AC"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EB2D76D"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DFF566D" w14:textId="77777777">
            <w:pPr>
              <w:spacing w:after="0"/>
              <w:jc w:val="center"/>
              <w:rPr>
                <w:rFonts w:cs="Calibri"/>
                <w:color w:val="000000"/>
                <w:sz w:val="22"/>
              </w:rPr>
            </w:pPr>
            <w:r w:rsidRPr="00A172B1">
              <w:rPr>
                <w:rFonts w:cs="Calibri"/>
                <w:color w:val="000000"/>
                <w:sz w:val="22"/>
              </w:rPr>
              <w:t> </w:t>
            </w:r>
          </w:p>
        </w:tc>
      </w:tr>
      <w:tr w:rsidRPr="00A172B1" w:rsidR="00B04AB6" w:rsidTr="00B04AB6" w14:paraId="7D66B483" w14:textId="77777777">
        <w:trPr>
          <w:trHeight w:val="240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22CCDD52" w14:textId="77777777">
            <w:pPr>
              <w:spacing w:after="0"/>
              <w:jc w:val="center"/>
              <w:rPr>
                <w:rFonts w:ascii="Calibri" w:hAnsi="Calibri" w:cs="Calibri"/>
                <w:color w:val="000000"/>
                <w:sz w:val="22"/>
              </w:rPr>
            </w:pPr>
            <w:r w:rsidRPr="00A172B1">
              <w:rPr>
                <w:rFonts w:ascii="Calibri" w:hAnsi="Calibri" w:cs="Calibri"/>
                <w:color w:val="000000"/>
                <w:sz w:val="22"/>
              </w:rPr>
              <w:t>28</w:t>
            </w:r>
          </w:p>
        </w:tc>
        <w:tc>
          <w:tcPr>
            <w:tcW w:w="42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853503B" w14:textId="77777777">
            <w:pPr>
              <w:spacing w:after="0"/>
              <w:rPr>
                <w:rFonts w:cs="Calibri"/>
                <w:color w:val="000000"/>
                <w:sz w:val="22"/>
              </w:rPr>
            </w:pPr>
            <w:r w:rsidRPr="00A172B1">
              <w:rPr>
                <w:rFonts w:cs="Calibri"/>
                <w:color w:val="000000"/>
                <w:sz w:val="22"/>
              </w:rPr>
              <w:t>Implement the ability for an editor to transpose value tables. This applies to both static (RTE) tables and dynamic (embedded) tables. In the case of an embedded value table, this display configuration only applies to the table in the characterization, and does not affect the underlying value table (located in the Supporting Data page of the measure)</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F39BF2D"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567EFBA"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F6465E5"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9A5EC4A" w14:textId="77777777">
            <w:pPr>
              <w:spacing w:after="0"/>
              <w:jc w:val="center"/>
              <w:rPr>
                <w:rFonts w:cs="Calibri"/>
                <w:color w:val="000000"/>
                <w:sz w:val="22"/>
              </w:rPr>
            </w:pPr>
            <w:r w:rsidRPr="00A172B1">
              <w:rPr>
                <w:rFonts w:cs="Calibri"/>
                <w:color w:val="000000"/>
                <w:sz w:val="22"/>
              </w:rPr>
              <w:t> </w:t>
            </w:r>
          </w:p>
        </w:tc>
      </w:tr>
      <w:tr w:rsidRPr="00A172B1" w:rsidR="00B04AB6" w:rsidTr="00B04AB6" w14:paraId="5F543565" w14:textId="77777777">
        <w:trPr>
          <w:trHeight w:val="1200"/>
        </w:trPr>
        <w:tc>
          <w:tcPr>
            <w:tcW w:w="7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6827F96D" w14:textId="77777777">
            <w:pPr>
              <w:spacing w:after="0"/>
              <w:jc w:val="center"/>
              <w:rPr>
                <w:rFonts w:ascii="Calibri" w:hAnsi="Calibri" w:cs="Calibri"/>
                <w:color w:val="000000"/>
                <w:sz w:val="22"/>
              </w:rPr>
            </w:pPr>
            <w:r w:rsidRPr="00A172B1">
              <w:rPr>
                <w:rFonts w:ascii="Calibri" w:hAnsi="Calibri" w:cs="Calibri"/>
                <w:color w:val="000000"/>
                <w:sz w:val="22"/>
              </w:rPr>
              <w:t>29</w:t>
            </w:r>
          </w:p>
        </w:tc>
        <w:tc>
          <w:tcPr>
            <w:tcW w:w="4240" w:type="dxa"/>
            <w:tcBorders>
              <w:top w:val="nil"/>
              <w:left w:val="nil"/>
              <w:bottom w:val="nil"/>
              <w:right w:val="nil"/>
            </w:tcBorders>
            <w:shd w:val="clear" w:color="auto" w:fill="auto"/>
            <w:vAlign w:val="center"/>
            <w:hideMark/>
          </w:tcPr>
          <w:p w:rsidRPr="00A172B1" w:rsidR="00B04AB6" w:rsidP="00B04AB6" w:rsidRDefault="00B04AB6" w14:paraId="6098C3E8" w14:textId="77777777">
            <w:pPr>
              <w:spacing w:after="0"/>
              <w:rPr>
                <w:rFonts w:cs="Calibri"/>
                <w:color w:val="000000"/>
                <w:sz w:val="22"/>
              </w:rPr>
            </w:pPr>
            <w:r w:rsidRPr="00A172B1">
              <w:rPr>
                <w:rFonts w:cs="Calibri"/>
                <w:color w:val="000000"/>
                <w:sz w:val="22"/>
              </w:rPr>
              <w:t>Design new table styles (to be added to existing "Zebra" and "Plain" table style options). One example new style is a table with smaller font and narrower column widths.</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FA0780A"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2A2A12E4" w14:textId="77777777">
            <w:pPr>
              <w:spacing w:after="0"/>
              <w:jc w:val="center"/>
              <w:rPr>
                <w:rFonts w:cs="Calibri"/>
                <w:color w:val="000000"/>
                <w:sz w:val="22"/>
              </w:rPr>
            </w:pPr>
            <w:r w:rsidRPr="00A172B1">
              <w:rPr>
                <w:rFonts w:cs="Calibri"/>
                <w:color w:val="000000"/>
                <w:sz w:val="22"/>
              </w:rPr>
              <w:t>X</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2B2386F3" w14:textId="77777777">
            <w:pPr>
              <w:spacing w:after="0"/>
              <w:jc w:val="center"/>
              <w:rPr>
                <w:rFonts w:cs="Calibri"/>
                <w:color w:val="000000"/>
                <w:sz w:val="22"/>
              </w:rPr>
            </w:pPr>
            <w:r w:rsidRPr="00A172B1">
              <w:rPr>
                <w:rFonts w:cs="Calibri"/>
                <w:color w:val="000000"/>
                <w:sz w:val="22"/>
              </w:rPr>
              <w:t> </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0CFCF51E" w14:textId="77777777">
            <w:pPr>
              <w:spacing w:after="0"/>
              <w:jc w:val="center"/>
              <w:rPr>
                <w:rFonts w:cs="Calibri"/>
                <w:color w:val="000000"/>
                <w:sz w:val="22"/>
              </w:rPr>
            </w:pPr>
            <w:r w:rsidRPr="00A172B1">
              <w:rPr>
                <w:rFonts w:cs="Calibri"/>
                <w:color w:val="000000"/>
                <w:sz w:val="22"/>
              </w:rPr>
              <w:t> </w:t>
            </w:r>
          </w:p>
        </w:tc>
      </w:tr>
      <w:tr w:rsidRPr="00A172B1" w:rsidR="00B04AB6" w:rsidTr="00B04AB6" w14:paraId="225A4135" w14:textId="77777777">
        <w:trPr>
          <w:trHeight w:val="9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C91580E"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2EEBEE4C" w14:textId="77777777">
            <w:pPr>
              <w:spacing w:after="0"/>
              <w:rPr>
                <w:rFonts w:cs="Calibri"/>
                <w:color w:val="000000"/>
                <w:sz w:val="22"/>
              </w:rPr>
            </w:pPr>
            <w:r w:rsidRPr="00A172B1">
              <w:rPr>
                <w:rFonts w:cs="Calibri"/>
                <w:color w:val="000000"/>
                <w:sz w:val="22"/>
              </w:rPr>
              <w:t>Enable measure editors to set a table style to both static (RTE) and dynamic (embedded) tables.</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C21B1F4"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3B4970A"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6213135A"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10DA50CB" w14:textId="77777777">
            <w:pPr>
              <w:spacing w:after="0"/>
              <w:rPr>
                <w:rFonts w:cs="Calibri"/>
                <w:color w:val="000000"/>
                <w:sz w:val="22"/>
              </w:rPr>
            </w:pPr>
          </w:p>
        </w:tc>
      </w:tr>
      <w:tr w:rsidRPr="00A172B1" w:rsidR="00B04AB6" w:rsidTr="00B04AB6" w14:paraId="22BB98FF" w14:textId="77777777">
        <w:trPr>
          <w:trHeight w:val="6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B845056" w14:textId="77777777">
            <w:pPr>
              <w:spacing w:after="0"/>
              <w:jc w:val="center"/>
              <w:rPr>
                <w:rFonts w:ascii="Calibri" w:hAnsi="Calibri" w:cs="Calibri"/>
                <w:color w:val="000000"/>
                <w:sz w:val="22"/>
              </w:rPr>
            </w:pPr>
            <w:r w:rsidRPr="00A172B1">
              <w:rPr>
                <w:rFonts w:ascii="Calibri" w:hAnsi="Calibri" w:cs="Calibri"/>
                <w:color w:val="000000"/>
                <w:sz w:val="22"/>
              </w:rPr>
              <w:t>30</w:t>
            </w:r>
          </w:p>
        </w:tc>
        <w:tc>
          <w:tcPr>
            <w:tcW w:w="4240" w:type="dxa"/>
            <w:tcBorders>
              <w:top w:val="single" w:color="auto" w:sz="4" w:space="0"/>
              <w:left w:val="nil"/>
              <w:bottom w:val="single" w:color="auto" w:sz="8" w:space="0"/>
              <w:right w:val="single" w:color="auto" w:sz="4" w:space="0"/>
            </w:tcBorders>
            <w:shd w:val="clear" w:color="auto" w:fill="auto"/>
            <w:vAlign w:val="center"/>
            <w:hideMark/>
          </w:tcPr>
          <w:p w:rsidRPr="00A172B1" w:rsidR="00B04AB6" w:rsidP="00B04AB6" w:rsidRDefault="00B04AB6" w14:paraId="1E0AFB64" w14:textId="77777777">
            <w:pPr>
              <w:spacing w:after="0"/>
              <w:rPr>
                <w:rFonts w:cs="Calibri"/>
                <w:color w:val="000000"/>
                <w:sz w:val="22"/>
              </w:rPr>
            </w:pPr>
            <w:r w:rsidRPr="00A172B1">
              <w:rPr>
                <w:rFonts w:cs="Calibri"/>
                <w:color w:val="000000"/>
                <w:sz w:val="22"/>
              </w:rPr>
              <w:t xml:space="preserve">Implement functions that assign a reference to a value table row.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65AE074"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76193AB"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56AAC36"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85D6A16" w14:textId="77777777">
            <w:pPr>
              <w:spacing w:after="0"/>
              <w:jc w:val="center"/>
              <w:rPr>
                <w:rFonts w:cs="Calibri"/>
                <w:color w:val="000000"/>
                <w:sz w:val="22"/>
              </w:rPr>
            </w:pPr>
            <w:r w:rsidRPr="00A172B1">
              <w:rPr>
                <w:rFonts w:cs="Calibri"/>
                <w:color w:val="000000"/>
                <w:sz w:val="22"/>
              </w:rPr>
              <w:t> </w:t>
            </w:r>
          </w:p>
        </w:tc>
      </w:tr>
      <w:tr w:rsidRPr="00A172B1" w:rsidR="00B04AB6" w:rsidTr="00B04AB6" w14:paraId="157FEE2F"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11E941A9" w14:textId="77777777">
            <w:pPr>
              <w:spacing w:after="0"/>
              <w:jc w:val="center"/>
              <w:rPr>
                <w:rFonts w:ascii="Calibri" w:hAnsi="Calibri" w:cs="Calibri"/>
                <w:color w:val="000000"/>
                <w:sz w:val="22"/>
              </w:rPr>
            </w:pPr>
            <w:r w:rsidRPr="00A172B1">
              <w:rPr>
                <w:rFonts w:ascii="Calibri" w:hAnsi="Calibri" w:cs="Calibri"/>
                <w:color w:val="000000"/>
                <w:sz w:val="22"/>
              </w:rPr>
              <w:t>31</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3C88ADC3" w14:textId="77777777">
            <w:pPr>
              <w:spacing w:after="0"/>
              <w:rPr>
                <w:rFonts w:cs="Calibri"/>
                <w:color w:val="000000"/>
                <w:sz w:val="22"/>
              </w:rPr>
            </w:pPr>
            <w:r w:rsidRPr="00A172B1">
              <w:rPr>
                <w:rFonts w:cs="Calibri"/>
                <w:color w:val="000000"/>
                <w:sz w:val="22"/>
              </w:rPr>
              <w:t>Add ability for users to hide columns and rearrange columns based on individual session needs.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627EE29C"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8C87388"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D0501B8"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41FDD77" w14:textId="77777777">
            <w:pPr>
              <w:spacing w:after="0"/>
              <w:jc w:val="center"/>
              <w:rPr>
                <w:rFonts w:cs="Calibri"/>
                <w:color w:val="000000"/>
                <w:sz w:val="22"/>
              </w:rPr>
            </w:pPr>
            <w:r w:rsidRPr="00A172B1">
              <w:rPr>
                <w:rFonts w:cs="Calibri"/>
                <w:color w:val="000000"/>
                <w:sz w:val="22"/>
              </w:rPr>
              <w:t> </w:t>
            </w:r>
          </w:p>
        </w:tc>
      </w:tr>
      <w:tr w:rsidRPr="00A172B1" w:rsidR="00B04AB6" w:rsidTr="00B04AB6" w14:paraId="51EDAAC6"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67E12D48" w14:textId="77777777">
            <w:pPr>
              <w:spacing w:after="0"/>
              <w:jc w:val="center"/>
              <w:rPr>
                <w:rFonts w:ascii="Calibri" w:hAnsi="Calibri" w:cs="Calibri"/>
                <w:color w:val="000000"/>
                <w:sz w:val="22"/>
              </w:rPr>
            </w:pPr>
            <w:r w:rsidRPr="00A172B1">
              <w:rPr>
                <w:rFonts w:ascii="Calibri" w:hAnsi="Calibri" w:cs="Calibri"/>
                <w:color w:val="000000"/>
                <w:sz w:val="22"/>
              </w:rPr>
              <w:lastRenderedPageBreak/>
              <w:t>32</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44930370" w14:textId="77777777">
            <w:pPr>
              <w:spacing w:after="0"/>
              <w:rPr>
                <w:rFonts w:cs="Calibri"/>
                <w:color w:val="000000"/>
                <w:sz w:val="22"/>
              </w:rPr>
            </w:pPr>
            <w:r w:rsidRPr="00A172B1">
              <w:rPr>
                <w:rFonts w:cs="Calibri"/>
                <w:color w:val="000000"/>
                <w:sz w:val="22"/>
              </w:rPr>
              <w:t>Allow users to save their permutation table preferences for next time (including sorting, filtering, hiding columns, etc.)</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6F7C92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AEE06A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8835605"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187CDC5" w14:textId="77777777">
            <w:pPr>
              <w:spacing w:after="0"/>
              <w:jc w:val="center"/>
              <w:rPr>
                <w:rFonts w:cs="Calibri"/>
                <w:color w:val="000000"/>
                <w:sz w:val="22"/>
              </w:rPr>
            </w:pPr>
            <w:r w:rsidRPr="00A172B1">
              <w:rPr>
                <w:rFonts w:cs="Calibri"/>
                <w:color w:val="000000"/>
                <w:sz w:val="22"/>
              </w:rPr>
              <w:t> </w:t>
            </w:r>
          </w:p>
        </w:tc>
      </w:tr>
      <w:tr w:rsidRPr="00A172B1" w:rsidR="00B04AB6" w:rsidTr="00B04AB6" w14:paraId="090EA475" w14:textId="77777777">
        <w:trPr>
          <w:trHeight w:val="6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25BD4E37" w14:textId="77777777">
            <w:pPr>
              <w:spacing w:after="0"/>
              <w:jc w:val="center"/>
              <w:rPr>
                <w:rFonts w:ascii="Calibri" w:hAnsi="Calibri" w:cs="Calibri"/>
                <w:color w:val="000000"/>
                <w:sz w:val="22"/>
              </w:rPr>
            </w:pPr>
            <w:r w:rsidRPr="00A172B1">
              <w:rPr>
                <w:rFonts w:ascii="Calibri" w:hAnsi="Calibri" w:cs="Calibri"/>
                <w:color w:val="000000"/>
                <w:sz w:val="22"/>
              </w:rPr>
              <w:t>33</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6A6E6294" w14:textId="77777777">
            <w:pPr>
              <w:spacing w:after="0"/>
              <w:rPr>
                <w:rFonts w:cs="Calibri"/>
                <w:color w:val="000000"/>
                <w:sz w:val="22"/>
              </w:rPr>
            </w:pPr>
            <w:r w:rsidRPr="00A172B1">
              <w:rPr>
                <w:rFonts w:cs="Calibri"/>
                <w:color w:val="000000"/>
                <w:sz w:val="22"/>
              </w:rPr>
              <w:t>Add capability to show calculated values in value tables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27C8B65D"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A08C528"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D80724A"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3AD43CB" w14:textId="77777777">
            <w:pPr>
              <w:spacing w:after="0"/>
              <w:jc w:val="center"/>
              <w:rPr>
                <w:rFonts w:cs="Calibri"/>
                <w:color w:val="000000"/>
                <w:sz w:val="22"/>
              </w:rPr>
            </w:pPr>
            <w:r w:rsidRPr="00A172B1">
              <w:rPr>
                <w:rFonts w:cs="Calibri"/>
                <w:color w:val="000000"/>
                <w:sz w:val="22"/>
              </w:rPr>
              <w:t> </w:t>
            </w:r>
          </w:p>
        </w:tc>
      </w:tr>
      <w:tr w:rsidRPr="00A172B1" w:rsidR="00B04AB6" w:rsidTr="00B04AB6" w14:paraId="34E33CA3"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11C7CA97" w14:textId="77777777">
            <w:pPr>
              <w:spacing w:after="0"/>
              <w:jc w:val="center"/>
              <w:rPr>
                <w:rFonts w:ascii="Calibri" w:hAnsi="Calibri" w:cs="Calibri"/>
                <w:color w:val="000000"/>
                <w:sz w:val="22"/>
              </w:rPr>
            </w:pPr>
            <w:r w:rsidRPr="00A172B1">
              <w:rPr>
                <w:rFonts w:ascii="Calibri" w:hAnsi="Calibri" w:cs="Calibri"/>
                <w:color w:val="000000"/>
                <w:sz w:val="22"/>
              </w:rPr>
              <w:t>34</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38B3AB2B" w14:textId="77777777">
            <w:pPr>
              <w:spacing w:after="0"/>
              <w:rPr>
                <w:rFonts w:cs="Calibri"/>
                <w:color w:val="000000"/>
                <w:sz w:val="22"/>
              </w:rPr>
            </w:pPr>
            <w:r w:rsidRPr="00A172B1">
              <w:rPr>
                <w:rFonts w:cs="Calibri"/>
                <w:color w:val="000000"/>
                <w:sz w:val="22"/>
              </w:rPr>
              <w:t>Support the Boolean type, with TRUE and FALSE displayed/imported/exported instead of 0 and 1.</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FBA5FD2"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BFAD4E8"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0C6850D"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AEB031D" w14:textId="77777777">
            <w:pPr>
              <w:spacing w:after="0"/>
              <w:jc w:val="center"/>
              <w:rPr>
                <w:rFonts w:cs="Calibri"/>
                <w:color w:val="000000"/>
                <w:sz w:val="22"/>
              </w:rPr>
            </w:pPr>
            <w:r w:rsidRPr="00A172B1">
              <w:rPr>
                <w:rFonts w:cs="Calibri"/>
                <w:color w:val="000000"/>
                <w:sz w:val="22"/>
              </w:rPr>
              <w:t> </w:t>
            </w:r>
          </w:p>
        </w:tc>
      </w:tr>
      <w:tr w:rsidRPr="00A172B1" w:rsidR="00B04AB6" w:rsidTr="00B04AB6" w14:paraId="0BD0FD5B" w14:textId="77777777">
        <w:trPr>
          <w:trHeight w:val="18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0C9A0F89" w14:textId="77777777">
            <w:pPr>
              <w:spacing w:after="0"/>
              <w:jc w:val="center"/>
              <w:rPr>
                <w:rFonts w:ascii="Calibri" w:hAnsi="Calibri" w:cs="Calibri"/>
                <w:color w:val="000000"/>
                <w:sz w:val="22"/>
              </w:rPr>
            </w:pPr>
            <w:r w:rsidRPr="00A172B1">
              <w:rPr>
                <w:rFonts w:ascii="Calibri" w:hAnsi="Calibri" w:cs="Calibri"/>
                <w:color w:val="000000"/>
                <w:sz w:val="22"/>
              </w:rPr>
              <w:t>35</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0D52B7D7" w14:textId="77777777">
            <w:pPr>
              <w:spacing w:after="0"/>
              <w:rPr>
                <w:rFonts w:cs="Calibri"/>
                <w:color w:val="000000"/>
                <w:sz w:val="22"/>
              </w:rPr>
            </w:pPr>
            <w:r w:rsidRPr="00A172B1">
              <w:rPr>
                <w:rFonts w:cs="Calibri"/>
                <w:color w:val="000000"/>
                <w:sz w:val="22"/>
              </w:rPr>
              <w:t>Implement enhancement to the equation editing interface to allow editors to type directly into the editing bar (including autocomplete suggestions) without having to click (+) to see the list of terms to choose from.</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39636801"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599D158"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900F4C8"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4BB985C" w14:textId="77777777">
            <w:pPr>
              <w:spacing w:after="0"/>
              <w:jc w:val="center"/>
              <w:rPr>
                <w:rFonts w:cs="Calibri"/>
                <w:color w:val="000000"/>
                <w:sz w:val="22"/>
              </w:rPr>
            </w:pPr>
            <w:r w:rsidRPr="00A172B1">
              <w:rPr>
                <w:rFonts w:cs="Calibri"/>
                <w:color w:val="000000"/>
                <w:sz w:val="22"/>
              </w:rPr>
              <w:t> </w:t>
            </w:r>
          </w:p>
        </w:tc>
      </w:tr>
      <w:tr w:rsidRPr="00A172B1" w:rsidR="00B04AB6" w:rsidTr="00B04AB6" w14:paraId="67A502B1" w14:textId="77777777">
        <w:trPr>
          <w:trHeight w:val="15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6B94502B" w14:textId="77777777">
            <w:pPr>
              <w:spacing w:after="0"/>
              <w:jc w:val="center"/>
              <w:rPr>
                <w:rFonts w:ascii="Calibri" w:hAnsi="Calibri" w:cs="Calibri"/>
                <w:color w:val="000000"/>
                <w:sz w:val="22"/>
              </w:rPr>
            </w:pPr>
            <w:r w:rsidRPr="00A172B1">
              <w:rPr>
                <w:rFonts w:ascii="Calibri" w:hAnsi="Calibri" w:cs="Calibri"/>
                <w:color w:val="000000"/>
                <w:sz w:val="22"/>
              </w:rPr>
              <w:t>36</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33D45FBB" w14:textId="77777777">
            <w:pPr>
              <w:spacing w:after="0"/>
              <w:rPr>
                <w:rFonts w:cs="Calibri"/>
                <w:color w:val="000000"/>
                <w:sz w:val="22"/>
              </w:rPr>
            </w:pPr>
            <w:r w:rsidRPr="00A172B1">
              <w:rPr>
                <w:rFonts w:cs="Calibri"/>
                <w:color w:val="000000"/>
                <w:sz w:val="22"/>
              </w:rPr>
              <w:t xml:space="preserve">When viewing calculations, implement a way to provide insight as to the source of a calculation's variable – which could be a value table, </w:t>
            </w:r>
            <w:proofErr w:type="gramStart"/>
            <w:r w:rsidRPr="00A172B1">
              <w:rPr>
                <w:rFonts w:cs="Calibri"/>
                <w:color w:val="000000"/>
                <w:sz w:val="22"/>
              </w:rPr>
              <w:t>parameter</w:t>
            </w:r>
            <w:proofErr w:type="gramEnd"/>
            <w:r w:rsidRPr="00A172B1">
              <w:rPr>
                <w:rFonts w:cs="Calibri"/>
                <w:color w:val="000000"/>
                <w:sz w:val="22"/>
              </w:rPr>
              <w:t xml:space="preserve"> or another calculation – and a link to travel to the object detail page.</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7569682A"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7CE0E4A"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707109C"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51527D0" w14:textId="77777777">
            <w:pPr>
              <w:spacing w:after="0"/>
              <w:jc w:val="center"/>
              <w:rPr>
                <w:rFonts w:cs="Calibri"/>
                <w:color w:val="000000"/>
                <w:sz w:val="22"/>
              </w:rPr>
            </w:pPr>
            <w:r w:rsidRPr="00A172B1">
              <w:rPr>
                <w:rFonts w:cs="Calibri"/>
                <w:color w:val="000000"/>
                <w:sz w:val="22"/>
              </w:rPr>
              <w:t> </w:t>
            </w:r>
          </w:p>
        </w:tc>
      </w:tr>
      <w:tr w:rsidRPr="00A172B1" w:rsidR="00B04AB6" w:rsidTr="00B04AB6" w14:paraId="2B92E3C3"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40653FFB" w14:textId="77777777">
            <w:pPr>
              <w:spacing w:after="0"/>
              <w:jc w:val="center"/>
              <w:rPr>
                <w:rFonts w:ascii="Calibri" w:hAnsi="Calibri" w:cs="Calibri"/>
                <w:color w:val="000000"/>
                <w:sz w:val="22"/>
              </w:rPr>
            </w:pPr>
            <w:r w:rsidRPr="00A172B1">
              <w:rPr>
                <w:rFonts w:ascii="Calibri" w:hAnsi="Calibri" w:cs="Calibri"/>
                <w:color w:val="000000"/>
                <w:sz w:val="22"/>
              </w:rPr>
              <w:t>37</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07544772" w14:textId="77777777">
            <w:pPr>
              <w:spacing w:after="0"/>
              <w:rPr>
                <w:rFonts w:cs="Calibri"/>
                <w:color w:val="000000"/>
                <w:sz w:val="22"/>
              </w:rPr>
            </w:pPr>
            <w:r w:rsidRPr="00A172B1">
              <w:rPr>
                <w:rFonts w:cs="Calibri"/>
                <w:color w:val="000000"/>
                <w:sz w:val="22"/>
              </w:rPr>
              <w:t xml:space="preserve">Add capability to have global or imported calculations. Global calculations are calculations that are used in more than one measure.  </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474589ED"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1C914B3"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A2BFB6F"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4599415" w14:textId="77777777">
            <w:pPr>
              <w:spacing w:after="0"/>
              <w:jc w:val="center"/>
              <w:rPr>
                <w:rFonts w:cs="Calibri"/>
                <w:color w:val="000000"/>
                <w:sz w:val="22"/>
              </w:rPr>
            </w:pPr>
            <w:r w:rsidRPr="00A172B1">
              <w:rPr>
                <w:rFonts w:cs="Calibri"/>
                <w:color w:val="000000"/>
                <w:sz w:val="22"/>
              </w:rPr>
              <w:t> </w:t>
            </w:r>
          </w:p>
        </w:tc>
      </w:tr>
      <w:tr w:rsidRPr="00A172B1" w:rsidR="00B04AB6" w:rsidTr="00B04AB6" w14:paraId="00D9E06C"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3D388CAD" w14:textId="77777777">
            <w:pPr>
              <w:spacing w:after="0"/>
              <w:jc w:val="center"/>
              <w:rPr>
                <w:rFonts w:ascii="Calibri" w:hAnsi="Calibri" w:cs="Calibri"/>
                <w:color w:val="000000"/>
                <w:sz w:val="22"/>
              </w:rPr>
            </w:pPr>
            <w:r w:rsidRPr="00A172B1">
              <w:rPr>
                <w:rFonts w:ascii="Calibri" w:hAnsi="Calibri" w:cs="Calibri"/>
                <w:color w:val="000000"/>
                <w:sz w:val="22"/>
              </w:rPr>
              <w:t>38</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3D79A4B6" w14:textId="77777777">
            <w:pPr>
              <w:spacing w:after="0"/>
              <w:rPr>
                <w:rFonts w:cs="Calibri"/>
                <w:color w:val="000000"/>
                <w:sz w:val="22"/>
              </w:rPr>
            </w:pPr>
            <w:r w:rsidRPr="00A172B1">
              <w:rPr>
                <w:rFonts w:cs="Calibri"/>
                <w:color w:val="000000"/>
                <w:sz w:val="22"/>
              </w:rPr>
              <w:t>In the configure permutation fields panel, fields that are not mapped will be color-coded so that they are easier to see and correct.</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7EB0A81D"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A2E641C"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0C35E83"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20DA75A" w14:textId="77777777">
            <w:pPr>
              <w:spacing w:after="0"/>
              <w:jc w:val="center"/>
              <w:rPr>
                <w:rFonts w:cs="Calibri"/>
                <w:color w:val="000000"/>
                <w:sz w:val="22"/>
              </w:rPr>
            </w:pPr>
            <w:r w:rsidRPr="00A172B1">
              <w:rPr>
                <w:rFonts w:cs="Calibri"/>
                <w:color w:val="000000"/>
                <w:sz w:val="22"/>
              </w:rPr>
              <w:t> </w:t>
            </w:r>
          </w:p>
        </w:tc>
      </w:tr>
      <w:tr w:rsidRPr="00A172B1" w:rsidR="00B04AB6" w:rsidTr="00B04AB6" w14:paraId="44DBBC17"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41832F9B" w14:textId="77777777">
            <w:pPr>
              <w:spacing w:after="0"/>
              <w:jc w:val="center"/>
              <w:rPr>
                <w:rFonts w:ascii="Calibri" w:hAnsi="Calibri" w:cs="Calibri"/>
                <w:color w:val="000000"/>
                <w:sz w:val="22"/>
              </w:rPr>
            </w:pPr>
            <w:r w:rsidRPr="00A172B1">
              <w:rPr>
                <w:rFonts w:ascii="Calibri" w:hAnsi="Calibri" w:cs="Calibri"/>
                <w:color w:val="000000"/>
                <w:sz w:val="22"/>
              </w:rPr>
              <w:t>39</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60C612C4" w14:textId="77777777">
            <w:pPr>
              <w:spacing w:after="0"/>
              <w:rPr>
                <w:rFonts w:cs="Calibri"/>
                <w:color w:val="000000"/>
                <w:sz w:val="22"/>
              </w:rPr>
            </w:pPr>
            <w:r w:rsidRPr="00A172B1">
              <w:rPr>
                <w:rFonts w:cs="Calibri"/>
                <w:color w:val="000000"/>
                <w:sz w:val="22"/>
              </w:rPr>
              <w:t>Pre-map values from shared parameters/shared value tables to data spec field.</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29CADD1E"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691A1A9"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BF3C175"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151A961" w14:textId="77777777">
            <w:pPr>
              <w:spacing w:after="0"/>
              <w:jc w:val="center"/>
              <w:rPr>
                <w:rFonts w:cs="Calibri"/>
                <w:color w:val="000000"/>
                <w:sz w:val="22"/>
              </w:rPr>
            </w:pPr>
            <w:r w:rsidRPr="00A172B1">
              <w:rPr>
                <w:rFonts w:cs="Calibri"/>
                <w:color w:val="000000"/>
                <w:sz w:val="22"/>
              </w:rPr>
              <w:t> </w:t>
            </w:r>
          </w:p>
        </w:tc>
      </w:tr>
      <w:tr w:rsidRPr="00A172B1" w:rsidR="00B04AB6" w:rsidTr="00B04AB6" w14:paraId="26E9AF5A"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3CCB8DA1" w14:textId="77777777">
            <w:pPr>
              <w:spacing w:after="0"/>
              <w:jc w:val="center"/>
              <w:rPr>
                <w:rFonts w:ascii="Calibri" w:hAnsi="Calibri" w:cs="Calibri"/>
                <w:color w:val="000000"/>
                <w:sz w:val="22"/>
              </w:rPr>
            </w:pPr>
            <w:r w:rsidRPr="00A172B1">
              <w:rPr>
                <w:rFonts w:ascii="Calibri" w:hAnsi="Calibri" w:cs="Calibri"/>
                <w:color w:val="000000"/>
                <w:sz w:val="22"/>
              </w:rPr>
              <w:t>40</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68053A12" w14:textId="77777777">
            <w:pPr>
              <w:spacing w:after="0"/>
              <w:rPr>
                <w:rFonts w:cs="Calibri"/>
                <w:color w:val="000000"/>
                <w:sz w:val="22"/>
              </w:rPr>
            </w:pPr>
            <w:r w:rsidRPr="00A172B1">
              <w:rPr>
                <w:rFonts w:cs="Calibri"/>
                <w:color w:val="000000"/>
                <w:sz w:val="22"/>
              </w:rPr>
              <w:t>Add capability for users to filter and sort permutation table. When filtered, system would automatically hide the rows that are no longer unique due to missing columns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2B91A38D"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D3C17FD"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5710E7D"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D45B97C" w14:textId="77777777">
            <w:pPr>
              <w:spacing w:after="0"/>
              <w:jc w:val="center"/>
              <w:rPr>
                <w:rFonts w:cs="Calibri"/>
                <w:color w:val="000000"/>
                <w:sz w:val="22"/>
              </w:rPr>
            </w:pPr>
            <w:r w:rsidRPr="00A172B1">
              <w:rPr>
                <w:rFonts w:cs="Calibri"/>
                <w:color w:val="000000"/>
                <w:sz w:val="22"/>
              </w:rPr>
              <w:t> </w:t>
            </w:r>
          </w:p>
        </w:tc>
      </w:tr>
      <w:tr w:rsidRPr="00A172B1" w:rsidR="00B04AB6" w:rsidTr="00B04AB6" w14:paraId="5E1A0433" w14:textId="77777777">
        <w:trPr>
          <w:trHeight w:val="18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6DF8D959" w14:textId="77777777">
            <w:pPr>
              <w:spacing w:after="0"/>
              <w:jc w:val="center"/>
              <w:rPr>
                <w:rFonts w:ascii="Calibri" w:hAnsi="Calibri" w:cs="Calibri"/>
                <w:color w:val="000000"/>
                <w:sz w:val="22"/>
              </w:rPr>
            </w:pPr>
            <w:r w:rsidRPr="00A172B1">
              <w:rPr>
                <w:rFonts w:ascii="Calibri" w:hAnsi="Calibri" w:cs="Calibri"/>
                <w:color w:val="000000"/>
                <w:sz w:val="22"/>
              </w:rPr>
              <w:lastRenderedPageBreak/>
              <w:t>41</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7EB71A5F" w14:textId="77777777">
            <w:pPr>
              <w:spacing w:after="0"/>
              <w:rPr>
                <w:rFonts w:cs="Calibri"/>
                <w:color w:val="000000"/>
                <w:sz w:val="22"/>
              </w:rPr>
            </w:pPr>
            <w:r w:rsidRPr="00A172B1">
              <w:rPr>
                <w:rFonts w:cs="Calibri"/>
                <w:color w:val="000000"/>
                <w:sz w:val="22"/>
              </w:rPr>
              <w:t>Include ability to hide columns of the permutation table that user may consider unnecessary. Column-hiding functionality should also hide duplicate rows if columns being hidden were distinguishing columns to unique permutations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17BB635"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209E74C"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0FB127F"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B015B57" w14:textId="77777777">
            <w:pPr>
              <w:spacing w:after="0"/>
              <w:jc w:val="center"/>
              <w:rPr>
                <w:rFonts w:cs="Calibri"/>
                <w:color w:val="000000"/>
                <w:sz w:val="22"/>
              </w:rPr>
            </w:pPr>
            <w:r w:rsidRPr="00A172B1">
              <w:rPr>
                <w:rFonts w:cs="Calibri"/>
                <w:color w:val="000000"/>
                <w:sz w:val="22"/>
              </w:rPr>
              <w:t> </w:t>
            </w:r>
          </w:p>
        </w:tc>
      </w:tr>
      <w:tr w:rsidRPr="00A172B1" w:rsidR="00B04AB6" w:rsidTr="00B04AB6" w14:paraId="0C655589" w14:textId="77777777">
        <w:trPr>
          <w:trHeight w:val="120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27201270" w14:textId="77777777">
            <w:pPr>
              <w:spacing w:after="0"/>
              <w:jc w:val="center"/>
              <w:rPr>
                <w:rFonts w:ascii="Calibri" w:hAnsi="Calibri" w:cs="Calibri"/>
                <w:color w:val="000000"/>
                <w:sz w:val="22"/>
              </w:rPr>
            </w:pPr>
            <w:r w:rsidRPr="00A172B1">
              <w:rPr>
                <w:rFonts w:ascii="Calibri" w:hAnsi="Calibri" w:cs="Calibri"/>
                <w:color w:val="000000"/>
                <w:sz w:val="22"/>
              </w:rPr>
              <w:t>42</w:t>
            </w:r>
          </w:p>
        </w:tc>
        <w:tc>
          <w:tcPr>
            <w:tcW w:w="42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4701A79" w14:textId="77777777">
            <w:pPr>
              <w:spacing w:after="0"/>
              <w:rPr>
                <w:rFonts w:cs="Calibri"/>
                <w:color w:val="000000"/>
                <w:sz w:val="22"/>
              </w:rPr>
            </w:pPr>
            <w:r w:rsidRPr="00A172B1">
              <w:rPr>
                <w:rFonts w:cs="Calibri"/>
                <w:color w:val="000000"/>
                <w:sz w:val="22"/>
              </w:rPr>
              <w:t>In the exclusion table, implement a visual design for exclusion table rows that are NOT excluded (e.g. unchecked), so that they are easier for editors to scan in the table.</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BB447E2"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E367E38"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B95115F"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0C839FC" w14:textId="77777777">
            <w:pPr>
              <w:spacing w:after="0"/>
              <w:jc w:val="center"/>
              <w:rPr>
                <w:rFonts w:cs="Calibri"/>
                <w:color w:val="000000"/>
                <w:sz w:val="22"/>
              </w:rPr>
            </w:pPr>
            <w:r w:rsidRPr="00A172B1">
              <w:rPr>
                <w:rFonts w:cs="Calibri"/>
                <w:color w:val="000000"/>
                <w:sz w:val="22"/>
              </w:rPr>
              <w:t> </w:t>
            </w:r>
          </w:p>
        </w:tc>
      </w:tr>
      <w:tr w:rsidRPr="00A172B1" w:rsidR="00B04AB6" w:rsidTr="00B04AB6" w14:paraId="7FBEDB4B" w14:textId="77777777">
        <w:trPr>
          <w:trHeight w:val="2700"/>
        </w:trPr>
        <w:tc>
          <w:tcPr>
            <w:tcW w:w="7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268F2C35" w14:textId="77777777">
            <w:pPr>
              <w:spacing w:after="0"/>
              <w:jc w:val="center"/>
              <w:rPr>
                <w:rFonts w:ascii="Calibri" w:hAnsi="Calibri" w:cs="Calibri"/>
                <w:color w:val="000000"/>
                <w:sz w:val="22"/>
              </w:rPr>
            </w:pPr>
            <w:r w:rsidRPr="00A172B1">
              <w:rPr>
                <w:rFonts w:ascii="Calibri" w:hAnsi="Calibri" w:cs="Calibri"/>
                <w:color w:val="000000"/>
                <w:sz w:val="22"/>
              </w:rPr>
              <w:t>43</w:t>
            </w:r>
          </w:p>
        </w:tc>
        <w:tc>
          <w:tcPr>
            <w:tcW w:w="4240" w:type="dxa"/>
            <w:tcBorders>
              <w:top w:val="nil"/>
              <w:left w:val="nil"/>
              <w:bottom w:val="nil"/>
              <w:right w:val="nil"/>
            </w:tcBorders>
            <w:shd w:val="clear" w:color="auto" w:fill="auto"/>
            <w:vAlign w:val="center"/>
            <w:hideMark/>
          </w:tcPr>
          <w:p w:rsidRPr="00A172B1" w:rsidR="00B04AB6" w:rsidP="00B04AB6" w:rsidRDefault="00B04AB6" w14:paraId="5D9FB303" w14:textId="77777777">
            <w:pPr>
              <w:spacing w:after="0"/>
              <w:rPr>
                <w:rFonts w:cs="Calibri"/>
                <w:color w:val="000000"/>
                <w:sz w:val="22"/>
              </w:rPr>
            </w:pPr>
            <w:r w:rsidRPr="00A172B1">
              <w:rPr>
                <w:rFonts w:cs="Calibri"/>
                <w:color w:val="000000"/>
                <w:sz w:val="22"/>
              </w:rPr>
              <w:t>Implement feature that allows range-checking on value tables. An editor would be able to specify a maximum value, minimum value, allowable data type (such as text or number only) and/or "cannot be empty" validation on a value table column. Value table cells that do not meet the validation criteria would be flagged to the measure developer or measure reviewer.</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2A3580D"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F75BC05"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42BAE8BA" w14:textId="77777777">
            <w:pPr>
              <w:spacing w:after="0"/>
              <w:jc w:val="center"/>
              <w:rPr>
                <w:rFonts w:cs="Calibri"/>
                <w:color w:val="000000"/>
                <w:sz w:val="22"/>
              </w:rPr>
            </w:pPr>
            <w:r w:rsidRPr="00A172B1">
              <w:rPr>
                <w:rFonts w:cs="Calibri"/>
                <w:color w:val="000000"/>
                <w:sz w:val="22"/>
              </w:rPr>
              <w:t>X</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77F0A67" w14:textId="77777777">
            <w:pPr>
              <w:spacing w:after="0"/>
              <w:jc w:val="center"/>
              <w:rPr>
                <w:rFonts w:cs="Calibri"/>
                <w:color w:val="000000"/>
                <w:sz w:val="22"/>
              </w:rPr>
            </w:pPr>
            <w:r w:rsidRPr="00A172B1">
              <w:rPr>
                <w:rFonts w:cs="Calibri"/>
                <w:color w:val="000000"/>
                <w:sz w:val="22"/>
              </w:rPr>
              <w:t> </w:t>
            </w:r>
          </w:p>
        </w:tc>
      </w:tr>
      <w:tr w:rsidRPr="00A172B1" w:rsidR="00B04AB6" w:rsidTr="00B04AB6" w14:paraId="468E3A1B" w14:textId="77777777">
        <w:trPr>
          <w:trHeight w:val="15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7EFD032"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2612E30F" w14:textId="77777777">
            <w:pPr>
              <w:spacing w:after="0"/>
              <w:rPr>
                <w:rFonts w:cs="Calibri"/>
                <w:color w:val="000000"/>
                <w:sz w:val="22"/>
              </w:rPr>
            </w:pPr>
            <w:r w:rsidRPr="00A172B1">
              <w:rPr>
                <w:rFonts w:cs="Calibri"/>
                <w:color w:val="000000"/>
                <w:sz w:val="22"/>
              </w:rPr>
              <w:t xml:space="preserve">--Prior to implementing this feature, ensure that error-checking features to be developed for </w:t>
            </w:r>
            <w:proofErr w:type="spellStart"/>
            <w:r w:rsidRPr="00A172B1">
              <w:rPr>
                <w:rFonts w:cs="Calibri"/>
                <w:color w:val="000000"/>
                <w:sz w:val="22"/>
              </w:rPr>
              <w:t>eTRM</w:t>
            </w:r>
            <w:proofErr w:type="spellEnd"/>
            <w:r w:rsidRPr="00A172B1">
              <w:rPr>
                <w:rFonts w:cs="Calibri"/>
                <w:color w:val="000000"/>
                <w:sz w:val="22"/>
              </w:rPr>
              <w:t xml:space="preserve"> are consistent with and at least as robust as the error-checking features for CET and CEDARs.</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D9D8892"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F8D25E0"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4F2DE3D"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4449829" w14:textId="77777777">
            <w:pPr>
              <w:spacing w:after="0"/>
              <w:rPr>
                <w:rFonts w:cs="Calibri"/>
                <w:color w:val="000000"/>
                <w:sz w:val="22"/>
              </w:rPr>
            </w:pPr>
          </w:p>
        </w:tc>
      </w:tr>
      <w:tr w:rsidRPr="00A172B1" w:rsidR="00B04AB6" w:rsidTr="00B04AB6" w14:paraId="3242F43D" w14:textId="77777777">
        <w:trPr>
          <w:trHeight w:val="6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957F626"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1E8AEF91" w14:textId="77777777">
            <w:pPr>
              <w:spacing w:after="0"/>
              <w:rPr>
                <w:rFonts w:cs="Calibri"/>
                <w:color w:val="000000"/>
                <w:sz w:val="22"/>
              </w:rPr>
            </w:pPr>
            <w:r w:rsidRPr="00A172B1">
              <w:rPr>
                <w:rFonts w:cs="Calibri"/>
                <w:color w:val="000000"/>
                <w:sz w:val="22"/>
              </w:rPr>
              <w:t xml:space="preserve">--Note: This does not apply to static (RTE) tables.  </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3154665"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23A7DC9"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8F873D7"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E80E7A0" w14:textId="77777777">
            <w:pPr>
              <w:spacing w:after="0"/>
              <w:rPr>
                <w:rFonts w:cs="Calibri"/>
                <w:color w:val="000000"/>
                <w:sz w:val="22"/>
              </w:rPr>
            </w:pPr>
          </w:p>
        </w:tc>
      </w:tr>
      <w:tr w:rsidRPr="00A172B1" w:rsidR="00B04AB6" w:rsidTr="00B04AB6" w14:paraId="0B8DB52D" w14:textId="77777777">
        <w:trPr>
          <w:trHeight w:val="21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4DA09F9A" w14:textId="77777777">
            <w:pPr>
              <w:spacing w:after="0"/>
              <w:jc w:val="center"/>
              <w:rPr>
                <w:rFonts w:ascii="Calibri" w:hAnsi="Calibri" w:cs="Calibri"/>
                <w:color w:val="000000"/>
                <w:sz w:val="22"/>
              </w:rPr>
            </w:pPr>
            <w:r w:rsidRPr="00A172B1">
              <w:rPr>
                <w:rFonts w:ascii="Calibri" w:hAnsi="Calibri" w:cs="Calibri"/>
                <w:color w:val="000000"/>
                <w:sz w:val="22"/>
              </w:rPr>
              <w:t>44</w:t>
            </w:r>
          </w:p>
        </w:tc>
        <w:tc>
          <w:tcPr>
            <w:tcW w:w="4240" w:type="dxa"/>
            <w:tcBorders>
              <w:top w:val="single" w:color="auto" w:sz="4" w:space="0"/>
              <w:left w:val="nil"/>
              <w:bottom w:val="single" w:color="auto" w:sz="8" w:space="0"/>
              <w:right w:val="single" w:color="auto" w:sz="4" w:space="0"/>
            </w:tcBorders>
            <w:shd w:val="clear" w:color="auto" w:fill="auto"/>
            <w:vAlign w:val="center"/>
            <w:hideMark/>
          </w:tcPr>
          <w:p w:rsidRPr="00A172B1" w:rsidR="00B04AB6" w:rsidP="00B04AB6" w:rsidRDefault="00B04AB6" w14:paraId="2617AFD0" w14:textId="77777777">
            <w:pPr>
              <w:spacing w:after="0"/>
              <w:rPr>
                <w:rFonts w:cs="Calibri"/>
                <w:color w:val="000000"/>
                <w:sz w:val="22"/>
              </w:rPr>
            </w:pPr>
            <w:r w:rsidRPr="00A172B1">
              <w:rPr>
                <w:rFonts w:cs="Calibri"/>
                <w:color w:val="000000"/>
                <w:sz w:val="22"/>
              </w:rPr>
              <w:t>Implement text comparison and redlining feature for all measure text fields so textual differences between different versions of a measure are readily apparent.  This feature shall allow an editor to compare two versions of a measure, selected by the editor, marked up with differences.</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5C0825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5565F1C"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D8BA4E5"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1419213" w14:textId="77777777">
            <w:pPr>
              <w:spacing w:after="0"/>
              <w:jc w:val="center"/>
              <w:rPr>
                <w:rFonts w:cs="Calibri"/>
                <w:color w:val="000000"/>
                <w:sz w:val="22"/>
              </w:rPr>
            </w:pPr>
            <w:r w:rsidRPr="00A172B1">
              <w:rPr>
                <w:rFonts w:cs="Calibri"/>
                <w:color w:val="000000"/>
                <w:sz w:val="22"/>
              </w:rPr>
              <w:t> </w:t>
            </w:r>
          </w:p>
        </w:tc>
      </w:tr>
      <w:tr w:rsidRPr="00A172B1" w:rsidR="00B04AB6" w:rsidTr="00B04AB6" w14:paraId="162CE58B"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566C43C2" w14:textId="77777777">
            <w:pPr>
              <w:spacing w:after="0"/>
              <w:jc w:val="center"/>
              <w:rPr>
                <w:rFonts w:ascii="Calibri" w:hAnsi="Calibri" w:cs="Calibri"/>
                <w:color w:val="000000"/>
                <w:sz w:val="22"/>
              </w:rPr>
            </w:pPr>
            <w:r w:rsidRPr="00A172B1">
              <w:rPr>
                <w:rFonts w:ascii="Calibri" w:hAnsi="Calibri" w:cs="Calibri"/>
                <w:color w:val="000000"/>
                <w:sz w:val="22"/>
              </w:rPr>
              <w:lastRenderedPageBreak/>
              <w:t>45</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12703D1A" w14:textId="77777777">
            <w:pPr>
              <w:spacing w:after="0"/>
              <w:rPr>
                <w:rFonts w:cs="Calibri"/>
                <w:color w:val="000000"/>
                <w:sz w:val="22"/>
              </w:rPr>
            </w:pPr>
            <w:r w:rsidRPr="00A172B1">
              <w:rPr>
                <w:rFonts w:cs="Calibri"/>
                <w:color w:val="000000"/>
                <w:sz w:val="22"/>
              </w:rPr>
              <w:t xml:space="preserve">Once necessary license with the </w:t>
            </w:r>
            <w:proofErr w:type="spellStart"/>
            <w:r w:rsidRPr="00A172B1">
              <w:rPr>
                <w:rFonts w:cs="Calibri"/>
                <w:color w:val="000000"/>
                <w:sz w:val="22"/>
              </w:rPr>
              <w:t>WebSpellChecker</w:t>
            </w:r>
            <w:proofErr w:type="spellEnd"/>
            <w:r w:rsidRPr="00A172B1">
              <w:rPr>
                <w:rFonts w:cs="Calibri"/>
                <w:color w:val="000000"/>
                <w:sz w:val="22"/>
              </w:rPr>
              <w:t xml:space="preserve"> </w:t>
            </w:r>
            <w:proofErr w:type="spellStart"/>
            <w:r w:rsidRPr="00A172B1">
              <w:rPr>
                <w:rFonts w:cs="Calibri"/>
                <w:color w:val="000000"/>
                <w:sz w:val="22"/>
              </w:rPr>
              <w:t>CKeditor</w:t>
            </w:r>
            <w:proofErr w:type="spellEnd"/>
            <w:r w:rsidRPr="00A172B1">
              <w:rPr>
                <w:rFonts w:cs="Calibri"/>
                <w:color w:val="000000"/>
                <w:sz w:val="22"/>
              </w:rPr>
              <w:t xml:space="preserve"> plugin is obtained, ensure it is used as the </w:t>
            </w:r>
            <w:proofErr w:type="gramStart"/>
            <w:r w:rsidRPr="00A172B1">
              <w:rPr>
                <w:rFonts w:cs="Calibri"/>
                <w:color w:val="000000"/>
                <w:sz w:val="22"/>
              </w:rPr>
              <w:t>spell checking</w:t>
            </w:r>
            <w:proofErr w:type="gramEnd"/>
            <w:r w:rsidRPr="00A172B1">
              <w:rPr>
                <w:rFonts w:cs="Calibri"/>
                <w:color w:val="000000"/>
                <w:sz w:val="22"/>
              </w:rPr>
              <w:t xml:space="preserve"> source for all rich text fields in the </w:t>
            </w:r>
            <w:proofErr w:type="spellStart"/>
            <w:r w:rsidRPr="00A172B1">
              <w:rPr>
                <w:rFonts w:cs="Calibri"/>
                <w:color w:val="000000"/>
                <w:sz w:val="22"/>
              </w:rPr>
              <w:t>eTRM</w:t>
            </w:r>
            <w:proofErr w:type="spellEnd"/>
            <w:r w:rsidRPr="00A172B1">
              <w:rPr>
                <w:rFonts w:cs="Calibri"/>
                <w:color w:val="000000"/>
                <w:sz w:val="22"/>
              </w:rPr>
              <w:t>.</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76E4B6D4"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F46DF8C"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CFAD381"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D90C6F1" w14:textId="77777777">
            <w:pPr>
              <w:spacing w:after="0"/>
              <w:jc w:val="center"/>
              <w:rPr>
                <w:rFonts w:cs="Calibri"/>
                <w:color w:val="000000"/>
                <w:sz w:val="22"/>
              </w:rPr>
            </w:pPr>
            <w:r w:rsidRPr="00A172B1">
              <w:rPr>
                <w:rFonts w:cs="Calibri"/>
                <w:color w:val="000000"/>
                <w:sz w:val="22"/>
              </w:rPr>
              <w:t> </w:t>
            </w:r>
          </w:p>
        </w:tc>
      </w:tr>
      <w:tr w:rsidRPr="00A172B1" w:rsidR="00B04AB6" w:rsidTr="00B04AB6" w14:paraId="52883474"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536EBEBE" w14:textId="77777777">
            <w:pPr>
              <w:spacing w:after="0"/>
              <w:jc w:val="center"/>
              <w:rPr>
                <w:rFonts w:ascii="Calibri" w:hAnsi="Calibri" w:cs="Calibri"/>
                <w:color w:val="000000"/>
                <w:sz w:val="22"/>
              </w:rPr>
            </w:pPr>
            <w:r w:rsidRPr="00A172B1">
              <w:rPr>
                <w:rFonts w:ascii="Calibri" w:hAnsi="Calibri" w:cs="Calibri"/>
                <w:color w:val="000000"/>
                <w:sz w:val="22"/>
              </w:rPr>
              <w:t>46</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5A98502B" w14:textId="77777777">
            <w:pPr>
              <w:spacing w:after="0"/>
              <w:rPr>
                <w:rFonts w:cs="Calibri"/>
                <w:color w:val="000000"/>
                <w:sz w:val="22"/>
              </w:rPr>
            </w:pPr>
            <w:r w:rsidRPr="00A172B1">
              <w:rPr>
                <w:rFonts w:cs="Calibri"/>
                <w:color w:val="000000"/>
                <w:sz w:val="22"/>
              </w:rPr>
              <w:t>Redesign the reference file download green rectangle element to reduce its footprint for an individual reference and when seen in a long list of references.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204876F6"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7088014"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C264865"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3B42F52" w14:textId="77777777">
            <w:pPr>
              <w:spacing w:after="0"/>
              <w:jc w:val="center"/>
              <w:rPr>
                <w:rFonts w:cs="Calibri"/>
                <w:color w:val="000000"/>
                <w:sz w:val="22"/>
              </w:rPr>
            </w:pPr>
            <w:r w:rsidRPr="00A172B1">
              <w:rPr>
                <w:rFonts w:cs="Calibri"/>
                <w:color w:val="000000"/>
                <w:sz w:val="22"/>
              </w:rPr>
              <w:t> </w:t>
            </w:r>
          </w:p>
        </w:tc>
      </w:tr>
      <w:tr w:rsidRPr="00A172B1" w:rsidR="00B04AB6" w:rsidTr="00B04AB6" w14:paraId="40B1C0D8" w14:textId="77777777">
        <w:trPr>
          <w:trHeight w:val="18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4E5133E9" w14:textId="77777777">
            <w:pPr>
              <w:spacing w:after="0"/>
              <w:jc w:val="center"/>
              <w:rPr>
                <w:rFonts w:ascii="Calibri" w:hAnsi="Calibri" w:cs="Calibri"/>
                <w:color w:val="000000"/>
                <w:sz w:val="22"/>
              </w:rPr>
            </w:pPr>
            <w:r w:rsidRPr="00A172B1">
              <w:rPr>
                <w:rFonts w:ascii="Calibri" w:hAnsi="Calibri" w:cs="Calibri"/>
                <w:color w:val="000000"/>
                <w:sz w:val="22"/>
              </w:rPr>
              <w:t>47</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1C414F75" w14:textId="77777777">
            <w:pPr>
              <w:spacing w:after="0"/>
              <w:rPr>
                <w:rFonts w:cs="Calibri"/>
                <w:color w:val="000000"/>
                <w:sz w:val="22"/>
              </w:rPr>
            </w:pPr>
            <w:r w:rsidRPr="00A172B1">
              <w:rPr>
                <w:rFonts w:cs="Calibri"/>
                <w:color w:val="000000"/>
                <w:sz w:val="22"/>
              </w:rPr>
              <w:t xml:space="preserve">Explore adding a drag-to-resize image capability to measure characterization rich text fields. If that solution is not recommended or stable, add up to two new image styles. One desired new style is a small stamp-size image style. </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091FEDE"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BEB4970"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C6D2FC5"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3CE697E" w14:textId="77777777">
            <w:pPr>
              <w:spacing w:after="0"/>
              <w:jc w:val="center"/>
              <w:rPr>
                <w:rFonts w:cs="Calibri"/>
                <w:color w:val="000000"/>
                <w:sz w:val="22"/>
              </w:rPr>
            </w:pPr>
            <w:r w:rsidRPr="00A172B1">
              <w:rPr>
                <w:rFonts w:cs="Calibri"/>
                <w:color w:val="000000"/>
                <w:sz w:val="22"/>
              </w:rPr>
              <w:t> </w:t>
            </w:r>
          </w:p>
        </w:tc>
      </w:tr>
      <w:tr w:rsidRPr="00A172B1" w:rsidR="00B04AB6" w:rsidTr="00B04AB6" w14:paraId="384ECD89" w14:textId="77777777">
        <w:trPr>
          <w:trHeight w:val="15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E3FEF8A" w14:textId="77777777">
            <w:pPr>
              <w:spacing w:after="0"/>
              <w:jc w:val="center"/>
              <w:rPr>
                <w:rFonts w:ascii="Calibri" w:hAnsi="Calibri" w:cs="Calibri"/>
                <w:color w:val="000000"/>
                <w:sz w:val="22"/>
              </w:rPr>
            </w:pPr>
            <w:r w:rsidRPr="00A172B1">
              <w:rPr>
                <w:rFonts w:ascii="Calibri" w:hAnsi="Calibri" w:cs="Calibri"/>
                <w:color w:val="000000"/>
                <w:sz w:val="22"/>
              </w:rPr>
              <w:t>48</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75D56F80" w14:textId="77777777">
            <w:pPr>
              <w:spacing w:after="0"/>
              <w:rPr>
                <w:rFonts w:cs="Calibri"/>
                <w:color w:val="000000"/>
                <w:sz w:val="22"/>
              </w:rPr>
            </w:pPr>
            <w:r w:rsidRPr="00A172B1">
              <w:rPr>
                <w:rFonts w:cs="Calibri"/>
                <w:color w:val="000000"/>
                <w:sz w:val="22"/>
              </w:rPr>
              <w:t>Add the ability for a reference to be associated with a measure, value table, parameter or calculation by a specific page or table number. This eliminates the need to duplicate references in the reference library.</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82370C5"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2AA055E"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F9CABC8"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877002E" w14:textId="77777777">
            <w:pPr>
              <w:spacing w:after="0"/>
              <w:jc w:val="center"/>
              <w:rPr>
                <w:rFonts w:cs="Calibri"/>
                <w:color w:val="000000"/>
                <w:sz w:val="22"/>
              </w:rPr>
            </w:pPr>
            <w:r w:rsidRPr="00A172B1">
              <w:rPr>
                <w:rFonts w:cs="Calibri"/>
                <w:color w:val="000000"/>
                <w:sz w:val="22"/>
              </w:rPr>
              <w:t> </w:t>
            </w:r>
          </w:p>
        </w:tc>
      </w:tr>
      <w:tr w:rsidRPr="00A172B1" w:rsidR="00B04AB6" w:rsidTr="00B04AB6" w14:paraId="44F26A98"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422FDF08" w14:textId="77777777">
            <w:pPr>
              <w:spacing w:after="0"/>
              <w:jc w:val="center"/>
              <w:rPr>
                <w:rFonts w:ascii="Calibri" w:hAnsi="Calibri" w:cs="Calibri"/>
                <w:color w:val="000000"/>
                <w:sz w:val="22"/>
              </w:rPr>
            </w:pPr>
            <w:r w:rsidRPr="00A172B1">
              <w:rPr>
                <w:rFonts w:ascii="Calibri" w:hAnsi="Calibri" w:cs="Calibri"/>
                <w:color w:val="000000"/>
                <w:sz w:val="22"/>
              </w:rPr>
              <w:t>49</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418BFCB7" w14:textId="77777777">
            <w:pPr>
              <w:spacing w:after="0"/>
              <w:rPr>
                <w:rFonts w:cs="Calibri"/>
                <w:color w:val="000000"/>
                <w:sz w:val="22"/>
              </w:rPr>
            </w:pPr>
            <w:r w:rsidRPr="00A172B1">
              <w:rPr>
                <w:rFonts w:cs="Calibri"/>
                <w:color w:val="000000"/>
                <w:sz w:val="22"/>
              </w:rPr>
              <w:t>Add a field to the reference data model for Publication Date. Add a filter to the manage references list that allows filtering by publication date.</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326AC4E9"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510DC9C"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2EC2ED4"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9CD52E8" w14:textId="77777777">
            <w:pPr>
              <w:spacing w:after="0"/>
              <w:jc w:val="center"/>
              <w:rPr>
                <w:rFonts w:cs="Calibri"/>
                <w:color w:val="000000"/>
                <w:sz w:val="22"/>
              </w:rPr>
            </w:pPr>
            <w:r w:rsidRPr="00A172B1">
              <w:rPr>
                <w:rFonts w:cs="Calibri"/>
                <w:color w:val="000000"/>
                <w:sz w:val="22"/>
              </w:rPr>
              <w:t> </w:t>
            </w:r>
          </w:p>
        </w:tc>
      </w:tr>
      <w:tr w:rsidRPr="00A172B1" w:rsidR="00B04AB6" w:rsidTr="00B04AB6" w14:paraId="06C5E39E" w14:textId="77777777">
        <w:trPr>
          <w:trHeight w:val="6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22F01AAB" w14:textId="77777777">
            <w:pPr>
              <w:spacing w:after="0"/>
              <w:jc w:val="center"/>
              <w:rPr>
                <w:rFonts w:ascii="Calibri" w:hAnsi="Calibri" w:cs="Calibri"/>
                <w:color w:val="000000"/>
                <w:sz w:val="22"/>
              </w:rPr>
            </w:pPr>
            <w:r w:rsidRPr="00A172B1">
              <w:rPr>
                <w:rFonts w:ascii="Calibri" w:hAnsi="Calibri" w:cs="Calibri"/>
                <w:color w:val="000000"/>
                <w:sz w:val="22"/>
              </w:rPr>
              <w:t>50</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703BD69A" w14:textId="77777777">
            <w:pPr>
              <w:spacing w:after="0"/>
              <w:rPr>
                <w:rFonts w:cs="Calibri"/>
                <w:color w:val="000000"/>
                <w:sz w:val="22"/>
              </w:rPr>
            </w:pPr>
            <w:r w:rsidRPr="00A172B1">
              <w:rPr>
                <w:rFonts w:cs="Calibri"/>
                <w:color w:val="000000"/>
                <w:sz w:val="22"/>
              </w:rPr>
              <w:t>Add "Year" field to search matrix for reference search</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42A4D2E6"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83B8C42"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F809D7D"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4269242" w14:textId="77777777">
            <w:pPr>
              <w:spacing w:after="0"/>
              <w:jc w:val="center"/>
              <w:rPr>
                <w:rFonts w:cs="Calibri"/>
                <w:color w:val="000000"/>
                <w:sz w:val="22"/>
              </w:rPr>
            </w:pPr>
            <w:r w:rsidRPr="00A172B1">
              <w:rPr>
                <w:rFonts w:cs="Calibri"/>
                <w:color w:val="000000"/>
                <w:sz w:val="22"/>
              </w:rPr>
              <w:t> </w:t>
            </w:r>
          </w:p>
        </w:tc>
      </w:tr>
      <w:tr w:rsidRPr="00A172B1" w:rsidR="00B04AB6" w:rsidTr="00B04AB6" w14:paraId="1D75DA12"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0B9DEC4" w14:textId="77777777">
            <w:pPr>
              <w:spacing w:after="0"/>
              <w:jc w:val="center"/>
              <w:rPr>
                <w:rFonts w:ascii="Calibri" w:hAnsi="Calibri" w:cs="Calibri"/>
                <w:color w:val="000000"/>
                <w:sz w:val="22"/>
              </w:rPr>
            </w:pPr>
            <w:r w:rsidRPr="00A172B1">
              <w:rPr>
                <w:rFonts w:ascii="Calibri" w:hAnsi="Calibri" w:cs="Calibri"/>
                <w:color w:val="000000"/>
                <w:sz w:val="22"/>
              </w:rPr>
              <w:t>51</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25A3F227" w14:textId="77777777">
            <w:pPr>
              <w:spacing w:after="0"/>
              <w:rPr>
                <w:rFonts w:cs="Calibri"/>
                <w:color w:val="000000"/>
                <w:sz w:val="22"/>
              </w:rPr>
            </w:pPr>
            <w:r w:rsidRPr="00A172B1">
              <w:rPr>
                <w:rFonts w:cs="Calibri"/>
                <w:color w:val="000000"/>
                <w:sz w:val="22"/>
              </w:rPr>
              <w:t>References that have file attachments will display an attachment icon in the manage references list. Implement the ability to filter the manage references list by "has attachment".</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D8D79D8"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788055F"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842E64E"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989FB2D" w14:textId="77777777">
            <w:pPr>
              <w:spacing w:after="0"/>
              <w:jc w:val="center"/>
              <w:rPr>
                <w:rFonts w:cs="Calibri"/>
                <w:color w:val="000000"/>
                <w:sz w:val="22"/>
              </w:rPr>
            </w:pPr>
            <w:r w:rsidRPr="00A172B1">
              <w:rPr>
                <w:rFonts w:cs="Calibri"/>
                <w:color w:val="000000"/>
                <w:sz w:val="22"/>
              </w:rPr>
              <w:t> </w:t>
            </w:r>
          </w:p>
        </w:tc>
      </w:tr>
      <w:tr w:rsidRPr="00A172B1" w:rsidR="00B04AB6" w:rsidTr="00B04AB6" w14:paraId="487F8D0A"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4D3BAD85" w14:textId="77777777">
            <w:pPr>
              <w:spacing w:after="0"/>
              <w:jc w:val="center"/>
              <w:rPr>
                <w:rFonts w:ascii="Calibri" w:hAnsi="Calibri" w:cs="Calibri"/>
                <w:color w:val="000000"/>
                <w:sz w:val="22"/>
              </w:rPr>
            </w:pPr>
            <w:r w:rsidRPr="00A172B1">
              <w:rPr>
                <w:rFonts w:ascii="Calibri" w:hAnsi="Calibri" w:cs="Calibri"/>
                <w:color w:val="000000"/>
                <w:sz w:val="22"/>
              </w:rPr>
              <w:t>52</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057C9E03" w14:textId="77777777">
            <w:pPr>
              <w:spacing w:after="0"/>
              <w:rPr>
                <w:rFonts w:cs="Calibri"/>
                <w:color w:val="000000"/>
                <w:sz w:val="22"/>
              </w:rPr>
            </w:pPr>
            <w:r w:rsidRPr="00A172B1">
              <w:rPr>
                <w:rFonts w:cs="Calibri"/>
                <w:color w:val="000000"/>
                <w:sz w:val="22"/>
              </w:rPr>
              <w:t>Implement a list of common reference sponsor organizations. When adding or editing a reference, a user can select a sponsor organization from the list or add their own.</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8C692A3"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4F43DE0"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8F678DD"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287A2DC" w14:textId="77777777">
            <w:pPr>
              <w:spacing w:after="0"/>
              <w:jc w:val="center"/>
              <w:rPr>
                <w:rFonts w:cs="Calibri"/>
                <w:color w:val="000000"/>
                <w:sz w:val="22"/>
              </w:rPr>
            </w:pPr>
            <w:r w:rsidRPr="00A172B1">
              <w:rPr>
                <w:rFonts w:cs="Calibri"/>
                <w:color w:val="000000"/>
                <w:sz w:val="22"/>
              </w:rPr>
              <w:t> </w:t>
            </w:r>
          </w:p>
        </w:tc>
      </w:tr>
      <w:tr w:rsidRPr="00A172B1" w:rsidR="00B04AB6" w:rsidTr="00B04AB6" w14:paraId="0615E8D3"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60529E89" w14:textId="77777777">
            <w:pPr>
              <w:spacing w:after="0"/>
              <w:jc w:val="center"/>
              <w:rPr>
                <w:rFonts w:ascii="Calibri" w:hAnsi="Calibri" w:cs="Calibri"/>
                <w:color w:val="000000"/>
                <w:sz w:val="22"/>
              </w:rPr>
            </w:pPr>
            <w:r w:rsidRPr="00A172B1">
              <w:rPr>
                <w:rFonts w:ascii="Calibri" w:hAnsi="Calibri" w:cs="Calibri"/>
                <w:color w:val="000000"/>
                <w:sz w:val="22"/>
              </w:rPr>
              <w:lastRenderedPageBreak/>
              <w:t>53</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5C98C8CE" w14:textId="77777777">
            <w:pPr>
              <w:spacing w:after="0"/>
              <w:rPr>
                <w:rFonts w:cs="Calibri"/>
                <w:color w:val="000000"/>
                <w:sz w:val="22"/>
              </w:rPr>
            </w:pPr>
            <w:r w:rsidRPr="00A172B1">
              <w:rPr>
                <w:rFonts w:cs="Calibri"/>
                <w:color w:val="000000"/>
                <w:sz w:val="22"/>
              </w:rPr>
              <w:t>Add an API endpoint that provides a master list of value tables across latest published versions of all measures and including the shared data library.</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6C5C7B46"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2F2109C"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B7404F8"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CEF5ED4" w14:textId="77777777">
            <w:pPr>
              <w:spacing w:after="0"/>
              <w:jc w:val="center"/>
              <w:rPr>
                <w:rFonts w:cs="Calibri"/>
                <w:color w:val="000000"/>
                <w:sz w:val="22"/>
              </w:rPr>
            </w:pPr>
            <w:r w:rsidRPr="00A172B1">
              <w:rPr>
                <w:rFonts w:cs="Calibri"/>
                <w:color w:val="000000"/>
                <w:sz w:val="22"/>
              </w:rPr>
              <w:t> </w:t>
            </w:r>
          </w:p>
        </w:tc>
      </w:tr>
      <w:tr w:rsidRPr="00A172B1" w:rsidR="00B04AB6" w:rsidTr="00B04AB6" w14:paraId="4A71E39D"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1191993B" w14:textId="77777777">
            <w:pPr>
              <w:spacing w:after="0"/>
              <w:jc w:val="center"/>
              <w:rPr>
                <w:rFonts w:ascii="Calibri" w:hAnsi="Calibri" w:cs="Calibri"/>
                <w:color w:val="000000"/>
                <w:sz w:val="22"/>
              </w:rPr>
            </w:pPr>
            <w:r w:rsidRPr="00A172B1">
              <w:rPr>
                <w:rFonts w:ascii="Calibri" w:hAnsi="Calibri" w:cs="Calibri"/>
                <w:color w:val="000000"/>
                <w:sz w:val="22"/>
              </w:rPr>
              <w:t>54</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19B03737" w14:textId="77777777">
            <w:pPr>
              <w:spacing w:after="0"/>
              <w:rPr>
                <w:rFonts w:cs="Calibri"/>
                <w:color w:val="000000"/>
                <w:sz w:val="22"/>
              </w:rPr>
            </w:pPr>
            <w:r w:rsidRPr="00A172B1">
              <w:rPr>
                <w:rFonts w:cs="Calibri"/>
                <w:color w:val="000000"/>
                <w:sz w:val="22"/>
              </w:rPr>
              <w:t>Add an API endpoint that provides a master list of permutations across latest published versions of all measures.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842F719"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C0E43CF"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A4C5237"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CFABEAD" w14:textId="77777777">
            <w:pPr>
              <w:spacing w:after="0"/>
              <w:jc w:val="center"/>
              <w:rPr>
                <w:rFonts w:cs="Calibri"/>
                <w:color w:val="000000"/>
                <w:sz w:val="22"/>
              </w:rPr>
            </w:pPr>
            <w:r w:rsidRPr="00A172B1">
              <w:rPr>
                <w:rFonts w:cs="Calibri"/>
                <w:color w:val="000000"/>
                <w:sz w:val="22"/>
              </w:rPr>
              <w:t> </w:t>
            </w:r>
          </w:p>
        </w:tc>
      </w:tr>
      <w:tr w:rsidRPr="00A172B1" w:rsidR="00B04AB6" w:rsidTr="00B04AB6" w14:paraId="542CFA50"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0E35E60A" w14:textId="77777777">
            <w:pPr>
              <w:spacing w:after="0"/>
              <w:jc w:val="center"/>
              <w:rPr>
                <w:rFonts w:ascii="Calibri" w:hAnsi="Calibri" w:cs="Calibri"/>
                <w:color w:val="000000"/>
                <w:sz w:val="22"/>
              </w:rPr>
            </w:pPr>
            <w:r w:rsidRPr="00A172B1">
              <w:rPr>
                <w:rFonts w:ascii="Calibri" w:hAnsi="Calibri" w:cs="Calibri"/>
                <w:color w:val="000000"/>
                <w:sz w:val="22"/>
              </w:rPr>
              <w:t>55</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44C6C59B" w14:textId="77777777">
            <w:pPr>
              <w:spacing w:after="0"/>
              <w:rPr>
                <w:rFonts w:cs="Calibri"/>
                <w:color w:val="000000"/>
                <w:sz w:val="22"/>
              </w:rPr>
            </w:pPr>
            <w:r w:rsidRPr="00A172B1">
              <w:rPr>
                <w:rFonts w:cs="Calibri"/>
                <w:color w:val="000000"/>
                <w:sz w:val="22"/>
              </w:rPr>
              <w:t>Add an API endpoint that provides a master list of all references. The list can be filtered by reference type.</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8979916"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AD8A94D"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4E3AD50"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D7CB4B3" w14:textId="77777777">
            <w:pPr>
              <w:spacing w:after="0"/>
              <w:jc w:val="center"/>
              <w:rPr>
                <w:rFonts w:cs="Calibri"/>
                <w:color w:val="000000"/>
                <w:sz w:val="22"/>
              </w:rPr>
            </w:pPr>
            <w:r w:rsidRPr="00A172B1">
              <w:rPr>
                <w:rFonts w:cs="Calibri"/>
                <w:color w:val="000000"/>
                <w:sz w:val="22"/>
              </w:rPr>
              <w:t> </w:t>
            </w:r>
          </w:p>
        </w:tc>
      </w:tr>
      <w:tr w:rsidRPr="00A172B1" w:rsidR="00B04AB6" w:rsidTr="00B04AB6" w14:paraId="68B50FF7"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5C8BAD3F" w14:textId="77777777">
            <w:pPr>
              <w:spacing w:after="0"/>
              <w:jc w:val="center"/>
              <w:rPr>
                <w:rFonts w:ascii="Calibri" w:hAnsi="Calibri" w:cs="Calibri"/>
                <w:color w:val="000000"/>
                <w:sz w:val="22"/>
              </w:rPr>
            </w:pPr>
            <w:r w:rsidRPr="00A172B1">
              <w:rPr>
                <w:rFonts w:ascii="Calibri" w:hAnsi="Calibri" w:cs="Calibri"/>
                <w:color w:val="000000"/>
                <w:sz w:val="22"/>
              </w:rPr>
              <w:t>56</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75823016" w14:textId="77777777">
            <w:pPr>
              <w:spacing w:after="0"/>
              <w:rPr>
                <w:rFonts w:cs="Calibri"/>
                <w:color w:val="000000"/>
                <w:sz w:val="22"/>
              </w:rPr>
            </w:pPr>
            <w:r w:rsidRPr="00A172B1">
              <w:rPr>
                <w:rFonts w:cs="Calibri"/>
                <w:color w:val="000000"/>
                <w:sz w:val="22"/>
              </w:rPr>
              <w:t>Include "at a glance" capability for viewing tables without clicking into them (using mouse-over or hover-enabled popup).</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E7BB2E8"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A8B2BF3"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821CF90"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4248953" w14:textId="77777777">
            <w:pPr>
              <w:spacing w:after="0"/>
              <w:jc w:val="center"/>
              <w:rPr>
                <w:rFonts w:cs="Calibri"/>
                <w:color w:val="000000"/>
                <w:sz w:val="22"/>
              </w:rPr>
            </w:pPr>
            <w:r w:rsidRPr="00A172B1">
              <w:rPr>
                <w:rFonts w:cs="Calibri"/>
                <w:color w:val="000000"/>
                <w:sz w:val="22"/>
              </w:rPr>
              <w:t> </w:t>
            </w:r>
          </w:p>
        </w:tc>
      </w:tr>
      <w:tr w:rsidRPr="00A172B1" w:rsidR="00B04AB6" w:rsidTr="00B04AB6" w14:paraId="5082E272" w14:textId="77777777">
        <w:trPr>
          <w:trHeight w:val="90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05325645" w14:textId="77777777">
            <w:pPr>
              <w:spacing w:after="0"/>
              <w:jc w:val="center"/>
              <w:rPr>
                <w:rFonts w:ascii="Calibri" w:hAnsi="Calibri" w:cs="Calibri"/>
                <w:color w:val="000000"/>
                <w:sz w:val="22"/>
              </w:rPr>
            </w:pPr>
            <w:r w:rsidRPr="00A172B1">
              <w:rPr>
                <w:rFonts w:ascii="Calibri" w:hAnsi="Calibri" w:cs="Calibri"/>
                <w:color w:val="000000"/>
                <w:sz w:val="22"/>
              </w:rPr>
              <w:t>57</w:t>
            </w:r>
          </w:p>
        </w:tc>
        <w:tc>
          <w:tcPr>
            <w:tcW w:w="42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72438E1" w14:textId="77777777">
            <w:pPr>
              <w:spacing w:after="0"/>
              <w:rPr>
                <w:rFonts w:cs="Calibri"/>
                <w:color w:val="000000"/>
                <w:sz w:val="22"/>
              </w:rPr>
            </w:pPr>
            <w:r w:rsidRPr="00A172B1">
              <w:rPr>
                <w:rFonts w:cs="Calibri"/>
                <w:color w:val="000000"/>
                <w:sz w:val="22"/>
              </w:rPr>
              <w:t xml:space="preserve">Design and implement a pagination selector to all paginated </w:t>
            </w:r>
            <w:proofErr w:type="spellStart"/>
            <w:r w:rsidRPr="00A172B1">
              <w:rPr>
                <w:rFonts w:cs="Calibri"/>
                <w:color w:val="000000"/>
                <w:sz w:val="22"/>
              </w:rPr>
              <w:t>eTRM</w:t>
            </w:r>
            <w:proofErr w:type="spellEnd"/>
            <w:r w:rsidRPr="00A172B1">
              <w:rPr>
                <w:rFonts w:cs="Calibri"/>
                <w:color w:val="000000"/>
                <w:sz w:val="22"/>
              </w:rPr>
              <w:t xml:space="preserve"> lists (except panel lists), offering pagination by 25, 50, 100 objects.</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3A70932"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A18ADE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FD5A3CF"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1FA0AF2" w14:textId="77777777">
            <w:pPr>
              <w:spacing w:after="0"/>
              <w:jc w:val="center"/>
              <w:rPr>
                <w:rFonts w:cs="Calibri"/>
                <w:color w:val="000000"/>
                <w:sz w:val="22"/>
              </w:rPr>
            </w:pPr>
            <w:r w:rsidRPr="00A172B1">
              <w:rPr>
                <w:rFonts w:cs="Calibri"/>
                <w:color w:val="000000"/>
                <w:sz w:val="22"/>
              </w:rPr>
              <w:t> </w:t>
            </w:r>
          </w:p>
        </w:tc>
      </w:tr>
      <w:tr w:rsidRPr="00A172B1" w:rsidR="00B04AB6" w:rsidTr="00B04AB6" w14:paraId="58B036A2" w14:textId="77777777">
        <w:trPr>
          <w:trHeight w:val="600"/>
        </w:trPr>
        <w:tc>
          <w:tcPr>
            <w:tcW w:w="7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483604E8" w14:textId="77777777">
            <w:pPr>
              <w:spacing w:after="0"/>
              <w:jc w:val="center"/>
              <w:rPr>
                <w:rFonts w:ascii="Calibri" w:hAnsi="Calibri" w:cs="Calibri"/>
                <w:color w:val="000000"/>
                <w:sz w:val="22"/>
              </w:rPr>
            </w:pPr>
            <w:r w:rsidRPr="00A172B1">
              <w:rPr>
                <w:rFonts w:ascii="Calibri" w:hAnsi="Calibri" w:cs="Calibri"/>
                <w:color w:val="000000"/>
                <w:sz w:val="22"/>
              </w:rPr>
              <w:t>58</w:t>
            </w:r>
          </w:p>
        </w:tc>
        <w:tc>
          <w:tcPr>
            <w:tcW w:w="4240" w:type="dxa"/>
            <w:tcBorders>
              <w:top w:val="nil"/>
              <w:left w:val="nil"/>
              <w:bottom w:val="nil"/>
              <w:right w:val="nil"/>
            </w:tcBorders>
            <w:shd w:val="clear" w:color="auto" w:fill="auto"/>
            <w:vAlign w:val="center"/>
            <w:hideMark/>
          </w:tcPr>
          <w:p w:rsidRPr="00A172B1" w:rsidR="00B04AB6" w:rsidP="00B04AB6" w:rsidRDefault="00B04AB6" w14:paraId="5B671BC9" w14:textId="77777777">
            <w:pPr>
              <w:spacing w:after="0"/>
              <w:rPr>
                <w:rFonts w:cs="Calibri"/>
                <w:color w:val="000000"/>
                <w:sz w:val="22"/>
              </w:rPr>
            </w:pPr>
            <w:r w:rsidRPr="00A172B1">
              <w:rPr>
                <w:rFonts w:cs="Calibri"/>
                <w:color w:val="000000"/>
                <w:sz w:val="22"/>
              </w:rPr>
              <w:t>Design and implement a new reference detail page.</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DA1D041"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63BF061B" w14:textId="77777777">
            <w:pPr>
              <w:spacing w:after="0"/>
              <w:jc w:val="center"/>
              <w:rPr>
                <w:rFonts w:cs="Calibri"/>
                <w:color w:val="000000"/>
                <w:sz w:val="22"/>
              </w:rPr>
            </w:pPr>
            <w:r w:rsidRPr="00A172B1">
              <w:rPr>
                <w:rFonts w:cs="Calibri"/>
                <w:color w:val="000000"/>
                <w:sz w:val="22"/>
              </w:rPr>
              <w:t>X</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325A385D" w14:textId="77777777">
            <w:pPr>
              <w:spacing w:after="0"/>
              <w:jc w:val="center"/>
              <w:rPr>
                <w:rFonts w:cs="Calibri"/>
                <w:color w:val="000000"/>
                <w:sz w:val="22"/>
              </w:rPr>
            </w:pPr>
            <w:r w:rsidRPr="00A172B1">
              <w:rPr>
                <w:rFonts w:cs="Calibri"/>
                <w:color w:val="000000"/>
                <w:sz w:val="22"/>
              </w:rPr>
              <w:t> </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4A31199B" w14:textId="77777777">
            <w:pPr>
              <w:spacing w:after="0"/>
              <w:jc w:val="center"/>
              <w:rPr>
                <w:rFonts w:cs="Calibri"/>
                <w:color w:val="000000"/>
                <w:sz w:val="22"/>
              </w:rPr>
            </w:pPr>
            <w:r w:rsidRPr="00A172B1">
              <w:rPr>
                <w:rFonts w:cs="Calibri"/>
                <w:color w:val="000000"/>
                <w:sz w:val="22"/>
              </w:rPr>
              <w:t> </w:t>
            </w:r>
          </w:p>
        </w:tc>
      </w:tr>
      <w:tr w:rsidRPr="00A172B1" w:rsidR="00B04AB6" w:rsidTr="00B04AB6" w14:paraId="5BD1FE52" w14:textId="77777777">
        <w:trPr>
          <w:trHeight w:val="15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B2CD132"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01625E09" w14:textId="77777777">
            <w:pPr>
              <w:spacing w:after="0"/>
              <w:rPr>
                <w:rFonts w:cs="Calibri"/>
                <w:color w:val="000000"/>
                <w:sz w:val="22"/>
              </w:rPr>
            </w:pPr>
            <w:r w:rsidRPr="00A172B1">
              <w:rPr>
                <w:rFonts w:cs="Calibri"/>
                <w:color w:val="000000"/>
                <w:sz w:val="22"/>
              </w:rPr>
              <w:t>--This reference detail would be viewable through site search, including the ability to include/exclude reference results from the search results list. All references shall be accessible through site search.</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5BE1DEB"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98E7F03"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AAB75B3"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ECF252D" w14:textId="77777777">
            <w:pPr>
              <w:spacing w:after="0"/>
              <w:rPr>
                <w:rFonts w:cs="Calibri"/>
                <w:color w:val="000000"/>
                <w:sz w:val="22"/>
              </w:rPr>
            </w:pPr>
          </w:p>
        </w:tc>
      </w:tr>
      <w:tr w:rsidRPr="00A172B1" w:rsidR="00B04AB6" w:rsidTr="00B04AB6" w14:paraId="771FCC7E" w14:textId="77777777">
        <w:trPr>
          <w:trHeight w:val="15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22167ADD" w14:textId="77777777">
            <w:pPr>
              <w:spacing w:after="0"/>
              <w:jc w:val="center"/>
              <w:rPr>
                <w:rFonts w:ascii="Calibri" w:hAnsi="Calibri" w:cs="Calibri"/>
                <w:color w:val="000000"/>
                <w:sz w:val="22"/>
              </w:rPr>
            </w:pPr>
            <w:r w:rsidRPr="00A172B1">
              <w:rPr>
                <w:rFonts w:ascii="Calibri" w:hAnsi="Calibri" w:cs="Calibri"/>
                <w:color w:val="000000"/>
                <w:sz w:val="22"/>
              </w:rPr>
              <w:t>59</w:t>
            </w:r>
          </w:p>
        </w:tc>
        <w:tc>
          <w:tcPr>
            <w:tcW w:w="4240" w:type="dxa"/>
            <w:tcBorders>
              <w:top w:val="single" w:color="auto" w:sz="4" w:space="0"/>
              <w:left w:val="nil"/>
              <w:bottom w:val="single" w:color="auto" w:sz="8" w:space="0"/>
              <w:right w:val="single" w:color="auto" w:sz="4" w:space="0"/>
            </w:tcBorders>
            <w:shd w:val="clear" w:color="auto" w:fill="auto"/>
            <w:vAlign w:val="center"/>
            <w:hideMark/>
          </w:tcPr>
          <w:p w:rsidRPr="00A172B1" w:rsidR="00B04AB6" w:rsidP="00B04AB6" w:rsidRDefault="00B04AB6" w14:paraId="5374396A" w14:textId="77777777">
            <w:pPr>
              <w:spacing w:after="0"/>
              <w:rPr>
                <w:rFonts w:cs="Calibri"/>
                <w:color w:val="000000"/>
                <w:sz w:val="22"/>
              </w:rPr>
            </w:pPr>
            <w:r w:rsidRPr="00A172B1">
              <w:rPr>
                <w:rFonts w:cs="Calibri"/>
                <w:color w:val="000000"/>
                <w:sz w:val="22"/>
              </w:rPr>
              <w:t>Design and implement a new calculation detail page. Implement the addition of shared value tables, shared parameters and shared calculations being accessible through site search.</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CCB7C23"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5662262"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A41D103"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9FC178A" w14:textId="77777777">
            <w:pPr>
              <w:spacing w:after="0"/>
              <w:jc w:val="center"/>
              <w:rPr>
                <w:rFonts w:cs="Calibri"/>
                <w:color w:val="000000"/>
                <w:sz w:val="22"/>
              </w:rPr>
            </w:pPr>
            <w:r w:rsidRPr="00A172B1">
              <w:rPr>
                <w:rFonts w:cs="Calibri"/>
                <w:color w:val="000000"/>
                <w:sz w:val="22"/>
              </w:rPr>
              <w:t> </w:t>
            </w:r>
          </w:p>
        </w:tc>
      </w:tr>
      <w:tr w:rsidRPr="00A172B1" w:rsidR="00B04AB6" w:rsidTr="00B04AB6" w14:paraId="5CCCF911" w14:textId="77777777">
        <w:trPr>
          <w:trHeight w:val="15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19F4E2EE" w14:textId="77777777">
            <w:pPr>
              <w:spacing w:after="0"/>
              <w:jc w:val="center"/>
              <w:rPr>
                <w:rFonts w:ascii="Calibri" w:hAnsi="Calibri" w:cs="Calibri"/>
                <w:color w:val="000000"/>
                <w:sz w:val="22"/>
              </w:rPr>
            </w:pPr>
            <w:r w:rsidRPr="00A172B1">
              <w:rPr>
                <w:rFonts w:ascii="Calibri" w:hAnsi="Calibri" w:cs="Calibri"/>
                <w:color w:val="000000"/>
                <w:sz w:val="22"/>
              </w:rPr>
              <w:t>60</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62B28054" w14:textId="77777777">
            <w:pPr>
              <w:spacing w:after="0"/>
              <w:rPr>
                <w:rFonts w:cs="Calibri"/>
                <w:color w:val="000000"/>
                <w:sz w:val="22"/>
              </w:rPr>
            </w:pPr>
            <w:r w:rsidRPr="00A172B1">
              <w:rPr>
                <w:rFonts w:cs="Calibri"/>
                <w:color w:val="000000"/>
                <w:sz w:val="22"/>
              </w:rPr>
              <w:t>Modify home page to allow view access without login. Such anonymous access would deny user features such as subscriptions, saved preferences, etc., that rely on a registrant's email address.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74F1F55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15F3C12"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D902A13"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EAAE2D5" w14:textId="77777777">
            <w:pPr>
              <w:spacing w:after="0"/>
              <w:jc w:val="center"/>
              <w:rPr>
                <w:rFonts w:cs="Calibri"/>
                <w:color w:val="000000"/>
                <w:sz w:val="22"/>
              </w:rPr>
            </w:pPr>
            <w:r w:rsidRPr="00A172B1">
              <w:rPr>
                <w:rFonts w:cs="Calibri"/>
                <w:color w:val="000000"/>
                <w:sz w:val="22"/>
              </w:rPr>
              <w:t> </w:t>
            </w:r>
          </w:p>
        </w:tc>
      </w:tr>
      <w:tr w:rsidRPr="00A172B1" w:rsidR="00B04AB6" w:rsidTr="00B04AB6" w14:paraId="6BC0E679" w14:textId="77777777">
        <w:trPr>
          <w:trHeight w:val="6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3E7BEC66" w14:textId="77777777">
            <w:pPr>
              <w:spacing w:after="0"/>
              <w:jc w:val="center"/>
              <w:rPr>
                <w:rFonts w:ascii="Calibri" w:hAnsi="Calibri" w:cs="Calibri"/>
                <w:color w:val="000000"/>
                <w:sz w:val="22"/>
              </w:rPr>
            </w:pPr>
            <w:r w:rsidRPr="00A172B1">
              <w:rPr>
                <w:rFonts w:ascii="Calibri" w:hAnsi="Calibri" w:cs="Calibri"/>
                <w:color w:val="000000"/>
                <w:sz w:val="22"/>
              </w:rPr>
              <w:t>61</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3328DC1F" w14:textId="77777777">
            <w:pPr>
              <w:spacing w:after="0"/>
              <w:rPr>
                <w:rFonts w:cs="Calibri"/>
                <w:color w:val="000000"/>
                <w:sz w:val="22"/>
              </w:rPr>
            </w:pPr>
            <w:r w:rsidRPr="00A172B1">
              <w:rPr>
                <w:rFonts w:cs="Calibri"/>
                <w:color w:val="000000"/>
                <w:sz w:val="22"/>
              </w:rPr>
              <w:t>Add new fields to the "Configure permutation fields" panel, "Data spec" tab.</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41916DA6"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32851B9"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CD3E692"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8414A02" w14:textId="77777777">
            <w:pPr>
              <w:spacing w:after="0"/>
              <w:jc w:val="center"/>
              <w:rPr>
                <w:rFonts w:cs="Calibri"/>
                <w:color w:val="000000"/>
                <w:sz w:val="22"/>
              </w:rPr>
            </w:pPr>
            <w:r w:rsidRPr="00A172B1">
              <w:rPr>
                <w:rFonts w:cs="Calibri"/>
                <w:color w:val="000000"/>
                <w:sz w:val="22"/>
              </w:rPr>
              <w:t> </w:t>
            </w:r>
          </w:p>
        </w:tc>
      </w:tr>
      <w:tr w:rsidRPr="00A172B1" w:rsidR="00B04AB6" w:rsidTr="00B04AB6" w14:paraId="23748B32"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62568F30" w14:textId="77777777">
            <w:pPr>
              <w:spacing w:after="0"/>
              <w:jc w:val="center"/>
              <w:rPr>
                <w:rFonts w:ascii="Calibri" w:hAnsi="Calibri" w:cs="Calibri"/>
                <w:color w:val="000000"/>
                <w:sz w:val="22"/>
              </w:rPr>
            </w:pPr>
            <w:r w:rsidRPr="00A172B1">
              <w:rPr>
                <w:rFonts w:ascii="Calibri" w:hAnsi="Calibri" w:cs="Calibri"/>
                <w:color w:val="000000"/>
                <w:sz w:val="22"/>
              </w:rPr>
              <w:lastRenderedPageBreak/>
              <w:t>62</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2DC01F8C" w14:textId="77777777">
            <w:pPr>
              <w:spacing w:after="0"/>
              <w:rPr>
                <w:rFonts w:cs="Calibri"/>
                <w:color w:val="000000"/>
                <w:sz w:val="22"/>
              </w:rPr>
            </w:pPr>
            <w:r w:rsidRPr="00A172B1">
              <w:rPr>
                <w:rFonts w:cs="Calibri"/>
                <w:color w:val="000000"/>
                <w:sz w:val="22"/>
              </w:rPr>
              <w:t>Add an affordance to download the measure characterization PDF separately from the full measure download packet. Only the PDF would be contained in the download.</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3E87020B"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C664513"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A74C504"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CB6FF7F" w14:textId="77777777">
            <w:pPr>
              <w:spacing w:after="0"/>
              <w:jc w:val="center"/>
              <w:rPr>
                <w:rFonts w:cs="Calibri"/>
                <w:color w:val="000000"/>
                <w:sz w:val="22"/>
              </w:rPr>
            </w:pPr>
            <w:r w:rsidRPr="00A172B1">
              <w:rPr>
                <w:rFonts w:cs="Calibri"/>
                <w:color w:val="000000"/>
                <w:sz w:val="22"/>
              </w:rPr>
              <w:t> </w:t>
            </w:r>
          </w:p>
        </w:tc>
      </w:tr>
      <w:tr w:rsidRPr="00A172B1" w:rsidR="00B04AB6" w:rsidTr="00B04AB6" w14:paraId="712A204F" w14:textId="77777777">
        <w:trPr>
          <w:trHeight w:val="15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490CD1C2" w14:textId="77777777">
            <w:pPr>
              <w:spacing w:after="0"/>
              <w:jc w:val="center"/>
              <w:rPr>
                <w:rFonts w:ascii="Calibri" w:hAnsi="Calibri" w:cs="Calibri"/>
                <w:color w:val="000000"/>
                <w:sz w:val="22"/>
              </w:rPr>
            </w:pPr>
            <w:r w:rsidRPr="00A172B1">
              <w:rPr>
                <w:rFonts w:ascii="Calibri" w:hAnsi="Calibri" w:cs="Calibri"/>
                <w:color w:val="000000"/>
                <w:sz w:val="22"/>
              </w:rPr>
              <w:t>63</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0BD7DC17" w14:textId="77777777">
            <w:pPr>
              <w:spacing w:after="0"/>
              <w:rPr>
                <w:rFonts w:cs="Calibri"/>
                <w:color w:val="000000"/>
                <w:sz w:val="22"/>
              </w:rPr>
            </w:pPr>
            <w:r w:rsidRPr="00A172B1">
              <w:rPr>
                <w:rFonts w:cs="Calibri"/>
                <w:color w:val="000000"/>
                <w:sz w:val="22"/>
              </w:rPr>
              <w:t>Allow ability to perform 8,760-hour array calculations (for example, developing annual carbon impact using hourly values that can be summed over full year), as well as over measure lifetime.</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7323254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65B486E"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16F659D6"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3E1313A" w14:textId="77777777">
            <w:pPr>
              <w:spacing w:after="0"/>
              <w:jc w:val="center"/>
              <w:rPr>
                <w:rFonts w:cs="Calibri"/>
                <w:color w:val="000000"/>
                <w:sz w:val="22"/>
              </w:rPr>
            </w:pPr>
            <w:r w:rsidRPr="00A172B1">
              <w:rPr>
                <w:rFonts w:cs="Calibri"/>
                <w:color w:val="000000"/>
                <w:sz w:val="22"/>
              </w:rPr>
              <w:t> </w:t>
            </w:r>
          </w:p>
        </w:tc>
      </w:tr>
      <w:tr w:rsidRPr="00A172B1" w:rsidR="00B04AB6" w:rsidTr="00B04AB6" w14:paraId="61CEA70A" w14:textId="77777777">
        <w:trPr>
          <w:trHeight w:val="60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8267746" w14:textId="77777777">
            <w:pPr>
              <w:spacing w:after="0"/>
              <w:jc w:val="center"/>
              <w:rPr>
                <w:rFonts w:ascii="Calibri" w:hAnsi="Calibri" w:cs="Calibri"/>
                <w:color w:val="000000"/>
                <w:sz w:val="22"/>
              </w:rPr>
            </w:pPr>
            <w:r w:rsidRPr="00A172B1">
              <w:rPr>
                <w:rFonts w:ascii="Calibri" w:hAnsi="Calibri" w:cs="Calibri"/>
                <w:color w:val="000000"/>
                <w:sz w:val="22"/>
              </w:rPr>
              <w:t>64</w:t>
            </w:r>
          </w:p>
        </w:tc>
        <w:tc>
          <w:tcPr>
            <w:tcW w:w="42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6BAACF1" w14:textId="77777777">
            <w:pPr>
              <w:spacing w:after="0"/>
              <w:rPr>
                <w:rFonts w:cs="Calibri"/>
                <w:color w:val="000000"/>
                <w:sz w:val="22"/>
              </w:rPr>
            </w:pPr>
            <w:r w:rsidRPr="00A172B1">
              <w:rPr>
                <w:rFonts w:cs="Calibri"/>
                <w:color w:val="000000"/>
                <w:sz w:val="22"/>
              </w:rPr>
              <w:t>Add measure name and version number to the characterization PDF file name.</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28984C5"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0B77713"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395FD0F8"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BE0955C" w14:textId="77777777">
            <w:pPr>
              <w:spacing w:after="0"/>
              <w:jc w:val="center"/>
              <w:rPr>
                <w:rFonts w:cs="Calibri"/>
                <w:color w:val="000000"/>
                <w:sz w:val="22"/>
              </w:rPr>
            </w:pPr>
            <w:r w:rsidRPr="00A172B1">
              <w:rPr>
                <w:rFonts w:cs="Calibri"/>
                <w:color w:val="000000"/>
                <w:sz w:val="22"/>
              </w:rPr>
              <w:t> </w:t>
            </w:r>
          </w:p>
        </w:tc>
      </w:tr>
      <w:tr w:rsidRPr="00A172B1" w:rsidR="00B04AB6" w:rsidTr="00B04AB6" w14:paraId="311583E5" w14:textId="77777777">
        <w:trPr>
          <w:trHeight w:val="600"/>
        </w:trPr>
        <w:tc>
          <w:tcPr>
            <w:tcW w:w="7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4FEB0273" w14:textId="77777777">
            <w:pPr>
              <w:spacing w:after="0"/>
              <w:jc w:val="center"/>
              <w:rPr>
                <w:rFonts w:ascii="Calibri" w:hAnsi="Calibri" w:cs="Calibri"/>
                <w:color w:val="000000"/>
                <w:sz w:val="22"/>
              </w:rPr>
            </w:pPr>
            <w:r w:rsidRPr="00A172B1">
              <w:rPr>
                <w:rFonts w:ascii="Calibri" w:hAnsi="Calibri" w:cs="Calibri"/>
                <w:color w:val="000000"/>
                <w:sz w:val="22"/>
              </w:rPr>
              <w:t>65</w:t>
            </w:r>
          </w:p>
        </w:tc>
        <w:tc>
          <w:tcPr>
            <w:tcW w:w="4240" w:type="dxa"/>
            <w:tcBorders>
              <w:top w:val="nil"/>
              <w:left w:val="nil"/>
              <w:bottom w:val="nil"/>
              <w:right w:val="nil"/>
            </w:tcBorders>
            <w:shd w:val="clear" w:color="auto" w:fill="auto"/>
            <w:vAlign w:val="center"/>
            <w:hideMark/>
          </w:tcPr>
          <w:p w:rsidRPr="00A172B1" w:rsidR="00B04AB6" w:rsidP="00B04AB6" w:rsidRDefault="00B04AB6" w14:paraId="05C9CB20" w14:textId="77777777">
            <w:pPr>
              <w:spacing w:after="0"/>
              <w:rPr>
                <w:rFonts w:cs="Calibri"/>
                <w:color w:val="000000"/>
                <w:sz w:val="22"/>
              </w:rPr>
            </w:pPr>
            <w:r w:rsidRPr="00A172B1">
              <w:rPr>
                <w:rFonts w:cs="Calibri"/>
                <w:color w:val="000000"/>
                <w:sz w:val="22"/>
              </w:rPr>
              <w:t>Revisit enhancements to the measure characterization PDF, ensuring:</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298239D5"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03F1647E" w14:textId="77777777">
            <w:pPr>
              <w:spacing w:after="0"/>
              <w:jc w:val="center"/>
              <w:rPr>
                <w:rFonts w:cs="Calibri"/>
                <w:color w:val="000000"/>
                <w:sz w:val="22"/>
              </w:rPr>
            </w:pPr>
            <w:r w:rsidRPr="00A172B1">
              <w:rPr>
                <w:rFonts w:cs="Calibri"/>
                <w:color w:val="000000"/>
                <w:sz w:val="22"/>
              </w:rPr>
              <w:t>X</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EA8ED85" w14:textId="77777777">
            <w:pPr>
              <w:spacing w:after="0"/>
              <w:jc w:val="center"/>
              <w:rPr>
                <w:rFonts w:cs="Calibri"/>
                <w:color w:val="000000"/>
                <w:sz w:val="22"/>
              </w:rPr>
            </w:pPr>
            <w:r w:rsidRPr="00A172B1">
              <w:rPr>
                <w:rFonts w:cs="Calibri"/>
                <w:color w:val="000000"/>
                <w:sz w:val="22"/>
              </w:rPr>
              <w:t> </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1ACE68E" w14:textId="77777777">
            <w:pPr>
              <w:spacing w:after="0"/>
              <w:jc w:val="center"/>
              <w:rPr>
                <w:rFonts w:cs="Calibri"/>
                <w:color w:val="000000"/>
                <w:sz w:val="22"/>
              </w:rPr>
            </w:pPr>
            <w:r w:rsidRPr="00A172B1">
              <w:rPr>
                <w:rFonts w:cs="Calibri"/>
                <w:color w:val="000000"/>
                <w:sz w:val="22"/>
              </w:rPr>
              <w:t> </w:t>
            </w:r>
          </w:p>
        </w:tc>
      </w:tr>
      <w:tr w:rsidRPr="00A172B1" w:rsidR="00B04AB6" w:rsidTr="00B04AB6" w14:paraId="3F5393CE" w14:textId="77777777">
        <w:trPr>
          <w:trHeight w:val="9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171A569"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1FE36FFC" w14:textId="77777777">
            <w:pPr>
              <w:spacing w:after="0"/>
              <w:rPr>
                <w:rFonts w:cs="Calibri"/>
                <w:color w:val="000000"/>
                <w:sz w:val="22"/>
              </w:rPr>
            </w:pPr>
            <w:r w:rsidRPr="00A172B1">
              <w:rPr>
                <w:rFonts w:cs="Calibri"/>
                <w:color w:val="000000"/>
                <w:sz w:val="22"/>
              </w:rPr>
              <w:t>--Logical page breaks, where possible (not splitting up object/table names from its host object/table, etc.)</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34BCAEB"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DB4984D"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443906C"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F085FE4" w14:textId="77777777">
            <w:pPr>
              <w:spacing w:after="0"/>
              <w:rPr>
                <w:rFonts w:cs="Calibri"/>
                <w:color w:val="000000"/>
                <w:sz w:val="22"/>
              </w:rPr>
            </w:pPr>
          </w:p>
        </w:tc>
      </w:tr>
      <w:tr w:rsidRPr="00A172B1" w:rsidR="00B04AB6" w:rsidTr="00B04AB6" w14:paraId="0B1380FB" w14:textId="77777777">
        <w:trPr>
          <w:trHeight w:val="9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045A27D9"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11B7536D" w14:textId="77777777">
            <w:pPr>
              <w:spacing w:after="0"/>
              <w:rPr>
                <w:rFonts w:cs="Calibri"/>
                <w:color w:val="000000"/>
                <w:sz w:val="22"/>
              </w:rPr>
            </w:pPr>
            <w:r w:rsidRPr="00A172B1">
              <w:rPr>
                <w:rFonts w:cs="Calibri"/>
                <w:color w:val="000000"/>
                <w:sz w:val="22"/>
              </w:rPr>
              <w:t>-- Maintain proportionality and consistency in text style levels (headings) and sizes (esp. static vs. dynamic table headings)</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1083ACA"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3C42814"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7427928"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C2ED0F7" w14:textId="77777777">
            <w:pPr>
              <w:spacing w:after="0"/>
              <w:rPr>
                <w:rFonts w:cs="Calibri"/>
                <w:color w:val="000000"/>
                <w:sz w:val="22"/>
              </w:rPr>
            </w:pPr>
          </w:p>
        </w:tc>
      </w:tr>
      <w:tr w:rsidRPr="00A172B1" w:rsidR="00B04AB6" w:rsidTr="00B04AB6" w14:paraId="5D342B77" w14:textId="77777777">
        <w:trPr>
          <w:trHeight w:val="9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0647CA38"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0B258031" w14:textId="77777777">
            <w:pPr>
              <w:spacing w:after="0"/>
              <w:rPr>
                <w:rFonts w:cs="Calibri"/>
                <w:color w:val="000000"/>
                <w:sz w:val="22"/>
              </w:rPr>
            </w:pPr>
            <w:r w:rsidRPr="00A172B1">
              <w:rPr>
                <w:rFonts w:cs="Calibri"/>
                <w:color w:val="000000"/>
                <w:sz w:val="22"/>
              </w:rPr>
              <w:t>--Floated elements retain their size, instead of erroneously expanding to full width in the PDF</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8B393F8"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C406576"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D814DF0"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497C382" w14:textId="77777777">
            <w:pPr>
              <w:spacing w:after="0"/>
              <w:rPr>
                <w:rFonts w:cs="Calibri"/>
                <w:color w:val="000000"/>
                <w:sz w:val="22"/>
              </w:rPr>
            </w:pPr>
          </w:p>
        </w:tc>
      </w:tr>
      <w:tr w:rsidRPr="00A172B1" w:rsidR="00B04AB6" w:rsidTr="00B04AB6" w14:paraId="701A0C74" w14:textId="77777777">
        <w:trPr>
          <w:trHeight w:val="90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5745AE2"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4BCF6419" w14:textId="77777777">
            <w:pPr>
              <w:spacing w:after="0"/>
              <w:rPr>
                <w:rFonts w:cs="Calibri"/>
                <w:color w:val="000000"/>
                <w:sz w:val="22"/>
              </w:rPr>
            </w:pPr>
            <w:r w:rsidRPr="00A172B1">
              <w:rPr>
                <w:rFonts w:cs="Calibri"/>
                <w:color w:val="000000"/>
                <w:sz w:val="22"/>
              </w:rPr>
              <w:t>--All symbols in the measure characterization text and calculations will render correctly in the PDF</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6E3FDE4F"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234064A0"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8612590"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1EB048A" w14:textId="77777777">
            <w:pPr>
              <w:spacing w:after="0"/>
              <w:rPr>
                <w:rFonts w:cs="Calibri"/>
                <w:color w:val="000000"/>
                <w:sz w:val="22"/>
              </w:rPr>
            </w:pPr>
          </w:p>
        </w:tc>
      </w:tr>
      <w:tr w:rsidRPr="00A172B1" w:rsidR="00B04AB6" w:rsidTr="00B04AB6" w14:paraId="0098D0CE"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325CB4AE" w14:textId="77777777">
            <w:pPr>
              <w:spacing w:after="0"/>
              <w:jc w:val="center"/>
              <w:rPr>
                <w:rFonts w:ascii="Calibri" w:hAnsi="Calibri" w:cs="Calibri"/>
                <w:color w:val="000000"/>
                <w:sz w:val="22"/>
              </w:rPr>
            </w:pPr>
            <w:r w:rsidRPr="00A172B1">
              <w:rPr>
                <w:rFonts w:ascii="Calibri" w:hAnsi="Calibri" w:cs="Calibri"/>
                <w:color w:val="000000"/>
                <w:sz w:val="22"/>
              </w:rPr>
              <w:t>66</w:t>
            </w:r>
          </w:p>
        </w:tc>
        <w:tc>
          <w:tcPr>
            <w:tcW w:w="4240" w:type="dxa"/>
            <w:tcBorders>
              <w:top w:val="single" w:color="auto" w:sz="4" w:space="0"/>
              <w:left w:val="nil"/>
              <w:bottom w:val="single" w:color="auto" w:sz="8" w:space="0"/>
              <w:right w:val="single" w:color="auto" w:sz="4" w:space="0"/>
            </w:tcBorders>
            <w:shd w:val="clear" w:color="auto" w:fill="auto"/>
            <w:vAlign w:val="center"/>
            <w:hideMark/>
          </w:tcPr>
          <w:p w:rsidRPr="00A172B1" w:rsidR="00B04AB6" w:rsidP="00B04AB6" w:rsidRDefault="00B04AB6" w14:paraId="298C387A" w14:textId="77777777">
            <w:pPr>
              <w:spacing w:after="0"/>
              <w:rPr>
                <w:rFonts w:cs="Calibri"/>
                <w:color w:val="000000"/>
                <w:sz w:val="22"/>
              </w:rPr>
            </w:pPr>
            <w:r w:rsidRPr="00A172B1">
              <w:rPr>
                <w:rFonts w:cs="Calibri"/>
                <w:color w:val="000000"/>
                <w:sz w:val="22"/>
              </w:rPr>
              <w:t>Update parameter .csv files to identify which values from shared parameters are selected for measure.</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35F5BD1"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C521CF1"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52D3658"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28AC447" w14:textId="77777777">
            <w:pPr>
              <w:spacing w:after="0"/>
              <w:jc w:val="center"/>
              <w:rPr>
                <w:rFonts w:cs="Calibri"/>
                <w:color w:val="000000"/>
                <w:sz w:val="22"/>
              </w:rPr>
            </w:pPr>
            <w:r w:rsidRPr="00A172B1">
              <w:rPr>
                <w:rFonts w:cs="Calibri"/>
                <w:color w:val="000000"/>
                <w:sz w:val="22"/>
              </w:rPr>
              <w:t> </w:t>
            </w:r>
          </w:p>
        </w:tc>
      </w:tr>
      <w:tr w:rsidRPr="00A172B1" w:rsidR="00B04AB6" w:rsidTr="00B04AB6" w14:paraId="0D59670E" w14:textId="77777777">
        <w:trPr>
          <w:trHeight w:val="6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018F2FBA" w14:textId="77777777">
            <w:pPr>
              <w:spacing w:after="0"/>
              <w:jc w:val="center"/>
              <w:rPr>
                <w:rFonts w:ascii="Calibri" w:hAnsi="Calibri" w:cs="Calibri"/>
                <w:color w:val="000000"/>
                <w:sz w:val="22"/>
              </w:rPr>
            </w:pPr>
            <w:r w:rsidRPr="00A172B1">
              <w:rPr>
                <w:rFonts w:ascii="Calibri" w:hAnsi="Calibri" w:cs="Calibri"/>
                <w:color w:val="000000"/>
                <w:sz w:val="22"/>
              </w:rPr>
              <w:t>67</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6D26B195" w14:textId="77777777">
            <w:pPr>
              <w:spacing w:after="0"/>
              <w:rPr>
                <w:rFonts w:cs="Calibri"/>
                <w:color w:val="000000"/>
                <w:sz w:val="22"/>
              </w:rPr>
            </w:pPr>
            <w:r w:rsidRPr="00A172B1">
              <w:rPr>
                <w:rFonts w:cs="Calibri"/>
                <w:color w:val="000000"/>
                <w:sz w:val="22"/>
              </w:rPr>
              <w:t>Add ≥ and ≤ to the list of available symbols in the rich text editor toolbar.</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0077A39E"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8CCA0B8"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D3E6ECA"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F2D0659" w14:textId="77777777">
            <w:pPr>
              <w:spacing w:after="0"/>
              <w:jc w:val="center"/>
              <w:rPr>
                <w:rFonts w:cs="Calibri"/>
                <w:color w:val="000000"/>
                <w:sz w:val="22"/>
              </w:rPr>
            </w:pPr>
            <w:r w:rsidRPr="00A172B1">
              <w:rPr>
                <w:rFonts w:cs="Calibri"/>
                <w:color w:val="000000"/>
                <w:sz w:val="22"/>
              </w:rPr>
              <w:t> </w:t>
            </w:r>
          </w:p>
        </w:tc>
      </w:tr>
      <w:tr w:rsidRPr="00A172B1" w:rsidR="00B04AB6" w:rsidTr="00B04AB6" w14:paraId="698BA653" w14:textId="77777777">
        <w:trPr>
          <w:trHeight w:val="12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39D3304B" w14:textId="77777777">
            <w:pPr>
              <w:spacing w:after="0"/>
              <w:jc w:val="center"/>
              <w:rPr>
                <w:rFonts w:ascii="Calibri" w:hAnsi="Calibri" w:cs="Calibri"/>
                <w:color w:val="000000"/>
                <w:sz w:val="22"/>
              </w:rPr>
            </w:pPr>
            <w:r w:rsidRPr="00A172B1">
              <w:rPr>
                <w:rFonts w:ascii="Calibri" w:hAnsi="Calibri" w:cs="Calibri"/>
                <w:color w:val="000000"/>
                <w:sz w:val="22"/>
              </w:rPr>
              <w:t>68</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75F08D87" w14:textId="77777777">
            <w:pPr>
              <w:spacing w:after="0"/>
              <w:rPr>
                <w:rFonts w:cs="Calibri"/>
                <w:color w:val="000000"/>
                <w:sz w:val="22"/>
              </w:rPr>
            </w:pPr>
            <w:r w:rsidRPr="00A172B1">
              <w:rPr>
                <w:rFonts w:cs="Calibri"/>
                <w:color w:val="000000"/>
                <w:sz w:val="22"/>
              </w:rPr>
              <w:t>Applies to site search, measure list, manage measure list. Ensure the statewide measure ID is always displayed next to the measure name when viewing a list of measures.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28725D8B"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67B6DBF"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82E0079"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7D4CB64" w14:textId="77777777">
            <w:pPr>
              <w:spacing w:after="0"/>
              <w:jc w:val="center"/>
              <w:rPr>
                <w:rFonts w:cs="Calibri"/>
                <w:color w:val="000000"/>
                <w:sz w:val="22"/>
              </w:rPr>
            </w:pPr>
            <w:r w:rsidRPr="00A172B1">
              <w:rPr>
                <w:rFonts w:cs="Calibri"/>
                <w:color w:val="000000"/>
                <w:sz w:val="22"/>
              </w:rPr>
              <w:t> </w:t>
            </w:r>
          </w:p>
        </w:tc>
      </w:tr>
      <w:tr w:rsidRPr="00A172B1" w:rsidR="00B04AB6" w:rsidTr="00B04AB6" w14:paraId="32F15E53" w14:textId="77777777">
        <w:trPr>
          <w:trHeight w:val="126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2D78A6AE" w14:textId="77777777">
            <w:pPr>
              <w:spacing w:after="0"/>
              <w:jc w:val="center"/>
              <w:rPr>
                <w:rFonts w:ascii="Calibri" w:hAnsi="Calibri" w:cs="Calibri"/>
                <w:color w:val="000000"/>
                <w:sz w:val="22"/>
              </w:rPr>
            </w:pPr>
            <w:r w:rsidRPr="00A172B1">
              <w:rPr>
                <w:rFonts w:ascii="Calibri" w:hAnsi="Calibri" w:cs="Calibri"/>
                <w:color w:val="000000"/>
                <w:sz w:val="22"/>
              </w:rPr>
              <w:lastRenderedPageBreak/>
              <w:t>69</w:t>
            </w:r>
          </w:p>
        </w:tc>
        <w:tc>
          <w:tcPr>
            <w:tcW w:w="42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089F239A" w14:textId="77777777">
            <w:pPr>
              <w:spacing w:after="0"/>
              <w:rPr>
                <w:rFonts w:cs="Calibri"/>
                <w:color w:val="000000"/>
                <w:sz w:val="22"/>
              </w:rPr>
            </w:pPr>
            <w:r w:rsidRPr="00A172B1">
              <w:rPr>
                <w:rFonts w:cs="Calibri"/>
                <w:color w:val="000000"/>
                <w:sz w:val="22"/>
              </w:rPr>
              <w:t>Allow ability to calculate Greenhouse Gas impacts using 8,760-hour GHG lookup data and 8,760-hour measure energy savings.</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5C257BD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50E0B4E"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6D47B64" w14:textId="77777777">
            <w:pPr>
              <w:spacing w:after="0"/>
              <w:jc w:val="center"/>
              <w:rPr>
                <w:rFonts w:cs="Calibri"/>
                <w:color w:val="000000"/>
                <w:sz w:val="22"/>
              </w:rPr>
            </w:pPr>
            <w:r w:rsidRPr="00A172B1">
              <w:rPr>
                <w:rFonts w:cs="Calibri"/>
                <w:color w:val="000000"/>
                <w:sz w:val="22"/>
              </w:rPr>
              <w:t>X</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08E6CD1" w14:textId="77777777">
            <w:pPr>
              <w:spacing w:after="0"/>
              <w:jc w:val="center"/>
              <w:rPr>
                <w:rFonts w:cs="Calibri"/>
                <w:color w:val="000000"/>
                <w:sz w:val="22"/>
              </w:rPr>
            </w:pPr>
            <w:r w:rsidRPr="00A172B1">
              <w:rPr>
                <w:rFonts w:cs="Calibri"/>
                <w:color w:val="000000"/>
                <w:sz w:val="22"/>
              </w:rPr>
              <w:t> </w:t>
            </w:r>
          </w:p>
        </w:tc>
      </w:tr>
      <w:tr w:rsidRPr="00A172B1" w:rsidR="00B04AB6" w:rsidTr="00B04AB6" w14:paraId="61ACE78A" w14:textId="77777777">
        <w:trPr>
          <w:trHeight w:val="1305"/>
        </w:trPr>
        <w:tc>
          <w:tcPr>
            <w:tcW w:w="760" w:type="dxa"/>
            <w:vMerge w:val="restart"/>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0BC6C2B" w14:textId="77777777">
            <w:pPr>
              <w:spacing w:after="0"/>
              <w:jc w:val="center"/>
              <w:rPr>
                <w:rFonts w:ascii="Calibri" w:hAnsi="Calibri" w:cs="Calibri"/>
                <w:color w:val="000000"/>
                <w:sz w:val="22"/>
              </w:rPr>
            </w:pPr>
            <w:r w:rsidRPr="00A172B1">
              <w:rPr>
                <w:rFonts w:ascii="Calibri" w:hAnsi="Calibri" w:cs="Calibri"/>
                <w:color w:val="000000"/>
                <w:sz w:val="22"/>
              </w:rPr>
              <w:t>70</w:t>
            </w:r>
          </w:p>
        </w:tc>
        <w:tc>
          <w:tcPr>
            <w:tcW w:w="4240" w:type="dxa"/>
            <w:tcBorders>
              <w:top w:val="nil"/>
              <w:left w:val="nil"/>
              <w:bottom w:val="nil"/>
              <w:right w:val="nil"/>
            </w:tcBorders>
            <w:shd w:val="clear" w:color="auto" w:fill="auto"/>
            <w:vAlign w:val="center"/>
            <w:hideMark/>
          </w:tcPr>
          <w:p w:rsidRPr="00A172B1" w:rsidR="00B04AB6" w:rsidP="00B04AB6" w:rsidRDefault="00B04AB6" w14:paraId="078E9B8B" w14:textId="77777777">
            <w:pPr>
              <w:spacing w:after="0"/>
              <w:rPr>
                <w:rFonts w:cs="Calibri"/>
                <w:color w:val="000000"/>
                <w:sz w:val="22"/>
              </w:rPr>
            </w:pPr>
            <w:r w:rsidRPr="00A172B1">
              <w:rPr>
                <w:rFonts w:cs="Calibri"/>
                <w:color w:val="000000"/>
                <w:sz w:val="22"/>
              </w:rPr>
              <w:t>Reconsider all places where an API name is presented to the user and consider the use of a friendly name instead. If we pursue a friendly name, effort includes:</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04F1E8F5" w14:textId="77777777">
            <w:pPr>
              <w:spacing w:after="0"/>
              <w:jc w:val="center"/>
              <w:rPr>
                <w:rFonts w:cs="Calibri"/>
                <w:color w:val="000000"/>
                <w:sz w:val="22"/>
              </w:rPr>
            </w:pPr>
            <w:r w:rsidRPr="00A172B1">
              <w:rPr>
                <w:rFonts w:cs="Calibri"/>
                <w:color w:val="000000"/>
                <w:sz w:val="22"/>
              </w:rPr>
              <w:t> </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4F82C117" w14:textId="77777777">
            <w:pPr>
              <w:spacing w:after="0"/>
              <w:jc w:val="center"/>
              <w:rPr>
                <w:rFonts w:cs="Calibri"/>
                <w:color w:val="000000"/>
                <w:sz w:val="22"/>
              </w:rPr>
            </w:pPr>
            <w:r w:rsidRPr="00A172B1">
              <w:rPr>
                <w:rFonts w:cs="Calibri"/>
                <w:color w:val="000000"/>
                <w:sz w:val="22"/>
              </w:rPr>
              <w:t>X</w:t>
            </w:r>
          </w:p>
        </w:tc>
        <w:tc>
          <w:tcPr>
            <w:tcW w:w="112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66367123" w14:textId="77777777">
            <w:pPr>
              <w:spacing w:after="0"/>
              <w:jc w:val="center"/>
              <w:rPr>
                <w:rFonts w:cs="Calibri"/>
                <w:color w:val="000000"/>
                <w:sz w:val="22"/>
              </w:rPr>
            </w:pPr>
            <w:r w:rsidRPr="00A172B1">
              <w:rPr>
                <w:rFonts w:cs="Calibri"/>
                <w:color w:val="000000"/>
                <w:sz w:val="22"/>
              </w:rPr>
              <w:t> </w:t>
            </w:r>
          </w:p>
        </w:tc>
        <w:tc>
          <w:tcPr>
            <w:tcW w:w="1440" w:type="dxa"/>
            <w:vMerge w:val="restart"/>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519F2720" w14:textId="77777777">
            <w:pPr>
              <w:spacing w:after="0"/>
              <w:jc w:val="center"/>
              <w:rPr>
                <w:rFonts w:cs="Calibri"/>
                <w:color w:val="000000"/>
                <w:sz w:val="22"/>
              </w:rPr>
            </w:pPr>
            <w:r w:rsidRPr="00A172B1">
              <w:rPr>
                <w:rFonts w:cs="Calibri"/>
                <w:color w:val="000000"/>
                <w:sz w:val="22"/>
              </w:rPr>
              <w:t> </w:t>
            </w:r>
          </w:p>
        </w:tc>
      </w:tr>
      <w:tr w:rsidRPr="00A172B1" w:rsidR="00B04AB6" w:rsidTr="00B04AB6" w14:paraId="4ACE0C7C" w14:textId="77777777">
        <w:trPr>
          <w:trHeight w:val="405"/>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13B8F12"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24EC7BA2" w14:textId="77777777">
            <w:pPr>
              <w:spacing w:after="0"/>
              <w:rPr>
                <w:rFonts w:cs="Calibri"/>
                <w:color w:val="000000"/>
                <w:sz w:val="22"/>
              </w:rPr>
            </w:pPr>
            <w:r w:rsidRPr="00A172B1">
              <w:rPr>
                <w:rFonts w:cs="Calibri"/>
                <w:color w:val="000000"/>
                <w:sz w:val="22"/>
              </w:rPr>
              <w:t>--Ability for users to manage the friendly name</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1F4FC461"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22D7E80"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65AD65B"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5DE4370" w14:textId="77777777">
            <w:pPr>
              <w:spacing w:after="0"/>
              <w:rPr>
                <w:rFonts w:cs="Calibri"/>
                <w:color w:val="000000"/>
                <w:sz w:val="22"/>
              </w:rPr>
            </w:pPr>
          </w:p>
        </w:tc>
      </w:tr>
      <w:tr w:rsidRPr="00A172B1" w:rsidR="00B04AB6" w:rsidTr="00B04AB6" w14:paraId="0F66EE1F" w14:textId="77777777">
        <w:trPr>
          <w:trHeight w:val="1440"/>
        </w:trPr>
        <w:tc>
          <w:tcPr>
            <w:tcW w:w="76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5DC1C0FE" w14:textId="77777777">
            <w:pPr>
              <w:spacing w:after="0"/>
              <w:rPr>
                <w:rFonts w:ascii="Calibri" w:hAnsi="Calibri" w:cs="Calibri"/>
                <w:color w:val="000000"/>
                <w:sz w:val="22"/>
              </w:rPr>
            </w:pPr>
          </w:p>
        </w:tc>
        <w:tc>
          <w:tcPr>
            <w:tcW w:w="4240" w:type="dxa"/>
            <w:tcBorders>
              <w:top w:val="nil"/>
              <w:left w:val="nil"/>
              <w:bottom w:val="nil"/>
              <w:right w:val="nil"/>
            </w:tcBorders>
            <w:shd w:val="clear" w:color="auto" w:fill="auto"/>
            <w:vAlign w:val="center"/>
            <w:hideMark/>
          </w:tcPr>
          <w:p w:rsidRPr="00A172B1" w:rsidR="00B04AB6" w:rsidP="00B04AB6" w:rsidRDefault="00B04AB6" w14:paraId="6D15C935" w14:textId="77777777">
            <w:pPr>
              <w:spacing w:after="0"/>
              <w:rPr>
                <w:rFonts w:cs="Calibri"/>
                <w:color w:val="000000"/>
                <w:sz w:val="22"/>
              </w:rPr>
            </w:pPr>
            <w:r w:rsidRPr="00A172B1">
              <w:rPr>
                <w:rFonts w:cs="Calibri"/>
                <w:color w:val="000000"/>
                <w:sz w:val="22"/>
              </w:rPr>
              <w:t xml:space="preserve">--Effort to migrate existing measures to use their friendly name, eliminating the need for </w:t>
            </w:r>
            <w:proofErr w:type="spellStart"/>
            <w:r w:rsidRPr="00A172B1">
              <w:rPr>
                <w:rFonts w:cs="Calibri"/>
                <w:color w:val="000000"/>
                <w:sz w:val="22"/>
              </w:rPr>
              <w:t>CalTF</w:t>
            </w:r>
            <w:proofErr w:type="spellEnd"/>
            <w:r w:rsidRPr="00A172B1">
              <w:rPr>
                <w:rFonts w:cs="Calibri"/>
                <w:color w:val="000000"/>
                <w:sz w:val="22"/>
              </w:rPr>
              <w:t xml:space="preserve"> to update all measures</w:t>
            </w: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77D4D689"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3B372F58" w14:textId="77777777">
            <w:pPr>
              <w:spacing w:after="0"/>
              <w:rPr>
                <w:rFonts w:cs="Calibri"/>
                <w:color w:val="000000"/>
                <w:sz w:val="22"/>
              </w:rPr>
            </w:pPr>
          </w:p>
        </w:tc>
        <w:tc>
          <w:tcPr>
            <w:tcW w:w="112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4F201A42" w14:textId="77777777">
            <w:pPr>
              <w:spacing w:after="0"/>
              <w:rPr>
                <w:rFonts w:cs="Calibri"/>
                <w:color w:val="000000"/>
                <w:sz w:val="22"/>
              </w:rPr>
            </w:pPr>
          </w:p>
        </w:tc>
        <w:tc>
          <w:tcPr>
            <w:tcW w:w="1440" w:type="dxa"/>
            <w:vMerge/>
            <w:tcBorders>
              <w:top w:val="nil"/>
              <w:left w:val="single" w:color="auto" w:sz="4" w:space="0"/>
              <w:bottom w:val="single" w:color="auto" w:sz="4" w:space="0"/>
              <w:right w:val="single" w:color="auto" w:sz="4" w:space="0"/>
            </w:tcBorders>
            <w:vAlign w:val="center"/>
            <w:hideMark/>
          </w:tcPr>
          <w:p w:rsidRPr="00A172B1" w:rsidR="00B04AB6" w:rsidP="00B04AB6" w:rsidRDefault="00B04AB6" w14:paraId="1D9C4745" w14:textId="77777777">
            <w:pPr>
              <w:spacing w:after="0"/>
              <w:rPr>
                <w:rFonts w:cs="Calibri"/>
                <w:color w:val="000000"/>
                <w:sz w:val="22"/>
              </w:rPr>
            </w:pPr>
          </w:p>
        </w:tc>
      </w:tr>
      <w:tr w:rsidRPr="00A172B1" w:rsidR="00B04AB6" w:rsidTr="00B04AB6" w14:paraId="147BFCF5" w14:textId="77777777">
        <w:trPr>
          <w:trHeight w:val="291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AC9DCBF" w14:textId="77777777">
            <w:pPr>
              <w:spacing w:after="0"/>
              <w:jc w:val="center"/>
              <w:rPr>
                <w:rFonts w:ascii="Calibri" w:hAnsi="Calibri" w:cs="Calibri"/>
                <w:color w:val="000000"/>
                <w:sz w:val="22"/>
              </w:rPr>
            </w:pPr>
            <w:r w:rsidRPr="00A172B1">
              <w:rPr>
                <w:rFonts w:ascii="Calibri" w:hAnsi="Calibri" w:cs="Calibri"/>
                <w:color w:val="000000"/>
                <w:sz w:val="22"/>
              </w:rPr>
              <w:t>71</w:t>
            </w:r>
          </w:p>
        </w:tc>
        <w:tc>
          <w:tcPr>
            <w:tcW w:w="4240" w:type="dxa"/>
            <w:tcBorders>
              <w:top w:val="single" w:color="auto" w:sz="4" w:space="0"/>
              <w:left w:val="nil"/>
              <w:bottom w:val="single" w:color="auto" w:sz="4" w:space="0"/>
              <w:right w:val="single" w:color="auto" w:sz="4" w:space="0"/>
            </w:tcBorders>
            <w:shd w:val="clear" w:color="auto" w:fill="auto"/>
            <w:vAlign w:val="center"/>
            <w:hideMark/>
          </w:tcPr>
          <w:p w:rsidRPr="00A172B1" w:rsidR="00B04AB6" w:rsidP="00B04AB6" w:rsidRDefault="00B04AB6" w14:paraId="2D268226" w14:textId="77777777">
            <w:pPr>
              <w:spacing w:after="0"/>
              <w:rPr>
                <w:rFonts w:cs="Calibri"/>
                <w:color w:val="000000"/>
                <w:sz w:val="22"/>
              </w:rPr>
            </w:pPr>
            <w:r w:rsidRPr="00A172B1">
              <w:rPr>
                <w:rFonts w:cs="Calibri"/>
                <w:color w:val="000000"/>
                <w:sz w:val="22"/>
              </w:rPr>
              <w:t xml:space="preserve">Provide necessary enhancements to fulfil the CPUC's updated </w:t>
            </w:r>
            <w:proofErr w:type="spellStart"/>
            <w:r w:rsidRPr="00A172B1">
              <w:rPr>
                <w:rFonts w:cs="Calibri"/>
                <w:color w:val="000000"/>
                <w:sz w:val="22"/>
              </w:rPr>
              <w:t>eTRM</w:t>
            </w:r>
            <w:proofErr w:type="spellEnd"/>
            <w:r w:rsidRPr="00A172B1">
              <w:rPr>
                <w:rFonts w:cs="Calibri"/>
                <w:color w:val="000000"/>
                <w:sz w:val="22"/>
              </w:rPr>
              <w:t xml:space="preserve"> Workpaper workflow process once it is complete (develop workpaper management backend and front end infrastructure, CPUC user roles, workpaper and parameter-level version control management, integrated communication tools, user interface design, and other requirements as needed).</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395BC1E6"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102A6315"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4527DDE4"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257855B0" w14:textId="77777777">
            <w:pPr>
              <w:spacing w:after="0"/>
              <w:jc w:val="center"/>
              <w:rPr>
                <w:rFonts w:cs="Calibri"/>
                <w:color w:val="000000"/>
                <w:sz w:val="22"/>
              </w:rPr>
            </w:pPr>
            <w:r w:rsidRPr="00A172B1">
              <w:rPr>
                <w:rFonts w:cs="Calibri"/>
                <w:color w:val="000000"/>
                <w:sz w:val="22"/>
              </w:rPr>
              <w:t>X</w:t>
            </w:r>
          </w:p>
        </w:tc>
      </w:tr>
      <w:tr w:rsidRPr="00A172B1" w:rsidR="00B04AB6" w:rsidTr="00B04AB6" w14:paraId="5CB682CC" w14:textId="77777777">
        <w:trPr>
          <w:trHeight w:val="154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3A4096F" w14:textId="77777777">
            <w:pPr>
              <w:spacing w:after="0"/>
              <w:jc w:val="center"/>
              <w:rPr>
                <w:rFonts w:ascii="Calibri" w:hAnsi="Calibri" w:cs="Calibri"/>
                <w:color w:val="000000"/>
                <w:sz w:val="22"/>
              </w:rPr>
            </w:pPr>
            <w:r w:rsidRPr="00A172B1">
              <w:rPr>
                <w:rFonts w:ascii="Calibri" w:hAnsi="Calibri" w:cs="Calibri"/>
                <w:color w:val="000000"/>
                <w:sz w:val="22"/>
              </w:rPr>
              <w:t>72</w:t>
            </w:r>
          </w:p>
        </w:tc>
        <w:tc>
          <w:tcPr>
            <w:tcW w:w="4240" w:type="dxa"/>
            <w:tcBorders>
              <w:top w:val="nil"/>
              <w:left w:val="nil"/>
              <w:bottom w:val="single" w:color="auto" w:sz="4" w:space="0"/>
              <w:right w:val="nil"/>
            </w:tcBorders>
            <w:shd w:val="clear" w:color="auto" w:fill="auto"/>
            <w:vAlign w:val="center"/>
            <w:hideMark/>
          </w:tcPr>
          <w:p w:rsidRPr="00A172B1" w:rsidR="00B04AB6" w:rsidP="00B04AB6" w:rsidRDefault="00B04AB6" w14:paraId="770ADDA2" w14:textId="77777777">
            <w:pPr>
              <w:spacing w:after="0"/>
              <w:rPr>
                <w:rFonts w:cs="Calibri"/>
                <w:color w:val="000000"/>
                <w:sz w:val="22"/>
              </w:rPr>
            </w:pPr>
            <w:r w:rsidRPr="00A172B1">
              <w:rPr>
                <w:rFonts w:cs="Calibri"/>
                <w:color w:val="000000"/>
                <w:sz w:val="22"/>
              </w:rPr>
              <w:t xml:space="preserve">Develop infrastructure as needed to ensure CEDARS can eventually use a live </w:t>
            </w:r>
            <w:proofErr w:type="spellStart"/>
            <w:r w:rsidRPr="00A172B1">
              <w:rPr>
                <w:rFonts w:cs="Calibri"/>
                <w:color w:val="000000"/>
                <w:sz w:val="22"/>
              </w:rPr>
              <w:t>eTRM</w:t>
            </w:r>
            <w:proofErr w:type="spellEnd"/>
            <w:r w:rsidRPr="00A172B1">
              <w:rPr>
                <w:rFonts w:cs="Calibri"/>
                <w:color w:val="000000"/>
                <w:sz w:val="22"/>
              </w:rPr>
              <w:t xml:space="preserve"> data connected for claims and reporting purposes. </w:t>
            </w:r>
          </w:p>
        </w:tc>
        <w:tc>
          <w:tcPr>
            <w:tcW w:w="112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6E588DC"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5EC0473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117A2850"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1669322C" w14:textId="77777777">
            <w:pPr>
              <w:spacing w:after="0"/>
              <w:jc w:val="center"/>
              <w:rPr>
                <w:rFonts w:cs="Calibri"/>
                <w:color w:val="000000"/>
                <w:sz w:val="22"/>
              </w:rPr>
            </w:pPr>
            <w:r w:rsidRPr="00A172B1">
              <w:rPr>
                <w:rFonts w:cs="Calibri"/>
                <w:color w:val="000000"/>
                <w:sz w:val="22"/>
              </w:rPr>
              <w:t>X</w:t>
            </w:r>
          </w:p>
        </w:tc>
      </w:tr>
      <w:tr w:rsidRPr="00A172B1" w:rsidR="00B04AB6" w:rsidTr="00B04AB6" w14:paraId="1BA616CE" w14:textId="77777777">
        <w:trPr>
          <w:trHeight w:val="120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60C4AA84" w14:textId="77777777">
            <w:pPr>
              <w:spacing w:after="0"/>
              <w:jc w:val="center"/>
              <w:rPr>
                <w:rFonts w:ascii="Calibri" w:hAnsi="Calibri" w:cs="Calibri"/>
                <w:color w:val="000000"/>
                <w:sz w:val="22"/>
              </w:rPr>
            </w:pPr>
            <w:r w:rsidRPr="00A172B1">
              <w:rPr>
                <w:rFonts w:ascii="Calibri" w:hAnsi="Calibri" w:cs="Calibri"/>
                <w:color w:val="000000"/>
                <w:sz w:val="22"/>
              </w:rPr>
              <w:t>73</w:t>
            </w:r>
          </w:p>
        </w:tc>
        <w:tc>
          <w:tcPr>
            <w:tcW w:w="4240" w:type="dxa"/>
            <w:tcBorders>
              <w:top w:val="nil"/>
              <w:left w:val="nil"/>
              <w:bottom w:val="single" w:color="auto" w:sz="4" w:space="0"/>
              <w:right w:val="nil"/>
            </w:tcBorders>
            <w:shd w:val="clear" w:color="auto" w:fill="auto"/>
            <w:vAlign w:val="center"/>
            <w:hideMark/>
          </w:tcPr>
          <w:p w:rsidRPr="00A172B1" w:rsidR="00B04AB6" w:rsidP="00B04AB6" w:rsidRDefault="00B04AB6" w14:paraId="73CE850F" w14:textId="77777777">
            <w:pPr>
              <w:spacing w:after="0"/>
              <w:rPr>
                <w:rFonts w:cs="Calibri"/>
                <w:color w:val="000000"/>
                <w:sz w:val="22"/>
              </w:rPr>
            </w:pPr>
            <w:r w:rsidRPr="00A172B1">
              <w:rPr>
                <w:rFonts w:cs="Calibri"/>
                <w:color w:val="000000"/>
                <w:sz w:val="22"/>
              </w:rPr>
              <w:t>Provide the framework that would allow the eventual sunsetting of the PEAR/Ex-Ante database, at which point the CPUC user roles may absorb all administrative permissions</w:t>
            </w:r>
          </w:p>
        </w:tc>
        <w:tc>
          <w:tcPr>
            <w:tcW w:w="112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54D37AFF"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50226DDD"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53DDA055"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785CD00A" w14:textId="77777777">
            <w:pPr>
              <w:spacing w:after="0"/>
              <w:jc w:val="center"/>
              <w:rPr>
                <w:rFonts w:cs="Calibri"/>
                <w:color w:val="000000"/>
                <w:sz w:val="22"/>
              </w:rPr>
            </w:pPr>
            <w:r w:rsidRPr="00A172B1">
              <w:rPr>
                <w:rFonts w:cs="Calibri"/>
                <w:color w:val="000000"/>
                <w:sz w:val="22"/>
              </w:rPr>
              <w:t>X</w:t>
            </w:r>
          </w:p>
        </w:tc>
      </w:tr>
      <w:tr w:rsidRPr="00A172B1" w:rsidR="00B04AB6" w:rsidTr="00B04AB6" w14:paraId="532455CF" w14:textId="77777777">
        <w:trPr>
          <w:trHeight w:val="135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4DC5AA63" w14:textId="77777777">
            <w:pPr>
              <w:spacing w:after="0"/>
              <w:jc w:val="center"/>
              <w:rPr>
                <w:rFonts w:ascii="Calibri" w:hAnsi="Calibri" w:cs="Calibri"/>
                <w:color w:val="000000"/>
                <w:sz w:val="22"/>
              </w:rPr>
            </w:pPr>
            <w:r w:rsidRPr="00A172B1">
              <w:rPr>
                <w:rFonts w:ascii="Calibri" w:hAnsi="Calibri" w:cs="Calibri"/>
                <w:color w:val="000000"/>
                <w:sz w:val="22"/>
              </w:rPr>
              <w:t>74</w:t>
            </w:r>
          </w:p>
        </w:tc>
        <w:tc>
          <w:tcPr>
            <w:tcW w:w="4240" w:type="dxa"/>
            <w:tcBorders>
              <w:top w:val="nil"/>
              <w:left w:val="nil"/>
              <w:bottom w:val="single" w:color="auto" w:sz="4" w:space="0"/>
              <w:right w:val="nil"/>
            </w:tcBorders>
            <w:shd w:val="clear" w:color="auto" w:fill="auto"/>
            <w:vAlign w:val="center"/>
            <w:hideMark/>
          </w:tcPr>
          <w:p w:rsidRPr="00A172B1" w:rsidR="00B04AB6" w:rsidP="00B04AB6" w:rsidRDefault="00B04AB6" w14:paraId="332671BB" w14:textId="77777777">
            <w:pPr>
              <w:spacing w:after="0"/>
              <w:rPr>
                <w:rFonts w:cs="Calibri"/>
                <w:color w:val="000000"/>
                <w:sz w:val="22"/>
              </w:rPr>
            </w:pPr>
            <w:r w:rsidRPr="00A172B1">
              <w:rPr>
                <w:rFonts w:cs="Calibri"/>
                <w:color w:val="000000"/>
                <w:sz w:val="22"/>
              </w:rPr>
              <w:t>Develop unanticipated enhancements that the CPUC determines essential within Phase 2 but did not foresee during the publication of this appendix</w:t>
            </w:r>
          </w:p>
        </w:tc>
        <w:tc>
          <w:tcPr>
            <w:tcW w:w="112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64E5DDA3"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617493B9"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5054146C"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44A04282" w14:textId="77777777">
            <w:pPr>
              <w:spacing w:after="0"/>
              <w:jc w:val="center"/>
              <w:rPr>
                <w:rFonts w:cs="Calibri"/>
                <w:color w:val="000000"/>
                <w:sz w:val="22"/>
              </w:rPr>
            </w:pPr>
            <w:r w:rsidRPr="00A172B1">
              <w:rPr>
                <w:rFonts w:cs="Calibri"/>
                <w:color w:val="000000"/>
                <w:sz w:val="22"/>
              </w:rPr>
              <w:t>X</w:t>
            </w:r>
          </w:p>
        </w:tc>
      </w:tr>
      <w:tr w:rsidRPr="00A172B1" w:rsidR="00B04AB6" w:rsidTr="00B04AB6" w14:paraId="43C79030" w14:textId="77777777">
        <w:trPr>
          <w:trHeight w:val="145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33FCC536" w14:textId="77777777">
            <w:pPr>
              <w:spacing w:after="0"/>
              <w:jc w:val="center"/>
              <w:rPr>
                <w:rFonts w:ascii="Calibri" w:hAnsi="Calibri" w:cs="Calibri"/>
                <w:color w:val="000000"/>
                <w:sz w:val="22"/>
              </w:rPr>
            </w:pPr>
            <w:r w:rsidRPr="00A172B1">
              <w:rPr>
                <w:rFonts w:ascii="Calibri" w:hAnsi="Calibri" w:cs="Calibri"/>
                <w:color w:val="000000"/>
                <w:sz w:val="22"/>
              </w:rPr>
              <w:lastRenderedPageBreak/>
              <w:t>75</w:t>
            </w:r>
          </w:p>
        </w:tc>
        <w:tc>
          <w:tcPr>
            <w:tcW w:w="4240" w:type="dxa"/>
            <w:tcBorders>
              <w:top w:val="nil"/>
              <w:left w:val="nil"/>
              <w:bottom w:val="single" w:color="auto" w:sz="4" w:space="0"/>
              <w:right w:val="nil"/>
            </w:tcBorders>
            <w:shd w:val="clear" w:color="auto" w:fill="auto"/>
            <w:vAlign w:val="center"/>
            <w:hideMark/>
          </w:tcPr>
          <w:p w:rsidRPr="00A172B1" w:rsidR="00B04AB6" w:rsidP="00B04AB6" w:rsidRDefault="00B04AB6" w14:paraId="03266863" w14:textId="77777777">
            <w:pPr>
              <w:spacing w:after="0"/>
              <w:rPr>
                <w:rFonts w:cs="Calibri"/>
                <w:color w:val="000000"/>
                <w:sz w:val="22"/>
              </w:rPr>
            </w:pPr>
            <w:r w:rsidRPr="00A172B1">
              <w:rPr>
                <w:rFonts w:cs="Calibri"/>
                <w:color w:val="000000"/>
                <w:sz w:val="22"/>
              </w:rPr>
              <w:t>Creation of workpaper space for PAs to submit "Workpaper in Development" with ability for CPUC to provide early feedback on workpapers prior to submittal.</w:t>
            </w:r>
          </w:p>
        </w:tc>
        <w:tc>
          <w:tcPr>
            <w:tcW w:w="112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737F412E"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73F469C9"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028B4054"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332F972E" w14:textId="77777777">
            <w:pPr>
              <w:spacing w:after="0"/>
              <w:jc w:val="center"/>
              <w:rPr>
                <w:rFonts w:cs="Calibri"/>
                <w:color w:val="000000"/>
                <w:sz w:val="22"/>
              </w:rPr>
            </w:pPr>
            <w:r w:rsidRPr="00A172B1">
              <w:rPr>
                <w:rFonts w:cs="Calibri"/>
                <w:color w:val="000000"/>
                <w:sz w:val="22"/>
              </w:rPr>
              <w:t>X</w:t>
            </w:r>
          </w:p>
        </w:tc>
      </w:tr>
      <w:tr w:rsidRPr="00A172B1" w:rsidR="00B04AB6" w:rsidTr="00B04AB6" w14:paraId="506D4914" w14:textId="77777777">
        <w:trPr>
          <w:trHeight w:val="90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59F34F10" w14:textId="77777777">
            <w:pPr>
              <w:spacing w:after="0"/>
              <w:jc w:val="center"/>
              <w:rPr>
                <w:rFonts w:ascii="Calibri" w:hAnsi="Calibri" w:cs="Calibri"/>
                <w:color w:val="000000"/>
                <w:sz w:val="22"/>
              </w:rPr>
            </w:pPr>
            <w:r w:rsidRPr="00A172B1">
              <w:rPr>
                <w:rFonts w:ascii="Calibri" w:hAnsi="Calibri" w:cs="Calibri"/>
                <w:color w:val="000000"/>
                <w:sz w:val="22"/>
              </w:rPr>
              <w:t>76</w:t>
            </w:r>
          </w:p>
        </w:tc>
        <w:tc>
          <w:tcPr>
            <w:tcW w:w="4240" w:type="dxa"/>
            <w:tcBorders>
              <w:top w:val="nil"/>
              <w:left w:val="nil"/>
              <w:bottom w:val="single" w:color="auto" w:sz="4" w:space="0"/>
              <w:right w:val="nil"/>
            </w:tcBorders>
            <w:shd w:val="clear" w:color="auto" w:fill="auto"/>
            <w:vAlign w:val="center"/>
            <w:hideMark/>
          </w:tcPr>
          <w:p w:rsidRPr="00A172B1" w:rsidR="00B04AB6" w:rsidP="00B04AB6" w:rsidRDefault="00B04AB6" w14:paraId="662CF98B" w14:textId="77777777">
            <w:pPr>
              <w:spacing w:after="0"/>
              <w:rPr>
                <w:rFonts w:cs="Calibri"/>
                <w:color w:val="000000"/>
                <w:sz w:val="22"/>
              </w:rPr>
            </w:pPr>
            <w:r w:rsidRPr="00A172B1">
              <w:rPr>
                <w:rFonts w:cs="Calibri"/>
                <w:color w:val="000000"/>
                <w:sz w:val="22"/>
              </w:rPr>
              <w:t xml:space="preserve">Add ability for the </w:t>
            </w:r>
            <w:proofErr w:type="spellStart"/>
            <w:r w:rsidRPr="00A172B1">
              <w:rPr>
                <w:rFonts w:cs="Calibri"/>
                <w:color w:val="000000"/>
                <w:sz w:val="22"/>
              </w:rPr>
              <w:t>eTRM</w:t>
            </w:r>
            <w:proofErr w:type="spellEnd"/>
            <w:r w:rsidRPr="00A172B1">
              <w:rPr>
                <w:rFonts w:cs="Calibri"/>
                <w:color w:val="000000"/>
                <w:sz w:val="22"/>
              </w:rPr>
              <w:t xml:space="preserve"> to generate a workpaper revision history by parameter</w:t>
            </w:r>
          </w:p>
        </w:tc>
        <w:tc>
          <w:tcPr>
            <w:tcW w:w="112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666E3671"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2D2B6AF0"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75B24383"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noWrap/>
            <w:vAlign w:val="center"/>
            <w:hideMark/>
          </w:tcPr>
          <w:p w:rsidRPr="00A172B1" w:rsidR="00B04AB6" w:rsidP="00B04AB6" w:rsidRDefault="00B04AB6" w14:paraId="52D4FFFC" w14:textId="77777777">
            <w:pPr>
              <w:spacing w:after="0"/>
              <w:jc w:val="center"/>
              <w:rPr>
                <w:rFonts w:cs="Calibri"/>
                <w:color w:val="000000"/>
                <w:sz w:val="22"/>
              </w:rPr>
            </w:pPr>
            <w:r w:rsidRPr="00A172B1">
              <w:rPr>
                <w:rFonts w:cs="Calibri"/>
                <w:color w:val="000000"/>
                <w:sz w:val="22"/>
              </w:rPr>
              <w:t>X</w:t>
            </w:r>
          </w:p>
        </w:tc>
      </w:tr>
      <w:tr w:rsidRPr="00A172B1" w:rsidR="00B04AB6" w:rsidTr="00B04AB6" w14:paraId="27A5C780" w14:textId="77777777">
        <w:trPr>
          <w:trHeight w:val="2730"/>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0B9958A3" w14:textId="77777777">
            <w:pPr>
              <w:spacing w:after="0"/>
              <w:jc w:val="center"/>
              <w:rPr>
                <w:rFonts w:ascii="Calibri" w:hAnsi="Calibri" w:cs="Calibri"/>
                <w:color w:val="000000"/>
                <w:sz w:val="22"/>
              </w:rPr>
            </w:pPr>
            <w:r w:rsidRPr="00A172B1">
              <w:rPr>
                <w:rFonts w:ascii="Calibri" w:hAnsi="Calibri" w:cs="Calibri"/>
                <w:color w:val="000000"/>
                <w:sz w:val="22"/>
              </w:rPr>
              <w:t>77</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14EA2CED" w14:textId="77777777">
            <w:pPr>
              <w:spacing w:after="0"/>
              <w:rPr>
                <w:rFonts w:cs="Calibri"/>
                <w:color w:val="000000"/>
                <w:sz w:val="22"/>
              </w:rPr>
            </w:pPr>
            <w:r w:rsidRPr="00A172B1">
              <w:rPr>
                <w:rFonts w:cs="Calibri"/>
                <w:color w:val="000000"/>
                <w:sz w:val="22"/>
              </w:rPr>
              <w:t>Create a dedicated schema on the server where views for all of the shared tables that will be read by CEDARS can be created, stored and modified.</w:t>
            </w:r>
            <w:r w:rsidRPr="00A172B1">
              <w:rPr>
                <w:rFonts w:cs="Calibri"/>
                <w:color w:val="000000"/>
                <w:sz w:val="22"/>
              </w:rPr>
              <w:br/>
              <w:t>Provide assistance on how to make the 21 existing views work with the JSON tables, which includes the two new tables for ‘</w:t>
            </w:r>
            <w:proofErr w:type="spellStart"/>
            <w:r w:rsidRPr="00A172B1">
              <w:rPr>
                <w:rFonts w:cs="Calibri"/>
                <w:color w:val="000000"/>
                <w:sz w:val="22"/>
              </w:rPr>
              <w:t>source_status</w:t>
            </w:r>
            <w:proofErr w:type="spellEnd"/>
            <w:r w:rsidRPr="00A172B1">
              <w:rPr>
                <w:rFonts w:cs="Calibri"/>
                <w:color w:val="000000"/>
                <w:sz w:val="22"/>
              </w:rPr>
              <w:t>’ and ‘Measure’.</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76CA2D0D"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52F4B53"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26995E1"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67A7B3B3" w14:textId="77777777">
            <w:pPr>
              <w:spacing w:after="0"/>
              <w:jc w:val="center"/>
              <w:rPr>
                <w:rFonts w:cs="Calibri"/>
                <w:color w:val="000000"/>
                <w:sz w:val="22"/>
              </w:rPr>
            </w:pPr>
            <w:r w:rsidRPr="00A172B1">
              <w:rPr>
                <w:rFonts w:cs="Calibri"/>
                <w:color w:val="000000"/>
                <w:sz w:val="22"/>
              </w:rPr>
              <w:t> </w:t>
            </w:r>
          </w:p>
        </w:tc>
      </w:tr>
      <w:tr w:rsidRPr="00A172B1" w:rsidR="00B04AB6" w:rsidTr="00B04AB6" w14:paraId="0C146A8C" w14:textId="77777777">
        <w:trPr>
          <w:trHeight w:val="178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1DE33B70" w14:textId="77777777">
            <w:pPr>
              <w:spacing w:after="0"/>
              <w:jc w:val="center"/>
              <w:rPr>
                <w:rFonts w:ascii="Calibri" w:hAnsi="Calibri" w:cs="Calibri"/>
                <w:color w:val="000000"/>
                <w:sz w:val="22"/>
              </w:rPr>
            </w:pPr>
            <w:r w:rsidRPr="00A172B1">
              <w:rPr>
                <w:rFonts w:ascii="Calibri" w:hAnsi="Calibri" w:cs="Calibri"/>
                <w:color w:val="000000"/>
                <w:sz w:val="22"/>
              </w:rPr>
              <w:t>78</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316C0B89" w14:textId="77777777">
            <w:pPr>
              <w:spacing w:after="0"/>
              <w:rPr>
                <w:rFonts w:cs="Calibri"/>
                <w:color w:val="000000"/>
                <w:sz w:val="22"/>
              </w:rPr>
            </w:pPr>
            <w:r w:rsidRPr="00A172B1">
              <w:rPr>
                <w:rFonts w:cs="Calibri"/>
                <w:color w:val="000000"/>
                <w:sz w:val="22"/>
              </w:rPr>
              <w:t xml:space="preserve">Creation of a CPUC-specific shared data library for DEER measures. This shared data library would support versioned parameters and value tables managed by CPUC and available for </w:t>
            </w:r>
            <w:proofErr w:type="spellStart"/>
            <w:r w:rsidRPr="00A172B1">
              <w:rPr>
                <w:rFonts w:cs="Calibri"/>
                <w:color w:val="000000"/>
                <w:sz w:val="22"/>
              </w:rPr>
              <w:t>eTRM</w:t>
            </w:r>
            <w:proofErr w:type="spellEnd"/>
            <w:r w:rsidRPr="00A172B1">
              <w:rPr>
                <w:rFonts w:cs="Calibri"/>
                <w:color w:val="000000"/>
                <w:sz w:val="22"/>
              </w:rPr>
              <w:t xml:space="preserve"> measures to import.</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19034410"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D56E39E"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966FB03"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7EB8A164" w14:textId="77777777">
            <w:pPr>
              <w:spacing w:after="0"/>
              <w:jc w:val="center"/>
              <w:rPr>
                <w:rFonts w:cs="Calibri"/>
                <w:color w:val="000000"/>
                <w:sz w:val="22"/>
              </w:rPr>
            </w:pPr>
            <w:r w:rsidRPr="00A172B1">
              <w:rPr>
                <w:rFonts w:cs="Calibri"/>
                <w:color w:val="000000"/>
                <w:sz w:val="22"/>
              </w:rPr>
              <w:t> </w:t>
            </w:r>
          </w:p>
        </w:tc>
      </w:tr>
      <w:tr w:rsidRPr="00A172B1" w:rsidR="00B04AB6" w:rsidTr="00B04AB6" w14:paraId="0BF4C519" w14:textId="77777777">
        <w:trPr>
          <w:trHeight w:val="915"/>
        </w:trPr>
        <w:tc>
          <w:tcPr>
            <w:tcW w:w="760" w:type="dxa"/>
            <w:tcBorders>
              <w:top w:val="nil"/>
              <w:left w:val="single" w:color="auto" w:sz="4" w:space="0"/>
              <w:bottom w:val="single" w:color="auto" w:sz="4" w:space="0"/>
              <w:right w:val="single" w:color="auto" w:sz="4" w:space="0"/>
            </w:tcBorders>
            <w:shd w:val="clear" w:color="auto" w:fill="auto"/>
            <w:noWrap/>
            <w:vAlign w:val="center"/>
            <w:hideMark/>
          </w:tcPr>
          <w:p w:rsidRPr="00A172B1" w:rsidR="00B04AB6" w:rsidP="00B04AB6" w:rsidRDefault="00B04AB6" w14:paraId="06484206" w14:textId="77777777">
            <w:pPr>
              <w:spacing w:after="0"/>
              <w:jc w:val="center"/>
              <w:rPr>
                <w:rFonts w:ascii="Calibri" w:hAnsi="Calibri" w:cs="Calibri"/>
                <w:color w:val="000000"/>
                <w:sz w:val="22"/>
              </w:rPr>
            </w:pPr>
            <w:r w:rsidRPr="00A172B1">
              <w:rPr>
                <w:rFonts w:ascii="Calibri" w:hAnsi="Calibri" w:cs="Calibri"/>
                <w:color w:val="000000"/>
                <w:sz w:val="22"/>
              </w:rPr>
              <w:t>79</w:t>
            </w:r>
          </w:p>
        </w:tc>
        <w:tc>
          <w:tcPr>
            <w:tcW w:w="4240" w:type="dxa"/>
            <w:tcBorders>
              <w:top w:val="nil"/>
              <w:left w:val="nil"/>
              <w:bottom w:val="single" w:color="auto" w:sz="8" w:space="0"/>
              <w:right w:val="nil"/>
            </w:tcBorders>
            <w:shd w:val="clear" w:color="auto" w:fill="auto"/>
            <w:vAlign w:val="center"/>
            <w:hideMark/>
          </w:tcPr>
          <w:p w:rsidRPr="00A172B1" w:rsidR="00B04AB6" w:rsidP="00B04AB6" w:rsidRDefault="00B04AB6" w14:paraId="1D198665" w14:textId="77777777">
            <w:pPr>
              <w:spacing w:after="0"/>
              <w:rPr>
                <w:rFonts w:cs="Calibri"/>
                <w:color w:val="000000"/>
                <w:sz w:val="22"/>
              </w:rPr>
            </w:pPr>
            <w:r w:rsidRPr="00A172B1">
              <w:rPr>
                <w:rFonts w:cs="Calibri"/>
                <w:color w:val="000000"/>
                <w:sz w:val="22"/>
              </w:rPr>
              <w:t xml:space="preserve">Ability for PAs to assign their measure/solution codes to </w:t>
            </w:r>
            <w:proofErr w:type="spellStart"/>
            <w:r w:rsidRPr="00A172B1">
              <w:rPr>
                <w:rFonts w:cs="Calibri"/>
                <w:color w:val="000000"/>
                <w:sz w:val="22"/>
              </w:rPr>
              <w:t>eTRM</w:t>
            </w:r>
            <w:proofErr w:type="spellEnd"/>
            <w:r w:rsidRPr="00A172B1">
              <w:rPr>
                <w:rFonts w:cs="Calibri"/>
                <w:color w:val="000000"/>
                <w:sz w:val="22"/>
              </w:rPr>
              <w:t xml:space="preserve"> measures and permutations</w:t>
            </w:r>
          </w:p>
        </w:tc>
        <w:tc>
          <w:tcPr>
            <w:tcW w:w="1120" w:type="dxa"/>
            <w:tcBorders>
              <w:top w:val="nil"/>
              <w:left w:val="single" w:color="auto" w:sz="4" w:space="0"/>
              <w:bottom w:val="single" w:color="auto" w:sz="4" w:space="0"/>
              <w:right w:val="single" w:color="auto" w:sz="4" w:space="0"/>
            </w:tcBorders>
            <w:shd w:val="clear" w:color="auto" w:fill="auto"/>
            <w:vAlign w:val="center"/>
            <w:hideMark/>
          </w:tcPr>
          <w:p w:rsidRPr="00A172B1" w:rsidR="00B04AB6" w:rsidP="00B04AB6" w:rsidRDefault="00B04AB6" w14:paraId="77459C97" w14:textId="77777777">
            <w:pPr>
              <w:spacing w:after="0"/>
              <w:jc w:val="center"/>
              <w:rPr>
                <w:rFonts w:cs="Calibri"/>
                <w:color w:val="000000"/>
                <w:sz w:val="22"/>
              </w:rPr>
            </w:pPr>
            <w:r w:rsidRPr="00A172B1">
              <w:rPr>
                <w:rFonts w:cs="Calibri"/>
                <w:color w:val="000000"/>
                <w:sz w:val="22"/>
              </w:rPr>
              <w:t> </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44954D22" w14:textId="77777777">
            <w:pPr>
              <w:spacing w:after="0"/>
              <w:jc w:val="center"/>
              <w:rPr>
                <w:rFonts w:cs="Calibri"/>
                <w:color w:val="000000"/>
                <w:sz w:val="22"/>
              </w:rPr>
            </w:pPr>
            <w:r w:rsidRPr="00A172B1">
              <w:rPr>
                <w:rFonts w:cs="Calibri"/>
                <w:color w:val="000000"/>
                <w:sz w:val="22"/>
              </w:rPr>
              <w:t>X</w:t>
            </w:r>
          </w:p>
        </w:tc>
        <w:tc>
          <w:tcPr>
            <w:tcW w:w="112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EBCE9FE" w14:textId="77777777">
            <w:pPr>
              <w:spacing w:after="0"/>
              <w:jc w:val="center"/>
              <w:rPr>
                <w:rFonts w:cs="Calibri"/>
                <w:color w:val="000000"/>
                <w:sz w:val="22"/>
              </w:rPr>
            </w:pPr>
            <w:r w:rsidRPr="00A172B1">
              <w:rPr>
                <w:rFonts w:cs="Calibri"/>
                <w:color w:val="000000"/>
                <w:sz w:val="22"/>
              </w:rPr>
              <w:t> </w:t>
            </w:r>
          </w:p>
        </w:tc>
        <w:tc>
          <w:tcPr>
            <w:tcW w:w="1440" w:type="dxa"/>
            <w:tcBorders>
              <w:top w:val="nil"/>
              <w:left w:val="nil"/>
              <w:bottom w:val="single" w:color="auto" w:sz="4" w:space="0"/>
              <w:right w:val="single" w:color="auto" w:sz="4" w:space="0"/>
            </w:tcBorders>
            <w:shd w:val="clear" w:color="auto" w:fill="auto"/>
            <w:vAlign w:val="center"/>
            <w:hideMark/>
          </w:tcPr>
          <w:p w:rsidRPr="00A172B1" w:rsidR="00B04AB6" w:rsidP="00B04AB6" w:rsidRDefault="00B04AB6" w14:paraId="20698A8B" w14:textId="77777777">
            <w:pPr>
              <w:spacing w:after="0"/>
              <w:jc w:val="center"/>
              <w:rPr>
                <w:rFonts w:cs="Calibri"/>
                <w:color w:val="000000"/>
                <w:sz w:val="22"/>
              </w:rPr>
            </w:pPr>
            <w:r w:rsidRPr="00A172B1">
              <w:rPr>
                <w:rFonts w:cs="Calibri"/>
                <w:color w:val="000000"/>
                <w:sz w:val="22"/>
              </w:rPr>
              <w:t> </w:t>
            </w:r>
          </w:p>
        </w:tc>
      </w:tr>
    </w:tbl>
    <w:p w:rsidR="00B04AB6" w:rsidP="00B04AB6" w:rsidRDefault="00B04AB6" w14:paraId="483A1850" w14:textId="77777777">
      <w:pPr>
        <w:pStyle w:val="AttachmentNormal"/>
      </w:pPr>
      <w:r>
        <w:fldChar w:fldCharType="end"/>
      </w:r>
    </w:p>
    <w:p w:rsidR="00B04AB6" w:rsidP="00B04AB6" w:rsidRDefault="00B04AB6" w14:paraId="77C392CB" w14:textId="77777777">
      <w:pPr>
        <w:pStyle w:val="AttachmentNormal"/>
      </w:pPr>
      <w:r>
        <w:br w:type="page"/>
      </w:r>
    </w:p>
    <w:p w:rsidRPr="004374BE" w:rsidR="00B04AB6" w:rsidP="00B04AB6" w:rsidRDefault="00B04AB6" w14:paraId="24E37EDE" w14:textId="77777777">
      <w:pPr>
        <w:pStyle w:val="AttachmentHeading1"/>
      </w:pPr>
      <w:bookmarkStart w:name="_Ref45022601" w:id="223"/>
      <w:bookmarkStart w:name="_Toc45023470" w:id="224"/>
      <w:r>
        <w:lastRenderedPageBreak/>
        <w:t>Appendix 2 –Standard for Deemed Data Source of Record</w:t>
      </w:r>
      <w:bookmarkEnd w:id="220"/>
      <w:bookmarkEnd w:id="223"/>
      <w:bookmarkEnd w:id="224"/>
    </w:p>
    <w:p w:rsidRPr="004E0F9C" w:rsidR="00B04AB6" w:rsidP="00B04AB6" w:rsidRDefault="00B04AB6" w14:paraId="4686CDB6" w14:textId="77777777">
      <w:pPr>
        <w:pStyle w:val="GaramondNormal"/>
      </w:pPr>
      <w:r w:rsidRPr="004E0F9C">
        <w:fldChar w:fldCharType="begin"/>
      </w:r>
      <w:r w:rsidRPr="004E0F9C">
        <w:instrText xml:space="preserve"> REF _Ref44001503 \h  \* MERGEFORMAT </w:instrText>
      </w:r>
      <w:r w:rsidRPr="004E0F9C">
        <w:fldChar w:fldCharType="separate"/>
      </w:r>
      <w:r>
        <w:t>Table A-4</w:t>
      </w:r>
      <w:r w:rsidRPr="004E0F9C">
        <w:fldChar w:fldCharType="end"/>
      </w:r>
      <w:r w:rsidRPr="004E0F9C">
        <w:t xml:space="preserve"> lists the fields that the CPUC requires </w:t>
      </w:r>
      <w:proofErr w:type="gramStart"/>
      <w:r w:rsidRPr="004E0F9C">
        <w:t>in order for</w:t>
      </w:r>
      <w:proofErr w:type="gramEnd"/>
      <w:r w:rsidRPr="004E0F9C">
        <w:t xml:space="preserve"> the </w:t>
      </w:r>
      <w:proofErr w:type="spellStart"/>
      <w:r w:rsidRPr="004E0F9C">
        <w:t>eTRM</w:t>
      </w:r>
      <w:proofErr w:type="spellEnd"/>
      <w:r w:rsidRPr="004E0F9C">
        <w:t xml:space="preserve"> to meet the </w:t>
      </w:r>
      <w:r>
        <w:t>P</w:t>
      </w:r>
      <w:r w:rsidRPr="004E0F9C">
        <w:t xml:space="preserve">hase </w:t>
      </w:r>
      <w:r>
        <w:t>1</w:t>
      </w:r>
      <w:r w:rsidRPr="004E0F9C">
        <w:t xml:space="preserve"> data source of record standard. This table identifies each ex ante database field name and the corresponding </w:t>
      </w:r>
      <w:proofErr w:type="spellStart"/>
      <w:r w:rsidRPr="004E0F9C">
        <w:t>eTRM</w:t>
      </w:r>
      <w:proofErr w:type="spellEnd"/>
      <w:r w:rsidRPr="004E0F9C">
        <w:t xml:space="preserve"> field name. As the CPUC will provide daily database views of all approved and up-to-date data, </w:t>
      </w:r>
      <w:r w:rsidRPr="004E0F9C">
        <w:fldChar w:fldCharType="begin"/>
      </w:r>
      <w:r w:rsidRPr="004E0F9C">
        <w:instrText xml:space="preserve"> REF _Ref44001503 \h  \* MERGEFORMAT </w:instrText>
      </w:r>
      <w:r w:rsidRPr="004E0F9C">
        <w:fldChar w:fldCharType="separate"/>
      </w:r>
      <w:r>
        <w:t>Table A-4</w:t>
      </w:r>
      <w:r w:rsidRPr="004E0F9C">
        <w:fldChar w:fldCharType="end"/>
      </w:r>
      <w:r w:rsidRPr="004E0F9C">
        <w:t xml:space="preserve"> also indicates which fields the </w:t>
      </w:r>
      <w:proofErr w:type="spellStart"/>
      <w:r w:rsidRPr="004E0F9C">
        <w:t>eTRM</w:t>
      </w:r>
      <w:proofErr w:type="spellEnd"/>
      <w:r w:rsidRPr="004E0F9C">
        <w:t xml:space="preserve"> must synchronize using these views on a daily basis to remain in compliance as the official data source of record. </w:t>
      </w:r>
    </w:p>
    <w:p w:rsidR="00B04AB6" w:rsidP="00B04AB6" w:rsidRDefault="00B04AB6" w14:paraId="3C8E8866" w14:textId="77777777">
      <w:pPr>
        <w:pStyle w:val="CenturyGothicTableHeader"/>
      </w:pPr>
      <w:bookmarkStart w:name="_Ref44001503" w:id="225"/>
      <w:r>
        <w:t>Table A-</w:t>
      </w:r>
      <w:r>
        <w:fldChar w:fldCharType="begin"/>
      </w:r>
      <w:r>
        <w:instrText>SEQ Table \* ARABIC</w:instrText>
      </w:r>
      <w:r>
        <w:fldChar w:fldCharType="separate"/>
      </w:r>
      <w:r>
        <w:rPr>
          <w:noProof/>
        </w:rPr>
        <w:t>4</w:t>
      </w:r>
      <w:r>
        <w:fldChar w:fldCharType="end"/>
      </w:r>
      <w:bookmarkEnd w:id="225"/>
      <w:r>
        <w:t xml:space="preserve">. </w:t>
      </w:r>
      <w:proofErr w:type="spellStart"/>
      <w:r>
        <w:t>eTRM</w:t>
      </w:r>
      <w:proofErr w:type="spellEnd"/>
      <w:r>
        <w:t xml:space="preserve"> data fields required to meet Phase 1 standard</w:t>
      </w:r>
    </w:p>
    <w:tbl>
      <w:tblPr>
        <w:tblStyle w:val="TableGrid"/>
        <w:tblW w:w="980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14" w:type="dxa"/>
          <w:left w:w="115" w:type="dxa"/>
          <w:bottom w:w="14" w:type="dxa"/>
          <w:right w:w="115" w:type="dxa"/>
        </w:tblCellMar>
        <w:tblLook w:val="04A0" w:firstRow="1" w:lastRow="0" w:firstColumn="1" w:lastColumn="0" w:noHBand="0" w:noVBand="1"/>
      </w:tblPr>
      <w:tblGrid>
        <w:gridCol w:w="2155"/>
        <w:gridCol w:w="1980"/>
        <w:gridCol w:w="2430"/>
        <w:gridCol w:w="1350"/>
        <w:gridCol w:w="1890"/>
      </w:tblGrid>
      <w:tr w:rsidRPr="008F3256" w:rsidR="00B04AB6" w:rsidTr="00B04AB6" w14:paraId="3DCE0C80" w14:textId="77777777">
        <w:trPr>
          <w:trHeight w:val="331"/>
          <w:tblHeader/>
        </w:trPr>
        <w:tc>
          <w:tcPr>
            <w:tcW w:w="2155" w:type="dxa"/>
            <w:shd w:val="clear" w:color="auto" w:fill="auto"/>
            <w:vAlign w:val="center"/>
            <w:hideMark/>
          </w:tcPr>
          <w:p w:rsidRPr="008F3256" w:rsidR="00B04AB6" w:rsidP="00B04AB6" w:rsidRDefault="00B04AB6" w14:paraId="43137D42" w14:textId="77777777">
            <w:pPr>
              <w:pStyle w:val="Tableheader0"/>
              <w:spacing w:after="40"/>
            </w:pPr>
            <w:r w:rsidRPr="008F3256">
              <w:t>Field Description</w:t>
            </w:r>
          </w:p>
        </w:tc>
        <w:tc>
          <w:tcPr>
            <w:tcW w:w="1980" w:type="dxa"/>
            <w:shd w:val="clear" w:color="auto" w:fill="auto"/>
            <w:vAlign w:val="center"/>
            <w:hideMark/>
          </w:tcPr>
          <w:p w:rsidRPr="008F3256" w:rsidR="00B04AB6" w:rsidP="00B04AB6" w:rsidRDefault="00B04AB6" w14:paraId="5DB91C66" w14:textId="77777777">
            <w:pPr>
              <w:pStyle w:val="Tableheader0"/>
              <w:spacing w:after="40"/>
            </w:pPr>
            <w:r w:rsidRPr="008F3256">
              <w:t>PEAR/Ex</w:t>
            </w:r>
            <w:r>
              <w:t xml:space="preserve"> </w:t>
            </w:r>
            <w:r w:rsidRPr="008F3256">
              <w:t>Ante Fieldname(s)</w:t>
            </w:r>
          </w:p>
        </w:tc>
        <w:tc>
          <w:tcPr>
            <w:tcW w:w="2430" w:type="dxa"/>
            <w:shd w:val="clear" w:color="auto" w:fill="auto"/>
            <w:vAlign w:val="center"/>
            <w:hideMark/>
          </w:tcPr>
          <w:p w:rsidR="00B04AB6" w:rsidP="00B04AB6" w:rsidRDefault="00B04AB6" w14:paraId="21836393" w14:textId="77777777">
            <w:pPr>
              <w:pStyle w:val="Tableheader0"/>
              <w:spacing w:after="40"/>
            </w:pPr>
            <w:proofErr w:type="spellStart"/>
            <w:r w:rsidRPr="008F3256">
              <w:t>eTRM</w:t>
            </w:r>
            <w:proofErr w:type="spellEnd"/>
            <w:r w:rsidRPr="008F3256">
              <w:t xml:space="preserve"> Fieldname, </w:t>
            </w:r>
          </w:p>
          <w:p w:rsidRPr="008F3256" w:rsidR="00B04AB6" w:rsidP="00B04AB6" w:rsidRDefault="00B04AB6" w14:paraId="488FD52B" w14:textId="77777777">
            <w:pPr>
              <w:pStyle w:val="Tableheader0"/>
              <w:spacing w:after="40"/>
            </w:pPr>
            <w:r w:rsidRPr="008F3256">
              <w:t>if available</w:t>
            </w:r>
          </w:p>
        </w:tc>
        <w:tc>
          <w:tcPr>
            <w:tcW w:w="1350" w:type="dxa"/>
          </w:tcPr>
          <w:p w:rsidRPr="008F3256" w:rsidR="00B04AB6" w:rsidP="00B04AB6" w:rsidRDefault="00B04AB6" w14:paraId="50F1B97F" w14:textId="77777777">
            <w:pPr>
              <w:pStyle w:val="Tableheader0"/>
              <w:spacing w:after="40"/>
            </w:pPr>
            <w:r>
              <w:t>Status</w:t>
            </w:r>
          </w:p>
        </w:tc>
        <w:tc>
          <w:tcPr>
            <w:tcW w:w="1890" w:type="dxa"/>
            <w:shd w:val="clear" w:color="auto" w:fill="auto"/>
            <w:vAlign w:val="center"/>
            <w:hideMark/>
          </w:tcPr>
          <w:p w:rsidRPr="008F3256" w:rsidR="00B04AB6" w:rsidP="00B04AB6" w:rsidRDefault="00B04AB6" w14:paraId="64662609" w14:textId="77777777">
            <w:pPr>
              <w:pStyle w:val="Tableheader0"/>
              <w:spacing w:after="40"/>
            </w:pPr>
            <w:r w:rsidRPr="008F3256">
              <w:t>Requires Daily Synchronization</w:t>
            </w:r>
          </w:p>
        </w:tc>
      </w:tr>
      <w:tr w:rsidRPr="00742D9E" w:rsidR="00B04AB6" w:rsidTr="00B04AB6" w14:paraId="0DB5FB76" w14:textId="77777777">
        <w:trPr>
          <w:trHeight w:val="331"/>
        </w:trPr>
        <w:tc>
          <w:tcPr>
            <w:tcW w:w="2155" w:type="dxa"/>
            <w:hideMark/>
          </w:tcPr>
          <w:p w:rsidRPr="00742D9E" w:rsidR="00B04AB6" w:rsidP="00B04AB6" w:rsidRDefault="00B04AB6" w14:paraId="24C24D30" w14:textId="77777777">
            <w:pPr>
              <w:pStyle w:val="Tabletext"/>
              <w:spacing w:after="40" w:line="240" w:lineRule="auto"/>
            </w:pPr>
            <w:r w:rsidRPr="00742D9E">
              <w:t>Measure description</w:t>
            </w:r>
          </w:p>
        </w:tc>
        <w:tc>
          <w:tcPr>
            <w:tcW w:w="1980" w:type="dxa"/>
            <w:noWrap/>
            <w:hideMark/>
          </w:tcPr>
          <w:p w:rsidRPr="00742D9E" w:rsidR="00B04AB6" w:rsidP="00B04AB6" w:rsidRDefault="00B04AB6" w14:paraId="4D17F73D" w14:textId="77777777">
            <w:pPr>
              <w:pStyle w:val="Tabletext"/>
              <w:spacing w:after="40" w:line="240" w:lineRule="auto"/>
            </w:pPr>
            <w:r w:rsidRPr="00742D9E">
              <w:t>Description</w:t>
            </w:r>
          </w:p>
        </w:tc>
        <w:tc>
          <w:tcPr>
            <w:tcW w:w="2430" w:type="dxa"/>
            <w:hideMark/>
          </w:tcPr>
          <w:p w:rsidRPr="00742D9E" w:rsidR="00B04AB6" w:rsidP="00B04AB6" w:rsidRDefault="00B04AB6" w14:paraId="2B74BFF8" w14:textId="77777777">
            <w:pPr>
              <w:pStyle w:val="Tabletext"/>
              <w:spacing w:after="40" w:line="240" w:lineRule="auto"/>
            </w:pPr>
            <w:proofErr w:type="spellStart"/>
            <w:r w:rsidRPr="00742D9E">
              <w:t>OfferingDesc</w:t>
            </w:r>
            <w:proofErr w:type="spellEnd"/>
          </w:p>
        </w:tc>
        <w:tc>
          <w:tcPr>
            <w:tcW w:w="1350" w:type="dxa"/>
          </w:tcPr>
          <w:p w:rsidRPr="00742D9E" w:rsidR="00B04AB6" w:rsidP="00B04AB6" w:rsidRDefault="00B04AB6" w14:paraId="38F55AA5" w14:textId="77777777">
            <w:pPr>
              <w:pStyle w:val="Tabletext"/>
              <w:spacing w:after="40" w:line="240" w:lineRule="auto"/>
            </w:pPr>
            <w:r w:rsidRPr="0063311C">
              <w:t>Meets Standard</w:t>
            </w:r>
          </w:p>
        </w:tc>
        <w:tc>
          <w:tcPr>
            <w:tcW w:w="1890" w:type="dxa"/>
            <w:hideMark/>
          </w:tcPr>
          <w:p w:rsidRPr="00742D9E" w:rsidR="00B04AB6" w:rsidP="00B04AB6" w:rsidRDefault="00B04AB6" w14:paraId="37A345B5" w14:textId="77777777">
            <w:pPr>
              <w:pStyle w:val="Tabletext"/>
              <w:spacing w:after="40" w:line="240" w:lineRule="auto"/>
              <w:jc w:val="center"/>
            </w:pPr>
          </w:p>
        </w:tc>
      </w:tr>
      <w:tr w:rsidRPr="00742D9E" w:rsidR="00B04AB6" w:rsidTr="00B04AB6" w14:paraId="6DCDF1E3" w14:textId="77777777">
        <w:trPr>
          <w:trHeight w:val="331"/>
        </w:trPr>
        <w:tc>
          <w:tcPr>
            <w:tcW w:w="2155" w:type="dxa"/>
            <w:hideMark/>
          </w:tcPr>
          <w:p w:rsidRPr="00742D9E" w:rsidR="00B04AB6" w:rsidP="00B04AB6" w:rsidRDefault="00B04AB6" w14:paraId="197C9504" w14:textId="77777777">
            <w:pPr>
              <w:pStyle w:val="Tabletext"/>
              <w:spacing w:after="40" w:line="240" w:lineRule="auto"/>
            </w:pPr>
            <w:r w:rsidRPr="00742D9E">
              <w:t>DEER/Workpaper version</w:t>
            </w:r>
          </w:p>
        </w:tc>
        <w:tc>
          <w:tcPr>
            <w:tcW w:w="1980" w:type="dxa"/>
            <w:noWrap/>
            <w:hideMark/>
          </w:tcPr>
          <w:p w:rsidRPr="00742D9E" w:rsidR="00B04AB6" w:rsidP="00B04AB6" w:rsidRDefault="00B04AB6" w14:paraId="5B6D884D" w14:textId="77777777">
            <w:pPr>
              <w:pStyle w:val="Tabletext"/>
              <w:spacing w:after="40" w:line="240" w:lineRule="auto"/>
            </w:pPr>
            <w:r w:rsidRPr="00742D9E">
              <w:t>Version</w:t>
            </w:r>
          </w:p>
        </w:tc>
        <w:tc>
          <w:tcPr>
            <w:tcW w:w="2430" w:type="dxa"/>
            <w:hideMark/>
          </w:tcPr>
          <w:p w:rsidRPr="00742D9E" w:rsidR="00B04AB6" w:rsidP="00B04AB6" w:rsidRDefault="00B04AB6" w14:paraId="1412E79D" w14:textId="77777777">
            <w:pPr>
              <w:pStyle w:val="Tabletext"/>
              <w:spacing w:after="40" w:line="240" w:lineRule="auto"/>
            </w:pPr>
            <w:r w:rsidRPr="00742D9E">
              <w:t>Version</w:t>
            </w:r>
          </w:p>
        </w:tc>
        <w:tc>
          <w:tcPr>
            <w:tcW w:w="1350" w:type="dxa"/>
          </w:tcPr>
          <w:p w:rsidRPr="00742D9E" w:rsidR="00B04AB6" w:rsidP="00B04AB6" w:rsidRDefault="00B04AB6" w14:paraId="344C2C41" w14:textId="77777777">
            <w:pPr>
              <w:pStyle w:val="Tabletext"/>
              <w:spacing w:after="40" w:line="240" w:lineRule="auto"/>
            </w:pPr>
            <w:r w:rsidRPr="0063311C">
              <w:t>Meets Standard</w:t>
            </w:r>
          </w:p>
        </w:tc>
        <w:tc>
          <w:tcPr>
            <w:tcW w:w="1890" w:type="dxa"/>
            <w:hideMark/>
          </w:tcPr>
          <w:p w:rsidRPr="00742D9E" w:rsidR="00B04AB6" w:rsidP="00B04AB6" w:rsidRDefault="00B04AB6" w14:paraId="694A989F" w14:textId="77777777">
            <w:pPr>
              <w:pStyle w:val="Tabletext"/>
              <w:spacing w:after="40" w:line="240" w:lineRule="auto"/>
              <w:jc w:val="center"/>
            </w:pPr>
            <w:r w:rsidRPr="00742D9E">
              <w:t>TRUE</w:t>
            </w:r>
          </w:p>
        </w:tc>
      </w:tr>
      <w:tr w:rsidRPr="00742D9E" w:rsidR="00B04AB6" w:rsidTr="00B04AB6" w14:paraId="170A5C5B" w14:textId="77777777">
        <w:trPr>
          <w:trHeight w:val="331"/>
        </w:trPr>
        <w:tc>
          <w:tcPr>
            <w:tcW w:w="2155" w:type="dxa"/>
            <w:hideMark/>
          </w:tcPr>
          <w:p w:rsidRPr="00742D9E" w:rsidR="00B04AB6" w:rsidP="00B04AB6" w:rsidRDefault="00B04AB6" w14:paraId="10C58169" w14:textId="77777777">
            <w:pPr>
              <w:pStyle w:val="Tabletext"/>
              <w:spacing w:after="40" w:line="240" w:lineRule="auto"/>
            </w:pPr>
            <w:r w:rsidRPr="00742D9E">
              <w:t>First-baseline case description</w:t>
            </w:r>
          </w:p>
        </w:tc>
        <w:tc>
          <w:tcPr>
            <w:tcW w:w="1980" w:type="dxa"/>
            <w:hideMark/>
          </w:tcPr>
          <w:p w:rsidRPr="00742D9E" w:rsidR="00B04AB6" w:rsidP="00B04AB6" w:rsidRDefault="00B04AB6" w14:paraId="04025B03" w14:textId="77777777">
            <w:pPr>
              <w:pStyle w:val="Tabletext"/>
              <w:spacing w:after="40" w:line="240" w:lineRule="auto"/>
            </w:pPr>
            <w:proofErr w:type="spellStart"/>
            <w:r w:rsidRPr="00742D9E">
              <w:t>PreDesc</w:t>
            </w:r>
            <w:proofErr w:type="spellEnd"/>
          </w:p>
        </w:tc>
        <w:tc>
          <w:tcPr>
            <w:tcW w:w="2430" w:type="dxa"/>
            <w:hideMark/>
          </w:tcPr>
          <w:p w:rsidRPr="00742D9E" w:rsidR="00B04AB6" w:rsidP="00B04AB6" w:rsidRDefault="00B04AB6" w14:paraId="696A289A" w14:textId="77777777">
            <w:pPr>
              <w:pStyle w:val="Tabletext"/>
              <w:spacing w:after="40" w:line="240" w:lineRule="auto"/>
            </w:pPr>
            <w:r w:rsidRPr="00742D9E">
              <w:t>Existing Description</w:t>
            </w:r>
          </w:p>
        </w:tc>
        <w:tc>
          <w:tcPr>
            <w:tcW w:w="1350" w:type="dxa"/>
          </w:tcPr>
          <w:p w:rsidRPr="00742D9E" w:rsidR="00B04AB6" w:rsidP="00B04AB6" w:rsidRDefault="00B04AB6" w14:paraId="28A483B9" w14:textId="77777777">
            <w:pPr>
              <w:pStyle w:val="Tabletext"/>
              <w:spacing w:after="40" w:line="240" w:lineRule="auto"/>
            </w:pPr>
            <w:r w:rsidRPr="0063311C">
              <w:t>Meets Standard</w:t>
            </w:r>
          </w:p>
        </w:tc>
        <w:tc>
          <w:tcPr>
            <w:tcW w:w="1890" w:type="dxa"/>
            <w:hideMark/>
          </w:tcPr>
          <w:p w:rsidRPr="00742D9E" w:rsidR="00B04AB6" w:rsidP="00B04AB6" w:rsidRDefault="00B04AB6" w14:paraId="4A5E19A3" w14:textId="77777777">
            <w:pPr>
              <w:pStyle w:val="Tabletext"/>
              <w:spacing w:after="40" w:line="240" w:lineRule="auto"/>
              <w:jc w:val="center"/>
            </w:pPr>
          </w:p>
        </w:tc>
      </w:tr>
      <w:tr w:rsidRPr="00742D9E" w:rsidR="00B04AB6" w:rsidTr="00B04AB6" w14:paraId="3E3D461A" w14:textId="77777777">
        <w:trPr>
          <w:trHeight w:val="331"/>
        </w:trPr>
        <w:tc>
          <w:tcPr>
            <w:tcW w:w="2155" w:type="dxa"/>
            <w:hideMark/>
          </w:tcPr>
          <w:p w:rsidRPr="00742D9E" w:rsidR="00B04AB6" w:rsidP="00B04AB6" w:rsidRDefault="00B04AB6" w14:paraId="0385D63F" w14:textId="77777777">
            <w:pPr>
              <w:pStyle w:val="Tabletext"/>
              <w:spacing w:after="40" w:line="240" w:lineRule="auto"/>
            </w:pPr>
            <w:r w:rsidRPr="00742D9E">
              <w:t>Second-baseline case description</w:t>
            </w:r>
          </w:p>
        </w:tc>
        <w:tc>
          <w:tcPr>
            <w:tcW w:w="1980" w:type="dxa"/>
            <w:hideMark/>
          </w:tcPr>
          <w:p w:rsidRPr="00742D9E" w:rsidR="00B04AB6" w:rsidP="00B04AB6" w:rsidRDefault="00B04AB6" w14:paraId="4078D16E" w14:textId="77777777">
            <w:pPr>
              <w:pStyle w:val="Tabletext"/>
              <w:spacing w:after="40" w:line="240" w:lineRule="auto"/>
            </w:pPr>
            <w:proofErr w:type="spellStart"/>
            <w:r w:rsidRPr="00742D9E">
              <w:t>StdDesc</w:t>
            </w:r>
            <w:proofErr w:type="spellEnd"/>
          </w:p>
        </w:tc>
        <w:tc>
          <w:tcPr>
            <w:tcW w:w="2430" w:type="dxa"/>
            <w:hideMark/>
          </w:tcPr>
          <w:p w:rsidRPr="00742D9E" w:rsidR="00B04AB6" w:rsidP="00B04AB6" w:rsidRDefault="00B04AB6" w14:paraId="760738AF" w14:textId="77777777">
            <w:pPr>
              <w:pStyle w:val="Tabletext"/>
              <w:spacing w:after="40" w:line="240" w:lineRule="auto"/>
            </w:pPr>
            <w:r w:rsidRPr="00742D9E">
              <w:t>Standard Description</w:t>
            </w:r>
          </w:p>
        </w:tc>
        <w:tc>
          <w:tcPr>
            <w:tcW w:w="1350" w:type="dxa"/>
          </w:tcPr>
          <w:p w:rsidRPr="00742D9E" w:rsidR="00B04AB6" w:rsidP="00B04AB6" w:rsidRDefault="00B04AB6" w14:paraId="0E16759B" w14:textId="77777777">
            <w:pPr>
              <w:pStyle w:val="Tabletext"/>
              <w:spacing w:after="40" w:line="240" w:lineRule="auto"/>
            </w:pPr>
            <w:r w:rsidRPr="0063311C">
              <w:t>Meets Standard</w:t>
            </w:r>
          </w:p>
        </w:tc>
        <w:tc>
          <w:tcPr>
            <w:tcW w:w="1890" w:type="dxa"/>
            <w:hideMark/>
          </w:tcPr>
          <w:p w:rsidRPr="00742D9E" w:rsidR="00B04AB6" w:rsidP="00B04AB6" w:rsidRDefault="00B04AB6" w14:paraId="0EAA81AB" w14:textId="77777777">
            <w:pPr>
              <w:pStyle w:val="Tabletext"/>
              <w:spacing w:after="40" w:line="240" w:lineRule="auto"/>
              <w:jc w:val="center"/>
            </w:pPr>
          </w:p>
        </w:tc>
      </w:tr>
      <w:tr w:rsidRPr="00742D9E" w:rsidR="00B04AB6" w:rsidTr="00B04AB6" w14:paraId="1F098385" w14:textId="77777777">
        <w:trPr>
          <w:trHeight w:val="331"/>
        </w:trPr>
        <w:tc>
          <w:tcPr>
            <w:tcW w:w="2155" w:type="dxa"/>
            <w:hideMark/>
          </w:tcPr>
          <w:p w:rsidRPr="00742D9E" w:rsidR="00B04AB6" w:rsidP="00B04AB6" w:rsidRDefault="00B04AB6" w14:paraId="4FB72A23" w14:textId="77777777">
            <w:pPr>
              <w:pStyle w:val="Tabletext"/>
              <w:spacing w:after="40" w:line="240" w:lineRule="auto"/>
            </w:pPr>
            <w:r w:rsidRPr="00742D9E">
              <w:t>Measure case description</w:t>
            </w:r>
          </w:p>
        </w:tc>
        <w:tc>
          <w:tcPr>
            <w:tcW w:w="1980" w:type="dxa"/>
            <w:hideMark/>
          </w:tcPr>
          <w:p w:rsidRPr="00742D9E" w:rsidR="00B04AB6" w:rsidP="00B04AB6" w:rsidRDefault="00B04AB6" w14:paraId="40D860A0" w14:textId="77777777">
            <w:pPr>
              <w:pStyle w:val="Tabletext"/>
              <w:spacing w:after="40" w:line="240" w:lineRule="auto"/>
            </w:pPr>
            <w:proofErr w:type="spellStart"/>
            <w:r w:rsidRPr="00742D9E">
              <w:t>MeasDesc</w:t>
            </w:r>
            <w:proofErr w:type="spellEnd"/>
          </w:p>
        </w:tc>
        <w:tc>
          <w:tcPr>
            <w:tcW w:w="2430" w:type="dxa"/>
            <w:hideMark/>
          </w:tcPr>
          <w:p w:rsidRPr="00742D9E" w:rsidR="00B04AB6" w:rsidP="00B04AB6" w:rsidRDefault="00B04AB6" w14:paraId="47FFA0C8" w14:textId="77777777">
            <w:pPr>
              <w:pStyle w:val="Tabletext"/>
              <w:spacing w:after="40" w:line="240" w:lineRule="auto"/>
            </w:pPr>
            <w:proofErr w:type="spellStart"/>
            <w:r w:rsidRPr="00742D9E">
              <w:t>MeasureCase</w:t>
            </w:r>
            <w:proofErr w:type="spellEnd"/>
          </w:p>
        </w:tc>
        <w:tc>
          <w:tcPr>
            <w:tcW w:w="1350" w:type="dxa"/>
          </w:tcPr>
          <w:p w:rsidRPr="00742D9E" w:rsidR="00B04AB6" w:rsidP="00B04AB6" w:rsidRDefault="00B04AB6" w14:paraId="34C7FD83" w14:textId="77777777">
            <w:pPr>
              <w:pStyle w:val="Tabletext"/>
              <w:spacing w:after="40" w:line="240" w:lineRule="auto"/>
            </w:pPr>
            <w:r w:rsidRPr="0063311C">
              <w:t>Meets Standard</w:t>
            </w:r>
          </w:p>
        </w:tc>
        <w:tc>
          <w:tcPr>
            <w:tcW w:w="1890" w:type="dxa"/>
            <w:hideMark/>
          </w:tcPr>
          <w:p w:rsidRPr="00742D9E" w:rsidR="00B04AB6" w:rsidP="00B04AB6" w:rsidRDefault="00B04AB6" w14:paraId="775550CB" w14:textId="77777777">
            <w:pPr>
              <w:pStyle w:val="Tabletext"/>
              <w:spacing w:after="40" w:line="240" w:lineRule="auto"/>
              <w:jc w:val="center"/>
            </w:pPr>
          </w:p>
        </w:tc>
      </w:tr>
      <w:tr w:rsidRPr="00742D9E" w:rsidR="00B04AB6" w:rsidTr="00B04AB6" w14:paraId="6F2ACC77" w14:textId="77777777">
        <w:trPr>
          <w:trHeight w:val="331"/>
        </w:trPr>
        <w:tc>
          <w:tcPr>
            <w:tcW w:w="2155" w:type="dxa"/>
            <w:hideMark/>
          </w:tcPr>
          <w:p w:rsidRPr="00742D9E" w:rsidR="00B04AB6" w:rsidP="00B04AB6" w:rsidRDefault="00B04AB6" w14:paraId="4B073DE3" w14:textId="77777777">
            <w:pPr>
              <w:pStyle w:val="Tabletext"/>
              <w:spacing w:after="40" w:line="240" w:lineRule="auto"/>
            </w:pPr>
            <w:r w:rsidRPr="00742D9E">
              <w:t>Sector</w:t>
            </w:r>
          </w:p>
        </w:tc>
        <w:tc>
          <w:tcPr>
            <w:tcW w:w="1980" w:type="dxa"/>
            <w:noWrap/>
            <w:hideMark/>
          </w:tcPr>
          <w:p w:rsidRPr="00742D9E" w:rsidR="00B04AB6" w:rsidP="00B04AB6" w:rsidRDefault="00B04AB6" w14:paraId="6FDE0C9F" w14:textId="77777777">
            <w:pPr>
              <w:pStyle w:val="Tabletext"/>
              <w:spacing w:after="40" w:line="240" w:lineRule="auto"/>
            </w:pPr>
            <w:r w:rsidRPr="00742D9E">
              <w:t>Sector</w:t>
            </w:r>
          </w:p>
        </w:tc>
        <w:tc>
          <w:tcPr>
            <w:tcW w:w="2430" w:type="dxa"/>
            <w:hideMark/>
          </w:tcPr>
          <w:p w:rsidRPr="00742D9E" w:rsidR="00B04AB6" w:rsidP="00B04AB6" w:rsidRDefault="00B04AB6" w14:paraId="349723D4" w14:textId="77777777">
            <w:pPr>
              <w:pStyle w:val="Tabletext"/>
              <w:spacing w:after="40" w:line="240" w:lineRule="auto"/>
            </w:pPr>
            <w:r w:rsidRPr="00742D9E">
              <w:t>Sector</w:t>
            </w:r>
          </w:p>
        </w:tc>
        <w:tc>
          <w:tcPr>
            <w:tcW w:w="1350" w:type="dxa"/>
          </w:tcPr>
          <w:p w:rsidRPr="00742D9E" w:rsidR="00B04AB6" w:rsidP="00B04AB6" w:rsidRDefault="00B04AB6" w14:paraId="25463D6E" w14:textId="77777777">
            <w:pPr>
              <w:pStyle w:val="Tabletext"/>
              <w:spacing w:after="40" w:line="240" w:lineRule="auto"/>
            </w:pPr>
            <w:r w:rsidRPr="0063311C">
              <w:t>Meets Standard</w:t>
            </w:r>
          </w:p>
        </w:tc>
        <w:tc>
          <w:tcPr>
            <w:tcW w:w="1890" w:type="dxa"/>
            <w:hideMark/>
          </w:tcPr>
          <w:p w:rsidRPr="00742D9E" w:rsidR="00B04AB6" w:rsidP="00B04AB6" w:rsidRDefault="00B04AB6" w14:paraId="12AF6E65" w14:textId="77777777">
            <w:pPr>
              <w:pStyle w:val="Tabletext"/>
              <w:spacing w:after="40" w:line="240" w:lineRule="auto"/>
              <w:jc w:val="center"/>
            </w:pPr>
            <w:r w:rsidRPr="00742D9E">
              <w:t>TRUE</w:t>
            </w:r>
          </w:p>
        </w:tc>
      </w:tr>
      <w:tr w:rsidRPr="00742D9E" w:rsidR="00B04AB6" w:rsidTr="00B04AB6" w14:paraId="1CCF97CE" w14:textId="77777777">
        <w:trPr>
          <w:trHeight w:val="331"/>
        </w:trPr>
        <w:tc>
          <w:tcPr>
            <w:tcW w:w="2155" w:type="dxa"/>
            <w:hideMark/>
          </w:tcPr>
          <w:p w:rsidRPr="00742D9E" w:rsidR="00B04AB6" w:rsidP="00B04AB6" w:rsidRDefault="00B04AB6" w14:paraId="57F2DEC6" w14:textId="77777777">
            <w:pPr>
              <w:pStyle w:val="Tabletext"/>
              <w:spacing w:after="40" w:line="240" w:lineRule="auto"/>
            </w:pPr>
            <w:r w:rsidRPr="00742D9E">
              <w:t>Technology Group</w:t>
            </w:r>
          </w:p>
        </w:tc>
        <w:tc>
          <w:tcPr>
            <w:tcW w:w="1980" w:type="dxa"/>
            <w:noWrap/>
            <w:hideMark/>
          </w:tcPr>
          <w:p w:rsidRPr="00742D9E" w:rsidR="00B04AB6" w:rsidP="00B04AB6" w:rsidRDefault="00B04AB6" w14:paraId="1B59415A" w14:textId="77777777">
            <w:pPr>
              <w:pStyle w:val="Tabletext"/>
              <w:spacing w:after="40" w:line="240" w:lineRule="auto"/>
            </w:pPr>
            <w:proofErr w:type="spellStart"/>
            <w:r w:rsidRPr="00742D9E">
              <w:t>TechGroup</w:t>
            </w:r>
            <w:proofErr w:type="spellEnd"/>
          </w:p>
        </w:tc>
        <w:tc>
          <w:tcPr>
            <w:tcW w:w="2430" w:type="dxa"/>
            <w:hideMark/>
          </w:tcPr>
          <w:p w:rsidRPr="00742D9E" w:rsidR="00B04AB6" w:rsidP="00B04AB6" w:rsidRDefault="00B04AB6" w14:paraId="4A2CD0FE" w14:textId="77777777">
            <w:pPr>
              <w:pStyle w:val="Tabletext"/>
              <w:spacing w:after="40" w:line="240" w:lineRule="auto"/>
            </w:pPr>
            <w:proofErr w:type="spellStart"/>
            <w:r w:rsidRPr="00742D9E">
              <w:t>TechGroup</w:t>
            </w:r>
            <w:proofErr w:type="spellEnd"/>
          </w:p>
        </w:tc>
        <w:tc>
          <w:tcPr>
            <w:tcW w:w="1350" w:type="dxa"/>
          </w:tcPr>
          <w:p w:rsidRPr="00742D9E" w:rsidR="00B04AB6" w:rsidP="00B04AB6" w:rsidRDefault="00B04AB6" w14:paraId="345A7C10" w14:textId="77777777">
            <w:pPr>
              <w:pStyle w:val="Tabletext"/>
              <w:spacing w:after="40" w:line="240" w:lineRule="auto"/>
            </w:pPr>
            <w:r w:rsidRPr="0063311C">
              <w:t>Meets Standard</w:t>
            </w:r>
          </w:p>
        </w:tc>
        <w:tc>
          <w:tcPr>
            <w:tcW w:w="1890" w:type="dxa"/>
            <w:hideMark/>
          </w:tcPr>
          <w:p w:rsidRPr="00742D9E" w:rsidR="00B04AB6" w:rsidP="00B04AB6" w:rsidRDefault="00B04AB6" w14:paraId="0E5638D9" w14:textId="77777777">
            <w:pPr>
              <w:pStyle w:val="Tabletext"/>
              <w:spacing w:after="40" w:line="240" w:lineRule="auto"/>
              <w:jc w:val="center"/>
            </w:pPr>
            <w:r w:rsidRPr="00742D9E">
              <w:t>TRUE</w:t>
            </w:r>
          </w:p>
        </w:tc>
      </w:tr>
      <w:tr w:rsidRPr="00742D9E" w:rsidR="00B04AB6" w:rsidTr="00B04AB6" w14:paraId="22813F47" w14:textId="77777777">
        <w:trPr>
          <w:trHeight w:val="331"/>
        </w:trPr>
        <w:tc>
          <w:tcPr>
            <w:tcW w:w="2155" w:type="dxa"/>
            <w:hideMark/>
          </w:tcPr>
          <w:p w:rsidRPr="00742D9E" w:rsidR="00B04AB6" w:rsidP="00B04AB6" w:rsidRDefault="00B04AB6" w14:paraId="62FF6B70" w14:textId="77777777">
            <w:pPr>
              <w:pStyle w:val="Tabletext"/>
              <w:spacing w:after="40" w:line="240" w:lineRule="auto"/>
            </w:pPr>
            <w:r w:rsidRPr="00742D9E">
              <w:t>Technology Type</w:t>
            </w:r>
          </w:p>
        </w:tc>
        <w:tc>
          <w:tcPr>
            <w:tcW w:w="1980" w:type="dxa"/>
            <w:noWrap/>
            <w:hideMark/>
          </w:tcPr>
          <w:p w:rsidRPr="00742D9E" w:rsidR="00B04AB6" w:rsidP="00B04AB6" w:rsidRDefault="00B04AB6" w14:paraId="7BC98AF7" w14:textId="77777777">
            <w:pPr>
              <w:pStyle w:val="Tabletext"/>
              <w:spacing w:after="40" w:line="240" w:lineRule="auto"/>
            </w:pPr>
            <w:proofErr w:type="spellStart"/>
            <w:r w:rsidRPr="00742D9E">
              <w:t>TechType</w:t>
            </w:r>
            <w:proofErr w:type="spellEnd"/>
          </w:p>
        </w:tc>
        <w:tc>
          <w:tcPr>
            <w:tcW w:w="2430" w:type="dxa"/>
            <w:hideMark/>
          </w:tcPr>
          <w:p w:rsidRPr="00742D9E" w:rsidR="00B04AB6" w:rsidP="00B04AB6" w:rsidRDefault="00B04AB6" w14:paraId="7DE5196B" w14:textId="77777777">
            <w:pPr>
              <w:pStyle w:val="Tabletext"/>
              <w:spacing w:after="40" w:line="240" w:lineRule="auto"/>
            </w:pPr>
            <w:proofErr w:type="spellStart"/>
            <w:r w:rsidRPr="00742D9E">
              <w:t>TechType</w:t>
            </w:r>
            <w:proofErr w:type="spellEnd"/>
          </w:p>
        </w:tc>
        <w:tc>
          <w:tcPr>
            <w:tcW w:w="1350" w:type="dxa"/>
          </w:tcPr>
          <w:p w:rsidRPr="00742D9E" w:rsidR="00B04AB6" w:rsidP="00B04AB6" w:rsidRDefault="00B04AB6" w14:paraId="590D0918" w14:textId="77777777">
            <w:pPr>
              <w:pStyle w:val="Tabletext"/>
              <w:spacing w:after="40" w:line="240" w:lineRule="auto"/>
            </w:pPr>
            <w:r w:rsidRPr="0063311C">
              <w:t>Meets Standard</w:t>
            </w:r>
          </w:p>
        </w:tc>
        <w:tc>
          <w:tcPr>
            <w:tcW w:w="1890" w:type="dxa"/>
            <w:hideMark/>
          </w:tcPr>
          <w:p w:rsidRPr="00742D9E" w:rsidR="00B04AB6" w:rsidP="00B04AB6" w:rsidRDefault="00B04AB6" w14:paraId="6422B4DC" w14:textId="77777777">
            <w:pPr>
              <w:pStyle w:val="Tabletext"/>
              <w:spacing w:after="40" w:line="240" w:lineRule="auto"/>
              <w:jc w:val="center"/>
            </w:pPr>
            <w:r w:rsidRPr="00742D9E">
              <w:t>TRUE</w:t>
            </w:r>
          </w:p>
        </w:tc>
      </w:tr>
      <w:tr w:rsidRPr="00742D9E" w:rsidR="00B04AB6" w:rsidTr="00B04AB6" w14:paraId="560075F2" w14:textId="77777777">
        <w:trPr>
          <w:trHeight w:val="331"/>
        </w:trPr>
        <w:tc>
          <w:tcPr>
            <w:tcW w:w="2155" w:type="dxa"/>
            <w:hideMark/>
          </w:tcPr>
          <w:p w:rsidRPr="00742D9E" w:rsidR="00B04AB6" w:rsidP="00B04AB6" w:rsidRDefault="00B04AB6" w14:paraId="53655B16" w14:textId="77777777">
            <w:pPr>
              <w:pStyle w:val="Tabletext"/>
              <w:spacing w:after="40" w:line="240" w:lineRule="auto"/>
            </w:pPr>
            <w:r w:rsidRPr="00742D9E">
              <w:t>End-use category</w:t>
            </w:r>
          </w:p>
        </w:tc>
        <w:tc>
          <w:tcPr>
            <w:tcW w:w="1980" w:type="dxa"/>
            <w:noWrap/>
            <w:hideMark/>
          </w:tcPr>
          <w:p w:rsidRPr="00742D9E" w:rsidR="00B04AB6" w:rsidP="00B04AB6" w:rsidRDefault="00B04AB6" w14:paraId="72644217" w14:textId="77777777">
            <w:pPr>
              <w:pStyle w:val="Tabletext"/>
              <w:spacing w:after="40" w:line="240" w:lineRule="auto"/>
            </w:pPr>
            <w:proofErr w:type="spellStart"/>
            <w:r w:rsidRPr="00742D9E">
              <w:t>UseCategory</w:t>
            </w:r>
            <w:proofErr w:type="spellEnd"/>
          </w:p>
        </w:tc>
        <w:tc>
          <w:tcPr>
            <w:tcW w:w="2430" w:type="dxa"/>
            <w:hideMark/>
          </w:tcPr>
          <w:p w:rsidRPr="00742D9E" w:rsidR="00B04AB6" w:rsidP="00B04AB6" w:rsidRDefault="00B04AB6" w14:paraId="0B486A2A" w14:textId="77777777">
            <w:pPr>
              <w:pStyle w:val="Tabletext"/>
              <w:spacing w:after="40" w:line="240" w:lineRule="auto"/>
            </w:pPr>
            <w:proofErr w:type="spellStart"/>
            <w:r w:rsidRPr="00742D9E">
              <w:t>UseCategory</w:t>
            </w:r>
            <w:proofErr w:type="spellEnd"/>
          </w:p>
        </w:tc>
        <w:tc>
          <w:tcPr>
            <w:tcW w:w="1350" w:type="dxa"/>
          </w:tcPr>
          <w:p w:rsidRPr="00742D9E" w:rsidR="00B04AB6" w:rsidP="00B04AB6" w:rsidRDefault="00B04AB6" w14:paraId="741D7FD5" w14:textId="77777777">
            <w:pPr>
              <w:pStyle w:val="Tabletext"/>
              <w:spacing w:after="40" w:line="240" w:lineRule="auto"/>
            </w:pPr>
            <w:r w:rsidRPr="0063311C">
              <w:t>Meets Standard</w:t>
            </w:r>
          </w:p>
        </w:tc>
        <w:tc>
          <w:tcPr>
            <w:tcW w:w="1890" w:type="dxa"/>
            <w:hideMark/>
          </w:tcPr>
          <w:p w:rsidRPr="00742D9E" w:rsidR="00B04AB6" w:rsidP="00B04AB6" w:rsidRDefault="00B04AB6" w14:paraId="2ABDFF86" w14:textId="77777777">
            <w:pPr>
              <w:pStyle w:val="Tabletext"/>
              <w:spacing w:after="40" w:line="240" w:lineRule="auto"/>
              <w:jc w:val="center"/>
            </w:pPr>
            <w:r w:rsidRPr="00742D9E">
              <w:t>TRUE</w:t>
            </w:r>
          </w:p>
        </w:tc>
      </w:tr>
      <w:tr w:rsidRPr="00742D9E" w:rsidR="00B04AB6" w:rsidTr="00B04AB6" w14:paraId="3062158B" w14:textId="77777777">
        <w:trPr>
          <w:trHeight w:val="331"/>
        </w:trPr>
        <w:tc>
          <w:tcPr>
            <w:tcW w:w="2155" w:type="dxa"/>
            <w:hideMark/>
          </w:tcPr>
          <w:p w:rsidRPr="00742D9E" w:rsidR="00B04AB6" w:rsidP="00B04AB6" w:rsidRDefault="00B04AB6" w14:paraId="6AB99C94" w14:textId="77777777">
            <w:pPr>
              <w:pStyle w:val="Tabletext"/>
              <w:spacing w:after="40" w:line="240" w:lineRule="auto"/>
            </w:pPr>
            <w:r w:rsidRPr="00742D9E">
              <w:t>End-use sub-category</w:t>
            </w:r>
          </w:p>
        </w:tc>
        <w:tc>
          <w:tcPr>
            <w:tcW w:w="1980" w:type="dxa"/>
            <w:noWrap/>
            <w:hideMark/>
          </w:tcPr>
          <w:p w:rsidRPr="00742D9E" w:rsidR="00B04AB6" w:rsidP="00B04AB6" w:rsidRDefault="00B04AB6" w14:paraId="6DB8C788" w14:textId="77777777">
            <w:pPr>
              <w:pStyle w:val="Tabletext"/>
              <w:spacing w:after="40" w:line="240" w:lineRule="auto"/>
            </w:pPr>
            <w:proofErr w:type="spellStart"/>
            <w:r w:rsidRPr="00742D9E">
              <w:t>UseSubCategory</w:t>
            </w:r>
            <w:proofErr w:type="spellEnd"/>
          </w:p>
        </w:tc>
        <w:tc>
          <w:tcPr>
            <w:tcW w:w="2430" w:type="dxa"/>
            <w:hideMark/>
          </w:tcPr>
          <w:p w:rsidRPr="00742D9E" w:rsidR="00B04AB6" w:rsidP="00B04AB6" w:rsidRDefault="00B04AB6" w14:paraId="64CBB094" w14:textId="77777777">
            <w:pPr>
              <w:pStyle w:val="Tabletext"/>
              <w:spacing w:after="40" w:line="240" w:lineRule="auto"/>
            </w:pPr>
            <w:proofErr w:type="spellStart"/>
            <w:r w:rsidRPr="00742D9E">
              <w:t>UseSubCategory</w:t>
            </w:r>
            <w:proofErr w:type="spellEnd"/>
          </w:p>
        </w:tc>
        <w:tc>
          <w:tcPr>
            <w:tcW w:w="1350" w:type="dxa"/>
          </w:tcPr>
          <w:p w:rsidRPr="00742D9E" w:rsidR="00B04AB6" w:rsidP="00B04AB6" w:rsidRDefault="00B04AB6" w14:paraId="7542077D" w14:textId="77777777">
            <w:pPr>
              <w:pStyle w:val="Tabletext"/>
              <w:spacing w:after="40" w:line="240" w:lineRule="auto"/>
            </w:pPr>
            <w:r w:rsidRPr="0063311C">
              <w:t>Meets Standard</w:t>
            </w:r>
          </w:p>
        </w:tc>
        <w:tc>
          <w:tcPr>
            <w:tcW w:w="1890" w:type="dxa"/>
            <w:hideMark/>
          </w:tcPr>
          <w:p w:rsidRPr="00742D9E" w:rsidR="00B04AB6" w:rsidP="00B04AB6" w:rsidRDefault="00B04AB6" w14:paraId="01262B91" w14:textId="77777777">
            <w:pPr>
              <w:pStyle w:val="Tabletext"/>
              <w:spacing w:after="40" w:line="240" w:lineRule="auto"/>
              <w:jc w:val="center"/>
            </w:pPr>
            <w:r w:rsidRPr="00742D9E">
              <w:t>TRUE</w:t>
            </w:r>
          </w:p>
        </w:tc>
      </w:tr>
      <w:tr w:rsidRPr="00742D9E" w:rsidR="00B04AB6" w:rsidTr="00B04AB6" w14:paraId="0D846923" w14:textId="77777777">
        <w:trPr>
          <w:trHeight w:val="331"/>
        </w:trPr>
        <w:tc>
          <w:tcPr>
            <w:tcW w:w="2155" w:type="dxa"/>
            <w:hideMark/>
          </w:tcPr>
          <w:p w:rsidRPr="00742D9E" w:rsidR="00B04AB6" w:rsidP="00B04AB6" w:rsidRDefault="00B04AB6" w14:paraId="3DE1545B" w14:textId="77777777">
            <w:pPr>
              <w:pStyle w:val="Tabletext"/>
              <w:spacing w:after="40" w:line="240" w:lineRule="auto"/>
            </w:pPr>
            <w:r w:rsidRPr="00742D9E">
              <w:t>Effective useful life ID</w:t>
            </w:r>
          </w:p>
        </w:tc>
        <w:tc>
          <w:tcPr>
            <w:tcW w:w="1980" w:type="dxa"/>
            <w:noWrap/>
            <w:hideMark/>
          </w:tcPr>
          <w:p w:rsidRPr="00742D9E" w:rsidR="00B04AB6" w:rsidP="00B04AB6" w:rsidRDefault="00B04AB6" w14:paraId="086E0AC1" w14:textId="77777777">
            <w:pPr>
              <w:pStyle w:val="Tabletext"/>
              <w:spacing w:after="40" w:line="240" w:lineRule="auto"/>
            </w:pPr>
            <w:r w:rsidRPr="00742D9E">
              <w:t>EUL_ID</w:t>
            </w:r>
          </w:p>
        </w:tc>
        <w:tc>
          <w:tcPr>
            <w:tcW w:w="2430" w:type="dxa"/>
            <w:hideMark/>
          </w:tcPr>
          <w:p w:rsidRPr="00742D9E" w:rsidR="00B04AB6" w:rsidP="00B04AB6" w:rsidRDefault="00B04AB6" w14:paraId="009F4843" w14:textId="77777777">
            <w:pPr>
              <w:pStyle w:val="Tabletext"/>
              <w:spacing w:after="40" w:line="240" w:lineRule="auto"/>
            </w:pPr>
            <w:r w:rsidRPr="00742D9E">
              <w:t>EUL_ID</w:t>
            </w:r>
          </w:p>
        </w:tc>
        <w:tc>
          <w:tcPr>
            <w:tcW w:w="1350" w:type="dxa"/>
          </w:tcPr>
          <w:p w:rsidRPr="00742D9E" w:rsidR="00B04AB6" w:rsidP="00B04AB6" w:rsidRDefault="00B04AB6" w14:paraId="79A3E404" w14:textId="77777777">
            <w:pPr>
              <w:pStyle w:val="Tabletext"/>
              <w:spacing w:after="40" w:line="240" w:lineRule="auto"/>
            </w:pPr>
            <w:r w:rsidRPr="0063311C">
              <w:t>Meets Standard</w:t>
            </w:r>
          </w:p>
        </w:tc>
        <w:tc>
          <w:tcPr>
            <w:tcW w:w="1890" w:type="dxa"/>
            <w:hideMark/>
          </w:tcPr>
          <w:p w:rsidRPr="00742D9E" w:rsidR="00B04AB6" w:rsidP="00B04AB6" w:rsidRDefault="00B04AB6" w14:paraId="1F6F57B4" w14:textId="77777777">
            <w:pPr>
              <w:pStyle w:val="Tabletext"/>
              <w:spacing w:after="40" w:line="240" w:lineRule="auto"/>
              <w:jc w:val="center"/>
            </w:pPr>
            <w:r w:rsidRPr="00742D9E">
              <w:t>TRUE</w:t>
            </w:r>
          </w:p>
        </w:tc>
      </w:tr>
      <w:tr w:rsidRPr="00742D9E" w:rsidR="00B04AB6" w:rsidTr="00B04AB6" w14:paraId="2E75B181" w14:textId="77777777">
        <w:trPr>
          <w:trHeight w:val="331"/>
        </w:trPr>
        <w:tc>
          <w:tcPr>
            <w:tcW w:w="2155" w:type="dxa"/>
            <w:hideMark/>
          </w:tcPr>
          <w:p w:rsidRPr="00742D9E" w:rsidR="00B04AB6" w:rsidP="00B04AB6" w:rsidRDefault="00B04AB6" w14:paraId="2BC227E7" w14:textId="77777777">
            <w:pPr>
              <w:pStyle w:val="Tabletext"/>
              <w:spacing w:after="40" w:line="240" w:lineRule="auto"/>
            </w:pPr>
            <w:r w:rsidRPr="00742D9E">
              <w:t>Effective useful life, years</w:t>
            </w:r>
          </w:p>
        </w:tc>
        <w:tc>
          <w:tcPr>
            <w:tcW w:w="1980" w:type="dxa"/>
            <w:noWrap/>
            <w:hideMark/>
          </w:tcPr>
          <w:p w:rsidRPr="00742D9E" w:rsidR="00B04AB6" w:rsidP="00B04AB6" w:rsidRDefault="00B04AB6" w14:paraId="528187A2" w14:textId="77777777">
            <w:pPr>
              <w:pStyle w:val="Tabletext"/>
              <w:spacing w:after="40" w:line="240" w:lineRule="auto"/>
            </w:pPr>
            <w:proofErr w:type="spellStart"/>
            <w:r w:rsidRPr="00742D9E">
              <w:t>EUL_Yrs</w:t>
            </w:r>
            <w:proofErr w:type="spellEnd"/>
          </w:p>
        </w:tc>
        <w:tc>
          <w:tcPr>
            <w:tcW w:w="2430" w:type="dxa"/>
            <w:hideMark/>
          </w:tcPr>
          <w:p w:rsidRPr="00742D9E" w:rsidR="00B04AB6" w:rsidP="00B04AB6" w:rsidRDefault="00B04AB6" w14:paraId="4E3D2CF7" w14:textId="77777777">
            <w:pPr>
              <w:pStyle w:val="Tabletext"/>
              <w:spacing w:after="40" w:line="240" w:lineRule="auto"/>
            </w:pPr>
            <w:r w:rsidRPr="002C08C7">
              <w:t>EUL (YR)</w:t>
            </w:r>
          </w:p>
        </w:tc>
        <w:tc>
          <w:tcPr>
            <w:tcW w:w="1350" w:type="dxa"/>
          </w:tcPr>
          <w:p w:rsidRPr="00742D9E" w:rsidR="00B04AB6" w:rsidP="00B04AB6" w:rsidRDefault="00B04AB6" w14:paraId="1BF2D4C7" w14:textId="77777777">
            <w:pPr>
              <w:pStyle w:val="Tabletext"/>
              <w:spacing w:after="40" w:line="240" w:lineRule="auto"/>
            </w:pPr>
            <w:r w:rsidRPr="0063311C">
              <w:t>Meets Standard</w:t>
            </w:r>
          </w:p>
        </w:tc>
        <w:tc>
          <w:tcPr>
            <w:tcW w:w="1890" w:type="dxa"/>
            <w:hideMark/>
          </w:tcPr>
          <w:p w:rsidRPr="00742D9E" w:rsidR="00B04AB6" w:rsidP="00B04AB6" w:rsidRDefault="00B04AB6" w14:paraId="4DD98FFD" w14:textId="77777777">
            <w:pPr>
              <w:pStyle w:val="Tabletext"/>
              <w:spacing w:after="40" w:line="240" w:lineRule="auto"/>
              <w:jc w:val="center"/>
            </w:pPr>
          </w:p>
        </w:tc>
      </w:tr>
      <w:tr w:rsidRPr="00742D9E" w:rsidR="00B04AB6" w:rsidTr="00B04AB6" w14:paraId="27336621" w14:textId="77777777">
        <w:trPr>
          <w:trHeight w:val="331"/>
        </w:trPr>
        <w:tc>
          <w:tcPr>
            <w:tcW w:w="2155" w:type="dxa"/>
            <w:hideMark/>
          </w:tcPr>
          <w:p w:rsidRPr="00742D9E" w:rsidR="00B04AB6" w:rsidP="00B04AB6" w:rsidRDefault="00B04AB6" w14:paraId="74277E79" w14:textId="77777777">
            <w:pPr>
              <w:pStyle w:val="Tabletext"/>
              <w:spacing w:after="40" w:line="240" w:lineRule="auto"/>
            </w:pPr>
            <w:r w:rsidRPr="00742D9E">
              <w:t>Remaining useful life ID</w:t>
            </w:r>
          </w:p>
        </w:tc>
        <w:tc>
          <w:tcPr>
            <w:tcW w:w="1980" w:type="dxa"/>
            <w:noWrap/>
            <w:hideMark/>
          </w:tcPr>
          <w:p w:rsidRPr="00742D9E" w:rsidR="00B04AB6" w:rsidP="00B04AB6" w:rsidRDefault="00B04AB6" w14:paraId="2A2BD547" w14:textId="77777777">
            <w:pPr>
              <w:pStyle w:val="Tabletext"/>
              <w:spacing w:after="40" w:line="240" w:lineRule="auto"/>
            </w:pPr>
            <w:r w:rsidRPr="00742D9E">
              <w:t>RUL_ID</w:t>
            </w:r>
          </w:p>
        </w:tc>
        <w:tc>
          <w:tcPr>
            <w:tcW w:w="2430" w:type="dxa"/>
            <w:hideMark/>
          </w:tcPr>
          <w:p w:rsidRPr="00742D9E" w:rsidR="00B04AB6" w:rsidP="00B04AB6" w:rsidRDefault="00B04AB6" w14:paraId="6EA1DF3B" w14:textId="77777777">
            <w:pPr>
              <w:pStyle w:val="Tabletext"/>
              <w:spacing w:after="40" w:line="240" w:lineRule="auto"/>
            </w:pPr>
            <w:r w:rsidRPr="00742D9E">
              <w:t>RUL_ID</w:t>
            </w:r>
          </w:p>
        </w:tc>
        <w:tc>
          <w:tcPr>
            <w:tcW w:w="1350" w:type="dxa"/>
          </w:tcPr>
          <w:p w:rsidRPr="00742D9E" w:rsidR="00B04AB6" w:rsidP="00B04AB6" w:rsidRDefault="00B04AB6" w14:paraId="52FDBD7D" w14:textId="77777777">
            <w:pPr>
              <w:pStyle w:val="Tabletext"/>
              <w:spacing w:after="40" w:line="240" w:lineRule="auto"/>
            </w:pPr>
            <w:r w:rsidRPr="0063311C">
              <w:t>Meets Standard</w:t>
            </w:r>
          </w:p>
        </w:tc>
        <w:tc>
          <w:tcPr>
            <w:tcW w:w="1890" w:type="dxa"/>
            <w:hideMark/>
          </w:tcPr>
          <w:p w:rsidRPr="00742D9E" w:rsidR="00B04AB6" w:rsidP="00B04AB6" w:rsidRDefault="00B04AB6" w14:paraId="6B5B4358" w14:textId="77777777">
            <w:pPr>
              <w:pStyle w:val="Tabletext"/>
              <w:spacing w:after="40" w:line="240" w:lineRule="auto"/>
              <w:jc w:val="center"/>
            </w:pPr>
          </w:p>
        </w:tc>
      </w:tr>
      <w:tr w:rsidRPr="00742D9E" w:rsidR="00B04AB6" w:rsidTr="00B04AB6" w14:paraId="383134A6" w14:textId="77777777">
        <w:trPr>
          <w:trHeight w:val="331"/>
        </w:trPr>
        <w:tc>
          <w:tcPr>
            <w:tcW w:w="2155" w:type="dxa"/>
            <w:hideMark/>
          </w:tcPr>
          <w:p w:rsidRPr="00742D9E" w:rsidR="00B04AB6" w:rsidP="00B04AB6" w:rsidRDefault="00B04AB6" w14:paraId="79E1CDD6" w14:textId="77777777">
            <w:pPr>
              <w:pStyle w:val="Tabletext"/>
              <w:spacing w:after="40" w:line="240" w:lineRule="auto"/>
            </w:pPr>
            <w:r w:rsidRPr="00742D9E">
              <w:lastRenderedPageBreak/>
              <w:t>Gross savings &amp; installation adjustment factor</w:t>
            </w:r>
          </w:p>
        </w:tc>
        <w:tc>
          <w:tcPr>
            <w:tcW w:w="1980" w:type="dxa"/>
            <w:noWrap/>
            <w:hideMark/>
          </w:tcPr>
          <w:p w:rsidRPr="00742D9E" w:rsidR="00B04AB6" w:rsidP="00B04AB6" w:rsidRDefault="00B04AB6" w14:paraId="66A28061" w14:textId="77777777">
            <w:pPr>
              <w:pStyle w:val="Tabletext"/>
              <w:spacing w:after="40" w:line="240" w:lineRule="auto"/>
            </w:pPr>
            <w:r w:rsidRPr="00742D9E">
              <w:t>GSIA_ID</w:t>
            </w:r>
          </w:p>
        </w:tc>
        <w:tc>
          <w:tcPr>
            <w:tcW w:w="2430" w:type="dxa"/>
            <w:hideMark/>
          </w:tcPr>
          <w:p w:rsidRPr="00742D9E" w:rsidR="00B04AB6" w:rsidP="00B04AB6" w:rsidRDefault="00B04AB6" w14:paraId="0323E9FA" w14:textId="77777777">
            <w:pPr>
              <w:pStyle w:val="Tabletext"/>
              <w:spacing w:after="40" w:line="240" w:lineRule="auto"/>
            </w:pPr>
            <w:r w:rsidRPr="00742D9E">
              <w:t>GSIA_ID</w:t>
            </w:r>
          </w:p>
        </w:tc>
        <w:tc>
          <w:tcPr>
            <w:tcW w:w="1350" w:type="dxa"/>
          </w:tcPr>
          <w:p w:rsidRPr="00742D9E" w:rsidR="00B04AB6" w:rsidP="00B04AB6" w:rsidRDefault="00B04AB6" w14:paraId="13D3BC0B" w14:textId="77777777">
            <w:pPr>
              <w:pStyle w:val="Tabletext"/>
              <w:spacing w:after="40" w:line="240" w:lineRule="auto"/>
            </w:pPr>
            <w:r w:rsidRPr="0063311C">
              <w:t>Meets Standard</w:t>
            </w:r>
          </w:p>
        </w:tc>
        <w:tc>
          <w:tcPr>
            <w:tcW w:w="1890" w:type="dxa"/>
            <w:hideMark/>
          </w:tcPr>
          <w:p w:rsidRPr="00742D9E" w:rsidR="00B04AB6" w:rsidP="00B04AB6" w:rsidRDefault="00B04AB6" w14:paraId="3CE1A985" w14:textId="77777777">
            <w:pPr>
              <w:pStyle w:val="Tabletext"/>
              <w:spacing w:after="40" w:line="240" w:lineRule="auto"/>
              <w:jc w:val="center"/>
            </w:pPr>
            <w:r w:rsidRPr="00742D9E">
              <w:t>TRUE</w:t>
            </w:r>
          </w:p>
        </w:tc>
      </w:tr>
      <w:tr w:rsidRPr="00742D9E" w:rsidR="00B04AB6" w:rsidTr="00B04AB6" w14:paraId="0734009A" w14:textId="77777777">
        <w:trPr>
          <w:trHeight w:val="331"/>
        </w:trPr>
        <w:tc>
          <w:tcPr>
            <w:tcW w:w="2155" w:type="dxa"/>
            <w:hideMark/>
          </w:tcPr>
          <w:p w:rsidRPr="00742D9E" w:rsidR="00B04AB6" w:rsidP="00B04AB6" w:rsidRDefault="00B04AB6" w14:paraId="52BD9C45" w14:textId="77777777">
            <w:pPr>
              <w:pStyle w:val="Tabletext"/>
              <w:spacing w:after="40" w:line="240" w:lineRule="auto"/>
            </w:pPr>
            <w:r w:rsidRPr="00742D9E">
              <w:t>Net-to-gross ID</w:t>
            </w:r>
          </w:p>
        </w:tc>
        <w:tc>
          <w:tcPr>
            <w:tcW w:w="1980" w:type="dxa"/>
            <w:noWrap/>
            <w:hideMark/>
          </w:tcPr>
          <w:p w:rsidRPr="00742D9E" w:rsidR="00B04AB6" w:rsidP="00B04AB6" w:rsidRDefault="00B04AB6" w14:paraId="4F20E659" w14:textId="77777777">
            <w:pPr>
              <w:pStyle w:val="Tabletext"/>
              <w:spacing w:after="40" w:line="240" w:lineRule="auto"/>
            </w:pPr>
            <w:r w:rsidRPr="00742D9E">
              <w:t>NTG_ID</w:t>
            </w:r>
          </w:p>
        </w:tc>
        <w:tc>
          <w:tcPr>
            <w:tcW w:w="2430" w:type="dxa"/>
            <w:hideMark/>
          </w:tcPr>
          <w:p w:rsidRPr="00742D9E" w:rsidR="00B04AB6" w:rsidP="00B04AB6" w:rsidRDefault="00B04AB6" w14:paraId="3C31B1A9" w14:textId="77777777">
            <w:pPr>
              <w:pStyle w:val="Tabletext"/>
              <w:spacing w:after="40" w:line="240" w:lineRule="auto"/>
            </w:pPr>
            <w:r w:rsidRPr="00742D9E">
              <w:t>NTG_ID</w:t>
            </w:r>
          </w:p>
        </w:tc>
        <w:tc>
          <w:tcPr>
            <w:tcW w:w="1350" w:type="dxa"/>
          </w:tcPr>
          <w:p w:rsidRPr="00742D9E" w:rsidR="00B04AB6" w:rsidP="00B04AB6" w:rsidRDefault="00B04AB6" w14:paraId="59796541" w14:textId="77777777">
            <w:pPr>
              <w:pStyle w:val="Tabletext"/>
              <w:spacing w:after="40" w:line="240" w:lineRule="auto"/>
            </w:pPr>
            <w:r w:rsidRPr="0063311C">
              <w:t>Meets Standard</w:t>
            </w:r>
          </w:p>
        </w:tc>
        <w:tc>
          <w:tcPr>
            <w:tcW w:w="1890" w:type="dxa"/>
            <w:hideMark/>
          </w:tcPr>
          <w:p w:rsidRPr="00742D9E" w:rsidR="00B04AB6" w:rsidP="00B04AB6" w:rsidRDefault="00B04AB6" w14:paraId="212E45AF" w14:textId="77777777">
            <w:pPr>
              <w:pStyle w:val="Tabletext"/>
              <w:spacing w:after="40" w:line="240" w:lineRule="auto"/>
              <w:jc w:val="center"/>
            </w:pPr>
            <w:r w:rsidRPr="00742D9E">
              <w:t>TRUE</w:t>
            </w:r>
          </w:p>
        </w:tc>
      </w:tr>
      <w:tr w:rsidRPr="00742D9E" w:rsidR="00B04AB6" w:rsidTr="00B04AB6" w14:paraId="53203CF8" w14:textId="77777777">
        <w:trPr>
          <w:trHeight w:val="331"/>
        </w:trPr>
        <w:tc>
          <w:tcPr>
            <w:tcW w:w="2155" w:type="dxa"/>
            <w:hideMark/>
          </w:tcPr>
          <w:p w:rsidRPr="00742D9E" w:rsidR="00B04AB6" w:rsidP="00B04AB6" w:rsidRDefault="00B04AB6" w14:paraId="7107C5FF" w14:textId="77777777">
            <w:pPr>
              <w:pStyle w:val="Tabletext"/>
              <w:spacing w:after="40" w:line="240" w:lineRule="auto"/>
            </w:pPr>
            <w:r w:rsidRPr="00742D9E">
              <w:t>Measure Impact Type (MIT)</w:t>
            </w:r>
          </w:p>
        </w:tc>
        <w:tc>
          <w:tcPr>
            <w:tcW w:w="1980" w:type="dxa"/>
            <w:noWrap/>
            <w:hideMark/>
          </w:tcPr>
          <w:p w:rsidRPr="00742D9E" w:rsidR="00B04AB6" w:rsidP="00B04AB6" w:rsidRDefault="00B04AB6" w14:paraId="5243AE5D" w14:textId="77777777">
            <w:pPr>
              <w:pStyle w:val="Tabletext"/>
              <w:spacing w:after="40" w:line="240" w:lineRule="auto"/>
            </w:pPr>
            <w:proofErr w:type="spellStart"/>
            <w:r w:rsidRPr="00742D9E">
              <w:t>MeasImpactType</w:t>
            </w:r>
            <w:proofErr w:type="spellEnd"/>
          </w:p>
        </w:tc>
        <w:tc>
          <w:tcPr>
            <w:tcW w:w="2430" w:type="dxa"/>
            <w:hideMark/>
          </w:tcPr>
          <w:p w:rsidRPr="00742D9E" w:rsidR="00B04AB6" w:rsidP="00B04AB6" w:rsidRDefault="00B04AB6" w14:paraId="098500D4" w14:textId="77777777">
            <w:pPr>
              <w:pStyle w:val="Tabletext"/>
              <w:spacing w:after="40" w:line="240" w:lineRule="auto"/>
            </w:pPr>
            <w:proofErr w:type="spellStart"/>
            <w:r w:rsidRPr="00742D9E">
              <w:t>MeasImpactType</w:t>
            </w:r>
            <w:proofErr w:type="spellEnd"/>
          </w:p>
        </w:tc>
        <w:tc>
          <w:tcPr>
            <w:tcW w:w="1350" w:type="dxa"/>
          </w:tcPr>
          <w:p w:rsidRPr="00742D9E" w:rsidR="00B04AB6" w:rsidP="00B04AB6" w:rsidRDefault="00B04AB6" w14:paraId="4E7D6CBA" w14:textId="77777777">
            <w:pPr>
              <w:pStyle w:val="Tabletext"/>
              <w:spacing w:after="40" w:line="240" w:lineRule="auto"/>
            </w:pPr>
            <w:r w:rsidRPr="0063311C">
              <w:t>Meets Standard</w:t>
            </w:r>
          </w:p>
        </w:tc>
        <w:tc>
          <w:tcPr>
            <w:tcW w:w="1890" w:type="dxa"/>
            <w:hideMark/>
          </w:tcPr>
          <w:p w:rsidRPr="00742D9E" w:rsidR="00B04AB6" w:rsidP="00B04AB6" w:rsidRDefault="00B04AB6" w14:paraId="3CC0FFC0" w14:textId="77777777">
            <w:pPr>
              <w:pStyle w:val="Tabletext"/>
              <w:spacing w:after="40" w:line="240" w:lineRule="auto"/>
              <w:jc w:val="center"/>
            </w:pPr>
            <w:r w:rsidRPr="00742D9E">
              <w:t>TRUE</w:t>
            </w:r>
          </w:p>
        </w:tc>
      </w:tr>
      <w:tr w:rsidRPr="00742D9E" w:rsidR="00B04AB6" w:rsidTr="00B04AB6" w14:paraId="5D72ED68" w14:textId="77777777">
        <w:trPr>
          <w:trHeight w:val="331"/>
        </w:trPr>
        <w:tc>
          <w:tcPr>
            <w:tcW w:w="2155" w:type="dxa"/>
            <w:hideMark/>
          </w:tcPr>
          <w:p w:rsidRPr="00742D9E" w:rsidR="00B04AB6" w:rsidP="00B04AB6" w:rsidRDefault="00B04AB6" w14:paraId="16CFD63B" w14:textId="77777777">
            <w:pPr>
              <w:pStyle w:val="Tabletext"/>
              <w:spacing w:after="40" w:line="240" w:lineRule="auto"/>
            </w:pPr>
            <w:r w:rsidRPr="00742D9E">
              <w:t>Start date of measure, etc.</w:t>
            </w:r>
          </w:p>
        </w:tc>
        <w:tc>
          <w:tcPr>
            <w:tcW w:w="1980" w:type="dxa"/>
            <w:noWrap/>
            <w:hideMark/>
          </w:tcPr>
          <w:p w:rsidRPr="00742D9E" w:rsidR="00B04AB6" w:rsidP="00B04AB6" w:rsidRDefault="00B04AB6" w14:paraId="3E5A4AA2" w14:textId="77777777">
            <w:pPr>
              <w:pStyle w:val="Tabletext"/>
              <w:spacing w:after="40" w:line="240" w:lineRule="auto"/>
            </w:pPr>
            <w:r w:rsidRPr="00742D9E">
              <w:t>StartDate</w:t>
            </w:r>
          </w:p>
        </w:tc>
        <w:tc>
          <w:tcPr>
            <w:tcW w:w="2430" w:type="dxa"/>
            <w:hideMark/>
          </w:tcPr>
          <w:p w:rsidRPr="00742D9E" w:rsidR="00B04AB6" w:rsidP="00B04AB6" w:rsidRDefault="00B04AB6" w14:paraId="28EE0158" w14:textId="77777777">
            <w:pPr>
              <w:pStyle w:val="Tabletext"/>
              <w:spacing w:after="40" w:line="240" w:lineRule="auto"/>
            </w:pPr>
            <w:proofErr w:type="spellStart"/>
            <w:r w:rsidRPr="00742D9E">
              <w:t>Spec_Measure.EffStartDate</w:t>
            </w:r>
            <w:proofErr w:type="spellEnd"/>
          </w:p>
        </w:tc>
        <w:tc>
          <w:tcPr>
            <w:tcW w:w="1350" w:type="dxa"/>
          </w:tcPr>
          <w:p w:rsidRPr="00742D9E" w:rsidR="00B04AB6" w:rsidP="00B04AB6" w:rsidRDefault="00B04AB6" w14:paraId="4DB6544D" w14:textId="77777777">
            <w:pPr>
              <w:pStyle w:val="Tabletext"/>
              <w:spacing w:after="40" w:line="240" w:lineRule="auto"/>
            </w:pPr>
            <w:r w:rsidRPr="0063311C">
              <w:t>Meets Standard</w:t>
            </w:r>
          </w:p>
        </w:tc>
        <w:tc>
          <w:tcPr>
            <w:tcW w:w="1890" w:type="dxa"/>
            <w:hideMark/>
          </w:tcPr>
          <w:p w:rsidRPr="00742D9E" w:rsidR="00B04AB6" w:rsidP="00B04AB6" w:rsidRDefault="00B04AB6" w14:paraId="66CCE4D0" w14:textId="77777777">
            <w:pPr>
              <w:pStyle w:val="Tabletext"/>
              <w:spacing w:after="40" w:line="240" w:lineRule="auto"/>
              <w:jc w:val="center"/>
            </w:pPr>
          </w:p>
        </w:tc>
      </w:tr>
      <w:tr w:rsidRPr="00742D9E" w:rsidR="00B04AB6" w:rsidTr="00B04AB6" w14:paraId="01D55C8C" w14:textId="77777777">
        <w:trPr>
          <w:trHeight w:val="331"/>
        </w:trPr>
        <w:tc>
          <w:tcPr>
            <w:tcW w:w="2155" w:type="dxa"/>
            <w:hideMark/>
          </w:tcPr>
          <w:p w:rsidRPr="00742D9E" w:rsidR="00B04AB6" w:rsidP="00B04AB6" w:rsidRDefault="00B04AB6" w14:paraId="1D0A9390" w14:textId="77777777">
            <w:pPr>
              <w:pStyle w:val="Tabletext"/>
              <w:spacing w:after="40" w:line="240" w:lineRule="auto"/>
            </w:pPr>
            <w:r w:rsidRPr="00742D9E">
              <w:t>Expiration date of measure, etc.</w:t>
            </w:r>
          </w:p>
        </w:tc>
        <w:tc>
          <w:tcPr>
            <w:tcW w:w="1980" w:type="dxa"/>
            <w:noWrap/>
            <w:hideMark/>
          </w:tcPr>
          <w:p w:rsidRPr="00742D9E" w:rsidR="00B04AB6" w:rsidP="00B04AB6" w:rsidRDefault="00B04AB6" w14:paraId="39CBBA8D" w14:textId="77777777">
            <w:pPr>
              <w:pStyle w:val="Tabletext"/>
              <w:spacing w:after="40" w:line="240" w:lineRule="auto"/>
            </w:pPr>
            <w:proofErr w:type="spellStart"/>
            <w:r w:rsidRPr="00742D9E">
              <w:t>ExpiryDate</w:t>
            </w:r>
            <w:proofErr w:type="spellEnd"/>
          </w:p>
        </w:tc>
        <w:tc>
          <w:tcPr>
            <w:tcW w:w="2430" w:type="dxa"/>
            <w:hideMark/>
          </w:tcPr>
          <w:p w:rsidRPr="00742D9E" w:rsidR="00B04AB6" w:rsidP="00B04AB6" w:rsidRDefault="00B04AB6" w14:paraId="57C098C0" w14:textId="77777777">
            <w:pPr>
              <w:pStyle w:val="Tabletext"/>
              <w:spacing w:after="40" w:line="240" w:lineRule="auto"/>
            </w:pPr>
            <w:proofErr w:type="spellStart"/>
            <w:r w:rsidRPr="00742D9E">
              <w:t>Spec_Measure.Sunset</w:t>
            </w:r>
            <w:proofErr w:type="spellEnd"/>
            <w:r>
              <w:t xml:space="preserve"> </w:t>
            </w:r>
            <w:r w:rsidRPr="00742D9E">
              <w:t>Date</w:t>
            </w:r>
          </w:p>
        </w:tc>
        <w:tc>
          <w:tcPr>
            <w:tcW w:w="1350" w:type="dxa"/>
          </w:tcPr>
          <w:p w:rsidRPr="00742D9E" w:rsidR="00B04AB6" w:rsidP="00B04AB6" w:rsidRDefault="00B04AB6" w14:paraId="12B0DC50" w14:textId="77777777">
            <w:pPr>
              <w:pStyle w:val="Tabletext"/>
              <w:spacing w:after="40" w:line="240" w:lineRule="auto"/>
            </w:pPr>
            <w:r w:rsidRPr="0063311C">
              <w:t>Meets Standard</w:t>
            </w:r>
          </w:p>
        </w:tc>
        <w:tc>
          <w:tcPr>
            <w:tcW w:w="1890" w:type="dxa"/>
            <w:hideMark/>
          </w:tcPr>
          <w:p w:rsidRPr="00742D9E" w:rsidR="00B04AB6" w:rsidP="00B04AB6" w:rsidRDefault="00B04AB6" w14:paraId="2600A562" w14:textId="77777777">
            <w:pPr>
              <w:pStyle w:val="Tabletext"/>
              <w:spacing w:after="40" w:line="240" w:lineRule="auto"/>
              <w:jc w:val="center"/>
            </w:pPr>
          </w:p>
        </w:tc>
      </w:tr>
      <w:tr w:rsidRPr="00742D9E" w:rsidR="00B04AB6" w:rsidTr="00B04AB6" w14:paraId="1855CE1B" w14:textId="77777777">
        <w:trPr>
          <w:trHeight w:val="331"/>
        </w:trPr>
        <w:tc>
          <w:tcPr>
            <w:tcW w:w="2155" w:type="dxa"/>
            <w:hideMark/>
          </w:tcPr>
          <w:p w:rsidRPr="00742D9E" w:rsidR="00B04AB6" w:rsidP="00B04AB6" w:rsidRDefault="00B04AB6" w14:paraId="714C2652" w14:textId="77777777">
            <w:pPr>
              <w:pStyle w:val="Tabletext"/>
              <w:spacing w:after="40" w:line="240" w:lineRule="auto"/>
            </w:pPr>
            <w:r w:rsidRPr="00742D9E">
              <w:t>Energy impact ID</w:t>
            </w:r>
          </w:p>
        </w:tc>
        <w:tc>
          <w:tcPr>
            <w:tcW w:w="1980" w:type="dxa"/>
            <w:noWrap/>
            <w:hideMark/>
          </w:tcPr>
          <w:p w:rsidRPr="00742D9E" w:rsidR="00B04AB6" w:rsidP="00B04AB6" w:rsidRDefault="00B04AB6" w14:paraId="1167123A" w14:textId="77777777">
            <w:pPr>
              <w:pStyle w:val="Tabletext"/>
              <w:spacing w:after="40" w:line="240" w:lineRule="auto"/>
            </w:pPr>
            <w:proofErr w:type="spellStart"/>
            <w:r w:rsidRPr="00742D9E">
              <w:t>EnergyImpactID</w:t>
            </w:r>
            <w:proofErr w:type="spellEnd"/>
          </w:p>
        </w:tc>
        <w:tc>
          <w:tcPr>
            <w:tcW w:w="2430" w:type="dxa"/>
            <w:hideMark/>
          </w:tcPr>
          <w:p w:rsidRPr="00742D9E" w:rsidR="00B04AB6" w:rsidP="00B04AB6" w:rsidRDefault="00B04AB6" w14:paraId="3A32FDFB" w14:textId="77777777">
            <w:pPr>
              <w:pStyle w:val="Tabletext"/>
              <w:spacing w:after="40" w:line="240" w:lineRule="auto"/>
            </w:pPr>
            <w:proofErr w:type="spellStart"/>
            <w:r w:rsidRPr="00742D9E">
              <w:t>EnergyImpactID</w:t>
            </w:r>
            <w:proofErr w:type="spellEnd"/>
          </w:p>
        </w:tc>
        <w:tc>
          <w:tcPr>
            <w:tcW w:w="1350" w:type="dxa"/>
          </w:tcPr>
          <w:p w:rsidRPr="00742D9E" w:rsidR="00B04AB6" w:rsidP="00B04AB6" w:rsidRDefault="00B04AB6" w14:paraId="514667E4" w14:textId="77777777">
            <w:pPr>
              <w:pStyle w:val="Tabletext"/>
              <w:spacing w:after="40" w:line="240" w:lineRule="auto"/>
            </w:pPr>
            <w:r w:rsidRPr="0063311C">
              <w:t>Meets Standard</w:t>
            </w:r>
          </w:p>
        </w:tc>
        <w:tc>
          <w:tcPr>
            <w:tcW w:w="1890" w:type="dxa"/>
            <w:hideMark/>
          </w:tcPr>
          <w:p w:rsidRPr="00742D9E" w:rsidR="00B04AB6" w:rsidP="00B04AB6" w:rsidRDefault="00B04AB6" w14:paraId="150C6A46" w14:textId="77777777">
            <w:pPr>
              <w:pStyle w:val="Tabletext"/>
              <w:spacing w:after="40" w:line="240" w:lineRule="auto"/>
              <w:jc w:val="center"/>
            </w:pPr>
          </w:p>
        </w:tc>
      </w:tr>
      <w:tr w:rsidRPr="00742D9E" w:rsidR="00B04AB6" w:rsidTr="00B04AB6" w14:paraId="0682790C" w14:textId="77777777">
        <w:trPr>
          <w:trHeight w:val="331"/>
        </w:trPr>
        <w:tc>
          <w:tcPr>
            <w:tcW w:w="2155" w:type="dxa"/>
            <w:hideMark/>
          </w:tcPr>
          <w:p w:rsidRPr="00742D9E" w:rsidR="00B04AB6" w:rsidP="00B04AB6" w:rsidRDefault="00B04AB6" w14:paraId="2ED0B102" w14:textId="77777777">
            <w:pPr>
              <w:pStyle w:val="Tabletext"/>
              <w:spacing w:after="40" w:line="240" w:lineRule="auto"/>
            </w:pPr>
            <w:r w:rsidRPr="00742D9E">
              <w:t>Flag for interactive effects</w:t>
            </w:r>
          </w:p>
        </w:tc>
        <w:tc>
          <w:tcPr>
            <w:tcW w:w="1980" w:type="dxa"/>
            <w:noWrap/>
            <w:hideMark/>
          </w:tcPr>
          <w:p w:rsidRPr="00742D9E" w:rsidR="00B04AB6" w:rsidP="00B04AB6" w:rsidRDefault="00B04AB6" w14:paraId="17237358" w14:textId="77777777">
            <w:pPr>
              <w:pStyle w:val="Tabletext"/>
              <w:spacing w:after="40" w:line="240" w:lineRule="auto"/>
            </w:pPr>
            <w:proofErr w:type="spellStart"/>
            <w:r w:rsidRPr="00742D9E">
              <w:t>ApplyIE</w:t>
            </w:r>
            <w:proofErr w:type="spellEnd"/>
          </w:p>
        </w:tc>
        <w:tc>
          <w:tcPr>
            <w:tcW w:w="2430" w:type="dxa"/>
            <w:hideMark/>
          </w:tcPr>
          <w:p w:rsidRPr="00742D9E" w:rsidR="00B04AB6" w:rsidP="00B04AB6" w:rsidRDefault="00B04AB6" w14:paraId="460CB3BC" w14:textId="77777777">
            <w:pPr>
              <w:pStyle w:val="Tabletext"/>
              <w:spacing w:after="40" w:line="240" w:lineRule="auto"/>
            </w:pPr>
            <w:proofErr w:type="spellStart"/>
            <w:r w:rsidRPr="00742D9E">
              <w:t>IE_Applicable</w:t>
            </w:r>
            <w:proofErr w:type="spellEnd"/>
          </w:p>
        </w:tc>
        <w:tc>
          <w:tcPr>
            <w:tcW w:w="1350" w:type="dxa"/>
          </w:tcPr>
          <w:p w:rsidRPr="00742D9E" w:rsidR="00B04AB6" w:rsidP="00B04AB6" w:rsidRDefault="00B04AB6" w14:paraId="7058190C" w14:textId="77777777">
            <w:pPr>
              <w:pStyle w:val="Tabletext"/>
              <w:spacing w:after="40" w:line="240" w:lineRule="auto"/>
            </w:pPr>
            <w:r w:rsidRPr="0063311C">
              <w:t>Meets Standard</w:t>
            </w:r>
          </w:p>
        </w:tc>
        <w:tc>
          <w:tcPr>
            <w:tcW w:w="1890" w:type="dxa"/>
            <w:hideMark/>
          </w:tcPr>
          <w:p w:rsidRPr="00742D9E" w:rsidR="00B04AB6" w:rsidP="00B04AB6" w:rsidRDefault="00B04AB6" w14:paraId="7EC5D4D2" w14:textId="77777777">
            <w:pPr>
              <w:pStyle w:val="Tabletext"/>
              <w:spacing w:after="40" w:line="240" w:lineRule="auto"/>
              <w:jc w:val="center"/>
            </w:pPr>
          </w:p>
        </w:tc>
      </w:tr>
      <w:tr w:rsidRPr="00742D9E" w:rsidR="00B04AB6" w:rsidTr="00B04AB6" w14:paraId="13D94C5B" w14:textId="77777777">
        <w:trPr>
          <w:trHeight w:val="331"/>
        </w:trPr>
        <w:tc>
          <w:tcPr>
            <w:tcW w:w="2155" w:type="dxa"/>
            <w:hideMark/>
          </w:tcPr>
          <w:p w:rsidRPr="00742D9E" w:rsidR="00B04AB6" w:rsidP="00B04AB6" w:rsidRDefault="00B04AB6" w14:paraId="566A8578" w14:textId="77777777">
            <w:pPr>
              <w:pStyle w:val="Tabletext"/>
              <w:spacing w:after="40" w:line="240" w:lineRule="auto"/>
            </w:pPr>
            <w:r w:rsidRPr="00742D9E">
              <w:t>Interactive effects table</w:t>
            </w:r>
          </w:p>
        </w:tc>
        <w:tc>
          <w:tcPr>
            <w:tcW w:w="1980" w:type="dxa"/>
            <w:noWrap/>
            <w:hideMark/>
          </w:tcPr>
          <w:p w:rsidRPr="00742D9E" w:rsidR="00B04AB6" w:rsidP="00B04AB6" w:rsidRDefault="00B04AB6" w14:paraId="4F8F2AB4" w14:textId="77777777">
            <w:pPr>
              <w:pStyle w:val="Tabletext"/>
              <w:spacing w:after="40" w:line="240" w:lineRule="auto"/>
            </w:pPr>
            <w:proofErr w:type="spellStart"/>
            <w:r w:rsidRPr="00742D9E">
              <w:t>IETableName</w:t>
            </w:r>
            <w:proofErr w:type="spellEnd"/>
          </w:p>
        </w:tc>
        <w:tc>
          <w:tcPr>
            <w:tcW w:w="2430" w:type="dxa"/>
            <w:hideMark/>
          </w:tcPr>
          <w:p w:rsidRPr="00742D9E" w:rsidR="00B04AB6" w:rsidP="00B04AB6" w:rsidRDefault="00B04AB6" w14:paraId="42661AA0" w14:textId="77777777">
            <w:pPr>
              <w:pStyle w:val="Tabletext"/>
              <w:spacing w:after="40" w:line="240" w:lineRule="auto"/>
            </w:pPr>
            <w:proofErr w:type="spellStart"/>
            <w:r w:rsidRPr="00742D9E">
              <w:t>IETableName</w:t>
            </w:r>
            <w:proofErr w:type="spellEnd"/>
          </w:p>
        </w:tc>
        <w:tc>
          <w:tcPr>
            <w:tcW w:w="1350" w:type="dxa"/>
          </w:tcPr>
          <w:p w:rsidRPr="00742D9E" w:rsidR="00B04AB6" w:rsidP="00B04AB6" w:rsidRDefault="00B04AB6" w14:paraId="621840CB" w14:textId="77777777">
            <w:pPr>
              <w:pStyle w:val="Tabletext"/>
              <w:spacing w:after="40" w:line="240" w:lineRule="auto"/>
            </w:pPr>
            <w:r w:rsidRPr="0063311C">
              <w:t>Meets Standard</w:t>
            </w:r>
          </w:p>
        </w:tc>
        <w:tc>
          <w:tcPr>
            <w:tcW w:w="1890" w:type="dxa"/>
            <w:hideMark/>
          </w:tcPr>
          <w:p w:rsidRPr="00742D9E" w:rsidR="00B04AB6" w:rsidP="00B04AB6" w:rsidRDefault="00B04AB6" w14:paraId="577A8F53" w14:textId="77777777">
            <w:pPr>
              <w:pStyle w:val="Tabletext"/>
              <w:spacing w:after="40" w:line="240" w:lineRule="auto"/>
              <w:jc w:val="center"/>
            </w:pPr>
          </w:p>
        </w:tc>
      </w:tr>
      <w:tr w:rsidRPr="00742D9E" w:rsidR="00B04AB6" w:rsidTr="00B04AB6" w14:paraId="452C3CCA" w14:textId="77777777">
        <w:trPr>
          <w:trHeight w:val="331"/>
        </w:trPr>
        <w:tc>
          <w:tcPr>
            <w:tcW w:w="2155" w:type="dxa"/>
            <w:hideMark/>
          </w:tcPr>
          <w:p w:rsidRPr="00742D9E" w:rsidR="00B04AB6" w:rsidP="00B04AB6" w:rsidRDefault="00B04AB6" w14:paraId="1252F370" w14:textId="77777777">
            <w:pPr>
              <w:pStyle w:val="Tabletext"/>
              <w:spacing w:after="40" w:line="240" w:lineRule="auto"/>
            </w:pPr>
            <w:r w:rsidRPr="00742D9E">
              <w:t>Energy Impact Calculation Type</w:t>
            </w:r>
          </w:p>
        </w:tc>
        <w:tc>
          <w:tcPr>
            <w:tcW w:w="1980" w:type="dxa"/>
            <w:noWrap/>
            <w:hideMark/>
          </w:tcPr>
          <w:p w:rsidRPr="00742D9E" w:rsidR="00B04AB6" w:rsidP="00B04AB6" w:rsidRDefault="00B04AB6" w14:paraId="1351C1E4" w14:textId="77777777">
            <w:pPr>
              <w:pStyle w:val="Tabletext"/>
              <w:spacing w:after="40" w:line="240" w:lineRule="auto"/>
            </w:pPr>
            <w:proofErr w:type="spellStart"/>
            <w:r w:rsidRPr="00742D9E">
              <w:t>EnImpCalcType</w:t>
            </w:r>
            <w:proofErr w:type="spellEnd"/>
          </w:p>
        </w:tc>
        <w:tc>
          <w:tcPr>
            <w:tcW w:w="2430" w:type="dxa"/>
            <w:hideMark/>
          </w:tcPr>
          <w:p w:rsidRPr="00742D9E" w:rsidR="00B04AB6" w:rsidP="00B04AB6" w:rsidRDefault="00B04AB6" w14:paraId="42881621" w14:textId="77777777">
            <w:pPr>
              <w:pStyle w:val="Tabletext"/>
              <w:spacing w:after="40" w:line="240" w:lineRule="auto"/>
            </w:pPr>
            <w:proofErr w:type="spellStart"/>
            <w:r w:rsidRPr="00742D9E">
              <w:t>MeasImpactCalcType</w:t>
            </w:r>
            <w:proofErr w:type="spellEnd"/>
          </w:p>
        </w:tc>
        <w:tc>
          <w:tcPr>
            <w:tcW w:w="1350" w:type="dxa"/>
          </w:tcPr>
          <w:p w:rsidRPr="00742D9E" w:rsidR="00B04AB6" w:rsidP="00B04AB6" w:rsidRDefault="00B04AB6" w14:paraId="79C5C2B5" w14:textId="77777777">
            <w:pPr>
              <w:pStyle w:val="Tabletext"/>
              <w:spacing w:after="40" w:line="240" w:lineRule="auto"/>
            </w:pPr>
            <w:r w:rsidRPr="0063311C">
              <w:t>Meets Standard</w:t>
            </w:r>
          </w:p>
        </w:tc>
        <w:tc>
          <w:tcPr>
            <w:tcW w:w="1890" w:type="dxa"/>
            <w:hideMark/>
          </w:tcPr>
          <w:p w:rsidRPr="00742D9E" w:rsidR="00B04AB6" w:rsidP="00B04AB6" w:rsidRDefault="00B04AB6" w14:paraId="32CB87F9" w14:textId="77777777">
            <w:pPr>
              <w:pStyle w:val="Tabletext"/>
              <w:spacing w:after="40" w:line="240" w:lineRule="auto"/>
              <w:jc w:val="center"/>
            </w:pPr>
            <w:r w:rsidRPr="00742D9E">
              <w:t>TRUE</w:t>
            </w:r>
          </w:p>
        </w:tc>
      </w:tr>
      <w:tr w:rsidRPr="00742D9E" w:rsidR="00B04AB6" w:rsidTr="00B04AB6" w14:paraId="2D091794" w14:textId="77777777">
        <w:trPr>
          <w:trHeight w:val="331"/>
        </w:trPr>
        <w:tc>
          <w:tcPr>
            <w:tcW w:w="2155" w:type="dxa"/>
            <w:hideMark/>
          </w:tcPr>
          <w:p w:rsidRPr="00742D9E" w:rsidR="00B04AB6" w:rsidP="00B04AB6" w:rsidRDefault="00B04AB6" w14:paraId="4D24E959" w14:textId="77777777">
            <w:pPr>
              <w:pStyle w:val="Tabletext"/>
              <w:spacing w:after="40" w:line="240" w:lineRule="auto"/>
            </w:pPr>
            <w:r w:rsidRPr="00742D9E">
              <w:t>First baseline kW savings</w:t>
            </w:r>
          </w:p>
        </w:tc>
        <w:tc>
          <w:tcPr>
            <w:tcW w:w="1980" w:type="dxa"/>
            <w:hideMark/>
          </w:tcPr>
          <w:p w:rsidRPr="00742D9E" w:rsidR="00B04AB6" w:rsidP="00B04AB6" w:rsidRDefault="00B04AB6" w14:paraId="1C18DE9D" w14:textId="77777777">
            <w:pPr>
              <w:pStyle w:val="Tabletext"/>
              <w:spacing w:after="40" w:line="240" w:lineRule="auto"/>
            </w:pPr>
            <w:proofErr w:type="spellStart"/>
            <w:r w:rsidRPr="00742D9E">
              <w:t>APreWBkW</w:t>
            </w:r>
            <w:proofErr w:type="spellEnd"/>
            <w:r w:rsidRPr="00742D9E">
              <w:br/>
            </w:r>
            <w:proofErr w:type="spellStart"/>
            <w:r w:rsidRPr="00742D9E">
              <w:t>APreEUkW</w:t>
            </w:r>
            <w:proofErr w:type="spellEnd"/>
          </w:p>
        </w:tc>
        <w:tc>
          <w:tcPr>
            <w:tcW w:w="2430" w:type="dxa"/>
            <w:hideMark/>
          </w:tcPr>
          <w:p w:rsidRPr="00742D9E" w:rsidR="00B04AB6" w:rsidP="00B04AB6" w:rsidRDefault="00B04AB6" w14:paraId="0120FA5E" w14:textId="77777777">
            <w:pPr>
              <w:pStyle w:val="Tabletext"/>
              <w:spacing w:after="40" w:line="240" w:lineRule="auto"/>
            </w:pPr>
            <w:r w:rsidRPr="00742D9E">
              <w:t>UnitkW1stBaseline</w:t>
            </w:r>
          </w:p>
        </w:tc>
        <w:tc>
          <w:tcPr>
            <w:tcW w:w="1350" w:type="dxa"/>
          </w:tcPr>
          <w:p w:rsidRPr="00742D9E" w:rsidR="00B04AB6" w:rsidP="00B04AB6" w:rsidRDefault="00B04AB6" w14:paraId="693186A4" w14:textId="77777777">
            <w:pPr>
              <w:pStyle w:val="Tabletext"/>
              <w:spacing w:after="40" w:line="240" w:lineRule="auto"/>
            </w:pPr>
            <w:r w:rsidRPr="0063311C">
              <w:t>Meets Standard</w:t>
            </w:r>
          </w:p>
        </w:tc>
        <w:tc>
          <w:tcPr>
            <w:tcW w:w="1890" w:type="dxa"/>
            <w:hideMark/>
          </w:tcPr>
          <w:p w:rsidRPr="00742D9E" w:rsidR="00B04AB6" w:rsidP="00B04AB6" w:rsidRDefault="00B04AB6" w14:paraId="2C073F03" w14:textId="77777777">
            <w:pPr>
              <w:pStyle w:val="Tabletext"/>
              <w:spacing w:after="40" w:line="240" w:lineRule="auto"/>
              <w:jc w:val="center"/>
            </w:pPr>
          </w:p>
        </w:tc>
      </w:tr>
      <w:tr w:rsidRPr="00742D9E" w:rsidR="00B04AB6" w:rsidTr="00B04AB6" w14:paraId="55F8245D" w14:textId="77777777">
        <w:trPr>
          <w:trHeight w:val="331"/>
        </w:trPr>
        <w:tc>
          <w:tcPr>
            <w:tcW w:w="2155" w:type="dxa"/>
            <w:hideMark/>
          </w:tcPr>
          <w:p w:rsidRPr="00742D9E" w:rsidR="00B04AB6" w:rsidP="00B04AB6" w:rsidRDefault="00B04AB6" w14:paraId="50DA592A" w14:textId="77777777">
            <w:pPr>
              <w:pStyle w:val="Tabletext"/>
              <w:spacing w:after="40" w:line="240" w:lineRule="auto"/>
            </w:pPr>
            <w:r w:rsidRPr="00742D9E">
              <w:t>First baseline kWh savings</w:t>
            </w:r>
          </w:p>
        </w:tc>
        <w:tc>
          <w:tcPr>
            <w:tcW w:w="1980" w:type="dxa"/>
            <w:hideMark/>
          </w:tcPr>
          <w:p w:rsidRPr="00742D9E" w:rsidR="00B04AB6" w:rsidP="00B04AB6" w:rsidRDefault="00B04AB6" w14:paraId="639B7646" w14:textId="77777777">
            <w:pPr>
              <w:pStyle w:val="Tabletext"/>
              <w:spacing w:after="40" w:line="240" w:lineRule="auto"/>
            </w:pPr>
            <w:proofErr w:type="spellStart"/>
            <w:r w:rsidRPr="00742D9E">
              <w:t>APreWBkWh</w:t>
            </w:r>
            <w:proofErr w:type="spellEnd"/>
            <w:r w:rsidRPr="00742D9E">
              <w:br/>
            </w:r>
            <w:proofErr w:type="spellStart"/>
            <w:r w:rsidRPr="00742D9E">
              <w:t>APreEUkWh</w:t>
            </w:r>
            <w:proofErr w:type="spellEnd"/>
          </w:p>
        </w:tc>
        <w:tc>
          <w:tcPr>
            <w:tcW w:w="2430" w:type="dxa"/>
            <w:hideMark/>
          </w:tcPr>
          <w:p w:rsidRPr="00742D9E" w:rsidR="00B04AB6" w:rsidP="00B04AB6" w:rsidRDefault="00B04AB6" w14:paraId="5E154959" w14:textId="77777777">
            <w:pPr>
              <w:pStyle w:val="Tabletext"/>
              <w:spacing w:after="40" w:line="240" w:lineRule="auto"/>
            </w:pPr>
            <w:r w:rsidRPr="00742D9E">
              <w:t>UnitkWh1stBaseline</w:t>
            </w:r>
          </w:p>
        </w:tc>
        <w:tc>
          <w:tcPr>
            <w:tcW w:w="1350" w:type="dxa"/>
          </w:tcPr>
          <w:p w:rsidRPr="00742D9E" w:rsidR="00B04AB6" w:rsidP="00B04AB6" w:rsidRDefault="00B04AB6" w14:paraId="71ABC714" w14:textId="77777777">
            <w:pPr>
              <w:pStyle w:val="Tabletext"/>
              <w:spacing w:after="40" w:line="240" w:lineRule="auto"/>
            </w:pPr>
            <w:r w:rsidRPr="0063311C">
              <w:t>Meets Standard</w:t>
            </w:r>
          </w:p>
        </w:tc>
        <w:tc>
          <w:tcPr>
            <w:tcW w:w="1890" w:type="dxa"/>
            <w:hideMark/>
          </w:tcPr>
          <w:p w:rsidRPr="00742D9E" w:rsidR="00B04AB6" w:rsidP="00B04AB6" w:rsidRDefault="00B04AB6" w14:paraId="66012BBF" w14:textId="77777777">
            <w:pPr>
              <w:pStyle w:val="Tabletext"/>
              <w:spacing w:after="40" w:line="240" w:lineRule="auto"/>
              <w:jc w:val="center"/>
            </w:pPr>
          </w:p>
        </w:tc>
      </w:tr>
      <w:tr w:rsidRPr="00742D9E" w:rsidR="00B04AB6" w:rsidTr="00B04AB6" w14:paraId="328CF2B7" w14:textId="77777777">
        <w:trPr>
          <w:trHeight w:val="331"/>
        </w:trPr>
        <w:tc>
          <w:tcPr>
            <w:tcW w:w="2155" w:type="dxa"/>
            <w:hideMark/>
          </w:tcPr>
          <w:p w:rsidRPr="00742D9E" w:rsidR="00B04AB6" w:rsidP="00B04AB6" w:rsidRDefault="00B04AB6" w14:paraId="2B97E5CB" w14:textId="77777777">
            <w:pPr>
              <w:pStyle w:val="Tabletext"/>
              <w:spacing w:after="40" w:line="240" w:lineRule="auto"/>
            </w:pPr>
            <w:r w:rsidRPr="00742D9E">
              <w:t xml:space="preserve">First baseline </w:t>
            </w:r>
            <w:proofErr w:type="spellStart"/>
            <w:r w:rsidRPr="00742D9E">
              <w:t>therm</w:t>
            </w:r>
            <w:proofErr w:type="spellEnd"/>
            <w:r w:rsidRPr="00742D9E">
              <w:t xml:space="preserve"> savings</w:t>
            </w:r>
          </w:p>
        </w:tc>
        <w:tc>
          <w:tcPr>
            <w:tcW w:w="1980" w:type="dxa"/>
            <w:hideMark/>
          </w:tcPr>
          <w:p w:rsidRPr="00742D9E" w:rsidR="00B04AB6" w:rsidP="00B04AB6" w:rsidRDefault="00B04AB6" w14:paraId="7D5766B2" w14:textId="77777777">
            <w:pPr>
              <w:pStyle w:val="Tabletext"/>
              <w:spacing w:after="40" w:line="240" w:lineRule="auto"/>
            </w:pPr>
            <w:proofErr w:type="spellStart"/>
            <w:r w:rsidRPr="00742D9E">
              <w:t>APreWBtherm</w:t>
            </w:r>
            <w:proofErr w:type="spellEnd"/>
            <w:r w:rsidRPr="00742D9E">
              <w:br/>
            </w:r>
            <w:proofErr w:type="spellStart"/>
            <w:r w:rsidRPr="00742D9E">
              <w:t>APreEUtherm</w:t>
            </w:r>
            <w:proofErr w:type="spellEnd"/>
          </w:p>
        </w:tc>
        <w:tc>
          <w:tcPr>
            <w:tcW w:w="2430" w:type="dxa"/>
            <w:hideMark/>
          </w:tcPr>
          <w:p w:rsidRPr="00742D9E" w:rsidR="00B04AB6" w:rsidP="00B04AB6" w:rsidRDefault="00B04AB6" w14:paraId="1D0BC595" w14:textId="77777777">
            <w:pPr>
              <w:pStyle w:val="Tabletext"/>
              <w:spacing w:after="40" w:line="240" w:lineRule="auto"/>
            </w:pPr>
            <w:r w:rsidRPr="00742D9E">
              <w:t>Unittherm1stBaseline</w:t>
            </w:r>
          </w:p>
        </w:tc>
        <w:tc>
          <w:tcPr>
            <w:tcW w:w="1350" w:type="dxa"/>
          </w:tcPr>
          <w:p w:rsidRPr="00742D9E" w:rsidR="00B04AB6" w:rsidP="00B04AB6" w:rsidRDefault="00B04AB6" w14:paraId="67A7B5F9" w14:textId="77777777">
            <w:pPr>
              <w:pStyle w:val="Tabletext"/>
              <w:spacing w:after="40" w:line="240" w:lineRule="auto"/>
            </w:pPr>
            <w:r w:rsidRPr="0063311C">
              <w:t>Meets Standard</w:t>
            </w:r>
          </w:p>
        </w:tc>
        <w:tc>
          <w:tcPr>
            <w:tcW w:w="1890" w:type="dxa"/>
            <w:hideMark/>
          </w:tcPr>
          <w:p w:rsidRPr="00742D9E" w:rsidR="00B04AB6" w:rsidP="00B04AB6" w:rsidRDefault="00B04AB6" w14:paraId="27FD1149" w14:textId="77777777">
            <w:pPr>
              <w:pStyle w:val="Tabletext"/>
              <w:spacing w:after="40" w:line="240" w:lineRule="auto"/>
              <w:jc w:val="center"/>
            </w:pPr>
          </w:p>
        </w:tc>
      </w:tr>
      <w:tr w:rsidRPr="00742D9E" w:rsidR="00B04AB6" w:rsidTr="00B04AB6" w14:paraId="285766A8" w14:textId="77777777">
        <w:trPr>
          <w:trHeight w:val="331"/>
        </w:trPr>
        <w:tc>
          <w:tcPr>
            <w:tcW w:w="2155" w:type="dxa"/>
            <w:hideMark/>
          </w:tcPr>
          <w:p w:rsidRPr="00742D9E" w:rsidR="00B04AB6" w:rsidP="00B04AB6" w:rsidRDefault="00B04AB6" w14:paraId="64481E1C" w14:textId="77777777">
            <w:pPr>
              <w:pStyle w:val="Tabletext"/>
              <w:spacing w:after="40" w:line="240" w:lineRule="auto"/>
            </w:pPr>
            <w:r w:rsidRPr="00742D9E">
              <w:t>Second baseline kW savings</w:t>
            </w:r>
          </w:p>
        </w:tc>
        <w:tc>
          <w:tcPr>
            <w:tcW w:w="1980" w:type="dxa"/>
            <w:hideMark/>
          </w:tcPr>
          <w:p w:rsidRPr="00742D9E" w:rsidR="00B04AB6" w:rsidP="00B04AB6" w:rsidRDefault="00B04AB6" w14:paraId="3DB80AE3" w14:textId="77777777">
            <w:pPr>
              <w:pStyle w:val="Tabletext"/>
              <w:spacing w:after="40" w:line="240" w:lineRule="auto"/>
            </w:pPr>
            <w:proofErr w:type="spellStart"/>
            <w:r w:rsidRPr="00742D9E">
              <w:t>AStdWBkW</w:t>
            </w:r>
            <w:proofErr w:type="spellEnd"/>
            <w:r w:rsidRPr="00742D9E">
              <w:br/>
            </w:r>
            <w:proofErr w:type="spellStart"/>
            <w:r w:rsidRPr="00742D9E">
              <w:t>AStdEUkW</w:t>
            </w:r>
            <w:proofErr w:type="spellEnd"/>
          </w:p>
        </w:tc>
        <w:tc>
          <w:tcPr>
            <w:tcW w:w="2430" w:type="dxa"/>
            <w:hideMark/>
          </w:tcPr>
          <w:p w:rsidRPr="00742D9E" w:rsidR="00B04AB6" w:rsidP="00B04AB6" w:rsidRDefault="00B04AB6" w14:paraId="588683D3" w14:textId="77777777">
            <w:pPr>
              <w:pStyle w:val="Tabletext"/>
              <w:spacing w:after="40" w:line="240" w:lineRule="auto"/>
            </w:pPr>
            <w:r w:rsidRPr="00742D9E">
              <w:t>UnitkW2ndbaseline</w:t>
            </w:r>
          </w:p>
        </w:tc>
        <w:tc>
          <w:tcPr>
            <w:tcW w:w="1350" w:type="dxa"/>
          </w:tcPr>
          <w:p w:rsidRPr="00742D9E" w:rsidR="00B04AB6" w:rsidP="00B04AB6" w:rsidRDefault="00B04AB6" w14:paraId="3B7C1BEE" w14:textId="77777777">
            <w:pPr>
              <w:pStyle w:val="Tabletext"/>
              <w:spacing w:after="40" w:line="240" w:lineRule="auto"/>
            </w:pPr>
            <w:r w:rsidRPr="0063311C">
              <w:t>Meets Standard</w:t>
            </w:r>
          </w:p>
        </w:tc>
        <w:tc>
          <w:tcPr>
            <w:tcW w:w="1890" w:type="dxa"/>
            <w:hideMark/>
          </w:tcPr>
          <w:p w:rsidRPr="00742D9E" w:rsidR="00B04AB6" w:rsidP="00B04AB6" w:rsidRDefault="00B04AB6" w14:paraId="234850FB" w14:textId="77777777">
            <w:pPr>
              <w:pStyle w:val="Tabletext"/>
              <w:spacing w:after="40" w:line="240" w:lineRule="auto"/>
              <w:jc w:val="center"/>
            </w:pPr>
          </w:p>
        </w:tc>
      </w:tr>
      <w:tr w:rsidRPr="00742D9E" w:rsidR="00B04AB6" w:rsidTr="00B04AB6" w14:paraId="752DEC19" w14:textId="77777777">
        <w:trPr>
          <w:trHeight w:val="331"/>
        </w:trPr>
        <w:tc>
          <w:tcPr>
            <w:tcW w:w="2155" w:type="dxa"/>
            <w:hideMark/>
          </w:tcPr>
          <w:p w:rsidRPr="00742D9E" w:rsidR="00B04AB6" w:rsidP="00B04AB6" w:rsidRDefault="00B04AB6" w14:paraId="3C09FAB9" w14:textId="77777777">
            <w:pPr>
              <w:pStyle w:val="Tabletext"/>
              <w:spacing w:after="40" w:line="240" w:lineRule="auto"/>
            </w:pPr>
            <w:r w:rsidRPr="00742D9E">
              <w:t>Second baseline kWh savings</w:t>
            </w:r>
          </w:p>
        </w:tc>
        <w:tc>
          <w:tcPr>
            <w:tcW w:w="1980" w:type="dxa"/>
            <w:hideMark/>
          </w:tcPr>
          <w:p w:rsidRPr="00742D9E" w:rsidR="00B04AB6" w:rsidP="00B04AB6" w:rsidRDefault="00B04AB6" w14:paraId="65E44DD1" w14:textId="77777777">
            <w:pPr>
              <w:pStyle w:val="Tabletext"/>
              <w:spacing w:after="40" w:line="240" w:lineRule="auto"/>
            </w:pPr>
            <w:proofErr w:type="spellStart"/>
            <w:r w:rsidRPr="00742D9E">
              <w:t>AStdWBkWh</w:t>
            </w:r>
            <w:proofErr w:type="spellEnd"/>
            <w:r w:rsidRPr="00742D9E">
              <w:br/>
            </w:r>
            <w:proofErr w:type="spellStart"/>
            <w:r w:rsidRPr="00742D9E">
              <w:t>AStdEUkWh</w:t>
            </w:r>
            <w:proofErr w:type="spellEnd"/>
          </w:p>
        </w:tc>
        <w:tc>
          <w:tcPr>
            <w:tcW w:w="2430" w:type="dxa"/>
            <w:hideMark/>
          </w:tcPr>
          <w:p w:rsidRPr="00742D9E" w:rsidR="00B04AB6" w:rsidP="00B04AB6" w:rsidRDefault="00B04AB6" w14:paraId="028A3720" w14:textId="77777777">
            <w:pPr>
              <w:pStyle w:val="Tabletext"/>
              <w:spacing w:after="40" w:line="240" w:lineRule="auto"/>
            </w:pPr>
            <w:r w:rsidRPr="00742D9E">
              <w:t>UnitkWh2ndbaseline</w:t>
            </w:r>
          </w:p>
        </w:tc>
        <w:tc>
          <w:tcPr>
            <w:tcW w:w="1350" w:type="dxa"/>
          </w:tcPr>
          <w:p w:rsidRPr="00742D9E" w:rsidR="00B04AB6" w:rsidP="00B04AB6" w:rsidRDefault="00B04AB6" w14:paraId="0B718532" w14:textId="77777777">
            <w:pPr>
              <w:pStyle w:val="Tabletext"/>
              <w:spacing w:after="40" w:line="240" w:lineRule="auto"/>
            </w:pPr>
            <w:r w:rsidRPr="0063311C">
              <w:t>Meets Standard</w:t>
            </w:r>
          </w:p>
        </w:tc>
        <w:tc>
          <w:tcPr>
            <w:tcW w:w="1890" w:type="dxa"/>
            <w:hideMark/>
          </w:tcPr>
          <w:p w:rsidRPr="00742D9E" w:rsidR="00B04AB6" w:rsidP="00B04AB6" w:rsidRDefault="00B04AB6" w14:paraId="1D0F75FB" w14:textId="77777777">
            <w:pPr>
              <w:pStyle w:val="Tabletext"/>
              <w:spacing w:after="40" w:line="240" w:lineRule="auto"/>
              <w:jc w:val="center"/>
            </w:pPr>
          </w:p>
        </w:tc>
      </w:tr>
      <w:tr w:rsidRPr="00742D9E" w:rsidR="00B04AB6" w:rsidTr="00B04AB6" w14:paraId="0856B482" w14:textId="77777777">
        <w:trPr>
          <w:trHeight w:val="331"/>
        </w:trPr>
        <w:tc>
          <w:tcPr>
            <w:tcW w:w="2155" w:type="dxa"/>
            <w:hideMark/>
          </w:tcPr>
          <w:p w:rsidRPr="00742D9E" w:rsidR="00B04AB6" w:rsidP="00B04AB6" w:rsidRDefault="00B04AB6" w14:paraId="7DC76870" w14:textId="77777777">
            <w:pPr>
              <w:pStyle w:val="Tabletext"/>
              <w:spacing w:after="40" w:line="240" w:lineRule="auto"/>
            </w:pPr>
            <w:r w:rsidRPr="00742D9E">
              <w:t xml:space="preserve">Second baseline </w:t>
            </w:r>
            <w:proofErr w:type="spellStart"/>
            <w:r w:rsidRPr="00742D9E">
              <w:t>therm</w:t>
            </w:r>
            <w:proofErr w:type="spellEnd"/>
            <w:r w:rsidRPr="00742D9E">
              <w:t xml:space="preserve"> savings</w:t>
            </w:r>
          </w:p>
        </w:tc>
        <w:tc>
          <w:tcPr>
            <w:tcW w:w="1980" w:type="dxa"/>
            <w:hideMark/>
          </w:tcPr>
          <w:p w:rsidRPr="00742D9E" w:rsidR="00B04AB6" w:rsidP="00B04AB6" w:rsidRDefault="00B04AB6" w14:paraId="65FE81C1" w14:textId="77777777">
            <w:pPr>
              <w:pStyle w:val="Tabletext"/>
              <w:spacing w:after="40" w:line="240" w:lineRule="auto"/>
            </w:pPr>
            <w:proofErr w:type="spellStart"/>
            <w:r w:rsidRPr="00742D9E">
              <w:t>AStdWBtherm</w:t>
            </w:r>
            <w:proofErr w:type="spellEnd"/>
            <w:r w:rsidRPr="00742D9E">
              <w:br/>
            </w:r>
            <w:proofErr w:type="spellStart"/>
            <w:r w:rsidRPr="00742D9E">
              <w:t>AStdEUtherm</w:t>
            </w:r>
            <w:proofErr w:type="spellEnd"/>
          </w:p>
        </w:tc>
        <w:tc>
          <w:tcPr>
            <w:tcW w:w="2430" w:type="dxa"/>
            <w:hideMark/>
          </w:tcPr>
          <w:p w:rsidRPr="00742D9E" w:rsidR="00B04AB6" w:rsidP="00B04AB6" w:rsidRDefault="00B04AB6" w14:paraId="6FC4A6B2" w14:textId="77777777">
            <w:pPr>
              <w:pStyle w:val="Tabletext"/>
              <w:spacing w:after="40" w:line="240" w:lineRule="auto"/>
            </w:pPr>
            <w:r w:rsidRPr="00742D9E">
              <w:t>Unittherm2ndbaseline</w:t>
            </w:r>
          </w:p>
        </w:tc>
        <w:tc>
          <w:tcPr>
            <w:tcW w:w="1350" w:type="dxa"/>
          </w:tcPr>
          <w:p w:rsidRPr="00742D9E" w:rsidR="00B04AB6" w:rsidP="00B04AB6" w:rsidRDefault="00B04AB6" w14:paraId="663BF5D8" w14:textId="77777777">
            <w:pPr>
              <w:pStyle w:val="Tabletext"/>
              <w:spacing w:after="40" w:line="240" w:lineRule="auto"/>
            </w:pPr>
            <w:r w:rsidRPr="0063311C">
              <w:t>Meets Standard</w:t>
            </w:r>
          </w:p>
        </w:tc>
        <w:tc>
          <w:tcPr>
            <w:tcW w:w="1890" w:type="dxa"/>
            <w:hideMark/>
          </w:tcPr>
          <w:p w:rsidRPr="00742D9E" w:rsidR="00B04AB6" w:rsidP="00B04AB6" w:rsidRDefault="00B04AB6" w14:paraId="255350FD" w14:textId="77777777">
            <w:pPr>
              <w:pStyle w:val="Tabletext"/>
              <w:spacing w:after="40" w:line="240" w:lineRule="auto"/>
              <w:jc w:val="center"/>
            </w:pPr>
          </w:p>
        </w:tc>
      </w:tr>
      <w:tr w:rsidRPr="00742D9E" w:rsidR="00B04AB6" w:rsidTr="00B04AB6" w14:paraId="2D86A3BE" w14:textId="77777777">
        <w:trPr>
          <w:trHeight w:val="331"/>
        </w:trPr>
        <w:tc>
          <w:tcPr>
            <w:tcW w:w="2155" w:type="dxa"/>
            <w:hideMark/>
          </w:tcPr>
          <w:p w:rsidRPr="00742D9E" w:rsidR="00B04AB6" w:rsidP="00B04AB6" w:rsidRDefault="00B04AB6" w14:paraId="0157945B" w14:textId="77777777">
            <w:pPr>
              <w:pStyle w:val="Tabletext"/>
              <w:spacing w:after="40" w:line="240" w:lineRule="auto"/>
            </w:pPr>
            <w:r w:rsidRPr="00742D9E">
              <w:t>HVAC system type</w:t>
            </w:r>
          </w:p>
        </w:tc>
        <w:tc>
          <w:tcPr>
            <w:tcW w:w="1980" w:type="dxa"/>
            <w:noWrap/>
            <w:hideMark/>
          </w:tcPr>
          <w:p w:rsidRPr="00742D9E" w:rsidR="00B04AB6" w:rsidP="00B04AB6" w:rsidRDefault="00B04AB6" w14:paraId="17E31238" w14:textId="77777777">
            <w:pPr>
              <w:pStyle w:val="Tabletext"/>
              <w:spacing w:after="40" w:line="240" w:lineRule="auto"/>
            </w:pPr>
            <w:proofErr w:type="spellStart"/>
            <w:r w:rsidRPr="00742D9E">
              <w:t>BldgHVAC</w:t>
            </w:r>
            <w:proofErr w:type="spellEnd"/>
          </w:p>
        </w:tc>
        <w:tc>
          <w:tcPr>
            <w:tcW w:w="2430" w:type="dxa"/>
            <w:hideMark/>
          </w:tcPr>
          <w:p w:rsidRPr="00742D9E" w:rsidR="00B04AB6" w:rsidP="00B04AB6" w:rsidRDefault="00B04AB6" w14:paraId="7D3EB9CB" w14:textId="77777777">
            <w:pPr>
              <w:pStyle w:val="Tabletext"/>
              <w:spacing w:after="40" w:line="240" w:lineRule="auto"/>
            </w:pPr>
            <w:proofErr w:type="spellStart"/>
            <w:r w:rsidRPr="00742D9E">
              <w:t>BldgHVAC</w:t>
            </w:r>
            <w:proofErr w:type="spellEnd"/>
          </w:p>
        </w:tc>
        <w:tc>
          <w:tcPr>
            <w:tcW w:w="1350" w:type="dxa"/>
          </w:tcPr>
          <w:p w:rsidRPr="00742D9E" w:rsidR="00B04AB6" w:rsidP="00B04AB6" w:rsidRDefault="00B04AB6" w14:paraId="6A6AA913" w14:textId="77777777">
            <w:pPr>
              <w:pStyle w:val="Tabletext"/>
              <w:spacing w:after="40" w:line="240" w:lineRule="auto"/>
            </w:pPr>
            <w:r w:rsidRPr="0063311C">
              <w:t>Meets Standard</w:t>
            </w:r>
          </w:p>
        </w:tc>
        <w:tc>
          <w:tcPr>
            <w:tcW w:w="1890" w:type="dxa"/>
            <w:hideMark/>
          </w:tcPr>
          <w:p w:rsidRPr="00742D9E" w:rsidR="00B04AB6" w:rsidP="00B04AB6" w:rsidRDefault="00B04AB6" w14:paraId="18E53DF5" w14:textId="77777777">
            <w:pPr>
              <w:pStyle w:val="Tabletext"/>
              <w:spacing w:after="40" w:line="240" w:lineRule="auto"/>
              <w:jc w:val="center"/>
            </w:pPr>
            <w:r w:rsidRPr="00742D9E">
              <w:t>TRUE</w:t>
            </w:r>
          </w:p>
        </w:tc>
      </w:tr>
      <w:tr w:rsidRPr="00742D9E" w:rsidR="00B04AB6" w:rsidTr="00B04AB6" w14:paraId="6D4940C6" w14:textId="77777777">
        <w:trPr>
          <w:trHeight w:val="331"/>
        </w:trPr>
        <w:tc>
          <w:tcPr>
            <w:tcW w:w="2155" w:type="dxa"/>
            <w:hideMark/>
          </w:tcPr>
          <w:p w:rsidRPr="00742D9E" w:rsidR="00B04AB6" w:rsidP="00B04AB6" w:rsidRDefault="00B04AB6" w14:paraId="21446B4B" w14:textId="77777777">
            <w:pPr>
              <w:pStyle w:val="Tabletext"/>
              <w:spacing w:after="40" w:line="240" w:lineRule="auto"/>
            </w:pPr>
            <w:r w:rsidRPr="00742D9E">
              <w:t>Climate zone</w:t>
            </w:r>
          </w:p>
        </w:tc>
        <w:tc>
          <w:tcPr>
            <w:tcW w:w="1980" w:type="dxa"/>
            <w:noWrap/>
            <w:hideMark/>
          </w:tcPr>
          <w:p w:rsidRPr="00742D9E" w:rsidR="00B04AB6" w:rsidP="00B04AB6" w:rsidRDefault="00B04AB6" w14:paraId="58D4E9B9" w14:textId="77777777">
            <w:pPr>
              <w:pStyle w:val="Tabletext"/>
              <w:spacing w:after="40" w:line="240" w:lineRule="auto"/>
            </w:pPr>
            <w:proofErr w:type="spellStart"/>
            <w:r w:rsidRPr="00742D9E">
              <w:t>BldgLoc</w:t>
            </w:r>
            <w:proofErr w:type="spellEnd"/>
          </w:p>
        </w:tc>
        <w:tc>
          <w:tcPr>
            <w:tcW w:w="2430" w:type="dxa"/>
            <w:hideMark/>
          </w:tcPr>
          <w:p w:rsidRPr="00742D9E" w:rsidR="00B04AB6" w:rsidP="00B04AB6" w:rsidRDefault="00B04AB6" w14:paraId="7B173100" w14:textId="77777777">
            <w:pPr>
              <w:pStyle w:val="Tabletext"/>
              <w:spacing w:after="40" w:line="240" w:lineRule="auto"/>
            </w:pPr>
            <w:proofErr w:type="spellStart"/>
            <w:r w:rsidRPr="00742D9E">
              <w:t>BldgLoc</w:t>
            </w:r>
            <w:proofErr w:type="spellEnd"/>
          </w:p>
        </w:tc>
        <w:tc>
          <w:tcPr>
            <w:tcW w:w="1350" w:type="dxa"/>
          </w:tcPr>
          <w:p w:rsidRPr="00742D9E" w:rsidR="00B04AB6" w:rsidP="00B04AB6" w:rsidRDefault="00B04AB6" w14:paraId="43BFC230" w14:textId="77777777">
            <w:pPr>
              <w:pStyle w:val="Tabletext"/>
              <w:spacing w:after="40" w:line="240" w:lineRule="auto"/>
            </w:pPr>
            <w:r w:rsidRPr="0063311C">
              <w:t>Meets Standard</w:t>
            </w:r>
          </w:p>
        </w:tc>
        <w:tc>
          <w:tcPr>
            <w:tcW w:w="1890" w:type="dxa"/>
            <w:hideMark/>
          </w:tcPr>
          <w:p w:rsidRPr="00742D9E" w:rsidR="00B04AB6" w:rsidP="00B04AB6" w:rsidRDefault="00B04AB6" w14:paraId="2E898893" w14:textId="77777777">
            <w:pPr>
              <w:pStyle w:val="Tabletext"/>
              <w:spacing w:after="40" w:line="240" w:lineRule="auto"/>
              <w:jc w:val="center"/>
            </w:pPr>
            <w:r w:rsidRPr="00742D9E">
              <w:t>TRUE</w:t>
            </w:r>
          </w:p>
        </w:tc>
      </w:tr>
      <w:tr w:rsidRPr="00742D9E" w:rsidR="00B04AB6" w:rsidTr="00B04AB6" w14:paraId="0B2B955E" w14:textId="77777777">
        <w:trPr>
          <w:trHeight w:val="331"/>
        </w:trPr>
        <w:tc>
          <w:tcPr>
            <w:tcW w:w="2155" w:type="dxa"/>
            <w:hideMark/>
          </w:tcPr>
          <w:p w:rsidRPr="00742D9E" w:rsidR="00B04AB6" w:rsidP="00B04AB6" w:rsidRDefault="00B04AB6" w14:paraId="2E46CFCF" w14:textId="77777777">
            <w:pPr>
              <w:pStyle w:val="Tabletext"/>
              <w:spacing w:after="40" w:line="240" w:lineRule="auto"/>
            </w:pPr>
            <w:r w:rsidRPr="00742D9E">
              <w:lastRenderedPageBreak/>
              <w:t>Measure Impact Calculation Type for DEER measures</w:t>
            </w:r>
          </w:p>
        </w:tc>
        <w:tc>
          <w:tcPr>
            <w:tcW w:w="1980" w:type="dxa"/>
            <w:noWrap/>
            <w:hideMark/>
          </w:tcPr>
          <w:p w:rsidRPr="00742D9E" w:rsidR="00B04AB6" w:rsidP="00B04AB6" w:rsidRDefault="00B04AB6" w14:paraId="6D9F16FB" w14:textId="77777777">
            <w:pPr>
              <w:pStyle w:val="Tabletext"/>
              <w:spacing w:after="40" w:line="240" w:lineRule="auto"/>
            </w:pPr>
            <w:proofErr w:type="spellStart"/>
            <w:r w:rsidRPr="00742D9E">
              <w:t>MeasImpactCalc</w:t>
            </w:r>
            <w:proofErr w:type="spellEnd"/>
            <w:r>
              <w:t xml:space="preserve"> </w:t>
            </w:r>
            <w:r w:rsidRPr="00742D9E">
              <w:t>Type</w:t>
            </w:r>
          </w:p>
        </w:tc>
        <w:tc>
          <w:tcPr>
            <w:tcW w:w="2430" w:type="dxa"/>
            <w:hideMark/>
          </w:tcPr>
          <w:p w:rsidRPr="00742D9E" w:rsidR="00B04AB6" w:rsidP="00B04AB6" w:rsidRDefault="00B04AB6" w14:paraId="0B4192C6" w14:textId="77777777">
            <w:pPr>
              <w:pStyle w:val="Tabletext"/>
              <w:spacing w:after="40" w:line="240" w:lineRule="auto"/>
            </w:pPr>
            <w:proofErr w:type="spellStart"/>
            <w:r>
              <w:t>MeasureImpact</w:t>
            </w:r>
            <w:proofErr w:type="spellEnd"/>
            <w:r>
              <w:t xml:space="preserve"> </w:t>
            </w:r>
            <w:proofErr w:type="spellStart"/>
            <w:r>
              <w:t>CalculationType</w:t>
            </w:r>
            <w:proofErr w:type="spellEnd"/>
          </w:p>
        </w:tc>
        <w:tc>
          <w:tcPr>
            <w:tcW w:w="1350" w:type="dxa"/>
          </w:tcPr>
          <w:p w:rsidRPr="00742D9E" w:rsidR="00B04AB6" w:rsidP="00B04AB6" w:rsidRDefault="00B04AB6" w14:paraId="6DA86582" w14:textId="77777777">
            <w:pPr>
              <w:pStyle w:val="Tabletext"/>
              <w:spacing w:after="40" w:line="240" w:lineRule="auto"/>
            </w:pPr>
            <w:r>
              <w:t>Meets Standard</w:t>
            </w:r>
          </w:p>
        </w:tc>
        <w:tc>
          <w:tcPr>
            <w:tcW w:w="1890" w:type="dxa"/>
            <w:hideMark/>
          </w:tcPr>
          <w:p w:rsidRPr="00742D9E" w:rsidR="00B04AB6" w:rsidP="00B04AB6" w:rsidRDefault="00B04AB6" w14:paraId="704B132D" w14:textId="77777777">
            <w:pPr>
              <w:pStyle w:val="Tabletext"/>
              <w:spacing w:after="40" w:line="240" w:lineRule="auto"/>
              <w:jc w:val="center"/>
            </w:pPr>
            <w:r w:rsidRPr="00742D9E">
              <w:t>TRUE</w:t>
            </w:r>
          </w:p>
        </w:tc>
      </w:tr>
      <w:tr w:rsidRPr="00742D9E" w:rsidR="00B04AB6" w:rsidTr="00B04AB6" w14:paraId="06BDE490" w14:textId="77777777">
        <w:trPr>
          <w:trHeight w:val="331"/>
        </w:trPr>
        <w:tc>
          <w:tcPr>
            <w:tcW w:w="2155" w:type="dxa"/>
            <w:hideMark/>
          </w:tcPr>
          <w:p w:rsidRPr="00742D9E" w:rsidR="00B04AB6" w:rsidP="00B04AB6" w:rsidRDefault="00B04AB6" w14:paraId="220DFFE8" w14:textId="77777777">
            <w:pPr>
              <w:pStyle w:val="Tabletext"/>
              <w:spacing w:after="40" w:line="240" w:lineRule="auto"/>
            </w:pPr>
            <w:r w:rsidRPr="00742D9E">
              <w:t>Building type</w:t>
            </w:r>
          </w:p>
        </w:tc>
        <w:tc>
          <w:tcPr>
            <w:tcW w:w="1980" w:type="dxa"/>
            <w:noWrap/>
            <w:hideMark/>
          </w:tcPr>
          <w:p w:rsidRPr="00742D9E" w:rsidR="00B04AB6" w:rsidP="00B04AB6" w:rsidRDefault="00B04AB6" w14:paraId="0E1F2912" w14:textId="77777777">
            <w:pPr>
              <w:pStyle w:val="Tabletext"/>
              <w:spacing w:after="40" w:line="240" w:lineRule="auto"/>
            </w:pPr>
            <w:proofErr w:type="spellStart"/>
            <w:r w:rsidRPr="00742D9E">
              <w:t>BldgType</w:t>
            </w:r>
            <w:proofErr w:type="spellEnd"/>
          </w:p>
        </w:tc>
        <w:tc>
          <w:tcPr>
            <w:tcW w:w="2430" w:type="dxa"/>
            <w:hideMark/>
          </w:tcPr>
          <w:p w:rsidRPr="00742D9E" w:rsidR="00B04AB6" w:rsidP="00B04AB6" w:rsidRDefault="00B04AB6" w14:paraId="5C775D72" w14:textId="77777777">
            <w:pPr>
              <w:pStyle w:val="Tabletext"/>
              <w:spacing w:after="40" w:line="240" w:lineRule="auto"/>
            </w:pPr>
            <w:proofErr w:type="spellStart"/>
            <w:r w:rsidRPr="00742D9E">
              <w:t>BldgType</w:t>
            </w:r>
            <w:proofErr w:type="spellEnd"/>
          </w:p>
        </w:tc>
        <w:tc>
          <w:tcPr>
            <w:tcW w:w="1350" w:type="dxa"/>
          </w:tcPr>
          <w:p w:rsidRPr="00742D9E" w:rsidR="00B04AB6" w:rsidP="00B04AB6" w:rsidRDefault="00B04AB6" w14:paraId="6A48CA4F" w14:textId="77777777">
            <w:pPr>
              <w:pStyle w:val="Tabletext"/>
              <w:spacing w:after="40" w:line="240" w:lineRule="auto"/>
            </w:pPr>
            <w:r w:rsidRPr="0063311C">
              <w:t>Meets Standard</w:t>
            </w:r>
          </w:p>
        </w:tc>
        <w:tc>
          <w:tcPr>
            <w:tcW w:w="1890" w:type="dxa"/>
            <w:hideMark/>
          </w:tcPr>
          <w:p w:rsidRPr="00742D9E" w:rsidR="00B04AB6" w:rsidP="00B04AB6" w:rsidRDefault="00B04AB6" w14:paraId="0586281F" w14:textId="77777777">
            <w:pPr>
              <w:pStyle w:val="Tabletext"/>
              <w:spacing w:after="40" w:line="240" w:lineRule="auto"/>
              <w:jc w:val="center"/>
            </w:pPr>
            <w:r w:rsidRPr="00742D9E">
              <w:t>TRUE</w:t>
            </w:r>
          </w:p>
        </w:tc>
      </w:tr>
      <w:tr w:rsidRPr="00742D9E" w:rsidR="00B04AB6" w:rsidTr="00B04AB6" w14:paraId="7E4AD294" w14:textId="77777777">
        <w:trPr>
          <w:trHeight w:val="331"/>
        </w:trPr>
        <w:tc>
          <w:tcPr>
            <w:tcW w:w="2155" w:type="dxa"/>
            <w:hideMark/>
          </w:tcPr>
          <w:p w:rsidRPr="00742D9E" w:rsidR="00B04AB6" w:rsidP="00B04AB6" w:rsidRDefault="00B04AB6" w14:paraId="3DF61DBD" w14:textId="77777777">
            <w:pPr>
              <w:pStyle w:val="Tabletext"/>
              <w:spacing w:after="40" w:line="240" w:lineRule="auto"/>
            </w:pPr>
            <w:r w:rsidRPr="00742D9E">
              <w:t>Building vintage bin</w:t>
            </w:r>
          </w:p>
        </w:tc>
        <w:tc>
          <w:tcPr>
            <w:tcW w:w="1980" w:type="dxa"/>
            <w:noWrap/>
            <w:hideMark/>
          </w:tcPr>
          <w:p w:rsidRPr="00742D9E" w:rsidR="00B04AB6" w:rsidP="00B04AB6" w:rsidRDefault="00B04AB6" w14:paraId="25DFA2B2" w14:textId="77777777">
            <w:pPr>
              <w:pStyle w:val="Tabletext"/>
              <w:spacing w:after="40" w:line="240" w:lineRule="auto"/>
            </w:pPr>
            <w:proofErr w:type="spellStart"/>
            <w:r w:rsidRPr="00742D9E">
              <w:t>BldgVint</w:t>
            </w:r>
            <w:proofErr w:type="spellEnd"/>
          </w:p>
        </w:tc>
        <w:tc>
          <w:tcPr>
            <w:tcW w:w="2430" w:type="dxa"/>
            <w:hideMark/>
          </w:tcPr>
          <w:p w:rsidRPr="00742D9E" w:rsidR="00B04AB6" w:rsidP="00B04AB6" w:rsidRDefault="00B04AB6" w14:paraId="0F7141A3" w14:textId="77777777">
            <w:pPr>
              <w:pStyle w:val="Tabletext"/>
              <w:spacing w:after="40" w:line="240" w:lineRule="auto"/>
            </w:pPr>
            <w:proofErr w:type="spellStart"/>
            <w:r w:rsidRPr="00742D9E">
              <w:t>BldgVint</w:t>
            </w:r>
            <w:proofErr w:type="spellEnd"/>
          </w:p>
        </w:tc>
        <w:tc>
          <w:tcPr>
            <w:tcW w:w="1350" w:type="dxa"/>
          </w:tcPr>
          <w:p w:rsidRPr="00742D9E" w:rsidR="00B04AB6" w:rsidP="00B04AB6" w:rsidRDefault="00B04AB6" w14:paraId="06EFBBD2" w14:textId="77777777">
            <w:pPr>
              <w:pStyle w:val="Tabletext"/>
              <w:spacing w:after="40" w:line="240" w:lineRule="auto"/>
            </w:pPr>
            <w:r w:rsidRPr="0063311C">
              <w:t>Meets Standard</w:t>
            </w:r>
          </w:p>
        </w:tc>
        <w:tc>
          <w:tcPr>
            <w:tcW w:w="1890" w:type="dxa"/>
            <w:hideMark/>
          </w:tcPr>
          <w:p w:rsidRPr="00742D9E" w:rsidR="00B04AB6" w:rsidP="00B04AB6" w:rsidRDefault="00B04AB6" w14:paraId="36052435" w14:textId="77777777">
            <w:pPr>
              <w:pStyle w:val="Tabletext"/>
              <w:spacing w:after="40" w:line="240" w:lineRule="auto"/>
              <w:jc w:val="center"/>
            </w:pPr>
            <w:r w:rsidRPr="00742D9E">
              <w:t>TRUE</w:t>
            </w:r>
          </w:p>
        </w:tc>
      </w:tr>
      <w:tr w:rsidRPr="00742D9E" w:rsidR="00B04AB6" w:rsidTr="00B04AB6" w14:paraId="19F5CF2B" w14:textId="77777777">
        <w:trPr>
          <w:trHeight w:val="331"/>
        </w:trPr>
        <w:tc>
          <w:tcPr>
            <w:tcW w:w="2155" w:type="dxa"/>
            <w:hideMark/>
          </w:tcPr>
          <w:p w:rsidRPr="00742D9E" w:rsidR="00B04AB6" w:rsidP="00B04AB6" w:rsidRDefault="00B04AB6" w14:paraId="177D62FE" w14:textId="77777777">
            <w:pPr>
              <w:pStyle w:val="Tabletext"/>
              <w:spacing w:after="40" w:line="240" w:lineRule="auto"/>
            </w:pPr>
            <w:r w:rsidRPr="00742D9E">
              <w:t>Delivery method of measure</w:t>
            </w:r>
          </w:p>
        </w:tc>
        <w:tc>
          <w:tcPr>
            <w:tcW w:w="1980" w:type="dxa"/>
            <w:noWrap/>
            <w:hideMark/>
          </w:tcPr>
          <w:p w:rsidRPr="00742D9E" w:rsidR="00B04AB6" w:rsidP="00B04AB6" w:rsidRDefault="00B04AB6" w14:paraId="404B5B0D" w14:textId="77777777">
            <w:pPr>
              <w:pStyle w:val="Tabletext"/>
              <w:spacing w:after="40" w:line="240" w:lineRule="auto"/>
            </w:pPr>
            <w:proofErr w:type="spellStart"/>
            <w:r w:rsidRPr="00742D9E">
              <w:t>DeliveryType</w:t>
            </w:r>
            <w:proofErr w:type="spellEnd"/>
          </w:p>
        </w:tc>
        <w:tc>
          <w:tcPr>
            <w:tcW w:w="2430" w:type="dxa"/>
            <w:hideMark/>
          </w:tcPr>
          <w:p w:rsidRPr="00742D9E" w:rsidR="00B04AB6" w:rsidP="00B04AB6" w:rsidRDefault="00B04AB6" w14:paraId="25F0E514" w14:textId="77777777">
            <w:pPr>
              <w:pStyle w:val="Tabletext"/>
              <w:spacing w:after="40" w:line="240" w:lineRule="auto"/>
            </w:pPr>
            <w:proofErr w:type="spellStart"/>
            <w:r w:rsidRPr="00742D9E">
              <w:t>Delivtype</w:t>
            </w:r>
            <w:proofErr w:type="spellEnd"/>
          </w:p>
        </w:tc>
        <w:tc>
          <w:tcPr>
            <w:tcW w:w="1350" w:type="dxa"/>
          </w:tcPr>
          <w:p w:rsidRPr="00742D9E" w:rsidR="00B04AB6" w:rsidP="00B04AB6" w:rsidRDefault="00B04AB6" w14:paraId="25910490" w14:textId="77777777">
            <w:pPr>
              <w:pStyle w:val="Tabletext"/>
              <w:spacing w:after="40" w:line="240" w:lineRule="auto"/>
            </w:pPr>
            <w:r w:rsidRPr="0063311C">
              <w:t>Meets Standard</w:t>
            </w:r>
          </w:p>
        </w:tc>
        <w:tc>
          <w:tcPr>
            <w:tcW w:w="1890" w:type="dxa"/>
            <w:hideMark/>
          </w:tcPr>
          <w:p w:rsidRPr="00742D9E" w:rsidR="00B04AB6" w:rsidP="00B04AB6" w:rsidRDefault="00B04AB6" w14:paraId="4768C90D" w14:textId="77777777">
            <w:pPr>
              <w:pStyle w:val="Tabletext"/>
              <w:spacing w:after="40" w:line="240" w:lineRule="auto"/>
              <w:jc w:val="center"/>
            </w:pPr>
            <w:r w:rsidRPr="00742D9E">
              <w:t>TRUE</w:t>
            </w:r>
          </w:p>
        </w:tc>
      </w:tr>
      <w:tr w:rsidRPr="00742D9E" w:rsidR="00B04AB6" w:rsidTr="00B04AB6" w14:paraId="2C545A3D" w14:textId="77777777">
        <w:trPr>
          <w:trHeight w:val="331"/>
        </w:trPr>
        <w:tc>
          <w:tcPr>
            <w:tcW w:w="2155" w:type="dxa"/>
            <w:hideMark/>
          </w:tcPr>
          <w:p w:rsidRPr="00742D9E" w:rsidR="00B04AB6" w:rsidP="00B04AB6" w:rsidRDefault="00B04AB6" w14:paraId="06195720" w14:textId="77777777">
            <w:pPr>
              <w:pStyle w:val="Tabletext"/>
              <w:spacing w:after="40" w:line="240" w:lineRule="auto"/>
            </w:pPr>
            <w:r w:rsidRPr="00742D9E">
              <w:t>Electric impact profile ID</w:t>
            </w:r>
          </w:p>
        </w:tc>
        <w:tc>
          <w:tcPr>
            <w:tcW w:w="1980" w:type="dxa"/>
            <w:noWrap/>
            <w:hideMark/>
          </w:tcPr>
          <w:p w:rsidRPr="00742D9E" w:rsidR="00B04AB6" w:rsidP="00B04AB6" w:rsidRDefault="00B04AB6" w14:paraId="15302A70" w14:textId="77777777">
            <w:pPr>
              <w:pStyle w:val="Tabletext"/>
              <w:spacing w:after="40" w:line="240" w:lineRule="auto"/>
            </w:pPr>
            <w:proofErr w:type="spellStart"/>
            <w:r w:rsidRPr="00742D9E">
              <w:t>ElecImpactProfileID</w:t>
            </w:r>
            <w:proofErr w:type="spellEnd"/>
          </w:p>
        </w:tc>
        <w:tc>
          <w:tcPr>
            <w:tcW w:w="2430" w:type="dxa"/>
            <w:hideMark/>
          </w:tcPr>
          <w:p w:rsidRPr="00742D9E" w:rsidR="00B04AB6" w:rsidP="00B04AB6" w:rsidRDefault="00B04AB6" w14:paraId="73D8CCEC" w14:textId="77777777">
            <w:pPr>
              <w:pStyle w:val="Tabletext"/>
              <w:spacing w:after="40" w:line="240" w:lineRule="auto"/>
            </w:pPr>
            <w:proofErr w:type="spellStart"/>
            <w:r w:rsidRPr="00742D9E">
              <w:t>ElecImpactProfileID</w:t>
            </w:r>
            <w:proofErr w:type="spellEnd"/>
          </w:p>
        </w:tc>
        <w:tc>
          <w:tcPr>
            <w:tcW w:w="1350" w:type="dxa"/>
          </w:tcPr>
          <w:p w:rsidRPr="00742D9E" w:rsidR="00B04AB6" w:rsidP="00B04AB6" w:rsidRDefault="00B04AB6" w14:paraId="5F3A6973" w14:textId="77777777">
            <w:pPr>
              <w:pStyle w:val="Tabletext"/>
              <w:spacing w:after="40" w:line="240" w:lineRule="auto"/>
            </w:pPr>
            <w:r w:rsidRPr="0063311C">
              <w:t>Meets Standard</w:t>
            </w:r>
          </w:p>
        </w:tc>
        <w:tc>
          <w:tcPr>
            <w:tcW w:w="1890" w:type="dxa"/>
            <w:hideMark/>
          </w:tcPr>
          <w:p w:rsidRPr="00742D9E" w:rsidR="00B04AB6" w:rsidP="00B04AB6" w:rsidRDefault="00B04AB6" w14:paraId="5EEC5A62" w14:textId="77777777">
            <w:pPr>
              <w:pStyle w:val="Tabletext"/>
              <w:spacing w:after="40" w:line="240" w:lineRule="auto"/>
              <w:jc w:val="center"/>
            </w:pPr>
          </w:p>
        </w:tc>
      </w:tr>
      <w:tr w:rsidRPr="00742D9E" w:rsidR="00B04AB6" w:rsidTr="00B04AB6" w14:paraId="66A48FA7" w14:textId="77777777">
        <w:trPr>
          <w:trHeight w:val="331"/>
        </w:trPr>
        <w:tc>
          <w:tcPr>
            <w:tcW w:w="2155" w:type="dxa"/>
            <w:hideMark/>
          </w:tcPr>
          <w:p w:rsidRPr="00742D9E" w:rsidR="00B04AB6" w:rsidP="00B04AB6" w:rsidRDefault="00B04AB6" w14:paraId="3B169A92" w14:textId="77777777">
            <w:pPr>
              <w:pStyle w:val="Tabletext"/>
              <w:spacing w:after="40" w:line="240" w:lineRule="auto"/>
            </w:pPr>
            <w:r w:rsidRPr="00742D9E">
              <w:t>Gas impact profile ID</w:t>
            </w:r>
          </w:p>
        </w:tc>
        <w:tc>
          <w:tcPr>
            <w:tcW w:w="1980" w:type="dxa"/>
            <w:noWrap/>
            <w:hideMark/>
          </w:tcPr>
          <w:p w:rsidRPr="00742D9E" w:rsidR="00B04AB6" w:rsidP="00B04AB6" w:rsidRDefault="00B04AB6" w14:paraId="6D34A6A8" w14:textId="77777777">
            <w:pPr>
              <w:pStyle w:val="Tabletext"/>
              <w:spacing w:after="40" w:line="240" w:lineRule="auto"/>
            </w:pPr>
            <w:proofErr w:type="spellStart"/>
            <w:r w:rsidRPr="00742D9E">
              <w:t>GasImpactProfile</w:t>
            </w:r>
            <w:proofErr w:type="spellEnd"/>
            <w:r>
              <w:t xml:space="preserve"> </w:t>
            </w:r>
            <w:r w:rsidRPr="00742D9E">
              <w:t>ID</w:t>
            </w:r>
          </w:p>
        </w:tc>
        <w:tc>
          <w:tcPr>
            <w:tcW w:w="2430" w:type="dxa"/>
            <w:hideMark/>
          </w:tcPr>
          <w:p w:rsidRPr="00742D9E" w:rsidR="00B04AB6" w:rsidP="00B04AB6" w:rsidRDefault="00B04AB6" w14:paraId="17EA7026" w14:textId="77777777">
            <w:pPr>
              <w:pStyle w:val="Tabletext"/>
              <w:spacing w:after="40" w:line="240" w:lineRule="auto"/>
            </w:pPr>
            <w:proofErr w:type="spellStart"/>
            <w:r w:rsidRPr="00742D9E">
              <w:t>GasImpactProfileID</w:t>
            </w:r>
            <w:proofErr w:type="spellEnd"/>
          </w:p>
        </w:tc>
        <w:tc>
          <w:tcPr>
            <w:tcW w:w="1350" w:type="dxa"/>
          </w:tcPr>
          <w:p w:rsidRPr="00742D9E" w:rsidR="00B04AB6" w:rsidP="00B04AB6" w:rsidRDefault="00B04AB6" w14:paraId="17DD11B0" w14:textId="77777777">
            <w:pPr>
              <w:pStyle w:val="Tabletext"/>
              <w:spacing w:after="40" w:line="240" w:lineRule="auto"/>
            </w:pPr>
            <w:r w:rsidRPr="0063311C">
              <w:t>Meets Standard</w:t>
            </w:r>
          </w:p>
        </w:tc>
        <w:tc>
          <w:tcPr>
            <w:tcW w:w="1890" w:type="dxa"/>
            <w:hideMark/>
          </w:tcPr>
          <w:p w:rsidRPr="00742D9E" w:rsidR="00B04AB6" w:rsidP="00B04AB6" w:rsidRDefault="00B04AB6" w14:paraId="16FC430A" w14:textId="77777777">
            <w:pPr>
              <w:pStyle w:val="Tabletext"/>
              <w:spacing w:after="40" w:line="240" w:lineRule="auto"/>
              <w:jc w:val="center"/>
            </w:pPr>
          </w:p>
        </w:tc>
      </w:tr>
      <w:tr w:rsidRPr="00742D9E" w:rsidR="00B04AB6" w:rsidTr="00B04AB6" w14:paraId="06A9B05C" w14:textId="77777777">
        <w:trPr>
          <w:trHeight w:val="331"/>
        </w:trPr>
        <w:tc>
          <w:tcPr>
            <w:tcW w:w="2155" w:type="dxa"/>
            <w:hideMark/>
          </w:tcPr>
          <w:p w:rsidRPr="00742D9E" w:rsidR="00B04AB6" w:rsidP="00B04AB6" w:rsidRDefault="00B04AB6" w14:paraId="5227DC46" w14:textId="77777777">
            <w:pPr>
              <w:pStyle w:val="Tabletext"/>
              <w:spacing w:after="40" w:line="240" w:lineRule="auto"/>
            </w:pPr>
            <w:r w:rsidRPr="00742D9E">
              <w:t>Description</w:t>
            </w:r>
          </w:p>
        </w:tc>
        <w:tc>
          <w:tcPr>
            <w:tcW w:w="1980" w:type="dxa"/>
            <w:noWrap/>
            <w:hideMark/>
          </w:tcPr>
          <w:p w:rsidRPr="00742D9E" w:rsidR="00B04AB6" w:rsidP="00B04AB6" w:rsidRDefault="00B04AB6" w14:paraId="5E3A44C4" w14:textId="77777777">
            <w:pPr>
              <w:pStyle w:val="Tabletext"/>
              <w:spacing w:after="40" w:line="240" w:lineRule="auto"/>
            </w:pPr>
            <w:r w:rsidRPr="00742D9E">
              <w:t>Description</w:t>
            </w:r>
          </w:p>
        </w:tc>
        <w:tc>
          <w:tcPr>
            <w:tcW w:w="2430" w:type="dxa"/>
            <w:hideMark/>
          </w:tcPr>
          <w:p w:rsidRPr="00742D9E" w:rsidR="00B04AB6" w:rsidP="00B04AB6" w:rsidRDefault="00B04AB6" w14:paraId="7C6CFD26" w14:textId="77777777">
            <w:pPr>
              <w:pStyle w:val="Tabletext"/>
              <w:spacing w:after="40" w:line="240" w:lineRule="auto"/>
            </w:pPr>
            <w:proofErr w:type="spellStart"/>
            <w:r w:rsidRPr="00742D9E">
              <w:t>MeasureCase</w:t>
            </w:r>
            <w:proofErr w:type="spellEnd"/>
          </w:p>
        </w:tc>
        <w:tc>
          <w:tcPr>
            <w:tcW w:w="1350" w:type="dxa"/>
          </w:tcPr>
          <w:p w:rsidRPr="00742D9E" w:rsidR="00B04AB6" w:rsidP="00B04AB6" w:rsidRDefault="00B04AB6" w14:paraId="7C3894DC" w14:textId="77777777">
            <w:pPr>
              <w:pStyle w:val="Tabletext"/>
              <w:spacing w:after="40" w:line="240" w:lineRule="auto"/>
            </w:pPr>
            <w:r w:rsidRPr="0063311C">
              <w:t>Meets Standard</w:t>
            </w:r>
          </w:p>
        </w:tc>
        <w:tc>
          <w:tcPr>
            <w:tcW w:w="1890" w:type="dxa"/>
            <w:hideMark/>
          </w:tcPr>
          <w:p w:rsidRPr="00742D9E" w:rsidR="00B04AB6" w:rsidP="00B04AB6" w:rsidRDefault="00B04AB6" w14:paraId="21B3B815" w14:textId="77777777">
            <w:pPr>
              <w:pStyle w:val="Tabletext"/>
              <w:spacing w:after="40" w:line="240" w:lineRule="auto"/>
              <w:jc w:val="center"/>
            </w:pPr>
          </w:p>
        </w:tc>
      </w:tr>
      <w:tr w:rsidRPr="00742D9E" w:rsidR="00B04AB6" w:rsidTr="00B04AB6" w14:paraId="6A82C256" w14:textId="77777777">
        <w:trPr>
          <w:trHeight w:val="331"/>
        </w:trPr>
        <w:tc>
          <w:tcPr>
            <w:tcW w:w="2155" w:type="dxa"/>
            <w:hideMark/>
          </w:tcPr>
          <w:p w:rsidRPr="00742D9E" w:rsidR="00B04AB6" w:rsidP="00B04AB6" w:rsidRDefault="00B04AB6" w14:paraId="36DF6BC6" w14:textId="77777777">
            <w:pPr>
              <w:pStyle w:val="Tabletext"/>
              <w:spacing w:after="40" w:line="240" w:lineRule="auto"/>
            </w:pPr>
            <w:r w:rsidRPr="00742D9E">
              <w:t>Measure application type (MAT)</w:t>
            </w:r>
          </w:p>
        </w:tc>
        <w:tc>
          <w:tcPr>
            <w:tcW w:w="1980" w:type="dxa"/>
            <w:noWrap/>
            <w:hideMark/>
          </w:tcPr>
          <w:p w:rsidRPr="00742D9E" w:rsidR="00B04AB6" w:rsidP="00B04AB6" w:rsidRDefault="00B04AB6" w14:paraId="3436672B" w14:textId="77777777">
            <w:pPr>
              <w:pStyle w:val="Tabletext"/>
              <w:spacing w:after="40" w:line="240" w:lineRule="auto"/>
            </w:pPr>
            <w:proofErr w:type="spellStart"/>
            <w:r w:rsidRPr="00742D9E">
              <w:t>MeasAppType</w:t>
            </w:r>
            <w:proofErr w:type="spellEnd"/>
          </w:p>
        </w:tc>
        <w:tc>
          <w:tcPr>
            <w:tcW w:w="2430" w:type="dxa"/>
            <w:hideMark/>
          </w:tcPr>
          <w:p w:rsidRPr="00742D9E" w:rsidR="00B04AB6" w:rsidP="00B04AB6" w:rsidRDefault="00B04AB6" w14:paraId="2620A71A" w14:textId="77777777">
            <w:pPr>
              <w:pStyle w:val="Tabletext"/>
              <w:spacing w:after="40" w:line="240" w:lineRule="auto"/>
            </w:pPr>
            <w:proofErr w:type="spellStart"/>
            <w:r w:rsidRPr="00742D9E">
              <w:t>MeasAppType</w:t>
            </w:r>
            <w:proofErr w:type="spellEnd"/>
          </w:p>
        </w:tc>
        <w:tc>
          <w:tcPr>
            <w:tcW w:w="1350" w:type="dxa"/>
          </w:tcPr>
          <w:p w:rsidRPr="00742D9E" w:rsidR="00B04AB6" w:rsidP="00B04AB6" w:rsidRDefault="00B04AB6" w14:paraId="4DB7590D" w14:textId="77777777">
            <w:pPr>
              <w:pStyle w:val="Tabletext"/>
              <w:spacing w:after="40" w:line="240" w:lineRule="auto"/>
            </w:pPr>
            <w:r w:rsidRPr="0063311C">
              <w:t>Meets Standard</w:t>
            </w:r>
          </w:p>
        </w:tc>
        <w:tc>
          <w:tcPr>
            <w:tcW w:w="1890" w:type="dxa"/>
            <w:hideMark/>
          </w:tcPr>
          <w:p w:rsidRPr="00742D9E" w:rsidR="00B04AB6" w:rsidP="00B04AB6" w:rsidRDefault="00B04AB6" w14:paraId="0DE021F1" w14:textId="77777777">
            <w:pPr>
              <w:pStyle w:val="Tabletext"/>
              <w:spacing w:after="40" w:line="240" w:lineRule="auto"/>
              <w:jc w:val="center"/>
            </w:pPr>
            <w:r w:rsidRPr="00742D9E">
              <w:t>TRUE</w:t>
            </w:r>
          </w:p>
        </w:tc>
      </w:tr>
      <w:tr w:rsidRPr="00742D9E" w:rsidR="00B04AB6" w:rsidTr="00B04AB6" w14:paraId="76FCBED5" w14:textId="77777777">
        <w:trPr>
          <w:trHeight w:val="331"/>
        </w:trPr>
        <w:tc>
          <w:tcPr>
            <w:tcW w:w="2155" w:type="dxa"/>
            <w:hideMark/>
          </w:tcPr>
          <w:p w:rsidRPr="00742D9E" w:rsidR="00B04AB6" w:rsidP="00B04AB6" w:rsidRDefault="00B04AB6" w14:paraId="35664864" w14:textId="77777777">
            <w:pPr>
              <w:pStyle w:val="Tabletext"/>
              <w:spacing w:after="40" w:line="240" w:lineRule="auto"/>
            </w:pPr>
            <w:r w:rsidRPr="00742D9E">
              <w:t>Measure Impact Type (MIT)</w:t>
            </w:r>
          </w:p>
        </w:tc>
        <w:tc>
          <w:tcPr>
            <w:tcW w:w="1980" w:type="dxa"/>
            <w:noWrap/>
            <w:hideMark/>
          </w:tcPr>
          <w:p w:rsidRPr="00742D9E" w:rsidR="00B04AB6" w:rsidP="00B04AB6" w:rsidRDefault="00B04AB6" w14:paraId="2FF3F46E" w14:textId="77777777">
            <w:pPr>
              <w:pStyle w:val="Tabletext"/>
              <w:spacing w:after="40" w:line="240" w:lineRule="auto"/>
            </w:pPr>
            <w:proofErr w:type="spellStart"/>
            <w:r w:rsidRPr="00742D9E">
              <w:t>MeasImpactType</w:t>
            </w:r>
            <w:proofErr w:type="spellEnd"/>
          </w:p>
        </w:tc>
        <w:tc>
          <w:tcPr>
            <w:tcW w:w="2430" w:type="dxa"/>
            <w:hideMark/>
          </w:tcPr>
          <w:p w:rsidRPr="00742D9E" w:rsidR="00B04AB6" w:rsidP="00B04AB6" w:rsidRDefault="00B04AB6" w14:paraId="3CF4DA1B" w14:textId="77777777">
            <w:pPr>
              <w:pStyle w:val="Tabletext"/>
              <w:spacing w:after="40" w:line="240" w:lineRule="auto"/>
            </w:pPr>
            <w:proofErr w:type="spellStart"/>
            <w:r w:rsidRPr="00742D9E">
              <w:t>MeasImpactType</w:t>
            </w:r>
            <w:proofErr w:type="spellEnd"/>
          </w:p>
        </w:tc>
        <w:tc>
          <w:tcPr>
            <w:tcW w:w="1350" w:type="dxa"/>
          </w:tcPr>
          <w:p w:rsidRPr="00742D9E" w:rsidR="00B04AB6" w:rsidP="00B04AB6" w:rsidRDefault="00B04AB6" w14:paraId="186015DA" w14:textId="77777777">
            <w:pPr>
              <w:pStyle w:val="Tabletext"/>
              <w:spacing w:after="40" w:line="240" w:lineRule="auto"/>
            </w:pPr>
            <w:r w:rsidRPr="0063311C">
              <w:t>Meets Standard</w:t>
            </w:r>
          </w:p>
        </w:tc>
        <w:tc>
          <w:tcPr>
            <w:tcW w:w="1890" w:type="dxa"/>
            <w:hideMark/>
          </w:tcPr>
          <w:p w:rsidRPr="00742D9E" w:rsidR="00B04AB6" w:rsidP="00B04AB6" w:rsidRDefault="00B04AB6" w14:paraId="39331015" w14:textId="77777777">
            <w:pPr>
              <w:pStyle w:val="Tabletext"/>
              <w:spacing w:after="40" w:line="240" w:lineRule="auto"/>
              <w:jc w:val="center"/>
            </w:pPr>
            <w:r w:rsidRPr="00742D9E">
              <w:t>TRUE</w:t>
            </w:r>
          </w:p>
        </w:tc>
      </w:tr>
      <w:tr w:rsidRPr="00742D9E" w:rsidR="00B04AB6" w:rsidTr="00B04AB6" w14:paraId="6071088B" w14:textId="77777777">
        <w:trPr>
          <w:trHeight w:val="331"/>
        </w:trPr>
        <w:tc>
          <w:tcPr>
            <w:tcW w:w="2155" w:type="dxa"/>
            <w:hideMark/>
          </w:tcPr>
          <w:p w:rsidRPr="00742D9E" w:rsidR="00B04AB6" w:rsidP="00B04AB6" w:rsidRDefault="00B04AB6" w14:paraId="5931DCFA" w14:textId="77777777">
            <w:pPr>
              <w:pStyle w:val="Tabletext"/>
              <w:spacing w:after="40" w:line="240" w:lineRule="auto"/>
            </w:pPr>
            <w:r w:rsidRPr="00742D9E">
              <w:t>Normalizing unit</w:t>
            </w:r>
          </w:p>
        </w:tc>
        <w:tc>
          <w:tcPr>
            <w:tcW w:w="1980" w:type="dxa"/>
            <w:noWrap/>
            <w:hideMark/>
          </w:tcPr>
          <w:p w:rsidRPr="00742D9E" w:rsidR="00B04AB6" w:rsidP="00B04AB6" w:rsidRDefault="00B04AB6" w14:paraId="68F7365D" w14:textId="77777777">
            <w:pPr>
              <w:pStyle w:val="Tabletext"/>
              <w:spacing w:after="40" w:line="240" w:lineRule="auto"/>
            </w:pPr>
            <w:proofErr w:type="spellStart"/>
            <w:r w:rsidRPr="00742D9E">
              <w:t>NormUnit</w:t>
            </w:r>
            <w:proofErr w:type="spellEnd"/>
          </w:p>
        </w:tc>
        <w:tc>
          <w:tcPr>
            <w:tcW w:w="2430" w:type="dxa"/>
            <w:hideMark/>
          </w:tcPr>
          <w:p w:rsidRPr="00742D9E" w:rsidR="00B04AB6" w:rsidP="00B04AB6" w:rsidRDefault="00B04AB6" w14:paraId="6EED7BED" w14:textId="77777777">
            <w:pPr>
              <w:pStyle w:val="Tabletext"/>
              <w:spacing w:after="40" w:line="240" w:lineRule="auto"/>
            </w:pPr>
            <w:proofErr w:type="spellStart"/>
            <w:r w:rsidRPr="00742D9E">
              <w:t>NormUnit</w:t>
            </w:r>
            <w:proofErr w:type="spellEnd"/>
          </w:p>
        </w:tc>
        <w:tc>
          <w:tcPr>
            <w:tcW w:w="1350" w:type="dxa"/>
          </w:tcPr>
          <w:p w:rsidRPr="00742D9E" w:rsidR="00B04AB6" w:rsidP="00B04AB6" w:rsidRDefault="00B04AB6" w14:paraId="27B833C0" w14:textId="77777777">
            <w:pPr>
              <w:pStyle w:val="Tabletext"/>
              <w:spacing w:after="40" w:line="240" w:lineRule="auto"/>
            </w:pPr>
            <w:r w:rsidRPr="0063311C">
              <w:t>Meets Standard</w:t>
            </w:r>
          </w:p>
        </w:tc>
        <w:tc>
          <w:tcPr>
            <w:tcW w:w="1890" w:type="dxa"/>
            <w:hideMark/>
          </w:tcPr>
          <w:p w:rsidRPr="00742D9E" w:rsidR="00B04AB6" w:rsidP="00B04AB6" w:rsidRDefault="00B04AB6" w14:paraId="60A621F1" w14:textId="77777777">
            <w:pPr>
              <w:pStyle w:val="Tabletext"/>
              <w:spacing w:after="40" w:line="240" w:lineRule="auto"/>
              <w:jc w:val="center"/>
            </w:pPr>
          </w:p>
        </w:tc>
      </w:tr>
      <w:tr w:rsidRPr="00742D9E" w:rsidR="00B04AB6" w:rsidTr="00B04AB6" w14:paraId="60C6AFF7" w14:textId="77777777">
        <w:trPr>
          <w:trHeight w:val="331"/>
        </w:trPr>
        <w:tc>
          <w:tcPr>
            <w:tcW w:w="2155" w:type="dxa"/>
            <w:hideMark/>
          </w:tcPr>
          <w:p w:rsidRPr="00742D9E" w:rsidR="00B04AB6" w:rsidP="00B04AB6" w:rsidRDefault="00B04AB6" w14:paraId="6B61AF35" w14:textId="77777777">
            <w:pPr>
              <w:pStyle w:val="Tabletext"/>
              <w:spacing w:after="40" w:line="240" w:lineRule="auto"/>
            </w:pPr>
            <w:r w:rsidRPr="00742D9E">
              <w:t>Program administrator</w:t>
            </w:r>
          </w:p>
        </w:tc>
        <w:tc>
          <w:tcPr>
            <w:tcW w:w="1980" w:type="dxa"/>
            <w:noWrap/>
            <w:hideMark/>
          </w:tcPr>
          <w:p w:rsidRPr="00742D9E" w:rsidR="00B04AB6" w:rsidP="00B04AB6" w:rsidRDefault="00B04AB6" w14:paraId="1D8B87FB" w14:textId="77777777">
            <w:pPr>
              <w:pStyle w:val="Tabletext"/>
              <w:spacing w:after="40" w:line="240" w:lineRule="auto"/>
            </w:pPr>
            <w:r w:rsidRPr="00742D9E">
              <w:t>PA</w:t>
            </w:r>
          </w:p>
        </w:tc>
        <w:tc>
          <w:tcPr>
            <w:tcW w:w="2430" w:type="dxa"/>
            <w:hideMark/>
          </w:tcPr>
          <w:p w:rsidRPr="00742D9E" w:rsidR="00B04AB6" w:rsidP="00B04AB6" w:rsidRDefault="00B04AB6" w14:paraId="0CEC6840" w14:textId="77777777">
            <w:pPr>
              <w:pStyle w:val="Tabletext"/>
              <w:spacing w:after="40" w:line="240" w:lineRule="auto"/>
            </w:pPr>
            <w:r w:rsidRPr="00742D9E">
              <w:t>PA Type</w:t>
            </w:r>
          </w:p>
        </w:tc>
        <w:tc>
          <w:tcPr>
            <w:tcW w:w="1350" w:type="dxa"/>
          </w:tcPr>
          <w:p w:rsidRPr="00742D9E" w:rsidR="00B04AB6" w:rsidP="00B04AB6" w:rsidRDefault="00B04AB6" w14:paraId="64681E56" w14:textId="77777777">
            <w:pPr>
              <w:pStyle w:val="Tabletext"/>
              <w:spacing w:after="40" w:line="240" w:lineRule="auto"/>
            </w:pPr>
            <w:r w:rsidRPr="0063311C">
              <w:t>Meets Standard</w:t>
            </w:r>
          </w:p>
        </w:tc>
        <w:tc>
          <w:tcPr>
            <w:tcW w:w="1890" w:type="dxa"/>
            <w:hideMark/>
          </w:tcPr>
          <w:p w:rsidRPr="00742D9E" w:rsidR="00B04AB6" w:rsidP="00B04AB6" w:rsidRDefault="00B04AB6" w14:paraId="0960C733" w14:textId="77777777">
            <w:pPr>
              <w:pStyle w:val="Tabletext"/>
              <w:spacing w:after="40" w:line="240" w:lineRule="auto"/>
              <w:jc w:val="center"/>
            </w:pPr>
          </w:p>
        </w:tc>
      </w:tr>
    </w:tbl>
    <w:p w:rsidRPr="00017998" w:rsidR="00B04AB6" w:rsidP="00B04AB6" w:rsidRDefault="00B04AB6" w14:paraId="415978A9" w14:textId="77777777"/>
    <w:p w:rsidRPr="0010107D" w:rsidR="00B04AB6" w:rsidP="00B04AB6" w:rsidRDefault="00B04AB6" w14:paraId="2076D4BF" w14:textId="77777777">
      <w:pPr>
        <w:pStyle w:val="GaramondNormal"/>
      </w:pPr>
      <w:r w:rsidRPr="0010107D">
        <w:fldChar w:fldCharType="begin"/>
      </w:r>
      <w:r w:rsidRPr="0010107D">
        <w:instrText xml:space="preserve"> REF _Ref44002018 \h  \* MERGEFORMAT </w:instrText>
      </w:r>
      <w:r w:rsidRPr="0010107D">
        <w:fldChar w:fldCharType="separate"/>
      </w:r>
      <w:r>
        <w:t>Table A-5</w:t>
      </w:r>
      <w:r w:rsidRPr="0010107D">
        <w:fldChar w:fldCharType="end"/>
      </w:r>
      <w:r w:rsidRPr="0010107D">
        <w:t xml:space="preserve"> provides the fields that the CPUC requires for the </w:t>
      </w:r>
      <w:proofErr w:type="spellStart"/>
      <w:r w:rsidRPr="0010107D">
        <w:t>eTRM</w:t>
      </w:r>
      <w:proofErr w:type="spellEnd"/>
      <w:r w:rsidRPr="0010107D">
        <w:t xml:space="preserve"> to meet the Phase 2 data source of record standard. Because Phase 1 is designed to meet public user requirements and Phase 2 is designed to meet CPUC user requirements, the fields indicated in this table will support the </w:t>
      </w:r>
      <w:proofErr w:type="spellStart"/>
      <w:r w:rsidRPr="0010107D">
        <w:t>ex ante</w:t>
      </w:r>
      <w:proofErr w:type="spellEnd"/>
      <w:r w:rsidRPr="0010107D">
        <w:t xml:space="preserve"> workpaper review team and impact evaluation teams. </w:t>
      </w:r>
    </w:p>
    <w:p w:rsidR="00B04AB6" w:rsidP="00B04AB6" w:rsidRDefault="00B04AB6" w14:paraId="09CC65B4" w14:textId="77777777">
      <w:pPr>
        <w:pStyle w:val="CenturyGothicTableHeader"/>
      </w:pPr>
      <w:bookmarkStart w:name="_Ref44002018" w:id="226"/>
      <w:r>
        <w:t>Table A-</w:t>
      </w:r>
      <w:r>
        <w:fldChar w:fldCharType="begin"/>
      </w:r>
      <w:r>
        <w:instrText>SEQ Table \* ARABIC</w:instrText>
      </w:r>
      <w:r>
        <w:fldChar w:fldCharType="separate"/>
      </w:r>
      <w:r>
        <w:rPr>
          <w:noProof/>
        </w:rPr>
        <w:t>5</w:t>
      </w:r>
      <w:r>
        <w:fldChar w:fldCharType="end"/>
      </w:r>
      <w:bookmarkEnd w:id="226"/>
      <w:r>
        <w:t xml:space="preserve">. </w:t>
      </w:r>
      <w:proofErr w:type="spellStart"/>
      <w:r>
        <w:t>eTRM</w:t>
      </w:r>
      <w:proofErr w:type="spellEnd"/>
      <w:r>
        <w:t xml:space="preserve"> data fields required to meet Phase 2 standard</w:t>
      </w:r>
    </w:p>
    <w:tbl>
      <w:tblPr>
        <w:tblStyle w:val="TableGrid"/>
        <w:tblW w:w="980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14" w:type="dxa"/>
          <w:left w:w="115" w:type="dxa"/>
          <w:bottom w:w="14" w:type="dxa"/>
          <w:right w:w="115" w:type="dxa"/>
        </w:tblCellMar>
        <w:tblLook w:val="04A0" w:firstRow="1" w:lastRow="0" w:firstColumn="1" w:lastColumn="0" w:noHBand="0" w:noVBand="1"/>
      </w:tblPr>
      <w:tblGrid>
        <w:gridCol w:w="5035"/>
        <w:gridCol w:w="2790"/>
        <w:gridCol w:w="1980"/>
      </w:tblGrid>
      <w:tr w:rsidRPr="008F3256" w:rsidR="00B04AB6" w:rsidTr="00B04AB6" w14:paraId="79A0C2A5" w14:textId="77777777">
        <w:trPr>
          <w:trHeight w:val="331"/>
          <w:tblHeader/>
        </w:trPr>
        <w:tc>
          <w:tcPr>
            <w:tcW w:w="5035" w:type="dxa"/>
            <w:tcBorders>
              <w:bottom w:val="single" w:color="808080" w:themeColor="background1" w:themeShade="80" w:sz="2" w:space="0"/>
            </w:tcBorders>
            <w:shd w:val="clear" w:color="auto" w:fill="auto"/>
            <w:vAlign w:val="center"/>
            <w:hideMark/>
          </w:tcPr>
          <w:p w:rsidRPr="008F3256" w:rsidR="00B04AB6" w:rsidP="00B04AB6" w:rsidRDefault="00B04AB6" w14:paraId="0166545B" w14:textId="77777777">
            <w:pPr>
              <w:pStyle w:val="Tableheader0"/>
              <w:spacing w:after="40"/>
            </w:pPr>
            <w:r w:rsidRPr="008F3256">
              <w:t>Field Description</w:t>
            </w:r>
          </w:p>
        </w:tc>
        <w:tc>
          <w:tcPr>
            <w:tcW w:w="2790" w:type="dxa"/>
            <w:tcBorders>
              <w:bottom w:val="single" w:color="808080" w:themeColor="background1" w:themeShade="80" w:sz="2" w:space="0"/>
            </w:tcBorders>
            <w:shd w:val="clear" w:color="auto" w:fill="auto"/>
            <w:vAlign w:val="center"/>
            <w:hideMark/>
          </w:tcPr>
          <w:p w:rsidRPr="008F3256" w:rsidR="00B04AB6" w:rsidP="00B04AB6" w:rsidRDefault="00B04AB6" w14:paraId="4DBECFBF" w14:textId="77777777">
            <w:pPr>
              <w:pStyle w:val="Tableheader0"/>
              <w:spacing w:after="40"/>
            </w:pPr>
            <w:r w:rsidRPr="008F3256">
              <w:t>PEAR/</w:t>
            </w:r>
            <w:proofErr w:type="spellStart"/>
            <w:r w:rsidRPr="008F3256">
              <w:t>ExAnte</w:t>
            </w:r>
            <w:proofErr w:type="spellEnd"/>
            <w:r w:rsidRPr="008F3256">
              <w:t xml:space="preserve"> Fieldname(s)</w:t>
            </w:r>
          </w:p>
        </w:tc>
        <w:tc>
          <w:tcPr>
            <w:tcW w:w="1980" w:type="dxa"/>
            <w:tcBorders>
              <w:bottom w:val="single" w:color="808080" w:themeColor="background1" w:themeShade="80" w:sz="2" w:space="0"/>
            </w:tcBorders>
            <w:shd w:val="clear" w:color="auto" w:fill="auto"/>
            <w:vAlign w:val="center"/>
            <w:hideMark/>
          </w:tcPr>
          <w:p w:rsidRPr="008F3256" w:rsidR="00B04AB6" w:rsidP="00B04AB6" w:rsidRDefault="00B04AB6" w14:paraId="2C349E11" w14:textId="77777777">
            <w:pPr>
              <w:pStyle w:val="Tableheader0"/>
              <w:spacing w:after="40"/>
            </w:pPr>
            <w:r w:rsidRPr="008F3256">
              <w:t>Requires Daily Synchronization</w:t>
            </w:r>
          </w:p>
        </w:tc>
      </w:tr>
      <w:tr w:rsidRPr="00DF3F49" w:rsidR="00B04AB6" w:rsidTr="00B04AB6" w14:paraId="32EDBAB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2758374B" w14:textId="77777777">
            <w:pPr>
              <w:pStyle w:val="Tabletext"/>
              <w:spacing w:after="40" w:line="240" w:lineRule="auto"/>
            </w:pPr>
            <w:r w:rsidRPr="00DF3F49">
              <w:t>DEER Measure ID</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7E4DFBC1" w14:textId="77777777">
            <w:pPr>
              <w:pStyle w:val="Tabletext"/>
              <w:spacing w:after="40" w:line="240" w:lineRule="auto"/>
            </w:pPr>
            <w:proofErr w:type="spellStart"/>
            <w:r w:rsidRPr="00DF3F49">
              <w:t>MeasureID</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0C00E35" w14:textId="77777777">
            <w:pPr>
              <w:pStyle w:val="Tabletext"/>
              <w:spacing w:after="40" w:line="240" w:lineRule="auto"/>
              <w:jc w:val="center"/>
            </w:pPr>
            <w:r w:rsidRPr="00DF3F49">
              <w:t>TRUE</w:t>
            </w:r>
          </w:p>
        </w:tc>
      </w:tr>
      <w:tr w:rsidRPr="00DF3F49" w:rsidR="00B04AB6" w:rsidTr="00B04AB6" w14:paraId="176AFE5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521699A" w14:textId="77777777">
            <w:pPr>
              <w:pStyle w:val="Tabletext"/>
              <w:spacing w:after="40" w:line="240" w:lineRule="auto"/>
            </w:pPr>
            <w:r w:rsidRPr="00DF3F49">
              <w:t>HVAC system type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4DDD38B3" w14:textId="77777777">
            <w:pPr>
              <w:pStyle w:val="Tabletext"/>
              <w:spacing w:after="40" w:line="240" w:lineRule="auto"/>
            </w:pPr>
            <w:proofErr w:type="spellStart"/>
            <w:r w:rsidRPr="00DF3F49">
              <w:t>BldgHVACDesc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AD4F941" w14:textId="77777777">
            <w:pPr>
              <w:pStyle w:val="Tabletext"/>
              <w:spacing w:after="40" w:line="240" w:lineRule="auto"/>
              <w:jc w:val="center"/>
            </w:pPr>
          </w:p>
        </w:tc>
      </w:tr>
      <w:tr w:rsidRPr="00DF3F49" w:rsidR="00B04AB6" w:rsidTr="00B04AB6" w14:paraId="1B20DBE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7EAD281F" w14:textId="77777777">
            <w:pPr>
              <w:pStyle w:val="Tabletext"/>
              <w:spacing w:after="40" w:line="240" w:lineRule="auto"/>
            </w:pPr>
            <w:r w:rsidRPr="00DF3F49">
              <w:t>Climate zone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53E93482" w14:textId="77777777">
            <w:pPr>
              <w:pStyle w:val="Tabletext"/>
              <w:spacing w:after="40" w:line="240" w:lineRule="auto"/>
            </w:pPr>
            <w:proofErr w:type="spellStart"/>
            <w:r w:rsidRPr="00DF3F49">
              <w:t>BldgLocDesc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49033D2" w14:textId="77777777">
            <w:pPr>
              <w:pStyle w:val="Tabletext"/>
              <w:spacing w:after="40" w:line="240" w:lineRule="auto"/>
              <w:jc w:val="center"/>
            </w:pPr>
          </w:p>
        </w:tc>
      </w:tr>
      <w:tr w:rsidRPr="00DF3F49" w:rsidR="00B04AB6" w:rsidTr="00B04AB6" w14:paraId="3F60FA5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6A0F3E0" w14:textId="77777777">
            <w:pPr>
              <w:pStyle w:val="Tabletext"/>
              <w:spacing w:after="40" w:line="240" w:lineRule="auto"/>
            </w:pPr>
            <w:r w:rsidRPr="00DF3F49">
              <w:lastRenderedPageBreak/>
              <w:t>Building type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77B8B2BC" w14:textId="77777777">
            <w:pPr>
              <w:pStyle w:val="Tabletext"/>
              <w:spacing w:after="40" w:line="240" w:lineRule="auto"/>
            </w:pPr>
            <w:proofErr w:type="spellStart"/>
            <w:r w:rsidRPr="00DF3F49">
              <w:t>BldgTypeDesc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3ADD8C0" w14:textId="77777777">
            <w:pPr>
              <w:pStyle w:val="Tabletext"/>
              <w:spacing w:after="40" w:line="240" w:lineRule="auto"/>
              <w:jc w:val="center"/>
            </w:pPr>
          </w:p>
        </w:tc>
      </w:tr>
      <w:tr w:rsidRPr="00DF3F49" w:rsidR="00B04AB6" w:rsidTr="00B04AB6" w14:paraId="3C6E381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671BFF8" w14:textId="77777777">
            <w:pPr>
              <w:pStyle w:val="Tabletext"/>
              <w:spacing w:after="40" w:line="240" w:lineRule="auto"/>
            </w:pPr>
            <w:r w:rsidRPr="00DF3F49">
              <w:t>Building vintage bin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54DE3C13" w14:textId="77777777">
            <w:pPr>
              <w:pStyle w:val="Tabletext"/>
              <w:spacing w:after="40" w:line="240" w:lineRule="auto"/>
            </w:pPr>
            <w:proofErr w:type="spellStart"/>
            <w:r w:rsidRPr="00DF3F49">
              <w:t>BldgVintDesc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CB37A78" w14:textId="77777777">
            <w:pPr>
              <w:pStyle w:val="Tabletext"/>
              <w:spacing w:after="40" w:line="240" w:lineRule="auto"/>
              <w:jc w:val="center"/>
            </w:pPr>
          </w:p>
        </w:tc>
      </w:tr>
      <w:tr w:rsidRPr="00DF3F49" w:rsidR="00B04AB6" w:rsidTr="00B04AB6" w14:paraId="18473D7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B69C25C" w14:textId="77777777">
            <w:pPr>
              <w:pStyle w:val="Tabletext"/>
              <w:spacing w:after="40" w:line="240" w:lineRule="auto"/>
            </w:pPr>
            <w:r w:rsidRPr="00DF3F49">
              <w:t>Coincident demand factor</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535229A0" w14:textId="77777777">
            <w:pPr>
              <w:pStyle w:val="Tabletext"/>
              <w:spacing w:after="40" w:line="240" w:lineRule="auto"/>
            </w:pPr>
            <w:r w:rsidRPr="00DF3F49">
              <w:t>CDF</w:t>
            </w:r>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213AFAD" w14:textId="77777777">
            <w:pPr>
              <w:pStyle w:val="Tabletext"/>
              <w:spacing w:after="40" w:line="240" w:lineRule="auto"/>
              <w:jc w:val="center"/>
            </w:pPr>
          </w:p>
        </w:tc>
      </w:tr>
      <w:tr w:rsidRPr="00DF3F49" w:rsidR="00B04AB6" w:rsidTr="00B04AB6" w14:paraId="72CD3AE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00CD75F" w14:textId="77777777">
            <w:pPr>
              <w:pStyle w:val="Tabletext"/>
              <w:spacing w:after="40" w:line="240" w:lineRule="auto"/>
            </w:pPr>
            <w:r w:rsidRPr="00DF3F49">
              <w:t>Flag for values available for claims reporting</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07AEF749" w14:textId="77777777">
            <w:pPr>
              <w:pStyle w:val="Tabletext"/>
              <w:spacing w:after="40" w:line="240" w:lineRule="auto"/>
            </w:pPr>
            <w:proofErr w:type="spellStart"/>
            <w:r w:rsidRPr="00DF3F49">
              <w:t>ClaimSpec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E515F98" w14:textId="77777777">
            <w:pPr>
              <w:pStyle w:val="Tabletext"/>
              <w:spacing w:after="40" w:line="240" w:lineRule="auto"/>
              <w:jc w:val="center"/>
            </w:pPr>
            <w:r w:rsidRPr="00DF3F49">
              <w:t>TRUE</w:t>
            </w:r>
          </w:p>
        </w:tc>
      </w:tr>
      <w:tr w:rsidRPr="00DF3F49" w:rsidR="00B04AB6" w:rsidTr="00B04AB6" w14:paraId="37B3551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465A95A0" w14:textId="77777777">
            <w:pPr>
              <w:pStyle w:val="Tabletext"/>
              <w:spacing w:after="40" w:line="240" w:lineRule="auto"/>
            </w:pPr>
            <w:r w:rsidRPr="00DF3F49">
              <w:t>Date record created</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1C2AFAF6" w14:textId="77777777">
            <w:pPr>
              <w:pStyle w:val="Tabletext"/>
              <w:spacing w:after="40" w:line="240" w:lineRule="auto"/>
            </w:pPr>
            <w:r w:rsidRPr="00DF3F49">
              <w:t>Created</w:t>
            </w:r>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7EA6F0F" w14:textId="77777777">
            <w:pPr>
              <w:pStyle w:val="Tabletext"/>
              <w:spacing w:after="40" w:line="240" w:lineRule="auto"/>
              <w:jc w:val="center"/>
            </w:pPr>
          </w:p>
        </w:tc>
      </w:tr>
      <w:tr w:rsidRPr="00DF3F49" w:rsidR="00B04AB6" w:rsidTr="00B04AB6" w14:paraId="61DF909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75D30CA5" w14:textId="77777777">
            <w:pPr>
              <w:pStyle w:val="Tabletext"/>
              <w:spacing w:after="40" w:line="240" w:lineRule="auto"/>
            </w:pPr>
            <w:r w:rsidRPr="00DF3F49">
              <w:t>Record creator</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3C98FADF" w14:textId="77777777">
            <w:pPr>
              <w:pStyle w:val="Tabletext"/>
              <w:spacing w:after="40" w:line="240" w:lineRule="auto"/>
            </w:pPr>
            <w:proofErr w:type="spellStart"/>
            <w:r w:rsidRPr="00DF3F49">
              <w:t>CreatedBy</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3DD0A43" w14:textId="77777777">
            <w:pPr>
              <w:pStyle w:val="Tabletext"/>
              <w:spacing w:after="40" w:line="240" w:lineRule="auto"/>
              <w:jc w:val="center"/>
            </w:pPr>
          </w:p>
        </w:tc>
      </w:tr>
      <w:tr w:rsidRPr="00DF3F49" w:rsidR="00B04AB6" w:rsidTr="00B04AB6" w14:paraId="3CE24C8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8BAF268" w14:textId="77777777">
            <w:pPr>
              <w:pStyle w:val="Tabletext"/>
              <w:spacing w:after="40" w:line="240" w:lineRule="auto"/>
            </w:pPr>
            <w:r w:rsidRPr="00DF3F49">
              <w:t>Record documentation source</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16F25BCC" w14:textId="77777777">
            <w:pPr>
              <w:pStyle w:val="Tabletext"/>
              <w:spacing w:after="40" w:line="240" w:lineRule="auto"/>
            </w:pPr>
            <w:proofErr w:type="spellStart"/>
            <w:r w:rsidRPr="00DF3F49">
              <w:t>CreatedCitation</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AB856AE" w14:textId="77777777">
            <w:pPr>
              <w:pStyle w:val="Tabletext"/>
              <w:spacing w:after="40" w:line="240" w:lineRule="auto"/>
              <w:jc w:val="center"/>
            </w:pPr>
          </w:p>
        </w:tc>
      </w:tr>
      <w:tr w:rsidRPr="00DF3F49" w:rsidR="00B04AB6" w:rsidTr="00B04AB6" w14:paraId="0743BD4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09F4996" w14:textId="77777777">
            <w:pPr>
              <w:pStyle w:val="Tabletext"/>
              <w:spacing w:after="40" w:line="240" w:lineRule="auto"/>
            </w:pPr>
            <w:r w:rsidRPr="00DF3F49">
              <w:t>Default equivalent full-load hours</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09D6D836" w14:textId="77777777">
            <w:pPr>
              <w:pStyle w:val="Tabletext"/>
              <w:spacing w:after="40" w:line="240" w:lineRule="auto"/>
            </w:pPr>
            <w:proofErr w:type="spellStart"/>
            <w:r w:rsidRPr="00DF3F49">
              <w:t>defEFLH</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231457E" w14:textId="77777777">
            <w:pPr>
              <w:pStyle w:val="Tabletext"/>
              <w:spacing w:after="40" w:line="240" w:lineRule="auto"/>
              <w:jc w:val="center"/>
            </w:pPr>
          </w:p>
        </w:tc>
      </w:tr>
      <w:tr w:rsidRPr="00DF3F49" w:rsidR="00B04AB6" w:rsidTr="00B04AB6" w14:paraId="21550F3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4CC02F38" w14:textId="77777777">
            <w:pPr>
              <w:pStyle w:val="Tabletext"/>
              <w:spacing w:after="40" w:line="240" w:lineRule="auto"/>
            </w:pPr>
            <w:r w:rsidRPr="00DF3F49">
              <w:t>EUL category</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03E05190" w14:textId="77777777">
            <w:pPr>
              <w:pStyle w:val="Tabletext"/>
              <w:spacing w:after="40" w:line="240" w:lineRule="auto"/>
            </w:pPr>
            <w:proofErr w:type="spellStart"/>
            <w:r w:rsidRPr="00DF3F49">
              <w:t>defEULCode</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4FA5A919" w14:textId="77777777">
            <w:pPr>
              <w:pStyle w:val="Tabletext"/>
              <w:spacing w:after="40" w:line="240" w:lineRule="auto"/>
              <w:jc w:val="center"/>
            </w:pPr>
          </w:p>
        </w:tc>
      </w:tr>
      <w:tr w:rsidRPr="00DF3F49" w:rsidR="00B04AB6" w:rsidTr="00B04AB6" w14:paraId="5783E69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7361A88" w14:textId="77777777">
            <w:pPr>
              <w:pStyle w:val="Tabletext"/>
              <w:spacing w:after="40" w:line="240" w:lineRule="auto"/>
            </w:pPr>
            <w:r w:rsidRPr="00DF3F49">
              <w:t>Delivery type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51A4B3EA" w14:textId="77777777">
            <w:pPr>
              <w:pStyle w:val="Tabletext"/>
              <w:spacing w:after="40" w:line="240" w:lineRule="auto"/>
            </w:pPr>
            <w:proofErr w:type="spellStart"/>
            <w:r w:rsidRPr="00DF3F49">
              <w:t>DeliveryTypeDesc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696F00D" w14:textId="77777777">
            <w:pPr>
              <w:pStyle w:val="Tabletext"/>
              <w:spacing w:after="40" w:line="240" w:lineRule="auto"/>
              <w:jc w:val="center"/>
            </w:pPr>
          </w:p>
        </w:tc>
      </w:tr>
      <w:tr w:rsidRPr="00DF3F49" w:rsidR="00B04AB6" w:rsidTr="00B04AB6" w14:paraId="719CF12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7A32B7E0" w14:textId="77777777">
            <w:pPr>
              <w:pStyle w:val="Tabletext"/>
              <w:spacing w:after="40" w:line="240" w:lineRule="auto"/>
            </w:pPr>
            <w:r w:rsidRPr="00DF3F49">
              <w:t>NTG ID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06C4F7FA" w14:textId="77777777">
            <w:pPr>
              <w:pStyle w:val="Tabletext"/>
              <w:spacing w:after="40" w:line="240" w:lineRule="auto"/>
            </w:pPr>
            <w:r w:rsidRPr="00DF3F49">
              <w:t>Desc</w:t>
            </w:r>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4D69DF00" w14:textId="77777777">
            <w:pPr>
              <w:pStyle w:val="Tabletext"/>
              <w:spacing w:after="40" w:line="240" w:lineRule="auto"/>
              <w:jc w:val="center"/>
            </w:pPr>
          </w:p>
        </w:tc>
      </w:tr>
      <w:tr w:rsidRPr="00DF3F49" w:rsidR="00B04AB6" w:rsidTr="00B04AB6" w14:paraId="1F29821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4" w:space="0"/>
              <w:right w:val="single" w:color="808080" w:themeColor="background1" w:themeShade="80" w:sz="2" w:space="0"/>
            </w:tcBorders>
            <w:hideMark/>
          </w:tcPr>
          <w:p w:rsidRPr="00DF3F49" w:rsidR="00B04AB6" w:rsidP="00B04AB6" w:rsidRDefault="00B04AB6" w14:paraId="2CDBF2BB" w14:textId="77777777">
            <w:pPr>
              <w:pStyle w:val="Tabletext"/>
              <w:spacing w:after="40" w:line="240" w:lineRule="auto"/>
            </w:pPr>
            <w:r w:rsidRPr="00DF3F49">
              <w:t>Energy Impact Profile</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4" w:space="0"/>
              <w:right w:val="single" w:color="808080" w:themeColor="background1" w:themeShade="80" w:sz="2" w:space="0"/>
            </w:tcBorders>
            <w:noWrap/>
            <w:hideMark/>
          </w:tcPr>
          <w:p w:rsidRPr="00DF3F49" w:rsidR="00B04AB6" w:rsidP="00B04AB6" w:rsidRDefault="00B04AB6" w14:paraId="0CFBC521" w14:textId="77777777">
            <w:pPr>
              <w:pStyle w:val="Tabletext"/>
              <w:spacing w:after="40" w:line="240" w:lineRule="auto"/>
            </w:pPr>
            <w:proofErr w:type="spellStart"/>
            <w:r w:rsidRPr="00DF3F49">
              <w:t>EnergyImpactProfile</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1C64A9F" w14:textId="77777777">
            <w:pPr>
              <w:pStyle w:val="Tabletext"/>
              <w:spacing w:after="40" w:line="240" w:lineRule="auto"/>
              <w:jc w:val="center"/>
            </w:pPr>
          </w:p>
        </w:tc>
      </w:tr>
      <w:tr w:rsidRPr="00DF3F49" w:rsidR="00B04AB6" w:rsidTr="00B04AB6" w14:paraId="5132130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auto"/>
          </w:tcPr>
          <w:p w:rsidRPr="00DF3F49" w:rsidR="00B04AB6" w:rsidP="00B04AB6" w:rsidRDefault="00B04AB6" w14:paraId="16716FE6" w14:textId="77777777">
            <w:pPr>
              <w:pStyle w:val="Tabletext"/>
              <w:spacing w:after="40" w:line="240" w:lineRule="auto"/>
            </w:pPr>
            <w:r w:rsidRPr="00926B39">
              <w:t>Interactive effects factor for kW savings</w:t>
            </w:r>
          </w:p>
        </w:tc>
        <w:tc>
          <w:tcPr>
            <w:tcW w:w="27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auto"/>
            <w:noWrap/>
          </w:tcPr>
          <w:p w:rsidRPr="00DF3F49" w:rsidR="00B04AB6" w:rsidP="00B04AB6" w:rsidRDefault="00B04AB6" w14:paraId="18DE8A79" w14:textId="77777777">
            <w:pPr>
              <w:pStyle w:val="Tabletext"/>
              <w:spacing w:after="40" w:line="240" w:lineRule="auto"/>
            </w:pPr>
            <w:proofErr w:type="spellStart"/>
            <w:r w:rsidRPr="00926B39">
              <w:t>IE_kW</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tcPr>
          <w:p w:rsidRPr="00DF3F49" w:rsidR="00B04AB6" w:rsidP="00B04AB6" w:rsidRDefault="00B04AB6" w14:paraId="2C72F51D" w14:textId="77777777">
            <w:pPr>
              <w:pStyle w:val="Tabletext"/>
              <w:spacing w:after="40" w:line="240" w:lineRule="auto"/>
              <w:jc w:val="center"/>
            </w:pPr>
          </w:p>
        </w:tc>
      </w:tr>
      <w:tr w:rsidRPr="00DF3F49" w:rsidR="00B04AB6" w:rsidTr="00B04AB6" w14:paraId="099070A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auto"/>
          </w:tcPr>
          <w:p w:rsidRPr="00DF3F49" w:rsidR="00B04AB6" w:rsidP="00B04AB6" w:rsidRDefault="00B04AB6" w14:paraId="090FF36B" w14:textId="77777777">
            <w:pPr>
              <w:pStyle w:val="Tabletext"/>
              <w:spacing w:after="40" w:line="240" w:lineRule="auto"/>
            </w:pPr>
            <w:r w:rsidRPr="00926B39">
              <w:t>Interactive effects factor for kWh savings</w:t>
            </w:r>
          </w:p>
        </w:tc>
        <w:tc>
          <w:tcPr>
            <w:tcW w:w="27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auto"/>
            <w:noWrap/>
          </w:tcPr>
          <w:p w:rsidRPr="00DF3F49" w:rsidR="00B04AB6" w:rsidP="00B04AB6" w:rsidRDefault="00B04AB6" w14:paraId="43FA127C" w14:textId="77777777">
            <w:pPr>
              <w:pStyle w:val="Tabletext"/>
              <w:spacing w:after="40" w:line="240" w:lineRule="auto"/>
            </w:pPr>
            <w:proofErr w:type="spellStart"/>
            <w:r w:rsidRPr="00926B39">
              <w:t>IE_kWh</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tcPr>
          <w:p w:rsidRPr="00DF3F49" w:rsidR="00B04AB6" w:rsidP="00B04AB6" w:rsidRDefault="00B04AB6" w14:paraId="6BA3E4E1" w14:textId="77777777">
            <w:pPr>
              <w:pStyle w:val="Tabletext"/>
              <w:spacing w:after="40" w:line="240" w:lineRule="auto"/>
              <w:jc w:val="center"/>
            </w:pPr>
          </w:p>
        </w:tc>
      </w:tr>
      <w:tr w:rsidRPr="00DF3F49" w:rsidR="00B04AB6" w:rsidTr="00B04AB6" w14:paraId="3CDE9B5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auto"/>
          </w:tcPr>
          <w:p w:rsidRPr="00DF3F49" w:rsidR="00B04AB6" w:rsidP="00B04AB6" w:rsidRDefault="00B04AB6" w14:paraId="053F1D60" w14:textId="77777777">
            <w:pPr>
              <w:pStyle w:val="Tabletext"/>
              <w:spacing w:after="40" w:line="240" w:lineRule="auto"/>
            </w:pPr>
            <w:r w:rsidRPr="00926B39">
              <w:t xml:space="preserve">Interactive effects factor for </w:t>
            </w:r>
            <w:proofErr w:type="spellStart"/>
            <w:r w:rsidRPr="00926B39">
              <w:t>therm</w:t>
            </w:r>
            <w:proofErr w:type="spellEnd"/>
            <w:r w:rsidRPr="00926B39">
              <w:t xml:space="preserve"> savings</w:t>
            </w:r>
          </w:p>
        </w:tc>
        <w:tc>
          <w:tcPr>
            <w:tcW w:w="2790"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shd w:val="clear" w:color="auto" w:fill="auto"/>
            <w:noWrap/>
          </w:tcPr>
          <w:p w:rsidRPr="00DF3F49" w:rsidR="00B04AB6" w:rsidP="00B04AB6" w:rsidRDefault="00B04AB6" w14:paraId="6156A9C4" w14:textId="77777777">
            <w:pPr>
              <w:pStyle w:val="Tabletext"/>
              <w:spacing w:after="40" w:line="240" w:lineRule="auto"/>
            </w:pPr>
            <w:proofErr w:type="spellStart"/>
            <w:r w:rsidRPr="00926B39">
              <w:t>IE_therm</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tcPr>
          <w:p w:rsidRPr="00DF3F49" w:rsidR="00B04AB6" w:rsidP="00B04AB6" w:rsidRDefault="00B04AB6" w14:paraId="54BB9F64" w14:textId="77777777">
            <w:pPr>
              <w:pStyle w:val="Tabletext"/>
              <w:spacing w:after="40" w:line="240" w:lineRule="auto"/>
              <w:jc w:val="center"/>
            </w:pPr>
          </w:p>
        </w:tc>
      </w:tr>
      <w:tr w:rsidRPr="00DF3F49" w:rsidR="00B04AB6" w:rsidTr="00B04AB6" w14:paraId="64C80D8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4"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42FA348B" w14:textId="2343FC8C">
            <w:pPr>
              <w:pStyle w:val="Tabletext"/>
              <w:spacing w:after="40" w:line="240" w:lineRule="auto"/>
            </w:pPr>
            <w:r w:rsidRPr="00DF3F49">
              <w:t xml:space="preserve">Flag for values available </w:t>
            </w:r>
            <w:r w:rsidRPr="00DF3F49" w:rsidR="00E63CBF">
              <w:t xml:space="preserve">for </w:t>
            </w:r>
            <w:r w:rsidR="00E63CBF">
              <w:t>percent</w:t>
            </w:r>
            <w:r w:rsidRPr="00DF3F49">
              <w:t xml:space="preserve"> filing</w:t>
            </w:r>
          </w:p>
        </w:tc>
        <w:tc>
          <w:tcPr>
            <w:tcW w:w="2790" w:type="dxa"/>
            <w:tcBorders>
              <w:top w:val="single" w:color="808080" w:themeColor="background1" w:themeShade="80" w:sz="4"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13BE8D78" w14:textId="77777777">
            <w:pPr>
              <w:pStyle w:val="Tabletext"/>
              <w:spacing w:after="40" w:line="240" w:lineRule="auto"/>
            </w:pPr>
            <w:proofErr w:type="spellStart"/>
            <w:r w:rsidRPr="00DF3F49">
              <w:t>FilingSpec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045E753" w14:textId="77777777">
            <w:pPr>
              <w:pStyle w:val="Tabletext"/>
              <w:spacing w:after="40" w:line="240" w:lineRule="auto"/>
              <w:jc w:val="center"/>
            </w:pPr>
            <w:r w:rsidRPr="00DF3F49">
              <w:t>TRUE</w:t>
            </w:r>
          </w:p>
        </w:tc>
      </w:tr>
      <w:tr w:rsidRPr="00DF3F49" w:rsidR="00B04AB6" w:rsidTr="00B04AB6" w14:paraId="3EBE689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9BAEA19" w14:textId="77777777">
            <w:pPr>
              <w:pStyle w:val="Tabletext"/>
              <w:spacing w:after="40" w:line="240" w:lineRule="auto"/>
            </w:pPr>
            <w:r w:rsidRPr="00DF3F49">
              <w:t>Notice of planned studies</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42B3B1ED" w14:textId="77777777">
            <w:pPr>
              <w:pStyle w:val="Tabletext"/>
              <w:spacing w:after="40" w:line="240" w:lineRule="auto"/>
            </w:pPr>
            <w:proofErr w:type="spellStart"/>
            <w:r w:rsidRPr="00DF3F49">
              <w:t>FutureComment</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2BD99B5" w14:textId="77777777">
            <w:pPr>
              <w:pStyle w:val="Tabletext"/>
              <w:spacing w:after="40" w:line="240" w:lineRule="auto"/>
              <w:jc w:val="center"/>
            </w:pPr>
          </w:p>
        </w:tc>
      </w:tr>
      <w:tr w:rsidRPr="00DF3F49" w:rsidR="00B04AB6" w:rsidTr="00B04AB6" w14:paraId="022C552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29BFD076" w14:textId="77777777">
            <w:pPr>
              <w:pStyle w:val="Tabletext"/>
              <w:spacing w:after="40" w:line="240" w:lineRule="auto"/>
            </w:pPr>
            <w:r w:rsidRPr="00DF3F49">
              <w:t xml:space="preserve">Gas impact profile </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3EAD1AA8" w14:textId="77777777">
            <w:pPr>
              <w:pStyle w:val="Tabletext"/>
              <w:spacing w:after="40" w:line="240" w:lineRule="auto"/>
            </w:pPr>
            <w:proofErr w:type="spellStart"/>
            <w:r w:rsidRPr="00DF3F49">
              <w:t>GasImpactProfile</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1E46611" w14:textId="77777777">
            <w:pPr>
              <w:pStyle w:val="Tabletext"/>
              <w:spacing w:after="40" w:line="240" w:lineRule="auto"/>
              <w:jc w:val="center"/>
            </w:pPr>
          </w:p>
        </w:tc>
      </w:tr>
      <w:tr w:rsidRPr="00DF3F49" w:rsidR="00B04AB6" w:rsidTr="00B04AB6" w14:paraId="04647E3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79CB4467" w14:textId="77777777">
            <w:pPr>
              <w:pStyle w:val="Tabletext"/>
              <w:spacing w:after="40" w:line="240" w:lineRule="auto"/>
            </w:pPr>
            <w:r w:rsidRPr="00DF3F49">
              <w:t>Gross savings &amp; installation adjustment type</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060C2D11" w14:textId="77777777">
            <w:pPr>
              <w:pStyle w:val="Tabletext"/>
              <w:spacing w:after="40" w:line="240" w:lineRule="auto"/>
            </w:pPr>
            <w:proofErr w:type="spellStart"/>
            <w:r w:rsidRPr="00DF3F49">
              <w:t>GSIAType</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C29A325" w14:textId="77777777">
            <w:pPr>
              <w:pStyle w:val="Tabletext"/>
              <w:spacing w:after="40" w:line="240" w:lineRule="auto"/>
              <w:jc w:val="center"/>
            </w:pPr>
          </w:p>
        </w:tc>
      </w:tr>
      <w:tr w:rsidRPr="00DF3F49" w:rsidR="00B04AB6" w:rsidTr="00B04AB6" w14:paraId="3C67828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E4B9BB1" w14:textId="77777777">
            <w:pPr>
              <w:pStyle w:val="Tabletext"/>
              <w:spacing w:after="40" w:line="240" w:lineRule="auto"/>
            </w:pPr>
            <w:r w:rsidRPr="00DF3F49">
              <w:t>Gross savings &amp; installation adjustment type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55A08B40" w14:textId="77777777">
            <w:pPr>
              <w:pStyle w:val="Tabletext"/>
              <w:spacing w:after="40" w:line="240" w:lineRule="auto"/>
            </w:pPr>
            <w:proofErr w:type="spellStart"/>
            <w:r w:rsidRPr="00DF3F49">
              <w:t>GSIATypeDesc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B0AE7B3" w14:textId="77777777">
            <w:pPr>
              <w:pStyle w:val="Tabletext"/>
              <w:spacing w:after="40" w:line="240" w:lineRule="auto"/>
              <w:jc w:val="center"/>
            </w:pPr>
          </w:p>
        </w:tc>
      </w:tr>
      <w:tr w:rsidRPr="00DF3F49" w:rsidR="00B04AB6" w:rsidTr="00B04AB6" w14:paraId="78B1D8C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A06B62D" w14:textId="77777777">
            <w:pPr>
              <w:pStyle w:val="Tabletext"/>
              <w:spacing w:after="40" w:line="240" w:lineRule="auto"/>
            </w:pPr>
            <w:r w:rsidRPr="00DF3F49">
              <w:t xml:space="preserve">Gross </w:t>
            </w:r>
            <w:r>
              <w:t>s</w:t>
            </w:r>
            <w:r w:rsidRPr="00DF3F49">
              <w:t>avings &amp; installation adjustment factor</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1E87CD58" w14:textId="77777777">
            <w:pPr>
              <w:pStyle w:val="Tabletext"/>
              <w:spacing w:after="40" w:line="240" w:lineRule="auto"/>
            </w:pPr>
            <w:proofErr w:type="spellStart"/>
            <w:r w:rsidRPr="00DF3F49">
              <w:t>GSIAValue</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ADD5925" w14:textId="77777777">
            <w:pPr>
              <w:pStyle w:val="Tabletext"/>
              <w:spacing w:after="40" w:line="240" w:lineRule="auto"/>
              <w:jc w:val="center"/>
            </w:pPr>
          </w:p>
        </w:tc>
      </w:tr>
      <w:tr w:rsidRPr="00DF3F49" w:rsidR="00B04AB6" w:rsidTr="00B04AB6" w14:paraId="505D2C8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9D61931" w14:textId="77777777">
            <w:pPr>
              <w:pStyle w:val="Tabletext"/>
              <w:spacing w:after="40" w:line="240" w:lineRule="auto"/>
            </w:pPr>
            <w:r w:rsidRPr="00DF3F49">
              <w:t>Hours of use</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059150FC" w14:textId="77777777">
            <w:pPr>
              <w:pStyle w:val="Tabletext"/>
              <w:spacing w:after="40" w:line="240" w:lineRule="auto"/>
            </w:pPr>
            <w:r w:rsidRPr="00DF3F49">
              <w:t>HOU</w:t>
            </w:r>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2DC8167" w14:textId="77777777">
            <w:pPr>
              <w:pStyle w:val="Tabletext"/>
              <w:spacing w:after="40" w:line="240" w:lineRule="auto"/>
              <w:jc w:val="center"/>
            </w:pPr>
          </w:p>
        </w:tc>
      </w:tr>
      <w:tr w:rsidRPr="00DF3F49" w:rsidR="00B04AB6" w:rsidTr="00B04AB6" w14:paraId="7CCBC39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2182F8CA" w14:textId="77777777">
            <w:pPr>
              <w:pStyle w:val="Tabletext"/>
              <w:spacing w:after="40" w:line="240" w:lineRule="auto"/>
            </w:pPr>
            <w:r w:rsidRPr="00DF3F49">
              <w:t>Hours of use categories</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388F0F83" w14:textId="77777777">
            <w:pPr>
              <w:pStyle w:val="Tabletext"/>
              <w:spacing w:after="40" w:line="240" w:lineRule="auto"/>
            </w:pPr>
            <w:proofErr w:type="spellStart"/>
            <w:r w:rsidRPr="00DF3F49">
              <w:t>HOU_cat</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352DBEB" w14:textId="77777777">
            <w:pPr>
              <w:pStyle w:val="Tabletext"/>
              <w:spacing w:after="40" w:line="240" w:lineRule="auto"/>
              <w:jc w:val="center"/>
            </w:pPr>
          </w:p>
        </w:tc>
      </w:tr>
      <w:tr w:rsidRPr="00DF3F49" w:rsidR="00B04AB6" w:rsidTr="00B04AB6" w14:paraId="36E1BEB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01ACC40" w14:textId="77777777">
            <w:pPr>
              <w:pStyle w:val="Tabletext"/>
              <w:spacing w:after="40" w:line="240" w:lineRule="auto"/>
            </w:pPr>
            <w:r w:rsidRPr="00DF3F49">
              <w:t>Flag indicating DEER building type</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0F1A71D2" w14:textId="77777777">
            <w:pPr>
              <w:pStyle w:val="Tabletext"/>
              <w:spacing w:after="40" w:line="240" w:lineRule="auto"/>
            </w:pPr>
            <w:proofErr w:type="spellStart"/>
            <w:r w:rsidRPr="00DF3F49">
              <w:t>IsDEERBldg</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48D2C1B" w14:textId="77777777">
            <w:pPr>
              <w:pStyle w:val="Tabletext"/>
              <w:spacing w:after="40" w:line="240" w:lineRule="auto"/>
              <w:jc w:val="center"/>
            </w:pPr>
          </w:p>
        </w:tc>
      </w:tr>
      <w:tr w:rsidRPr="00DF3F49" w:rsidR="00B04AB6" w:rsidTr="00B04AB6" w14:paraId="577F474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D5EEB3F" w14:textId="77777777">
            <w:pPr>
              <w:pStyle w:val="Tabletext"/>
              <w:spacing w:after="40" w:line="240" w:lineRule="auto"/>
            </w:pPr>
            <w:r w:rsidRPr="00DF3F49">
              <w:t>Proposed content flag (not yet approved)</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0D73852A" w14:textId="77777777">
            <w:pPr>
              <w:pStyle w:val="Tabletext"/>
              <w:spacing w:after="40" w:line="240" w:lineRule="auto"/>
            </w:pPr>
            <w:proofErr w:type="spellStart"/>
            <w:r w:rsidRPr="00DF3F49">
              <w:t>IsProposed</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23C8555B" w14:textId="77777777">
            <w:pPr>
              <w:pStyle w:val="Tabletext"/>
              <w:spacing w:after="40" w:line="240" w:lineRule="auto"/>
              <w:jc w:val="center"/>
            </w:pPr>
          </w:p>
        </w:tc>
      </w:tr>
      <w:tr w:rsidRPr="00DF3F49" w:rsidR="00B04AB6" w:rsidTr="00B04AB6" w14:paraId="3C19700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48DDF948" w14:textId="77777777">
            <w:pPr>
              <w:pStyle w:val="Tabletext"/>
              <w:spacing w:after="40" w:line="240" w:lineRule="auto"/>
            </w:pPr>
            <w:r w:rsidRPr="00DF3F49">
              <w:t>Date of last modification to record</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06B1297C" w14:textId="77777777">
            <w:pPr>
              <w:pStyle w:val="Tabletext"/>
              <w:spacing w:after="40" w:line="240" w:lineRule="auto"/>
            </w:pPr>
            <w:proofErr w:type="spellStart"/>
            <w:r w:rsidRPr="00DF3F49">
              <w:t>LastMod</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59123DB" w14:textId="77777777">
            <w:pPr>
              <w:pStyle w:val="Tabletext"/>
              <w:spacing w:after="40" w:line="240" w:lineRule="auto"/>
              <w:jc w:val="center"/>
            </w:pPr>
          </w:p>
        </w:tc>
      </w:tr>
      <w:tr w:rsidRPr="00DF3F49" w:rsidR="00B04AB6" w:rsidTr="00B04AB6" w14:paraId="2DBDCB2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6EBDD31" w14:textId="77777777">
            <w:pPr>
              <w:pStyle w:val="Tabletext"/>
              <w:spacing w:after="40" w:line="240" w:lineRule="auto"/>
            </w:pPr>
            <w:r w:rsidRPr="00DF3F49">
              <w:t>Party last modified record</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11916510" w14:textId="77777777">
            <w:pPr>
              <w:pStyle w:val="Tabletext"/>
              <w:spacing w:after="40" w:line="240" w:lineRule="auto"/>
            </w:pPr>
            <w:proofErr w:type="spellStart"/>
            <w:r w:rsidRPr="00DF3F49">
              <w:t>LastModBy</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1DEDC80" w14:textId="77777777">
            <w:pPr>
              <w:pStyle w:val="Tabletext"/>
              <w:spacing w:after="40" w:line="240" w:lineRule="auto"/>
              <w:jc w:val="center"/>
            </w:pPr>
          </w:p>
        </w:tc>
      </w:tr>
      <w:tr w:rsidRPr="00DF3F49" w:rsidR="00B04AB6" w:rsidTr="00B04AB6" w14:paraId="068915C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5268668" w14:textId="77777777">
            <w:pPr>
              <w:pStyle w:val="Tabletext"/>
              <w:spacing w:after="40" w:line="240" w:lineRule="auto"/>
            </w:pPr>
            <w:r w:rsidRPr="00DF3F49">
              <w:t>Supporting documentation for last modification to record</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11FF2052" w14:textId="77777777">
            <w:pPr>
              <w:pStyle w:val="Tabletext"/>
              <w:spacing w:after="40" w:line="240" w:lineRule="auto"/>
            </w:pPr>
            <w:proofErr w:type="spellStart"/>
            <w:r w:rsidRPr="00DF3F49">
              <w:t>LastModCitation</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387A9C8" w14:textId="77777777">
            <w:pPr>
              <w:pStyle w:val="Tabletext"/>
              <w:spacing w:after="40" w:line="240" w:lineRule="auto"/>
              <w:jc w:val="center"/>
            </w:pPr>
          </w:p>
        </w:tc>
      </w:tr>
      <w:tr w:rsidRPr="00DF3F49" w:rsidR="00B04AB6" w:rsidTr="00B04AB6" w14:paraId="1C54225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4154F01" w14:textId="77777777">
            <w:pPr>
              <w:pStyle w:val="Tabletext"/>
              <w:spacing w:after="40" w:line="240" w:lineRule="auto"/>
            </w:pPr>
            <w:r w:rsidRPr="00DF3F49">
              <w:t>Comment regarding last modification to record</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5084BFCA" w14:textId="77777777">
            <w:pPr>
              <w:pStyle w:val="Tabletext"/>
              <w:spacing w:after="40" w:line="240" w:lineRule="auto"/>
            </w:pPr>
            <w:proofErr w:type="spellStart"/>
            <w:r w:rsidRPr="00DF3F49">
              <w:t>LastModComment</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FBE8DD7" w14:textId="77777777">
            <w:pPr>
              <w:pStyle w:val="Tabletext"/>
              <w:spacing w:after="40" w:line="240" w:lineRule="auto"/>
              <w:jc w:val="center"/>
            </w:pPr>
          </w:p>
        </w:tc>
      </w:tr>
      <w:tr w:rsidRPr="00DF3F49" w:rsidR="00B04AB6" w:rsidTr="00B04AB6" w14:paraId="2A04E26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2B5FDAE" w14:textId="77777777">
            <w:pPr>
              <w:pStyle w:val="Tabletext"/>
              <w:spacing w:after="40" w:line="240" w:lineRule="auto"/>
            </w:pPr>
            <w:r w:rsidRPr="00DF3F49">
              <w:t>Lighting category</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7AD1DE24" w14:textId="77777777">
            <w:pPr>
              <w:pStyle w:val="Tabletext"/>
              <w:spacing w:after="40" w:line="240" w:lineRule="auto"/>
            </w:pPr>
            <w:proofErr w:type="spellStart"/>
            <w:r w:rsidRPr="00DF3F49">
              <w:t>LightingType</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043F46D" w14:textId="77777777">
            <w:pPr>
              <w:pStyle w:val="Tabletext"/>
              <w:spacing w:after="40" w:line="240" w:lineRule="auto"/>
              <w:jc w:val="center"/>
            </w:pPr>
          </w:p>
        </w:tc>
      </w:tr>
      <w:tr w:rsidRPr="00DF3F49" w:rsidR="00B04AB6" w:rsidTr="00B04AB6" w14:paraId="32FF3EF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86F277F" w14:textId="77777777">
            <w:pPr>
              <w:pStyle w:val="Tabletext"/>
              <w:spacing w:after="40" w:line="240" w:lineRule="auto"/>
            </w:pPr>
            <w:r w:rsidRPr="00DF3F49">
              <w:t>Measure Application type (MAT)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7B4AF9F1" w14:textId="77777777">
            <w:pPr>
              <w:pStyle w:val="Tabletext"/>
              <w:spacing w:after="40" w:line="240" w:lineRule="auto"/>
            </w:pPr>
            <w:proofErr w:type="spellStart"/>
            <w:r w:rsidRPr="00DF3F49">
              <w:t>MeasAppTypeDesc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6638558" w14:textId="77777777">
            <w:pPr>
              <w:pStyle w:val="Tabletext"/>
              <w:spacing w:after="40" w:line="240" w:lineRule="auto"/>
              <w:jc w:val="center"/>
            </w:pPr>
          </w:p>
        </w:tc>
      </w:tr>
      <w:tr w:rsidRPr="00DF3F49" w:rsidR="00B04AB6" w:rsidTr="00B04AB6" w14:paraId="07FDC56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51E38FC" w14:textId="77777777">
            <w:pPr>
              <w:pStyle w:val="Tabletext"/>
              <w:spacing w:after="40" w:line="240" w:lineRule="auto"/>
            </w:pPr>
            <w:r w:rsidRPr="00DF3F49">
              <w:lastRenderedPageBreak/>
              <w:t>Measure impact calculation Type description for DEER measures</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737CCD12" w14:textId="77777777">
            <w:pPr>
              <w:pStyle w:val="Tabletext"/>
              <w:spacing w:after="40" w:line="240" w:lineRule="auto"/>
            </w:pPr>
            <w:proofErr w:type="spellStart"/>
            <w:r w:rsidRPr="00DF3F49">
              <w:t>MeasImpactCalcDesc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5D42E38" w14:textId="77777777">
            <w:pPr>
              <w:pStyle w:val="Tabletext"/>
              <w:spacing w:after="40" w:line="240" w:lineRule="auto"/>
              <w:jc w:val="center"/>
            </w:pPr>
            <w:r w:rsidRPr="00DF3F49">
              <w:t>TRUE</w:t>
            </w:r>
          </w:p>
        </w:tc>
      </w:tr>
      <w:tr w:rsidRPr="00DF3F49" w:rsidR="00B04AB6" w:rsidTr="00B04AB6" w14:paraId="313A9BD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2D8BD172" w14:textId="77777777">
            <w:pPr>
              <w:pStyle w:val="Tabletext"/>
              <w:spacing w:after="40" w:line="240" w:lineRule="auto"/>
            </w:pPr>
            <w:r w:rsidRPr="00DF3F49">
              <w:t>Measure technology ID</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67EEDD00" w14:textId="77777777">
            <w:pPr>
              <w:pStyle w:val="Tabletext"/>
              <w:spacing w:after="40" w:line="240" w:lineRule="auto"/>
            </w:pPr>
            <w:proofErr w:type="spellStart"/>
            <w:r w:rsidRPr="00DF3F49">
              <w:t>MeasTechID</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1A139FE" w14:textId="77777777">
            <w:pPr>
              <w:pStyle w:val="Tabletext"/>
              <w:spacing w:after="40" w:line="240" w:lineRule="auto"/>
              <w:jc w:val="center"/>
            </w:pPr>
          </w:p>
        </w:tc>
      </w:tr>
      <w:tr w:rsidRPr="00DF3F49" w:rsidR="00B04AB6" w:rsidTr="00B04AB6" w14:paraId="6DAFDC2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07872E6" w14:textId="77777777">
            <w:pPr>
              <w:pStyle w:val="Tabletext"/>
              <w:spacing w:after="40" w:line="240" w:lineRule="auto"/>
            </w:pPr>
            <w:r w:rsidRPr="00DF3F49">
              <w:t>Normalizing unit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17DCB075" w14:textId="77777777">
            <w:pPr>
              <w:pStyle w:val="Tabletext"/>
              <w:spacing w:after="40" w:line="240" w:lineRule="auto"/>
            </w:pPr>
            <w:proofErr w:type="spellStart"/>
            <w:r w:rsidRPr="00DF3F49">
              <w:t>NormUnitDesc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86A3640" w14:textId="77777777">
            <w:pPr>
              <w:pStyle w:val="Tabletext"/>
              <w:spacing w:after="40" w:line="240" w:lineRule="auto"/>
              <w:jc w:val="center"/>
            </w:pPr>
          </w:p>
        </w:tc>
      </w:tr>
      <w:tr w:rsidRPr="00DF3F49" w:rsidR="00B04AB6" w:rsidTr="00B04AB6" w14:paraId="5AD3A25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E9D0EF9" w14:textId="77777777">
            <w:pPr>
              <w:pStyle w:val="Tabletext"/>
              <w:spacing w:after="40" w:line="240" w:lineRule="auto"/>
            </w:pPr>
            <w:r w:rsidRPr="00DF3F49">
              <w:t>NTG ratio for electric savings</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3A541B6F" w14:textId="77777777">
            <w:pPr>
              <w:pStyle w:val="Tabletext"/>
              <w:spacing w:after="40" w:line="240" w:lineRule="auto"/>
            </w:pPr>
            <w:proofErr w:type="spellStart"/>
            <w:r w:rsidRPr="00DF3F49">
              <w:t>NTG_Elec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47AD34E9" w14:textId="77777777">
            <w:pPr>
              <w:pStyle w:val="Tabletext"/>
              <w:spacing w:after="40" w:line="240" w:lineRule="auto"/>
              <w:jc w:val="center"/>
            </w:pPr>
            <w:r w:rsidRPr="00DF3F49">
              <w:t>TRUE</w:t>
            </w:r>
          </w:p>
        </w:tc>
      </w:tr>
      <w:tr w:rsidRPr="00DF3F49" w:rsidR="00B04AB6" w:rsidTr="00B04AB6" w14:paraId="3DE5C3A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407B954" w14:textId="77777777">
            <w:pPr>
              <w:pStyle w:val="Tabletext"/>
              <w:spacing w:after="40" w:line="240" w:lineRule="auto"/>
            </w:pPr>
            <w:r w:rsidRPr="00DF3F49">
              <w:t>NTG ratio for gas savings</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375D7733" w14:textId="77777777">
            <w:pPr>
              <w:pStyle w:val="Tabletext"/>
              <w:spacing w:after="40" w:line="240" w:lineRule="auto"/>
            </w:pPr>
            <w:proofErr w:type="spellStart"/>
            <w:r w:rsidRPr="00DF3F49">
              <w:t>NTG_Gas</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7B2B566" w14:textId="77777777">
            <w:pPr>
              <w:pStyle w:val="Tabletext"/>
              <w:spacing w:after="40" w:line="240" w:lineRule="auto"/>
              <w:jc w:val="center"/>
            </w:pPr>
            <w:r w:rsidRPr="00DF3F49">
              <w:t>TRUE</w:t>
            </w:r>
          </w:p>
        </w:tc>
      </w:tr>
      <w:tr w:rsidRPr="00DF3F49" w:rsidR="00B04AB6" w:rsidTr="00B04AB6" w14:paraId="6CAABF2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2909179" w14:textId="77777777">
            <w:pPr>
              <w:pStyle w:val="Tabletext"/>
              <w:spacing w:after="40" w:line="240" w:lineRule="auto"/>
            </w:pPr>
            <w:r w:rsidRPr="00DF3F49">
              <w:t>Flag for building type parent</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6F29AFB0" w14:textId="77777777">
            <w:pPr>
              <w:pStyle w:val="Tabletext"/>
              <w:spacing w:after="40" w:line="240" w:lineRule="auto"/>
            </w:pPr>
            <w:proofErr w:type="spellStart"/>
            <w:r w:rsidRPr="00DF3F49">
              <w:t>ParentType</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2D45DFE2" w14:textId="77777777">
            <w:pPr>
              <w:pStyle w:val="Tabletext"/>
              <w:spacing w:after="40" w:line="240" w:lineRule="auto"/>
              <w:jc w:val="center"/>
            </w:pPr>
          </w:p>
        </w:tc>
      </w:tr>
      <w:tr w:rsidRPr="00DF3F49" w:rsidR="00B04AB6" w:rsidTr="00B04AB6" w14:paraId="474CB4C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D7379FA" w14:textId="77777777">
            <w:pPr>
              <w:pStyle w:val="Tabletext"/>
              <w:spacing w:after="40" w:line="240" w:lineRule="auto"/>
            </w:pPr>
            <w:r w:rsidRPr="00DF3F49">
              <w:t>First-baseline technology ID</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021B6B21" w14:textId="77777777">
            <w:pPr>
              <w:pStyle w:val="Tabletext"/>
              <w:spacing w:after="40" w:line="240" w:lineRule="auto"/>
            </w:pPr>
            <w:proofErr w:type="spellStart"/>
            <w:r w:rsidRPr="00DF3F49">
              <w:t>PreTechID</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70E9757A" w14:textId="77777777">
            <w:pPr>
              <w:pStyle w:val="Tabletext"/>
              <w:spacing w:after="40" w:line="240" w:lineRule="auto"/>
              <w:jc w:val="center"/>
            </w:pPr>
          </w:p>
        </w:tc>
      </w:tr>
      <w:tr w:rsidRPr="00DF3F49" w:rsidR="00B04AB6" w:rsidTr="00B04AB6" w14:paraId="0AA1345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4BFC640" w14:textId="77777777">
            <w:pPr>
              <w:pStyle w:val="Tabletext"/>
              <w:spacing w:after="40" w:line="240" w:lineRule="auto"/>
            </w:pPr>
            <w:r w:rsidRPr="00DF3F49">
              <w:t>Workpaper revision number</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2C25798A" w14:textId="77777777">
            <w:pPr>
              <w:pStyle w:val="Tabletext"/>
              <w:spacing w:after="40" w:line="240" w:lineRule="auto"/>
            </w:pPr>
            <w:r w:rsidRPr="00DF3F49">
              <w:t>revision</w:t>
            </w:r>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4B47960" w14:textId="77777777">
            <w:pPr>
              <w:pStyle w:val="Tabletext"/>
              <w:spacing w:after="40" w:line="240" w:lineRule="auto"/>
              <w:jc w:val="center"/>
            </w:pPr>
          </w:p>
        </w:tc>
      </w:tr>
      <w:tr w:rsidRPr="00DF3F49" w:rsidR="00B04AB6" w:rsidTr="00B04AB6" w14:paraId="4B4BF81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561A6A0" w14:textId="77777777">
            <w:pPr>
              <w:pStyle w:val="Tabletext"/>
              <w:spacing w:after="40" w:line="240" w:lineRule="auto"/>
            </w:pPr>
            <w:r w:rsidRPr="00DF3F49">
              <w:t>Remaining useful life value, years</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6E422ABA" w14:textId="77777777">
            <w:pPr>
              <w:pStyle w:val="Tabletext"/>
              <w:spacing w:after="40" w:line="240" w:lineRule="auto"/>
            </w:pPr>
            <w:proofErr w:type="spellStart"/>
            <w:r w:rsidRPr="00DF3F49">
              <w:t>RUL_Yrs</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7B6E2345" w14:textId="77777777">
            <w:pPr>
              <w:pStyle w:val="Tabletext"/>
              <w:spacing w:after="40" w:line="240" w:lineRule="auto"/>
              <w:jc w:val="center"/>
            </w:pPr>
            <w:r w:rsidRPr="00DF3F49">
              <w:t>TRUE</w:t>
            </w:r>
          </w:p>
        </w:tc>
      </w:tr>
      <w:tr w:rsidRPr="00DF3F49" w:rsidR="00B04AB6" w:rsidTr="00B04AB6" w14:paraId="6F9D030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C796518" w14:textId="77777777">
            <w:pPr>
              <w:pStyle w:val="Tabletext"/>
              <w:spacing w:after="40" w:line="240" w:lineRule="auto"/>
            </w:pPr>
            <w:r w:rsidRPr="00DF3F49">
              <w:t>Sector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18282249" w14:textId="77777777">
            <w:pPr>
              <w:pStyle w:val="Tabletext"/>
              <w:spacing w:after="40" w:line="240" w:lineRule="auto"/>
            </w:pPr>
            <w:proofErr w:type="spellStart"/>
            <w:r w:rsidRPr="00DF3F49">
              <w:t>SectorDesc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6B818D2" w14:textId="77777777">
            <w:pPr>
              <w:pStyle w:val="Tabletext"/>
              <w:spacing w:after="40" w:line="240" w:lineRule="auto"/>
              <w:jc w:val="center"/>
            </w:pPr>
          </w:p>
        </w:tc>
      </w:tr>
      <w:tr w:rsidRPr="00DF3F49" w:rsidR="00B04AB6" w:rsidTr="00B04AB6" w14:paraId="53D6385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758951F1" w14:textId="77777777">
            <w:pPr>
              <w:pStyle w:val="Tabletext"/>
              <w:spacing w:after="40" w:line="240" w:lineRule="auto"/>
            </w:pPr>
            <w:r w:rsidRPr="00DF3F49">
              <w:t>Second-baseline technology ID</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3019923F" w14:textId="77777777">
            <w:pPr>
              <w:pStyle w:val="Tabletext"/>
              <w:spacing w:after="40" w:line="240" w:lineRule="auto"/>
            </w:pPr>
            <w:proofErr w:type="spellStart"/>
            <w:r w:rsidRPr="00DF3F49">
              <w:t>StdTechID</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00C52ED" w14:textId="77777777">
            <w:pPr>
              <w:pStyle w:val="Tabletext"/>
              <w:spacing w:after="40" w:line="240" w:lineRule="auto"/>
              <w:jc w:val="center"/>
            </w:pPr>
          </w:p>
        </w:tc>
      </w:tr>
      <w:tr w:rsidRPr="00DF3F49" w:rsidR="00B04AB6" w:rsidTr="00B04AB6" w14:paraId="5DD4B77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C3C7789" w14:textId="77777777">
            <w:pPr>
              <w:pStyle w:val="Tabletext"/>
              <w:spacing w:after="40" w:line="240" w:lineRule="auto"/>
            </w:pPr>
            <w:r w:rsidRPr="00DF3F49">
              <w:t>End-use sub-category</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16C2AE5F" w14:textId="77777777">
            <w:pPr>
              <w:pStyle w:val="Tabletext"/>
              <w:spacing w:after="40" w:line="240" w:lineRule="auto"/>
            </w:pPr>
            <w:proofErr w:type="spellStart"/>
            <w:r w:rsidRPr="00DF3F49">
              <w:t>SubUseCategory</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45A81FB2" w14:textId="77777777">
            <w:pPr>
              <w:pStyle w:val="Tabletext"/>
              <w:spacing w:after="40" w:line="240" w:lineRule="auto"/>
              <w:jc w:val="center"/>
            </w:pPr>
            <w:r w:rsidRPr="00DF3F49">
              <w:t>TRUE</w:t>
            </w:r>
          </w:p>
        </w:tc>
      </w:tr>
      <w:tr w:rsidRPr="00DF3F49" w:rsidR="00B04AB6" w:rsidTr="00B04AB6" w14:paraId="2354F81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448E6AB4" w14:textId="77777777">
            <w:pPr>
              <w:pStyle w:val="Tabletext"/>
              <w:spacing w:after="40" w:line="240" w:lineRule="auto"/>
            </w:pPr>
            <w:r w:rsidRPr="00DF3F49">
              <w:t>Technology group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26A05083" w14:textId="77777777">
            <w:pPr>
              <w:pStyle w:val="Tabletext"/>
              <w:spacing w:after="40" w:line="240" w:lineRule="auto"/>
            </w:pPr>
            <w:proofErr w:type="spellStart"/>
            <w:r w:rsidRPr="00DF3F49">
              <w:t>TechGroupDesc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F3D7240" w14:textId="77777777">
            <w:pPr>
              <w:pStyle w:val="Tabletext"/>
              <w:spacing w:after="40" w:line="240" w:lineRule="auto"/>
              <w:jc w:val="center"/>
            </w:pPr>
          </w:p>
        </w:tc>
      </w:tr>
      <w:tr w:rsidRPr="00DF3F49" w:rsidR="00B04AB6" w:rsidTr="00B04AB6" w14:paraId="3EDFA1A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0DBE4122" w14:textId="77777777">
            <w:pPr>
              <w:pStyle w:val="Tabletext"/>
              <w:spacing w:after="40" w:line="240" w:lineRule="auto"/>
            </w:pPr>
            <w:r w:rsidRPr="00DF3F49">
              <w:t>Technology type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56D5605C" w14:textId="77777777">
            <w:pPr>
              <w:pStyle w:val="Tabletext"/>
              <w:spacing w:after="40" w:line="240" w:lineRule="auto"/>
            </w:pPr>
            <w:proofErr w:type="spellStart"/>
            <w:r w:rsidRPr="00DF3F49">
              <w:t>TechTypeDesc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52DE8D4D" w14:textId="77777777">
            <w:pPr>
              <w:pStyle w:val="Tabletext"/>
              <w:spacing w:after="40" w:line="240" w:lineRule="auto"/>
              <w:jc w:val="center"/>
            </w:pPr>
          </w:p>
        </w:tc>
      </w:tr>
      <w:tr w:rsidRPr="00DF3F49" w:rsidR="00B04AB6" w:rsidTr="00B04AB6" w14:paraId="1DD1B37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244A80D5" w14:textId="77777777">
            <w:pPr>
              <w:pStyle w:val="Tabletext"/>
              <w:spacing w:after="40" w:line="240" w:lineRule="auto"/>
            </w:pPr>
            <w:r w:rsidRPr="00DF3F49">
              <w:t>Technology type ID</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593D1F14" w14:textId="77777777">
            <w:pPr>
              <w:pStyle w:val="Tabletext"/>
              <w:spacing w:after="40" w:line="240" w:lineRule="auto"/>
            </w:pPr>
            <w:proofErr w:type="spellStart"/>
            <w:r w:rsidRPr="00DF3F49">
              <w:t>TechTypeID</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8DE28D8" w14:textId="77777777">
            <w:pPr>
              <w:pStyle w:val="Tabletext"/>
              <w:spacing w:after="40" w:line="240" w:lineRule="auto"/>
              <w:jc w:val="center"/>
            </w:pPr>
            <w:r w:rsidRPr="00DF3F49">
              <w:t>TRUE</w:t>
            </w:r>
          </w:p>
        </w:tc>
      </w:tr>
      <w:tr w:rsidRPr="00DF3F49" w:rsidR="00B04AB6" w:rsidTr="00B04AB6" w14:paraId="08E23C2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10DFDE7D" w14:textId="77777777">
            <w:pPr>
              <w:pStyle w:val="Tabletext"/>
              <w:spacing w:after="40" w:line="240" w:lineRule="auto"/>
            </w:pPr>
            <w:r w:rsidRPr="00DF3F49">
              <w:t>Technology type name</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77672298" w14:textId="77777777">
            <w:pPr>
              <w:pStyle w:val="Tabletext"/>
              <w:spacing w:after="40" w:line="240" w:lineRule="auto"/>
            </w:pPr>
            <w:proofErr w:type="spellStart"/>
            <w:r w:rsidRPr="00DF3F49">
              <w:t>TechTypeName</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4AA72278" w14:textId="77777777">
            <w:pPr>
              <w:pStyle w:val="Tabletext"/>
              <w:spacing w:after="40" w:line="240" w:lineRule="auto"/>
              <w:jc w:val="center"/>
            </w:pPr>
          </w:p>
        </w:tc>
      </w:tr>
      <w:tr w:rsidRPr="00DF3F49" w:rsidR="00B04AB6" w:rsidTr="00B04AB6" w14:paraId="5641B60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6A2B3102" w14:textId="77777777">
            <w:pPr>
              <w:pStyle w:val="Tabletext"/>
              <w:spacing w:after="40" w:line="240" w:lineRule="auto"/>
            </w:pPr>
            <w:r w:rsidRPr="00DF3F49">
              <w:t>End-use category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16040F71" w14:textId="77777777">
            <w:pPr>
              <w:pStyle w:val="Tabletext"/>
              <w:spacing w:after="40" w:line="240" w:lineRule="auto"/>
            </w:pPr>
            <w:proofErr w:type="spellStart"/>
            <w:r w:rsidRPr="00DF3F49">
              <w:t>UseCategoryDesc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4D1233D" w14:textId="77777777">
            <w:pPr>
              <w:pStyle w:val="Tabletext"/>
              <w:spacing w:after="40" w:line="240" w:lineRule="auto"/>
              <w:jc w:val="center"/>
            </w:pPr>
          </w:p>
        </w:tc>
      </w:tr>
      <w:tr w:rsidRPr="00DF3F49" w:rsidR="00B04AB6" w:rsidTr="00B04AB6" w14:paraId="7897DAD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503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1F1D0DD" w14:textId="77777777">
            <w:pPr>
              <w:pStyle w:val="Tabletext"/>
              <w:spacing w:after="40" w:line="240" w:lineRule="auto"/>
            </w:pPr>
            <w:r w:rsidRPr="00DF3F49">
              <w:t>End-use sub-category description</w:t>
            </w:r>
          </w:p>
        </w:tc>
        <w:tc>
          <w:tcPr>
            <w:tcW w:w="27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DF3F49" w:rsidR="00B04AB6" w:rsidP="00B04AB6" w:rsidRDefault="00B04AB6" w14:paraId="24E67458" w14:textId="77777777">
            <w:pPr>
              <w:pStyle w:val="Tabletext"/>
              <w:spacing w:after="40" w:line="240" w:lineRule="auto"/>
            </w:pPr>
            <w:proofErr w:type="spellStart"/>
            <w:r w:rsidRPr="00DF3F49">
              <w:t>UseSubCategoryDesc</w:t>
            </w:r>
            <w:proofErr w:type="spellEnd"/>
          </w:p>
        </w:tc>
        <w:tc>
          <w:tcPr>
            <w:tcW w:w="198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DF3F49" w:rsidR="00B04AB6" w:rsidP="00B04AB6" w:rsidRDefault="00B04AB6" w14:paraId="380A2771" w14:textId="77777777">
            <w:pPr>
              <w:pStyle w:val="Tabletext"/>
              <w:spacing w:after="40" w:line="240" w:lineRule="auto"/>
              <w:jc w:val="center"/>
            </w:pPr>
          </w:p>
        </w:tc>
      </w:tr>
    </w:tbl>
    <w:p w:rsidR="00B04AB6" w:rsidP="00B04AB6" w:rsidRDefault="00B04AB6" w14:paraId="74B42EB1" w14:textId="77777777">
      <w:pPr>
        <w:pStyle w:val="GaramondNormal"/>
      </w:pPr>
    </w:p>
    <w:p w:rsidR="00B04AB6" w:rsidP="00B04AB6" w:rsidRDefault="00B04AB6" w14:paraId="3F703769" w14:textId="77777777">
      <w:pPr>
        <w:pStyle w:val="GaramondNormal"/>
      </w:pPr>
      <w:r>
        <w:fldChar w:fldCharType="begin"/>
      </w:r>
      <w:r>
        <w:instrText xml:space="preserve"> REF _Ref44002486 \h  \* MERGEFORMAT </w:instrText>
      </w:r>
      <w:r>
        <w:fldChar w:fldCharType="separate"/>
      </w:r>
      <w:r>
        <w:t>Table A-6</w:t>
      </w:r>
      <w:r>
        <w:fldChar w:fldCharType="end"/>
      </w:r>
      <w:r>
        <w:t xml:space="preserve"> lists fields that the CPUC is still considering for Phase 2. These fields are legacy fields within the current PEAR/</w:t>
      </w:r>
      <w:proofErr w:type="spellStart"/>
      <w:r>
        <w:t>ExAnte</w:t>
      </w:r>
      <w:proofErr w:type="spellEnd"/>
      <w:r>
        <w:t xml:space="preserve"> database framework and the CPUC will work with stakeholders to determine whether they are relevant and required within Phase 2.</w:t>
      </w:r>
    </w:p>
    <w:p w:rsidR="00B04AB6" w:rsidP="00B04AB6" w:rsidRDefault="00B04AB6" w14:paraId="4F0A7B67" w14:textId="77777777">
      <w:pPr>
        <w:pStyle w:val="CenturyGothicTableHeader"/>
      </w:pPr>
      <w:bookmarkStart w:name="_Ref44002486" w:id="227"/>
      <w:r>
        <w:t>Table A-</w:t>
      </w:r>
      <w:r>
        <w:fldChar w:fldCharType="begin"/>
      </w:r>
      <w:r>
        <w:instrText>SEQ Table \* ARABIC</w:instrText>
      </w:r>
      <w:r>
        <w:fldChar w:fldCharType="separate"/>
      </w:r>
      <w:r>
        <w:rPr>
          <w:noProof/>
        </w:rPr>
        <w:t>6</w:t>
      </w:r>
      <w:r>
        <w:fldChar w:fldCharType="end"/>
      </w:r>
      <w:bookmarkEnd w:id="227"/>
      <w:r>
        <w:t xml:space="preserve">. </w:t>
      </w:r>
      <w:proofErr w:type="spellStart"/>
      <w:r>
        <w:t>eTRM</w:t>
      </w:r>
      <w:proofErr w:type="spellEnd"/>
      <w:r>
        <w:t xml:space="preserve"> data fields under consideration for Phase 2 standard</w:t>
      </w:r>
    </w:p>
    <w:tbl>
      <w:tblPr>
        <w:tblStyle w:val="TableGrid"/>
        <w:tblW w:w="9805"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14" w:type="dxa"/>
          <w:left w:w="115" w:type="dxa"/>
          <w:bottom w:w="14" w:type="dxa"/>
          <w:right w:w="115" w:type="dxa"/>
        </w:tblCellMar>
        <w:tblLook w:val="04A0" w:firstRow="1" w:lastRow="0" w:firstColumn="1" w:lastColumn="0" w:noHBand="0" w:noVBand="1"/>
      </w:tblPr>
      <w:tblGrid>
        <w:gridCol w:w="6115"/>
        <w:gridCol w:w="3690"/>
      </w:tblGrid>
      <w:tr w:rsidRPr="008F3256" w:rsidR="00B04AB6" w:rsidTr="00B04AB6" w14:paraId="3C80B620" w14:textId="77777777">
        <w:trPr>
          <w:trHeight w:val="331"/>
          <w:tblHeader/>
        </w:trPr>
        <w:tc>
          <w:tcPr>
            <w:tcW w:w="6115" w:type="dxa"/>
            <w:tcBorders>
              <w:bottom w:val="single" w:color="808080" w:themeColor="background1" w:themeShade="80" w:sz="2" w:space="0"/>
            </w:tcBorders>
            <w:shd w:val="clear" w:color="auto" w:fill="auto"/>
            <w:vAlign w:val="center"/>
            <w:hideMark/>
          </w:tcPr>
          <w:p w:rsidRPr="008F3256" w:rsidR="00B04AB6" w:rsidP="00B04AB6" w:rsidRDefault="00B04AB6" w14:paraId="602D0A77" w14:textId="77777777">
            <w:pPr>
              <w:pStyle w:val="Tableheader0"/>
              <w:spacing w:after="40"/>
            </w:pPr>
            <w:r w:rsidRPr="008F3256">
              <w:t>Field Description</w:t>
            </w:r>
          </w:p>
        </w:tc>
        <w:tc>
          <w:tcPr>
            <w:tcW w:w="3690" w:type="dxa"/>
            <w:tcBorders>
              <w:bottom w:val="single" w:color="808080" w:themeColor="background1" w:themeShade="80" w:sz="2" w:space="0"/>
            </w:tcBorders>
            <w:shd w:val="clear" w:color="auto" w:fill="auto"/>
            <w:vAlign w:val="center"/>
            <w:hideMark/>
          </w:tcPr>
          <w:p w:rsidRPr="008F3256" w:rsidR="00B04AB6" w:rsidP="00B04AB6" w:rsidRDefault="00B04AB6" w14:paraId="3AF74E39" w14:textId="77777777">
            <w:pPr>
              <w:pStyle w:val="Tableheader0"/>
              <w:spacing w:after="40"/>
            </w:pPr>
            <w:r w:rsidRPr="008F3256">
              <w:t>PEAR/</w:t>
            </w:r>
            <w:proofErr w:type="spellStart"/>
            <w:r w:rsidRPr="008F3256">
              <w:t>ExAnte</w:t>
            </w:r>
            <w:proofErr w:type="spellEnd"/>
            <w:r w:rsidRPr="008F3256">
              <w:t xml:space="preserve"> Fieldname(s)</w:t>
            </w:r>
          </w:p>
        </w:tc>
      </w:tr>
      <w:tr w:rsidRPr="00FC016A" w:rsidR="00B04AB6" w:rsidTr="00B04AB6" w14:paraId="253BC46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30D7C62A" w14:textId="77777777">
            <w:pPr>
              <w:pStyle w:val="Tabletext"/>
              <w:spacing w:after="40" w:line="240" w:lineRule="auto"/>
            </w:pPr>
            <w:r w:rsidRPr="00FC016A">
              <w:t>Activity area flag</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60D9F93F" w14:textId="77777777">
            <w:pPr>
              <w:pStyle w:val="Tabletext"/>
              <w:spacing w:after="40" w:line="240" w:lineRule="auto"/>
            </w:pPr>
            <w:proofErr w:type="spellStart"/>
            <w:r w:rsidRPr="00FC016A">
              <w:t>IsActivityArea</w:t>
            </w:r>
            <w:proofErr w:type="spellEnd"/>
          </w:p>
        </w:tc>
      </w:tr>
      <w:tr w:rsidRPr="00FC016A" w:rsidR="00B04AB6" w:rsidTr="00B04AB6" w14:paraId="48EAB6C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00E94C3A" w14:textId="77777777">
            <w:pPr>
              <w:pStyle w:val="Tabletext"/>
              <w:spacing w:after="40" w:line="240" w:lineRule="auto"/>
            </w:pPr>
            <w:r w:rsidRPr="00FC016A">
              <w:t>Assumed floor area of whole-building savings</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111E0D23" w14:textId="77777777">
            <w:pPr>
              <w:pStyle w:val="Tabletext"/>
              <w:spacing w:after="40" w:line="240" w:lineRule="auto"/>
            </w:pPr>
            <w:proofErr w:type="spellStart"/>
            <w:r w:rsidRPr="00FC016A">
              <w:t>MeasArea</w:t>
            </w:r>
            <w:proofErr w:type="spellEnd"/>
          </w:p>
        </w:tc>
      </w:tr>
      <w:tr w:rsidRPr="00FC016A" w:rsidR="00B04AB6" w:rsidTr="00B04AB6" w14:paraId="1C52592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6F73DFED" w14:textId="77777777">
            <w:pPr>
              <w:pStyle w:val="Tabletext"/>
              <w:spacing w:after="40" w:line="240" w:lineRule="auto"/>
            </w:pPr>
            <w:r w:rsidRPr="00FC016A">
              <w:t>Basis for scale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4B627C96" w14:textId="77777777">
            <w:pPr>
              <w:pStyle w:val="Tabletext"/>
              <w:spacing w:after="40" w:line="240" w:lineRule="auto"/>
            </w:pPr>
            <w:proofErr w:type="spellStart"/>
            <w:r w:rsidRPr="00FC016A">
              <w:t>ScaleBasis</w:t>
            </w:r>
            <w:proofErr w:type="spellEnd"/>
          </w:p>
        </w:tc>
      </w:tr>
      <w:tr w:rsidRPr="00FC016A" w:rsidR="00B04AB6" w:rsidTr="00B04AB6" w14:paraId="647C71C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1E327AF8" w14:textId="77777777">
            <w:pPr>
              <w:pStyle w:val="Tabletext"/>
              <w:spacing w:after="40" w:line="240" w:lineRule="auto"/>
            </w:pPr>
            <w:r w:rsidRPr="00FC016A">
              <w:t>E3 climate zone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11A43B1D" w14:textId="77777777">
            <w:pPr>
              <w:pStyle w:val="Tabletext"/>
              <w:spacing w:after="40" w:line="240" w:lineRule="auto"/>
            </w:pPr>
            <w:r w:rsidRPr="00FC016A">
              <w:t>E3ClimateZone</w:t>
            </w:r>
          </w:p>
        </w:tc>
      </w:tr>
      <w:tr w:rsidRPr="00FC016A" w:rsidR="00B04AB6" w:rsidTr="00B04AB6" w14:paraId="7E8471B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152663AC" w14:textId="77777777">
            <w:pPr>
              <w:pStyle w:val="Tabletext"/>
              <w:spacing w:after="40" w:line="240" w:lineRule="auto"/>
            </w:pPr>
            <w:r w:rsidRPr="00FC016A">
              <w:t>E3 electric impact profile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7CCA78AD" w14:textId="77777777">
            <w:pPr>
              <w:pStyle w:val="Tabletext"/>
              <w:spacing w:after="40" w:line="240" w:lineRule="auto"/>
            </w:pPr>
            <w:r w:rsidRPr="00FC016A">
              <w:t>E3ElecImpactProfile</w:t>
            </w:r>
          </w:p>
        </w:tc>
      </w:tr>
      <w:tr w:rsidRPr="00FC016A" w:rsidR="00B04AB6" w:rsidTr="00B04AB6" w14:paraId="37CD724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3A0B76D6" w14:textId="77777777">
            <w:pPr>
              <w:pStyle w:val="Tabletext"/>
              <w:spacing w:after="40" w:line="240" w:lineRule="auto"/>
            </w:pPr>
            <w:r w:rsidRPr="00FC016A">
              <w:t>E3 gas impact profile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64DAC53C" w14:textId="77777777">
            <w:pPr>
              <w:pStyle w:val="Tabletext"/>
              <w:spacing w:after="40" w:line="240" w:lineRule="auto"/>
            </w:pPr>
            <w:r w:rsidRPr="00FC016A">
              <w:t>E3GasImpactProfile</w:t>
            </w:r>
          </w:p>
        </w:tc>
      </w:tr>
      <w:tr w:rsidRPr="00FC016A" w:rsidR="00B04AB6" w:rsidTr="00B04AB6" w14:paraId="72BD08F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5FA6D634" w14:textId="77777777">
            <w:pPr>
              <w:pStyle w:val="Tabletext"/>
              <w:spacing w:after="40" w:line="240" w:lineRule="auto"/>
            </w:pPr>
            <w:r w:rsidRPr="00FC016A">
              <w:t>E3 target sector</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1E7467C1" w14:textId="77777777">
            <w:pPr>
              <w:pStyle w:val="Tabletext"/>
              <w:spacing w:after="40" w:line="240" w:lineRule="auto"/>
            </w:pPr>
            <w:r w:rsidRPr="00FC016A">
              <w:t>E3TargetSector</w:t>
            </w:r>
          </w:p>
        </w:tc>
      </w:tr>
      <w:tr w:rsidRPr="00FC016A" w:rsidR="00B04AB6" w:rsidTr="00B04AB6" w14:paraId="4A0A841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590CD75F" w14:textId="77777777">
            <w:pPr>
              <w:pStyle w:val="Tabletext"/>
              <w:spacing w:after="40" w:line="240" w:lineRule="auto"/>
            </w:pPr>
            <w:r w:rsidRPr="00FC016A">
              <w:t>Equivalent full-load hours</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5CAF3ED6" w14:textId="77777777">
            <w:pPr>
              <w:pStyle w:val="Tabletext"/>
              <w:spacing w:after="40" w:line="240" w:lineRule="auto"/>
            </w:pPr>
            <w:r w:rsidRPr="00FC016A">
              <w:t>EFLH</w:t>
            </w:r>
          </w:p>
        </w:tc>
      </w:tr>
      <w:tr w:rsidRPr="00FC016A" w:rsidR="00B04AB6" w:rsidTr="00B04AB6" w14:paraId="398E3D9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107A32DC" w14:textId="77777777">
            <w:pPr>
              <w:pStyle w:val="Tabletext"/>
              <w:spacing w:after="40" w:line="240" w:lineRule="auto"/>
            </w:pPr>
            <w:r w:rsidRPr="00FC016A">
              <w:lastRenderedPageBreak/>
              <w:t>EUL Basis Type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3AFDE6DB" w14:textId="77777777">
            <w:pPr>
              <w:pStyle w:val="Tabletext"/>
              <w:spacing w:after="40" w:line="240" w:lineRule="auto"/>
            </w:pPr>
            <w:proofErr w:type="spellStart"/>
            <w:r w:rsidRPr="00FC016A">
              <w:t>BasisType</w:t>
            </w:r>
            <w:proofErr w:type="spellEnd"/>
          </w:p>
        </w:tc>
      </w:tr>
      <w:tr w:rsidRPr="00FC016A" w:rsidR="00B04AB6" w:rsidTr="00B04AB6" w14:paraId="628F95F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20DDC87D" w14:textId="77777777">
            <w:pPr>
              <w:pStyle w:val="Tabletext"/>
              <w:spacing w:after="40" w:line="240" w:lineRule="auto"/>
            </w:pPr>
            <w:r w:rsidRPr="00FC016A">
              <w:t>EUL Basis Value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776115D5" w14:textId="77777777">
            <w:pPr>
              <w:pStyle w:val="Tabletext"/>
              <w:spacing w:after="40" w:line="240" w:lineRule="auto"/>
            </w:pPr>
            <w:proofErr w:type="spellStart"/>
            <w:r w:rsidRPr="00FC016A">
              <w:t>BasisValue</w:t>
            </w:r>
            <w:proofErr w:type="spellEnd"/>
          </w:p>
        </w:tc>
      </w:tr>
      <w:tr w:rsidRPr="00FC016A" w:rsidR="00B04AB6" w:rsidTr="00B04AB6" w14:paraId="5FE18BD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397851A3" w14:textId="77777777">
            <w:pPr>
              <w:pStyle w:val="Tabletext"/>
              <w:spacing w:after="40" w:line="240" w:lineRule="auto"/>
            </w:pPr>
            <w:r w:rsidRPr="00FC016A">
              <w:t>EUL Degradation Factor</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57E0A332" w14:textId="77777777">
            <w:pPr>
              <w:pStyle w:val="Tabletext"/>
              <w:spacing w:after="40" w:line="240" w:lineRule="auto"/>
            </w:pPr>
            <w:proofErr w:type="spellStart"/>
            <w:r w:rsidRPr="00FC016A">
              <w:t>BasisDegFactor</w:t>
            </w:r>
            <w:proofErr w:type="spellEnd"/>
          </w:p>
        </w:tc>
      </w:tr>
      <w:tr w:rsidRPr="00FC016A" w:rsidR="00B04AB6" w:rsidTr="00B04AB6" w14:paraId="4C9BA61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6ABF3077" w14:textId="77777777">
            <w:pPr>
              <w:pStyle w:val="Tabletext"/>
              <w:spacing w:after="40" w:line="240" w:lineRule="auto"/>
            </w:pPr>
            <w:r w:rsidRPr="00FC016A">
              <w:t>First-baseline multi-technology</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43B33240" w14:textId="77777777">
            <w:pPr>
              <w:pStyle w:val="Tabletext"/>
              <w:spacing w:after="40" w:line="240" w:lineRule="auto"/>
            </w:pPr>
            <w:proofErr w:type="spellStart"/>
            <w:r w:rsidRPr="00FC016A">
              <w:t>PreMultiTech</w:t>
            </w:r>
            <w:proofErr w:type="spellEnd"/>
          </w:p>
        </w:tc>
      </w:tr>
      <w:tr w:rsidRPr="00FC016A" w:rsidR="00B04AB6" w:rsidTr="00B04AB6" w14:paraId="332848D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0A402005" w14:textId="77777777">
            <w:pPr>
              <w:pStyle w:val="Tabletext"/>
              <w:spacing w:after="40" w:line="240" w:lineRule="auto"/>
            </w:pPr>
            <w:r w:rsidRPr="00FC016A">
              <w:t>First-baseline scale value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59191ADC" w14:textId="77777777">
            <w:pPr>
              <w:pStyle w:val="Tabletext"/>
              <w:spacing w:after="40" w:line="240" w:lineRule="auto"/>
            </w:pPr>
            <w:proofErr w:type="spellStart"/>
            <w:r w:rsidRPr="00FC016A">
              <w:t>PreScaleVal</w:t>
            </w:r>
            <w:proofErr w:type="spellEnd"/>
          </w:p>
        </w:tc>
      </w:tr>
      <w:tr w:rsidRPr="00FC016A" w:rsidR="00B04AB6" w:rsidTr="00B04AB6" w14:paraId="28E5343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2B7FD8B8" w14:textId="77777777">
            <w:pPr>
              <w:pStyle w:val="Tabletext"/>
              <w:spacing w:after="40" w:line="240" w:lineRule="auto"/>
            </w:pPr>
            <w:r w:rsidRPr="00FC016A">
              <w:t>Flag for required parameter</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62A9D88B" w14:textId="77777777">
            <w:pPr>
              <w:pStyle w:val="Tabletext"/>
              <w:spacing w:after="40" w:line="240" w:lineRule="auto"/>
            </w:pPr>
            <w:r w:rsidRPr="00FC016A">
              <w:t>Required</w:t>
            </w:r>
          </w:p>
        </w:tc>
      </w:tr>
      <w:tr w:rsidRPr="00FC016A" w:rsidR="00B04AB6" w:rsidTr="00B04AB6" w14:paraId="2BA220F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7C104AFC" w14:textId="77777777">
            <w:pPr>
              <w:pStyle w:val="Tabletext"/>
              <w:spacing w:after="40" w:line="240" w:lineRule="auto"/>
            </w:pPr>
            <w:r w:rsidRPr="00FC016A">
              <w:t>Flag for technology-based measure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1819AA2C" w14:textId="77777777">
            <w:pPr>
              <w:pStyle w:val="Tabletext"/>
              <w:spacing w:after="40" w:line="240" w:lineRule="auto"/>
            </w:pPr>
            <w:proofErr w:type="spellStart"/>
            <w:r w:rsidRPr="00FC016A">
              <w:t>TechBased</w:t>
            </w:r>
            <w:proofErr w:type="spellEnd"/>
          </w:p>
        </w:tc>
      </w:tr>
      <w:tr w:rsidRPr="00FC016A" w:rsidR="00B04AB6" w:rsidTr="00B04AB6" w14:paraId="449F23A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05D697EB" w14:textId="77777777">
            <w:pPr>
              <w:pStyle w:val="Tabletext"/>
              <w:spacing w:after="40" w:line="240" w:lineRule="auto"/>
            </w:pPr>
            <w:r w:rsidRPr="00FC016A">
              <w:t>Impacts scale basis type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148EC819" w14:textId="77777777">
            <w:pPr>
              <w:pStyle w:val="Tabletext"/>
              <w:spacing w:after="40" w:line="240" w:lineRule="auto"/>
            </w:pPr>
            <w:proofErr w:type="spellStart"/>
            <w:r w:rsidRPr="00FC016A">
              <w:t>ImpScaleBasis</w:t>
            </w:r>
            <w:proofErr w:type="spellEnd"/>
          </w:p>
        </w:tc>
      </w:tr>
      <w:tr w:rsidRPr="00FC016A" w:rsidR="00B04AB6" w:rsidTr="00B04AB6" w14:paraId="20F760E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282681F9" w14:textId="77777777">
            <w:pPr>
              <w:pStyle w:val="Tabletext"/>
              <w:spacing w:after="40" w:line="240" w:lineRule="auto"/>
            </w:pPr>
            <w:r w:rsidRPr="00FC016A">
              <w:t>Impacts weighting type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685506EB" w14:textId="77777777">
            <w:pPr>
              <w:pStyle w:val="Tabletext"/>
              <w:spacing w:after="40" w:line="240" w:lineRule="auto"/>
            </w:pPr>
            <w:proofErr w:type="spellStart"/>
            <w:r w:rsidRPr="00FC016A">
              <w:t>ImpWeighting</w:t>
            </w:r>
            <w:proofErr w:type="spellEnd"/>
          </w:p>
        </w:tc>
      </w:tr>
      <w:tr w:rsidRPr="00FC016A" w:rsidR="00B04AB6" w:rsidTr="00B04AB6" w14:paraId="120AA2E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4D4E5218" w14:textId="77777777">
            <w:pPr>
              <w:pStyle w:val="Tabletext"/>
              <w:spacing w:after="40" w:line="240" w:lineRule="auto"/>
            </w:pPr>
            <w:r w:rsidRPr="00FC016A">
              <w:t>Index for table records</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50B02F12" w14:textId="77777777">
            <w:pPr>
              <w:pStyle w:val="Tabletext"/>
              <w:spacing w:after="40" w:line="240" w:lineRule="auto"/>
            </w:pPr>
            <w:r w:rsidRPr="00FC016A">
              <w:t>Index</w:t>
            </w:r>
          </w:p>
        </w:tc>
      </w:tr>
      <w:tr w:rsidRPr="00FC016A" w:rsidR="00B04AB6" w:rsidTr="00B04AB6" w14:paraId="00DBDA0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3D1837D5" w14:textId="77777777">
            <w:pPr>
              <w:pStyle w:val="Tabletext"/>
              <w:spacing w:after="40" w:line="240" w:lineRule="auto"/>
            </w:pPr>
            <w:r w:rsidRPr="00FC016A">
              <w:t>Maximum EUL for lighting</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6522BDE5" w14:textId="77777777">
            <w:pPr>
              <w:pStyle w:val="Tabletext"/>
              <w:spacing w:after="40" w:line="240" w:lineRule="auto"/>
            </w:pPr>
            <w:proofErr w:type="spellStart"/>
            <w:r w:rsidRPr="00FC016A">
              <w:t>EUL_Max_Yrs</w:t>
            </w:r>
            <w:proofErr w:type="spellEnd"/>
          </w:p>
        </w:tc>
      </w:tr>
      <w:tr w:rsidRPr="00FC016A" w:rsidR="00B04AB6" w:rsidTr="00B04AB6" w14:paraId="428FBB7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0D47FE3C" w14:textId="77777777">
            <w:pPr>
              <w:pStyle w:val="Tabletext"/>
              <w:spacing w:after="40" w:line="240" w:lineRule="auto"/>
            </w:pPr>
            <w:r w:rsidRPr="00FC016A">
              <w:t>Maximum parameter value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1DF10669" w14:textId="77777777">
            <w:pPr>
              <w:pStyle w:val="Tabletext"/>
              <w:spacing w:after="40" w:line="240" w:lineRule="auto"/>
            </w:pPr>
            <w:proofErr w:type="spellStart"/>
            <w:r w:rsidRPr="00FC016A">
              <w:t>ValMax</w:t>
            </w:r>
            <w:proofErr w:type="spellEnd"/>
          </w:p>
        </w:tc>
      </w:tr>
      <w:tr w:rsidRPr="00FC016A" w:rsidR="00B04AB6" w:rsidTr="00B04AB6" w14:paraId="1678D07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1F182AE6" w14:textId="77777777">
            <w:pPr>
              <w:pStyle w:val="Tabletext"/>
              <w:spacing w:after="40" w:line="240" w:lineRule="auto"/>
            </w:pPr>
            <w:r w:rsidRPr="00FC016A">
              <w:t>Measure option</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7D32872D" w14:textId="77777777">
            <w:pPr>
              <w:pStyle w:val="Tabletext"/>
              <w:spacing w:after="40" w:line="240" w:lineRule="auto"/>
            </w:pPr>
            <w:proofErr w:type="spellStart"/>
            <w:r w:rsidRPr="00FC016A">
              <w:t>MeasOption</w:t>
            </w:r>
            <w:proofErr w:type="spellEnd"/>
          </w:p>
        </w:tc>
      </w:tr>
      <w:tr w:rsidRPr="00FC016A" w:rsidR="00B04AB6" w:rsidTr="00B04AB6" w14:paraId="7CE98FE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33E16C13" w14:textId="77777777">
            <w:pPr>
              <w:pStyle w:val="Tabletext"/>
              <w:spacing w:after="40" w:line="240" w:lineRule="auto"/>
            </w:pPr>
            <w:r w:rsidRPr="00FC016A">
              <w:t>Measure qualifier category</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69FBD364" w14:textId="77777777">
            <w:pPr>
              <w:pStyle w:val="Tabletext"/>
              <w:spacing w:after="40" w:line="240" w:lineRule="auto"/>
            </w:pPr>
            <w:proofErr w:type="spellStart"/>
            <w:r w:rsidRPr="00FC016A">
              <w:t>MeasQualifier</w:t>
            </w:r>
            <w:proofErr w:type="spellEnd"/>
          </w:p>
        </w:tc>
      </w:tr>
      <w:tr w:rsidRPr="00FC016A" w:rsidR="00B04AB6" w:rsidTr="00B04AB6" w14:paraId="177D982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27424BF7" w14:textId="77777777">
            <w:pPr>
              <w:pStyle w:val="Tabletext"/>
              <w:spacing w:after="40" w:line="240" w:lineRule="auto"/>
            </w:pPr>
            <w:r w:rsidRPr="00FC016A">
              <w:t>Measure qualifier category description</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3568FB4D" w14:textId="77777777">
            <w:pPr>
              <w:pStyle w:val="Tabletext"/>
              <w:spacing w:after="40" w:line="240" w:lineRule="auto"/>
            </w:pPr>
            <w:proofErr w:type="spellStart"/>
            <w:r w:rsidRPr="00FC016A">
              <w:t>MeasQualifierDesc</w:t>
            </w:r>
            <w:proofErr w:type="spellEnd"/>
          </w:p>
        </w:tc>
      </w:tr>
      <w:tr w:rsidRPr="00FC016A" w:rsidR="00B04AB6" w:rsidTr="00B04AB6" w14:paraId="11EDD81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48421E0D" w14:textId="77777777">
            <w:pPr>
              <w:pStyle w:val="Tabletext"/>
              <w:spacing w:after="40" w:line="240" w:lineRule="auto"/>
            </w:pPr>
            <w:r w:rsidRPr="00FC016A">
              <w:t>Measure qualifier group</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2B87C06D" w14:textId="77777777">
            <w:pPr>
              <w:pStyle w:val="Tabletext"/>
              <w:spacing w:after="40" w:line="240" w:lineRule="auto"/>
            </w:pPr>
            <w:proofErr w:type="spellStart"/>
            <w:r w:rsidRPr="00FC016A">
              <w:t>MeasQualifierGroup</w:t>
            </w:r>
            <w:proofErr w:type="spellEnd"/>
          </w:p>
        </w:tc>
      </w:tr>
      <w:tr w:rsidRPr="00FC016A" w:rsidR="00B04AB6" w:rsidTr="00B04AB6" w14:paraId="2730A99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6C8695B5" w14:textId="77777777">
            <w:pPr>
              <w:pStyle w:val="Tabletext"/>
              <w:spacing w:after="40" w:line="240" w:lineRule="auto"/>
            </w:pPr>
            <w:r w:rsidRPr="00FC016A">
              <w:t>Measure type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022A2DEE" w14:textId="77777777">
            <w:pPr>
              <w:pStyle w:val="Tabletext"/>
              <w:spacing w:after="40" w:line="240" w:lineRule="auto"/>
            </w:pPr>
            <w:proofErr w:type="spellStart"/>
            <w:r w:rsidRPr="00FC016A">
              <w:t>MeasType</w:t>
            </w:r>
            <w:proofErr w:type="spellEnd"/>
          </w:p>
        </w:tc>
      </w:tr>
      <w:tr w:rsidRPr="00FC016A" w:rsidR="00B04AB6" w:rsidTr="00B04AB6" w14:paraId="693F027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10E73DE3" w14:textId="77777777">
            <w:pPr>
              <w:pStyle w:val="Tabletext"/>
              <w:spacing w:after="40" w:line="240" w:lineRule="auto"/>
            </w:pPr>
            <w:r w:rsidRPr="00FC016A">
              <w:t>Minimum parameter value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123DD5C8" w14:textId="77777777">
            <w:pPr>
              <w:pStyle w:val="Tabletext"/>
              <w:spacing w:after="40" w:line="240" w:lineRule="auto"/>
            </w:pPr>
            <w:proofErr w:type="spellStart"/>
            <w:r w:rsidRPr="00FC016A">
              <w:t>ValMin</w:t>
            </w:r>
            <w:proofErr w:type="spellEnd"/>
          </w:p>
        </w:tc>
      </w:tr>
      <w:tr w:rsidRPr="00FC016A" w:rsidR="00B04AB6" w:rsidTr="00B04AB6" w14:paraId="3D5C907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314F7564" w14:textId="77777777">
            <w:pPr>
              <w:pStyle w:val="Tabletext"/>
              <w:spacing w:after="40" w:line="240" w:lineRule="auto"/>
            </w:pPr>
            <w:r w:rsidRPr="00FC016A">
              <w:t>Number of units assumed for whole-building savings</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50573A18" w14:textId="77777777">
            <w:pPr>
              <w:pStyle w:val="Tabletext"/>
              <w:spacing w:after="40" w:line="240" w:lineRule="auto"/>
            </w:pPr>
            <w:proofErr w:type="spellStart"/>
            <w:r w:rsidRPr="00FC016A">
              <w:t>NumUnit</w:t>
            </w:r>
            <w:proofErr w:type="spellEnd"/>
          </w:p>
        </w:tc>
      </w:tr>
      <w:tr w:rsidRPr="00FC016A" w:rsidR="00B04AB6" w:rsidTr="00B04AB6" w14:paraId="52CE5AA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231F3F0F" w14:textId="77777777">
            <w:pPr>
              <w:pStyle w:val="Tabletext"/>
              <w:spacing w:after="40" w:line="240" w:lineRule="auto"/>
            </w:pPr>
            <w:r w:rsidRPr="00FC016A">
              <w:t>PA description</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00C2F8C5" w14:textId="77777777">
            <w:pPr>
              <w:pStyle w:val="Tabletext"/>
              <w:spacing w:after="40" w:line="240" w:lineRule="auto"/>
            </w:pPr>
            <w:proofErr w:type="spellStart"/>
            <w:r w:rsidRPr="00FC016A">
              <w:t>PADesc</w:t>
            </w:r>
            <w:proofErr w:type="spellEnd"/>
          </w:p>
        </w:tc>
      </w:tr>
      <w:tr w:rsidRPr="00FC016A" w:rsidR="00B04AB6" w:rsidTr="00B04AB6" w14:paraId="1B764EF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5177D41D" w14:textId="77777777">
            <w:pPr>
              <w:pStyle w:val="Tabletext"/>
              <w:spacing w:after="40" w:line="240" w:lineRule="auto"/>
            </w:pPr>
            <w:r w:rsidRPr="00FC016A">
              <w:t>PA name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7D114AFA" w14:textId="77777777">
            <w:pPr>
              <w:pStyle w:val="Tabletext"/>
              <w:spacing w:after="40" w:line="240" w:lineRule="auto"/>
            </w:pPr>
            <w:r w:rsidRPr="00FC016A">
              <w:t>Name</w:t>
            </w:r>
          </w:p>
        </w:tc>
      </w:tr>
      <w:tr w:rsidRPr="00FC016A" w:rsidR="00B04AB6" w:rsidTr="00B04AB6" w14:paraId="3150177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24C0DE42" w14:textId="77777777">
            <w:pPr>
              <w:pStyle w:val="Tabletext"/>
              <w:spacing w:after="40" w:line="240" w:lineRule="auto"/>
            </w:pPr>
            <w:r w:rsidRPr="00FC016A">
              <w:t>Parameter definition</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161B531C" w14:textId="77777777">
            <w:pPr>
              <w:pStyle w:val="Tabletext"/>
              <w:spacing w:after="40" w:line="240" w:lineRule="auto"/>
            </w:pPr>
            <w:r w:rsidRPr="00FC016A">
              <w:t>List</w:t>
            </w:r>
          </w:p>
        </w:tc>
      </w:tr>
      <w:tr w:rsidRPr="00FC016A" w:rsidR="00B04AB6" w:rsidTr="00B04AB6" w14:paraId="665E480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689FFB5A" w14:textId="77777777">
            <w:pPr>
              <w:pStyle w:val="Tabletext"/>
              <w:spacing w:after="40" w:line="240" w:lineRule="auto"/>
            </w:pPr>
            <w:r w:rsidRPr="00FC016A">
              <w:t>Parameter definition label</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5C7A9977" w14:textId="77777777">
            <w:pPr>
              <w:pStyle w:val="Tabletext"/>
              <w:spacing w:after="40" w:line="240" w:lineRule="auto"/>
            </w:pPr>
            <w:r w:rsidRPr="00FC016A">
              <w:t>Tag</w:t>
            </w:r>
          </w:p>
        </w:tc>
      </w:tr>
      <w:tr w:rsidRPr="00FC016A" w:rsidR="00B04AB6" w:rsidTr="00B04AB6" w14:paraId="1CD53AB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49FE915B" w14:textId="77777777">
            <w:pPr>
              <w:pStyle w:val="Tabletext"/>
              <w:spacing w:after="40" w:line="240" w:lineRule="auto"/>
            </w:pPr>
            <w:r w:rsidRPr="00FC016A">
              <w:t>Parameter ID for Technology ID</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461B3536" w14:textId="77777777">
            <w:pPr>
              <w:pStyle w:val="Tabletext"/>
              <w:spacing w:after="40" w:line="240" w:lineRule="auto"/>
            </w:pPr>
            <w:proofErr w:type="spellStart"/>
            <w:r w:rsidRPr="00FC016A">
              <w:t>ParamID</w:t>
            </w:r>
            <w:proofErr w:type="spellEnd"/>
          </w:p>
        </w:tc>
      </w:tr>
      <w:tr w:rsidRPr="00FC016A" w:rsidR="00B04AB6" w:rsidTr="00B04AB6" w14:paraId="72FC163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3B39B5F3" w14:textId="77777777">
            <w:pPr>
              <w:pStyle w:val="Tabletext"/>
              <w:spacing w:after="40" w:line="240" w:lineRule="auto"/>
            </w:pPr>
            <w:r w:rsidRPr="00FC016A">
              <w:t>Parameter order for Technology ID</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30060BB6" w14:textId="77777777">
            <w:pPr>
              <w:pStyle w:val="Tabletext"/>
              <w:spacing w:after="40" w:line="240" w:lineRule="auto"/>
            </w:pPr>
            <w:proofErr w:type="spellStart"/>
            <w:r w:rsidRPr="00FC016A">
              <w:t>ParamOrd</w:t>
            </w:r>
            <w:proofErr w:type="spellEnd"/>
          </w:p>
        </w:tc>
      </w:tr>
      <w:tr w:rsidRPr="00FC016A" w:rsidR="00B04AB6" w:rsidTr="00B04AB6" w14:paraId="0B5A768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4BEC1DCE" w14:textId="77777777">
            <w:pPr>
              <w:pStyle w:val="Tabletext"/>
              <w:spacing w:after="40" w:line="240" w:lineRule="auto"/>
            </w:pPr>
            <w:r w:rsidRPr="00FC016A">
              <w:t>Parameter rule value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3C40571B" w14:textId="77777777">
            <w:pPr>
              <w:pStyle w:val="Tabletext"/>
              <w:spacing w:after="40" w:line="240" w:lineRule="auto"/>
            </w:pPr>
            <w:proofErr w:type="spellStart"/>
            <w:r w:rsidRPr="00FC016A">
              <w:t>RuleValue</w:t>
            </w:r>
            <w:proofErr w:type="spellEnd"/>
          </w:p>
        </w:tc>
      </w:tr>
      <w:tr w:rsidRPr="00FC016A" w:rsidR="00B04AB6" w:rsidTr="00B04AB6" w14:paraId="5707237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28822370" w14:textId="77777777">
            <w:pPr>
              <w:pStyle w:val="Tabletext"/>
              <w:spacing w:after="40" w:line="240" w:lineRule="auto"/>
            </w:pPr>
            <w:r w:rsidRPr="00FC016A">
              <w:t>Parameter value for Technology ID</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239645F9" w14:textId="77777777">
            <w:pPr>
              <w:pStyle w:val="Tabletext"/>
              <w:spacing w:after="40" w:line="240" w:lineRule="auto"/>
            </w:pPr>
            <w:proofErr w:type="spellStart"/>
            <w:r w:rsidRPr="00FC016A">
              <w:t>ParamVal</w:t>
            </w:r>
            <w:proofErr w:type="spellEnd"/>
          </w:p>
        </w:tc>
      </w:tr>
      <w:tr w:rsidRPr="00FC016A" w:rsidR="00B04AB6" w:rsidTr="00B04AB6" w14:paraId="067D239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47E88D68" w14:textId="77777777">
            <w:pPr>
              <w:pStyle w:val="Tabletext"/>
              <w:spacing w:after="40" w:line="240" w:lineRule="auto"/>
            </w:pPr>
            <w:r w:rsidRPr="00FC016A">
              <w:t>Second-baseline multi-technology</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3F85AE51" w14:textId="77777777">
            <w:pPr>
              <w:pStyle w:val="Tabletext"/>
              <w:spacing w:after="40" w:line="240" w:lineRule="auto"/>
            </w:pPr>
            <w:proofErr w:type="spellStart"/>
            <w:r w:rsidRPr="00FC016A">
              <w:t>StdMultiTech</w:t>
            </w:r>
            <w:proofErr w:type="spellEnd"/>
          </w:p>
        </w:tc>
      </w:tr>
      <w:tr w:rsidRPr="00FC016A" w:rsidR="00B04AB6" w:rsidTr="00B04AB6" w14:paraId="066AE18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09CBC468" w14:textId="77777777">
            <w:pPr>
              <w:pStyle w:val="Tabletext"/>
              <w:spacing w:after="40" w:line="240" w:lineRule="auto"/>
            </w:pPr>
            <w:r w:rsidRPr="00FC016A">
              <w:t>Second-baseline scale value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693A8E1D" w14:textId="77777777">
            <w:pPr>
              <w:pStyle w:val="Tabletext"/>
              <w:spacing w:after="40" w:line="240" w:lineRule="auto"/>
            </w:pPr>
            <w:proofErr w:type="spellStart"/>
            <w:r w:rsidRPr="00FC016A">
              <w:t>StdScaleVal</w:t>
            </w:r>
            <w:proofErr w:type="spellEnd"/>
          </w:p>
        </w:tc>
      </w:tr>
      <w:tr w:rsidRPr="00FC016A" w:rsidR="00B04AB6" w:rsidTr="00B04AB6" w14:paraId="5E17699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4D5BB118" w14:textId="77777777">
            <w:pPr>
              <w:pStyle w:val="Tabletext"/>
              <w:spacing w:after="40" w:line="240" w:lineRule="auto"/>
            </w:pPr>
            <w:r w:rsidRPr="00FC016A">
              <w:t>Technology type ID</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51A5BB83" w14:textId="77777777">
            <w:pPr>
              <w:pStyle w:val="Tabletext"/>
              <w:spacing w:after="40" w:line="240" w:lineRule="auto"/>
            </w:pPr>
            <w:proofErr w:type="spellStart"/>
            <w:r w:rsidRPr="00FC016A">
              <w:t>TypeID</w:t>
            </w:r>
            <w:proofErr w:type="spellEnd"/>
          </w:p>
        </w:tc>
      </w:tr>
      <w:tr w:rsidRPr="00FC016A" w:rsidR="00B04AB6" w:rsidTr="00B04AB6" w14:paraId="342ACD8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433B310E" w14:textId="77777777">
            <w:pPr>
              <w:pStyle w:val="Tabletext"/>
              <w:spacing w:after="40" w:line="240" w:lineRule="auto"/>
            </w:pPr>
            <w:r w:rsidRPr="00FC016A">
              <w:t>Type of parameter value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50D5C671" w14:textId="77777777">
            <w:pPr>
              <w:pStyle w:val="Tabletext"/>
              <w:spacing w:after="40" w:line="240" w:lineRule="auto"/>
            </w:pPr>
            <w:proofErr w:type="spellStart"/>
            <w:r w:rsidRPr="00FC016A">
              <w:t>ValueType</w:t>
            </w:r>
            <w:proofErr w:type="spellEnd"/>
          </w:p>
        </w:tc>
      </w:tr>
      <w:tr w:rsidRPr="00FC016A" w:rsidR="00B04AB6" w:rsidTr="00B04AB6" w14:paraId="0BD78B4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691B3371" w14:textId="77777777">
            <w:pPr>
              <w:pStyle w:val="Tabletext"/>
              <w:spacing w:after="40" w:line="240" w:lineRule="auto"/>
            </w:pPr>
            <w:r w:rsidRPr="00FC016A">
              <w:t>Version code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539164DE" w14:textId="77777777">
            <w:pPr>
              <w:pStyle w:val="Tabletext"/>
              <w:spacing w:after="40" w:line="240" w:lineRule="auto"/>
            </w:pPr>
            <w:r w:rsidRPr="00FC016A">
              <w:t>Code</w:t>
            </w:r>
          </w:p>
        </w:tc>
      </w:tr>
      <w:tr w:rsidRPr="00FC016A" w:rsidR="00B04AB6" w:rsidTr="00B04AB6" w14:paraId="5F86D32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67076C46" w14:textId="77777777">
            <w:pPr>
              <w:pStyle w:val="Tabletext"/>
              <w:spacing w:after="40" w:line="240" w:lineRule="auto"/>
            </w:pPr>
            <w:r w:rsidRPr="00FC016A">
              <w:t>Version source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22D1A3D4" w14:textId="77777777">
            <w:pPr>
              <w:pStyle w:val="Tabletext"/>
              <w:spacing w:after="40" w:line="240" w:lineRule="auto"/>
            </w:pPr>
            <w:proofErr w:type="spellStart"/>
            <w:r w:rsidRPr="00FC016A">
              <w:t>VersionSource</w:t>
            </w:r>
            <w:proofErr w:type="spellEnd"/>
          </w:p>
        </w:tc>
      </w:tr>
      <w:tr w:rsidRPr="00FC016A" w:rsidR="00B04AB6" w:rsidTr="00B04AB6" w14:paraId="1BA8399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525F88E3" w14:textId="77777777">
            <w:pPr>
              <w:pStyle w:val="Tabletext"/>
              <w:spacing w:after="40" w:line="240" w:lineRule="auto"/>
            </w:pPr>
            <w:r w:rsidRPr="00FC016A">
              <w:lastRenderedPageBreak/>
              <w:t>Version source description</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361340C3" w14:textId="77777777">
            <w:pPr>
              <w:pStyle w:val="Tabletext"/>
              <w:spacing w:after="40" w:line="240" w:lineRule="auto"/>
            </w:pPr>
            <w:proofErr w:type="spellStart"/>
            <w:r w:rsidRPr="00FC016A">
              <w:t>VersionSourceDesc</w:t>
            </w:r>
            <w:proofErr w:type="spellEnd"/>
          </w:p>
        </w:tc>
      </w:tr>
      <w:tr w:rsidRPr="00FC016A" w:rsidR="00B04AB6" w:rsidTr="00B04AB6" w14:paraId="5D9BD51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1FB5BA36" w14:textId="77777777">
            <w:pPr>
              <w:pStyle w:val="Tabletext"/>
              <w:spacing w:after="40" w:line="240" w:lineRule="auto"/>
            </w:pPr>
            <w:r w:rsidRPr="00FC016A">
              <w:t>Weight group ID</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19B55C1F" w14:textId="77777777">
            <w:pPr>
              <w:pStyle w:val="Tabletext"/>
              <w:spacing w:after="40" w:line="240" w:lineRule="auto"/>
            </w:pPr>
            <w:proofErr w:type="spellStart"/>
            <w:r w:rsidRPr="00FC016A">
              <w:t>WeightGroupID</w:t>
            </w:r>
            <w:proofErr w:type="spellEnd"/>
          </w:p>
        </w:tc>
      </w:tr>
      <w:tr w:rsidRPr="00FC016A" w:rsidR="00B04AB6" w:rsidTr="00B04AB6" w14:paraId="2EAF077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3E49FC24" w14:textId="77777777">
            <w:pPr>
              <w:pStyle w:val="Tabletext"/>
              <w:spacing w:after="40" w:line="240" w:lineRule="auto"/>
            </w:pPr>
            <w:r w:rsidRPr="00FC016A">
              <w:t>Workpaper ID</w:t>
            </w:r>
            <w:r>
              <w:t xml:space="preserve"> and revision number</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375ABA6F" w14:textId="77777777">
            <w:pPr>
              <w:pStyle w:val="Tabletext"/>
              <w:spacing w:after="40" w:line="240" w:lineRule="auto"/>
            </w:pPr>
            <w:proofErr w:type="spellStart"/>
            <w:r w:rsidRPr="00FC016A">
              <w:t>SourceDesc</w:t>
            </w:r>
            <w:proofErr w:type="spellEnd"/>
          </w:p>
        </w:tc>
      </w:tr>
      <w:tr w:rsidRPr="00FC016A" w:rsidR="00B04AB6" w:rsidTr="00B04AB6" w14:paraId="01BF706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0BBF5E71" w14:textId="77777777">
            <w:pPr>
              <w:pStyle w:val="Tabletext"/>
              <w:spacing w:after="40" w:line="240" w:lineRule="auto"/>
            </w:pPr>
            <w:r w:rsidRPr="00FC016A">
              <w:t>Workpaper ID</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4796DD95" w14:textId="77777777">
            <w:pPr>
              <w:pStyle w:val="Tabletext"/>
              <w:spacing w:after="40" w:line="240" w:lineRule="auto"/>
            </w:pPr>
            <w:proofErr w:type="spellStart"/>
            <w:r w:rsidRPr="00FC016A">
              <w:t>workpaper_id</w:t>
            </w:r>
            <w:proofErr w:type="spellEnd"/>
          </w:p>
        </w:tc>
      </w:tr>
      <w:tr w:rsidRPr="00FC016A" w:rsidR="00B04AB6" w:rsidTr="00B04AB6" w14:paraId="0008D39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trPr>
        <w:tc>
          <w:tcPr>
            <w:tcW w:w="6115"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hideMark/>
          </w:tcPr>
          <w:p w:rsidRPr="00FC016A" w:rsidR="00B04AB6" w:rsidP="00B04AB6" w:rsidRDefault="00B04AB6" w14:paraId="2846E526" w14:textId="77777777">
            <w:pPr>
              <w:pStyle w:val="Tabletext"/>
              <w:spacing w:after="40" w:line="240" w:lineRule="auto"/>
            </w:pPr>
            <w:r w:rsidRPr="00FC016A">
              <w:t>Workpaper title</w:t>
            </w:r>
          </w:p>
        </w:tc>
        <w:tc>
          <w:tcPr>
            <w:tcW w:w="3690" w:type="dxa"/>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tcBorders>
            <w:noWrap/>
            <w:hideMark/>
          </w:tcPr>
          <w:p w:rsidRPr="00FC016A" w:rsidR="00B04AB6" w:rsidP="00B04AB6" w:rsidRDefault="00B04AB6" w14:paraId="42D1A737" w14:textId="77777777">
            <w:pPr>
              <w:pStyle w:val="Tabletext"/>
              <w:spacing w:after="40" w:line="240" w:lineRule="auto"/>
            </w:pPr>
            <w:r w:rsidRPr="00FC016A">
              <w:t>title</w:t>
            </w:r>
          </w:p>
        </w:tc>
      </w:tr>
    </w:tbl>
    <w:p w:rsidRPr="001136C1" w:rsidR="00B04AB6" w:rsidP="00B04AB6" w:rsidRDefault="00B04AB6" w14:paraId="6DAAA6FD" w14:textId="77777777">
      <w:pPr>
        <w:pStyle w:val="GaramondNormal"/>
      </w:pPr>
    </w:p>
    <w:p w:rsidR="00B04AB6" w:rsidP="00B04AB6" w:rsidRDefault="00B04AB6" w14:paraId="46D53544" w14:textId="77777777"/>
    <w:p w:rsidR="00EC256C" w:rsidP="007472F2" w:rsidRDefault="00EC256C" w14:paraId="439782DC" w14:textId="77777777"/>
    <w:sectPr w:rsidR="00EC256C" w:rsidSect="007472F2">
      <w:headerReference w:type="default" r:id="rId20"/>
      <w:headerReference w:type="first" r:id="rId21"/>
      <w:type w:val="continuous"/>
      <w:pgSz w:w="12240" w:h="15840"/>
      <w:pgMar w:top="1440" w:right="1440" w:bottom="1260" w:left="1440" w:header="720" w:footer="720" w:gutter="0"/>
      <w:pgNumType w:start="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6625D" w14:textId="77777777" w:rsidR="00A21F6B" w:rsidRDefault="00A21F6B" w:rsidP="008E2F07">
      <w:r>
        <w:separator/>
      </w:r>
    </w:p>
  </w:endnote>
  <w:endnote w:type="continuationSeparator" w:id="0">
    <w:p w14:paraId="75F5CE79" w14:textId="77777777" w:rsidR="00A21F6B" w:rsidRDefault="00A21F6B" w:rsidP="008E2F07">
      <w:r>
        <w:continuationSeparator/>
      </w:r>
    </w:p>
  </w:endnote>
  <w:endnote w:type="continuationNotice" w:id="1">
    <w:p w14:paraId="5C2A1E29" w14:textId="77777777" w:rsidR="00A21F6B" w:rsidRDefault="00A21F6B" w:rsidP="008E2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rPr>
      <w:id w:val="-27879792"/>
      <w:docPartObj>
        <w:docPartGallery w:val="Page Numbers (Bottom of Page)"/>
        <w:docPartUnique/>
      </w:docPartObj>
    </w:sdtPr>
    <w:sdtEndPr>
      <w:rPr>
        <w:noProof/>
      </w:rPr>
    </w:sdtEndPr>
    <w:sdtContent>
      <w:p w14:paraId="7E0E065C" w14:textId="3C17FC02" w:rsidR="00B04AB6" w:rsidRPr="00730611" w:rsidRDefault="00B04AB6" w:rsidP="00934F77">
        <w:pPr>
          <w:pStyle w:val="Footer"/>
          <w:jc w:val="center"/>
          <w:rPr>
            <w:rFonts w:ascii="Palatino Linotype" w:hAnsi="Palatino Linotype"/>
          </w:rPr>
        </w:pPr>
        <w:r w:rsidRPr="00730611">
          <w:rPr>
            <w:rFonts w:ascii="Palatino Linotype" w:hAnsi="Palatino Linotype"/>
          </w:rPr>
          <w:fldChar w:fldCharType="begin"/>
        </w:r>
        <w:r w:rsidRPr="00730611">
          <w:rPr>
            <w:rFonts w:ascii="Palatino Linotype" w:hAnsi="Palatino Linotype"/>
          </w:rPr>
          <w:instrText xml:space="preserve"> PAGE   \* MERGEFORMAT </w:instrText>
        </w:r>
        <w:r w:rsidRPr="00730611">
          <w:rPr>
            <w:rFonts w:ascii="Palatino Linotype" w:hAnsi="Palatino Linotype"/>
          </w:rPr>
          <w:fldChar w:fldCharType="separate"/>
        </w:r>
        <w:r w:rsidRPr="00730611">
          <w:rPr>
            <w:rFonts w:ascii="Palatino Linotype" w:hAnsi="Palatino Linotype"/>
            <w:noProof/>
          </w:rPr>
          <w:t>2</w:t>
        </w:r>
        <w:r w:rsidRPr="00730611">
          <w:rPr>
            <w:rFonts w:ascii="Palatino Linotype" w:hAnsi="Palatino Linotype"/>
            <w:noProof/>
          </w:rPr>
          <w:fldChar w:fldCharType="end"/>
        </w:r>
      </w:p>
    </w:sdtContent>
  </w:sdt>
  <w:p w14:paraId="59F3EE69" w14:textId="77777777" w:rsidR="00B04AB6" w:rsidRDefault="00B04AB6" w:rsidP="008E2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F1588" w14:textId="4A7476A0" w:rsidR="00B04AB6" w:rsidRDefault="00B04AB6" w:rsidP="008E2F07">
    <w:pPr>
      <w:pStyle w:val="Footer"/>
    </w:pPr>
  </w:p>
  <w:p w14:paraId="5ADD7027" w14:textId="326C816A" w:rsidR="00B04AB6" w:rsidRPr="00BD4D1E" w:rsidRDefault="008E3CC8" w:rsidP="008E2F07">
    <w:pPr>
      <w:pStyle w:val="Footer"/>
      <w:rPr>
        <w:rFonts w:cs="Tahoma"/>
        <w:szCs w:val="17"/>
      </w:rPr>
    </w:pPr>
    <w:r w:rsidRPr="008E3CC8">
      <w:rPr>
        <w:rFonts w:cs="Tahoma"/>
        <w:szCs w:val="17"/>
      </w:rPr>
      <w:t>344036360</w:t>
    </w:r>
    <w:r w:rsidR="00B04AB6">
      <w:rPr>
        <w:rFonts w:cs="Tahoma"/>
        <w:szCs w:val="17"/>
      </w:rPr>
      <w:tab/>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3EA72" w14:textId="77777777" w:rsidR="00B04AB6" w:rsidRPr="00730611" w:rsidRDefault="00B04AB6" w:rsidP="00730611">
    <w:pPr>
      <w:pStyle w:val="Footer"/>
      <w:jc w:val="right"/>
      <w:rPr>
        <w:rFonts w:ascii="Palatino Linotype" w:hAnsi="Palatino Linotype"/>
      </w:rPr>
    </w:pPr>
  </w:p>
  <w:p w14:paraId="4A960628" w14:textId="77777777" w:rsidR="00B04AB6" w:rsidRDefault="00B04AB6" w:rsidP="008E2F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85D68" w14:textId="77777777" w:rsidR="00B04AB6" w:rsidRDefault="00B04AB6" w:rsidP="008E2F07">
    <w:pPr>
      <w:pStyle w:val="Footer"/>
    </w:pPr>
  </w:p>
  <w:p w14:paraId="6C542270" w14:textId="77777777" w:rsidR="00B04AB6" w:rsidRPr="00BD4D1E" w:rsidRDefault="00B04AB6" w:rsidP="008E2F07">
    <w:pPr>
      <w:pStyle w:val="Footer"/>
      <w:rPr>
        <w:rFonts w:cs="Tahoma"/>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E91F3" w14:textId="77777777" w:rsidR="00A21F6B" w:rsidRDefault="00A21F6B" w:rsidP="008E2F07">
      <w:r>
        <w:separator/>
      </w:r>
    </w:p>
  </w:footnote>
  <w:footnote w:type="continuationSeparator" w:id="0">
    <w:p w14:paraId="5B73EBFF" w14:textId="77777777" w:rsidR="00A21F6B" w:rsidRDefault="00A21F6B" w:rsidP="008E2F07">
      <w:r>
        <w:continuationSeparator/>
      </w:r>
    </w:p>
  </w:footnote>
  <w:footnote w:type="continuationNotice" w:id="1">
    <w:p w14:paraId="4BBBE864" w14:textId="77777777" w:rsidR="00A21F6B" w:rsidRDefault="00A21F6B" w:rsidP="008E2F07"/>
  </w:footnote>
  <w:footnote w:id="2">
    <w:p w14:paraId="6379DB86" w14:textId="2D47509E" w:rsidR="00B04AB6" w:rsidRDefault="00B04AB6" w:rsidP="008E2F07">
      <w:pPr>
        <w:pStyle w:val="FootnoteText"/>
      </w:pPr>
      <w:r>
        <w:rPr>
          <w:rStyle w:val="FootnoteReference"/>
        </w:rPr>
        <w:footnoteRef/>
      </w:r>
      <w:r>
        <w:t xml:space="preserve"> See Main Menu</w:t>
      </w:r>
      <w:r>
        <w:sym w:font="Wingdings" w:char="F0E0"/>
      </w:r>
      <w:r>
        <w:t>DEER Versions</w:t>
      </w:r>
      <w:r>
        <w:sym w:font="Wingdings" w:char="F0E0"/>
      </w:r>
      <w:r>
        <w:t>DEER20</w:t>
      </w:r>
      <w:r w:rsidRPr="007E44BC">
        <w:t xml:space="preserve">22 on </w:t>
      </w:r>
      <w:hyperlink r:id="rId1" w:history="1">
        <w:r w:rsidRPr="00CB754E">
          <w:t>http://DEEResources.com</w:t>
        </w:r>
      </w:hyperlink>
    </w:p>
  </w:footnote>
  <w:footnote w:id="3">
    <w:p w14:paraId="66B667C9" w14:textId="77777777" w:rsidR="00B04AB6" w:rsidRDefault="00B04AB6" w:rsidP="008E2F07">
      <w:pPr>
        <w:pStyle w:val="FootnoteText"/>
      </w:pPr>
      <w:r w:rsidRPr="00FC3810">
        <w:rPr>
          <w:rStyle w:val="FootnoteReference"/>
          <w:szCs w:val="24"/>
        </w:rPr>
        <w:footnoteRef/>
      </w:r>
      <w:r w:rsidRPr="00114885">
        <w:t xml:space="preserve"> D.16-10-28, at 80, </w:t>
      </w:r>
      <w:r w:rsidRPr="00FC3810">
        <w:t>states</w:t>
      </w:r>
      <w:r w:rsidRPr="00114885">
        <w:t xml:space="preserve"> “D.12-05-015 allowed additional mid-cycle changes if there are new state and federal codes and standards that affect DEER values. Specifically, the decision stated in Conclusion of Law 84: “We generally agree with parties’ request that ex ante values should be adopted and held constant throughout the portfolio cycle.</w:t>
      </w:r>
      <w:r>
        <w:t xml:space="preserve"> </w:t>
      </w:r>
      <w:r w:rsidRPr="00114885">
        <w:t>However, mid-cycle updates of ex ante values are warranted if newly adopted codes or standards take effect during the cycle.”</w:t>
      </w:r>
    </w:p>
  </w:footnote>
  <w:footnote w:id="4">
    <w:p w14:paraId="7EB87DA1" w14:textId="77777777" w:rsidR="00B04AB6" w:rsidRDefault="00B04AB6" w:rsidP="008E2F07">
      <w:pPr>
        <w:pStyle w:val="FootnoteText"/>
      </w:pPr>
      <w:r w:rsidRPr="00FC3810">
        <w:rPr>
          <w:rStyle w:val="FootnoteReference"/>
          <w:szCs w:val="24"/>
        </w:rPr>
        <w:footnoteRef/>
      </w:r>
      <w:r w:rsidRPr="00FC3810">
        <w:rPr>
          <w:sz w:val="16"/>
        </w:rPr>
        <w:t xml:space="preserve"> </w:t>
      </w:r>
      <w:r w:rsidRPr="00114885">
        <w:t xml:space="preserve">D.16-10-28, at 80, quotes from D.12-05-015: “Conclusion of Law 80 states: ‘Our Staff should have significant latitude in performing </w:t>
      </w:r>
      <w:r w:rsidRPr="00FC3810">
        <w:t>DEER</w:t>
      </w:r>
      <w:r w:rsidRPr="00114885">
        <w:t xml:space="preserve"> and other policy oversight functions and, absent specific directives to the contrary, should not be required to consult with or otherwise utilize any other groups to perform this work.”</w:t>
      </w:r>
    </w:p>
  </w:footnote>
  <w:footnote w:id="5">
    <w:p w14:paraId="6F6021BD" w14:textId="4EE94A72" w:rsidR="00B04AB6" w:rsidRPr="007E44BC" w:rsidRDefault="00B04AB6" w:rsidP="008E2F07">
      <w:pPr>
        <w:pStyle w:val="FootnoteText"/>
      </w:pPr>
      <w:r>
        <w:rPr>
          <w:rStyle w:val="FootnoteReference"/>
        </w:rPr>
        <w:footnoteRef/>
      </w:r>
      <w:r>
        <w:t xml:space="preserve"> </w:t>
      </w:r>
      <w:bookmarkStart w:id="7" w:name="_Hlk13573288"/>
      <w:r w:rsidRPr="007E44BC">
        <w:fldChar w:fldCharType="begin"/>
      </w:r>
      <w:r w:rsidRPr="007E44BC">
        <w:instrText xml:space="preserve"> HYPERLINK "http://docs.cpuc.ca.gov/PublishedDocs/Published/G000/M232/K459/232459122.PDF" </w:instrText>
      </w:r>
      <w:r w:rsidRPr="007E44BC">
        <w:fldChar w:fldCharType="separate"/>
      </w:r>
      <w:r w:rsidRPr="007E44BC">
        <w:t>Resolution E-4952</w:t>
      </w:r>
      <w:r w:rsidRPr="007E44BC">
        <w:fldChar w:fldCharType="end"/>
      </w:r>
      <w:r w:rsidRPr="007E44BC">
        <w:t xml:space="preserve"> </w:t>
      </w:r>
      <w:bookmarkEnd w:id="7"/>
    </w:p>
  </w:footnote>
  <w:footnote w:id="6">
    <w:p w14:paraId="75292DE9" w14:textId="66D9C6D6" w:rsidR="00B04AB6" w:rsidRPr="007E44BC" w:rsidRDefault="00B04AB6" w:rsidP="008E2F07">
      <w:pPr>
        <w:pStyle w:val="FootnoteText"/>
      </w:pPr>
      <w:r>
        <w:rPr>
          <w:rStyle w:val="FootnoteReference"/>
        </w:rPr>
        <w:footnoteRef/>
      </w:r>
      <w:r>
        <w:t xml:space="preserve"> </w:t>
      </w:r>
      <w:hyperlink r:id="rId2" w:history="1">
        <w:r w:rsidRPr="007E44BC">
          <w:t>Resolution E-4818</w:t>
        </w:r>
      </w:hyperlink>
      <w:r w:rsidRPr="007E44BC">
        <w:t xml:space="preserve"> </w:t>
      </w:r>
    </w:p>
  </w:footnote>
  <w:footnote w:id="7">
    <w:p w14:paraId="7EA93E53" w14:textId="27472672" w:rsidR="00B04AB6" w:rsidRDefault="00B04AB6" w:rsidP="008E2F07">
      <w:pPr>
        <w:pStyle w:val="FootnoteText"/>
      </w:pPr>
      <w:r w:rsidRPr="002B6A92">
        <w:rPr>
          <w:rStyle w:val="FootnoteReference"/>
        </w:rPr>
        <w:footnoteRef/>
      </w:r>
      <w:r w:rsidRPr="002B6A92">
        <w:rPr>
          <w:rStyle w:val="FootnoteReference"/>
          <w:vertAlign w:val="baseline"/>
        </w:rPr>
        <w:tab/>
      </w:r>
      <w:r w:rsidRPr="00A61E4E">
        <w:t xml:space="preserve">Supporting material is available under the main menu/DEER Versions/DEER2021. </w:t>
      </w:r>
      <w:hyperlink r:id="rId3" w:history="1">
        <w:r w:rsidRPr="00A61E4E">
          <w:t>http://www.deeresources.com/index.php/deer-versions/deer2021</w:t>
        </w:r>
      </w:hyperlink>
      <w:r>
        <w:t xml:space="preserve"> </w:t>
      </w:r>
      <w:r w:rsidRPr="00A61E4E">
        <w:t xml:space="preserve"> </w:t>
      </w:r>
    </w:p>
  </w:footnote>
  <w:footnote w:id="8">
    <w:p w14:paraId="0FA18F07" w14:textId="26159075" w:rsidR="00B04AB6" w:rsidRPr="005B2670" w:rsidRDefault="00B04AB6" w:rsidP="005B2670">
      <w:pPr>
        <w:pStyle w:val="FootnoteText"/>
      </w:pPr>
      <w:r>
        <w:rPr>
          <w:rStyle w:val="FootnoteReference"/>
        </w:rPr>
        <w:footnoteRef/>
      </w:r>
      <w:r>
        <w:t xml:space="preserve"> </w:t>
      </w:r>
      <w:r w:rsidRPr="005B2670">
        <w:t>The Scoping memo was posted on April 21, 2020 and is located in two locations:</w:t>
      </w:r>
    </w:p>
    <w:p w14:paraId="43F8B019" w14:textId="45A847D3" w:rsidR="00B04AB6" w:rsidRPr="005B2670" w:rsidRDefault="00A21F6B" w:rsidP="005B2670">
      <w:pPr>
        <w:pStyle w:val="FootnoteText"/>
        <w:ind w:firstLine="0"/>
      </w:pPr>
      <w:hyperlink r:id="rId4" w:history="1">
        <w:r w:rsidR="00B04AB6" w:rsidRPr="005B2670">
          <w:rPr>
            <w:rFonts w:eastAsiaTheme="majorEastAsia"/>
          </w:rPr>
          <w:t>http://deeresources.com/index.php/deer-versions/deer202</w:t>
        </w:r>
        <w:r w:rsidR="00B04AB6" w:rsidRPr="005B2670">
          <w:rPr>
            <w:rStyle w:val="Hyperlink"/>
            <w:rFonts w:ascii="Palatino Linotype" w:hAnsi="Palatino Linotype"/>
            <w:color w:val="auto"/>
            <w:sz w:val="20"/>
            <w:u w:val="none"/>
          </w:rPr>
          <w:t>2</w:t>
        </w:r>
      </w:hyperlink>
    </w:p>
    <w:p w14:paraId="2D3E48E9" w14:textId="6BBA496B" w:rsidR="00B04AB6" w:rsidRDefault="00A21F6B" w:rsidP="005B2670">
      <w:pPr>
        <w:pStyle w:val="FootnoteText"/>
        <w:ind w:firstLine="0"/>
      </w:pPr>
      <w:hyperlink r:id="rId5" w:history="1">
        <w:r w:rsidR="00B04AB6" w:rsidRPr="005B2670">
          <w:rPr>
            <w:rStyle w:val="Hyperlink"/>
            <w:rFonts w:ascii="Palatino Linotype" w:eastAsiaTheme="majorEastAsia" w:hAnsi="Palatino Linotype"/>
            <w:color w:val="auto"/>
            <w:sz w:val="20"/>
            <w:u w:val="none"/>
          </w:rPr>
          <w:t>https://pda.energydataweb.com</w:t>
        </w:r>
      </w:hyperlink>
      <w:r w:rsidR="00B04AB6">
        <w:t>,</w:t>
      </w:r>
      <w:r w:rsidR="00B04AB6" w:rsidRPr="005B2670">
        <w:t xml:space="preserve"> Search on DEER2022</w:t>
      </w:r>
    </w:p>
  </w:footnote>
  <w:footnote w:id="9">
    <w:p w14:paraId="63494DE1" w14:textId="77777777" w:rsidR="00B04AB6" w:rsidRDefault="00B04AB6" w:rsidP="00511AB3">
      <w:pPr>
        <w:pStyle w:val="FootnoteText"/>
      </w:pPr>
      <w:r>
        <w:rPr>
          <w:rStyle w:val="FootnoteReference"/>
        </w:rPr>
        <w:footnoteRef/>
      </w:r>
      <w:r>
        <w:t xml:space="preserve"> upstream</w:t>
      </w:r>
    </w:p>
  </w:footnote>
  <w:footnote w:id="10">
    <w:p w14:paraId="40231ECE" w14:textId="5C167345" w:rsidR="00B04AB6" w:rsidRDefault="00B04AB6" w:rsidP="002B46DF">
      <w:pPr>
        <w:pStyle w:val="FootnoteText"/>
      </w:pPr>
      <w:r>
        <w:rPr>
          <w:rStyle w:val="FootnoteReference"/>
        </w:rPr>
        <w:footnoteRef/>
      </w:r>
      <w:r>
        <w:t xml:space="preserve"> D.05-01-055, p.129.</w:t>
      </w:r>
    </w:p>
  </w:footnote>
  <w:footnote w:id="11">
    <w:p w14:paraId="027E35DB" w14:textId="77777777" w:rsidR="00B04AB6" w:rsidRDefault="00B04AB6" w:rsidP="00943953">
      <w:pPr>
        <w:pStyle w:val="FootnoteText"/>
      </w:pPr>
      <w:r>
        <w:rPr>
          <w:rStyle w:val="FootnoteReference"/>
        </w:rPr>
        <w:footnoteRef/>
      </w:r>
      <w:r>
        <w:t xml:space="preserve"> </w:t>
      </w:r>
      <w:hyperlink r:id="rId6" w:history="1">
        <w:r w:rsidRPr="00A4493D">
          <w:t>https://www.caetrm.com</w:t>
        </w:r>
      </w:hyperlink>
    </w:p>
  </w:footnote>
  <w:footnote w:id="12">
    <w:p w14:paraId="0727D950" w14:textId="77777777" w:rsidR="00B04AB6" w:rsidRDefault="00B04AB6" w:rsidP="00F51FFF">
      <w:pPr>
        <w:pStyle w:val="FootnoteText"/>
      </w:pPr>
      <w:r>
        <w:rPr>
          <w:rStyle w:val="FootnoteReference"/>
        </w:rPr>
        <w:footnoteRef/>
      </w:r>
      <w:r>
        <w:t xml:space="preserve"> “Deemed” energy efficiency measures are measures with validated and pre-determined energy savings values. </w:t>
      </w:r>
    </w:p>
  </w:footnote>
  <w:footnote w:id="13">
    <w:p w14:paraId="78DA0A9D" w14:textId="77777777" w:rsidR="00B04AB6" w:rsidRDefault="00B04AB6" w:rsidP="00816C36">
      <w:pPr>
        <w:pStyle w:val="FootnoteText"/>
      </w:pPr>
      <w:r>
        <w:rPr>
          <w:rStyle w:val="FootnoteReference"/>
        </w:rPr>
        <w:footnoteRef/>
      </w:r>
      <w:r>
        <w:t xml:space="preserve"> An API is a set of functions and procedures which allow interactions between a program designed for the end user (application software) and another piece of software.</w:t>
      </w:r>
    </w:p>
  </w:footnote>
  <w:footnote w:id="14">
    <w:p w14:paraId="39BEE8A1" w14:textId="6AB39C19" w:rsidR="00B04AB6" w:rsidRDefault="00B04AB6">
      <w:pPr>
        <w:pStyle w:val="FootnoteText"/>
      </w:pPr>
      <w:r>
        <w:rPr>
          <w:rStyle w:val="FootnoteReference"/>
        </w:rPr>
        <w:footnoteRef/>
      </w:r>
      <w:r>
        <w:t xml:space="preserve"> Attachment A, </w:t>
      </w:r>
      <w:r w:rsidRPr="00A4493D">
        <w:rPr>
          <w:rFonts w:eastAsia="Garamond" w:cs="Garamond"/>
        </w:rPr>
        <w:t xml:space="preserve">Appendix </w:t>
      </w:r>
      <w:r>
        <w:rPr>
          <w:rFonts w:eastAsia="Garamond" w:cs="Garamond"/>
        </w:rPr>
        <w:t>2</w:t>
      </w:r>
      <w:r w:rsidRPr="00A4493D">
        <w:rPr>
          <w:rFonts w:eastAsia="Garamond" w:cs="Garamond"/>
        </w:rPr>
        <w:t xml:space="preserve"> – </w:t>
      </w:r>
      <w:r>
        <w:rPr>
          <w:rFonts w:eastAsia="Garamond" w:cs="Garamond"/>
        </w:rPr>
        <w:t>Standard for Deemed Data Source of Record</w:t>
      </w:r>
    </w:p>
  </w:footnote>
  <w:footnote w:id="15">
    <w:p w14:paraId="4C53E1AA" w14:textId="649F8621" w:rsidR="00B04AB6" w:rsidRDefault="00B04AB6">
      <w:pPr>
        <w:pStyle w:val="FootnoteText"/>
      </w:pPr>
      <w:r>
        <w:rPr>
          <w:rStyle w:val="FootnoteReference"/>
        </w:rPr>
        <w:footnoteRef/>
      </w:r>
      <w:r>
        <w:t xml:space="preserve"> CEDARS was developed by the Energy Division in 2016 as a standardized database for EE program tracking claims, annual budget filings, and monthly reports. CEDARS enforces the reporting specification, performs validations and cost effectiveness processing on claims submitted by Program Administrators, and makes portfolio data accessible online at </w:t>
      </w:r>
      <w:hyperlink r:id="rId7" w:history="1">
        <w:r w:rsidRPr="00E160CC">
          <w:rPr>
            <w:rStyle w:val="Hyperlink"/>
            <w:rFonts w:ascii="Palatino Linotype" w:hAnsi="Palatino Linotype"/>
            <w:sz w:val="20"/>
          </w:rPr>
          <w:t>https://cedars.sound-data.com/</w:t>
        </w:r>
      </w:hyperlink>
      <w:r>
        <w:t xml:space="preserve">.  </w:t>
      </w:r>
    </w:p>
  </w:footnote>
  <w:footnote w:id="16">
    <w:p w14:paraId="51B58035" w14:textId="4D5E5A93" w:rsidR="00B04AB6" w:rsidRDefault="00B04AB6">
      <w:pPr>
        <w:pStyle w:val="FootnoteText"/>
      </w:pPr>
      <w:r>
        <w:rPr>
          <w:rStyle w:val="FootnoteReference"/>
        </w:rPr>
        <w:footnoteRef/>
      </w:r>
      <w:r>
        <w:t xml:space="preserve"> </w:t>
      </w:r>
      <w:hyperlink r:id="rId8" w:history="1">
        <w:r w:rsidRPr="00CB1F68">
          <w:rPr>
            <w:rFonts w:eastAsiaTheme="majorEastAsia"/>
          </w:rPr>
          <w:t>https://www.caetrm.com/login/?next=/</w:t>
        </w:r>
      </w:hyperlink>
    </w:p>
  </w:footnote>
  <w:footnote w:id="17">
    <w:p w14:paraId="074DC279" w14:textId="56E98E5B" w:rsidR="00B04AB6" w:rsidRDefault="00B04AB6" w:rsidP="003E2152">
      <w:pPr>
        <w:pStyle w:val="FootnoteText"/>
      </w:pPr>
      <w:r>
        <w:rPr>
          <w:rStyle w:val="FootnoteReference"/>
        </w:rPr>
        <w:footnoteRef/>
      </w:r>
      <w:r>
        <w:t xml:space="preserve"> Path B refers to a compliance pathway for Title 24. Path B is often used for variable speed chillers and emphasizes part-load efficiencies.</w:t>
      </w:r>
    </w:p>
  </w:footnote>
  <w:footnote w:id="18">
    <w:p w14:paraId="262DFBD6" w14:textId="20F2A981" w:rsidR="00B04AB6" w:rsidRDefault="00B04AB6">
      <w:pPr>
        <w:pStyle w:val="FootnoteText"/>
      </w:pPr>
      <w:r>
        <w:rPr>
          <w:rStyle w:val="FootnoteReference"/>
        </w:rPr>
        <w:footnoteRef/>
      </w:r>
      <w:r>
        <w:t xml:space="preserve"> Defined as </w:t>
      </w:r>
      <w:r w:rsidRPr="00F33A49">
        <w:t>retrocommissioning (RCx)</w:t>
      </w:r>
    </w:p>
  </w:footnote>
  <w:footnote w:id="19">
    <w:p w14:paraId="66702E53" w14:textId="77777777" w:rsidR="00B04AB6" w:rsidRPr="00373CE4" w:rsidRDefault="00B04AB6" w:rsidP="008E2F07">
      <w:pPr>
        <w:pStyle w:val="DNVGLfootnote"/>
        <w:rPr>
          <w:rFonts w:ascii="Palatino Linotype" w:eastAsia="Times New Roman" w:hAnsi="Palatino Linotype"/>
        </w:rPr>
      </w:pPr>
      <w:r w:rsidRPr="001531A1">
        <w:rPr>
          <w:sz w:val="24"/>
          <w:szCs w:val="24"/>
          <w:vertAlign w:val="superscript"/>
        </w:rPr>
        <w:footnoteRef/>
      </w:r>
      <w:r w:rsidRPr="001531A1">
        <w:rPr>
          <w:rFonts w:ascii="Palatino Linotype" w:eastAsia="Times New Roman" w:hAnsi="Palatino Linotype" w:cs="Times New Roman"/>
          <w:sz w:val="24"/>
          <w:szCs w:val="24"/>
        </w:rPr>
        <w:t xml:space="preserve"> </w:t>
      </w:r>
      <w:r w:rsidRPr="001531A1">
        <w:rPr>
          <w:rStyle w:val="FootnoteTextChar"/>
        </w:rPr>
        <w:t>“Recommendations for Update to the DEER Water Heater Calculator for Program Year(s) 2019 and 2020,” issued by SoCalGas, 2019-03-06.</w:t>
      </w:r>
    </w:p>
  </w:footnote>
  <w:footnote w:id="20">
    <w:p w14:paraId="78AE0190" w14:textId="77777777" w:rsidR="00B04AB6" w:rsidRDefault="00B04AB6" w:rsidP="008E2F07">
      <w:pPr>
        <w:pStyle w:val="FootnoteText"/>
      </w:pPr>
      <w:r>
        <w:rPr>
          <w:rStyle w:val="FootnoteReference"/>
        </w:rPr>
        <w:footnoteRef/>
      </w:r>
      <w:r>
        <w:t xml:space="preserve"> </w:t>
      </w:r>
      <w:r w:rsidRPr="001531A1">
        <w:t>DEER-WaterHeater-Calculatorv3.3.xlsm</w:t>
      </w:r>
    </w:p>
  </w:footnote>
  <w:footnote w:id="21">
    <w:p w14:paraId="59515740" w14:textId="62C576F4" w:rsidR="00B04AB6" w:rsidRDefault="00B04AB6" w:rsidP="008E2F07">
      <w:pPr>
        <w:pStyle w:val="FootnoteText"/>
      </w:pPr>
      <w:r>
        <w:rPr>
          <w:rStyle w:val="FootnoteReference"/>
        </w:rPr>
        <w:footnoteRef/>
      </w:r>
      <w:r>
        <w:t xml:space="preserve"> DEER-WaterHeater-</w:t>
      </w:r>
      <w:r w:rsidRPr="00440B2F">
        <w:t>Calculator-v4.0.xlsm</w:t>
      </w:r>
      <w:r>
        <w:t>.</w:t>
      </w:r>
    </w:p>
  </w:footnote>
  <w:footnote w:id="22">
    <w:p w14:paraId="7774BD39" w14:textId="59072840" w:rsidR="00B04AB6" w:rsidRDefault="00B04AB6">
      <w:pPr>
        <w:pStyle w:val="FootnoteText"/>
      </w:pPr>
      <w:r>
        <w:rPr>
          <w:rStyle w:val="FootnoteReference"/>
        </w:rPr>
        <w:footnoteRef/>
      </w:r>
      <w:r>
        <w:t xml:space="preserve">  Cal TF is a collaborative of stakeholders and experts who review technical issues related to California’s integrated demand side management portfolio. It plays a technical oversight </w:t>
      </w:r>
      <w:r w:rsidRPr="00A27ACE">
        <w:t>role in the development of the eTRM.</w:t>
      </w:r>
      <w:r>
        <w:t xml:space="preserve"> </w:t>
      </w:r>
    </w:p>
  </w:footnote>
  <w:footnote w:id="23">
    <w:p w14:paraId="7801F9A2" w14:textId="58C706FC" w:rsidR="00B04AB6" w:rsidRDefault="00B04AB6">
      <w:pPr>
        <w:pStyle w:val="FootnoteText"/>
      </w:pPr>
      <w:r>
        <w:rPr>
          <w:rStyle w:val="FootnoteReference"/>
        </w:rPr>
        <w:footnoteRef/>
      </w:r>
      <w:r>
        <w:t xml:space="preserve"> The GRR is the ratio of the forecasted savings (DEER values) to the evaluated savings.</w:t>
      </w:r>
    </w:p>
  </w:footnote>
  <w:footnote w:id="24">
    <w:p w14:paraId="3F16C69A" w14:textId="77777777" w:rsidR="00B04AB6" w:rsidRDefault="00B04AB6" w:rsidP="00B04AB6">
      <w:pPr>
        <w:pStyle w:val="FootnoteText"/>
      </w:pPr>
      <w:r>
        <w:rPr>
          <w:rStyle w:val="FootnoteReference"/>
        </w:rPr>
        <w:footnoteRef/>
      </w:r>
      <w:r>
        <w:t xml:space="preserve"> Deliverable 17 of the Group A Contract involves updating some of the load shapes of deemed measures.</w:t>
      </w:r>
    </w:p>
  </w:footnote>
  <w:footnote w:id="25">
    <w:p w14:paraId="67CDE646" w14:textId="77777777" w:rsidR="00B04AB6" w:rsidRDefault="00B04AB6" w:rsidP="00B04AB6">
      <w:pPr>
        <w:pStyle w:val="FootnoteText"/>
      </w:pPr>
      <w:r>
        <w:rPr>
          <w:rStyle w:val="FootnoteReference"/>
        </w:rPr>
        <w:footnoteRef/>
      </w:r>
      <w:r>
        <w:t xml:space="preserve"> Resolution E-4952, Section 7.13 Required efficiency over Title 24 baseline for Chiller Full and Partial Loadings, p. A-64.</w:t>
      </w:r>
    </w:p>
  </w:footnote>
  <w:footnote w:id="26">
    <w:p w14:paraId="6107ED96" w14:textId="77777777" w:rsidR="00B04AB6" w:rsidRDefault="00B04AB6" w:rsidP="00B04AB6">
      <w:pPr>
        <w:pStyle w:val="FootnoteText"/>
      </w:pPr>
      <w:r>
        <w:rPr>
          <w:rStyle w:val="FootnoteReference"/>
        </w:rPr>
        <w:footnoteRef/>
      </w:r>
      <w:r>
        <w:t xml:space="preserve"> Two efficiency compliance paths are available for chillers. Path A is used for single-speed chillers designed primarily to run at full load and Path B is used for variable speed chillers designed to operate primarily at part load. For example, for a &lt;150-ton air-cooled chiller, Path A efficiency minimums are 10.1 EER/12.7 IPLV and Path B efficiency minimums are 9.7 EER/15.8 IPLV.</w:t>
      </w:r>
    </w:p>
  </w:footnote>
  <w:footnote w:id="27">
    <w:p w14:paraId="08326B63" w14:textId="77777777" w:rsidR="00B04AB6" w:rsidRDefault="00B04AB6" w:rsidP="00B04AB6">
      <w:pPr>
        <w:pStyle w:val="FootnoteText"/>
      </w:pPr>
      <w:r>
        <w:rPr>
          <w:rStyle w:val="FootnoteReference"/>
        </w:rPr>
        <w:footnoteRef/>
      </w:r>
      <w:r>
        <w:t xml:space="preserve"> Resolution E-4952, Section 2.2 Expanded HVAC Savings Methods, pp. A-17-18.</w:t>
      </w:r>
    </w:p>
  </w:footnote>
  <w:footnote w:id="28">
    <w:p w14:paraId="114E6AEB" w14:textId="77777777" w:rsidR="00B04AB6" w:rsidRPr="00C971AE" w:rsidRDefault="00B04AB6" w:rsidP="00B04AB6">
      <w:pPr>
        <w:pStyle w:val="FootnoteText"/>
      </w:pPr>
      <w:r w:rsidRPr="00C971AE">
        <w:rPr>
          <w:rStyle w:val="FootnoteReference"/>
        </w:rPr>
        <w:footnoteRef/>
      </w:r>
      <w:r>
        <w:t xml:space="preserve"> </w:t>
      </w:r>
      <w:r w:rsidRPr="00C971AE">
        <w:t>Only residential behavioral programs have an effective useful life of one year, per D.16-08-019.</w:t>
      </w:r>
    </w:p>
  </w:footnote>
  <w:footnote w:id="29">
    <w:p w14:paraId="08686475" w14:textId="77777777" w:rsidR="00B04AB6" w:rsidRPr="00DF1290" w:rsidRDefault="00B04AB6" w:rsidP="00B04AB6">
      <w:pPr>
        <w:pStyle w:val="DNVGLfootnote"/>
        <w:ind w:left="180" w:hanging="180"/>
      </w:pPr>
      <w:r w:rsidRPr="00663EBD">
        <w:rPr>
          <w:rStyle w:val="FootnoteReference"/>
        </w:rPr>
        <w:footnoteRef/>
      </w:r>
      <w:r w:rsidRPr="00C971AE">
        <w:rPr>
          <w:rStyle w:val="FootnoteReference"/>
        </w:rPr>
        <w:t xml:space="preserve">  </w:t>
      </w:r>
      <w:r w:rsidRPr="00663EBD">
        <w:rPr>
          <w:rStyle w:val="FootnoteTextChar"/>
        </w:rPr>
        <w:t>Resolution E-4818, page 69, duct sealing is specifically mentioned as a building weatherization measure “…non-mechanical building efficiency improvements (e.g. windows, insulation, air sealing, duct sealin</w:t>
      </w:r>
      <w:r>
        <w:rPr>
          <w:rStyle w:val="FootnoteTextChar"/>
        </w:rPr>
        <w:t>g….</w:t>
      </w:r>
      <w:r w:rsidRPr="00663EBD">
        <w:rPr>
          <w:rStyle w:val="FootnoteTextChar"/>
        </w:rPr>
        <w:t>)”</w:t>
      </w:r>
    </w:p>
  </w:footnote>
  <w:footnote w:id="30">
    <w:p w14:paraId="27E2A0FD" w14:textId="77777777" w:rsidR="00B04AB6" w:rsidRPr="00A14B5D" w:rsidRDefault="00B04AB6" w:rsidP="00B04AB6">
      <w:pPr>
        <w:pStyle w:val="FootnoteText"/>
        <w:rPr>
          <w:rFonts w:ascii="Verdana" w:hAnsi="Verdana"/>
        </w:rPr>
      </w:pPr>
      <w:r w:rsidRPr="000D7389">
        <w:rPr>
          <w:rStyle w:val="FootnoteReference"/>
        </w:rPr>
        <w:footnoteRef/>
      </w:r>
      <w:r w:rsidRPr="000D7389">
        <w:rPr>
          <w:rStyle w:val="FootnoteReference"/>
        </w:rPr>
        <w:t xml:space="preserve"> </w:t>
      </w:r>
      <w:r>
        <w:t xml:space="preserve"> </w:t>
      </w:r>
      <w:r w:rsidRPr="000D7389">
        <w:t>The 2014-16 HVAC Permit and Code Compliance Market Assessment (Work Order 6) showed low levels of compliance with duct sealing requirements (http://calmac.org/publications/HVAC_WO6_FINAL_REPORT_VolumeI_22Sept2017.pdf)</w:t>
      </w:r>
      <w:r>
        <w:t>.</w:t>
      </w:r>
    </w:p>
  </w:footnote>
  <w:footnote w:id="31">
    <w:p w14:paraId="3C46E480" w14:textId="77777777" w:rsidR="00B04AB6" w:rsidRPr="00914151" w:rsidRDefault="00B04AB6" w:rsidP="00B04AB6">
      <w:pPr>
        <w:pStyle w:val="FootnoteText"/>
        <w:rPr>
          <w:rFonts w:ascii="Verdana" w:hAnsi="Verdana"/>
        </w:rPr>
      </w:pPr>
      <w:r w:rsidRPr="000D7389">
        <w:rPr>
          <w:rStyle w:val="FootnoteReference"/>
        </w:rPr>
        <w:footnoteRef/>
      </w:r>
      <w:r w:rsidRPr="00914151">
        <w:rPr>
          <w:rFonts w:ascii="Verdana" w:hAnsi="Verdana"/>
        </w:rPr>
        <w:t xml:space="preserve"> </w:t>
      </w:r>
      <w:r w:rsidRPr="000D7389">
        <w:t>California building codes require mechanical connections on metal to metal duct must be secured with at least three mechanical fasteners and flex to metal connections must be secured with at least three mechanical fasteners and two nylon straps: one on the inner liner and one on the outer liner. The code requires the ducts to be sealed with mastic, polymer, or certain tapes but industry best practice disallows tapes as the primary sealant material.</w:t>
      </w:r>
    </w:p>
  </w:footnote>
  <w:footnote w:id="32">
    <w:p w14:paraId="06B8CD22" w14:textId="77777777" w:rsidR="00B04AB6" w:rsidRPr="00914151" w:rsidRDefault="00B04AB6" w:rsidP="00B04AB6">
      <w:pPr>
        <w:pStyle w:val="FootnoteText"/>
        <w:rPr>
          <w:rFonts w:ascii="Verdana" w:hAnsi="Verdana"/>
        </w:rPr>
      </w:pPr>
      <w:r w:rsidRPr="000D7389">
        <w:rPr>
          <w:rStyle w:val="FootnoteReference"/>
        </w:rPr>
        <w:footnoteRef/>
      </w:r>
      <w:r w:rsidRPr="000D7389">
        <w:rPr>
          <w:rStyle w:val="FootnoteReference"/>
        </w:rPr>
        <w:t xml:space="preserve"> </w:t>
      </w:r>
      <w:r>
        <w:t xml:space="preserve"> </w:t>
      </w:r>
      <w:r w:rsidRPr="000D7389">
        <w:t>Pacific Gas &amp; Electric Company. 2006. Retention Study of Pacific Gas &amp; Electric Company’s 1996 and 1997 Residential New Construction Energy Efficiency Programs. PG&amp;E Study ID number: 386R2 CALMAC Study ID number: PGE0247.01.</w:t>
      </w:r>
    </w:p>
  </w:footnote>
  <w:footnote w:id="33">
    <w:p w14:paraId="7AA24187" w14:textId="77777777" w:rsidR="00B04AB6" w:rsidRPr="00914151" w:rsidRDefault="00B04AB6" w:rsidP="00B04AB6">
      <w:pPr>
        <w:pStyle w:val="FootnoteText"/>
        <w:rPr>
          <w:rFonts w:ascii="Verdana" w:hAnsi="Verdana"/>
        </w:rPr>
      </w:pPr>
      <w:r w:rsidRPr="000D7389">
        <w:rPr>
          <w:rStyle w:val="FootnoteReference"/>
        </w:rPr>
        <w:footnoteRef/>
      </w:r>
      <w:r w:rsidRPr="000D7389">
        <w:rPr>
          <w:rStyle w:val="FootnoteReference"/>
        </w:rPr>
        <w:t xml:space="preserve"> </w:t>
      </w:r>
      <w:r>
        <w:t xml:space="preserve"> </w:t>
      </w:r>
      <w:proofErr w:type="spellStart"/>
      <w:r w:rsidRPr="000D7389">
        <w:t>Itron</w:t>
      </w:r>
      <w:proofErr w:type="spellEnd"/>
      <w:r w:rsidRPr="000D7389">
        <w:t>, Inc. 2004. 1994 Residential New Construction Ninth-Year Retention Evaluation (Energy Advantage Home Program) Study Number 716A. Prepared for Southern California Gas Company</w:t>
      </w:r>
    </w:p>
  </w:footnote>
  <w:footnote w:id="34">
    <w:p w14:paraId="3DB8D061" w14:textId="77777777" w:rsidR="00B04AB6" w:rsidRPr="00914151" w:rsidRDefault="00B04AB6" w:rsidP="00B04AB6">
      <w:pPr>
        <w:pStyle w:val="FootnoteText"/>
        <w:rPr>
          <w:rFonts w:ascii="Verdana" w:hAnsi="Verdana"/>
        </w:rPr>
      </w:pPr>
      <w:r w:rsidRPr="000D7389">
        <w:rPr>
          <w:rStyle w:val="FootnoteReference"/>
        </w:rPr>
        <w:footnoteRef/>
      </w:r>
      <w:r>
        <w:t xml:space="preserve"> </w:t>
      </w:r>
      <w:r w:rsidRPr="000D7389">
        <w:rPr>
          <w:rStyle w:val="FootnoteReference"/>
        </w:rPr>
        <w:t xml:space="preserve"> </w:t>
      </w:r>
      <w:r w:rsidRPr="000D7389">
        <w:t xml:space="preserve">Walker, I.S. and Sherman, M.H. 2003. “Sealant Longevity for Residential Ducts,” Durability of Building and Construction Sealants and Adhesives, ASTM STP 1453, A. Wolf Ed., American Society for Testing and Materials, West Conshohocken, </w:t>
      </w:r>
      <w:r>
        <w:t>PA</w:t>
      </w:r>
      <w:r w:rsidRPr="000D7389">
        <w:t>.</w:t>
      </w:r>
    </w:p>
  </w:footnote>
  <w:footnote w:id="35">
    <w:p w14:paraId="761EE849" w14:textId="77777777" w:rsidR="00B04AB6" w:rsidRPr="00663EBD" w:rsidRDefault="00B04AB6" w:rsidP="00B04AB6">
      <w:pPr>
        <w:pStyle w:val="DNVGLfootnote"/>
        <w:ind w:left="187" w:hanging="187"/>
        <w:rPr>
          <w:rStyle w:val="FootnoteTextChar"/>
        </w:rPr>
      </w:pPr>
      <w:r w:rsidRPr="00165D62">
        <w:rPr>
          <w:rStyle w:val="FootnoteReference"/>
        </w:rPr>
        <w:footnoteRef/>
      </w:r>
      <w:r w:rsidRPr="00165D62">
        <w:t xml:space="preserve"> </w:t>
      </w:r>
      <w:r w:rsidRPr="00663EBD">
        <w:rPr>
          <w:rStyle w:val="FootnoteTextChar"/>
        </w:rPr>
        <w:t>“Recommendations for Update to the DEER Water Heater Calculator for Program Year(s) 2019 and 2020,” issued by SoCalGas, 2019-03-06.</w:t>
      </w:r>
    </w:p>
  </w:footnote>
  <w:footnote w:id="36">
    <w:p w14:paraId="1AC22A90" w14:textId="77777777" w:rsidR="00B04AB6" w:rsidRPr="00663EBD" w:rsidRDefault="00B04AB6" w:rsidP="00B04AB6">
      <w:pPr>
        <w:pStyle w:val="DNVGLfootnote"/>
        <w:ind w:left="187" w:hanging="187"/>
        <w:rPr>
          <w:rStyle w:val="FootnoteTextChar"/>
        </w:rPr>
      </w:pPr>
      <w:r w:rsidRPr="00165D62">
        <w:rPr>
          <w:rStyle w:val="FootnoteReference"/>
        </w:rPr>
        <w:footnoteRef/>
      </w:r>
      <w:r w:rsidRPr="00165D62">
        <w:t xml:space="preserve"> </w:t>
      </w:r>
      <w:r w:rsidRPr="00663EBD">
        <w:rPr>
          <w:rStyle w:val="FootnoteTextChar"/>
        </w:rPr>
        <w:t xml:space="preserve"> DEER-WaterHeater-Calculatorv3.3.xlsm</w:t>
      </w:r>
    </w:p>
  </w:footnote>
  <w:footnote w:id="37">
    <w:p w14:paraId="25E79B79" w14:textId="77777777" w:rsidR="00B04AB6" w:rsidRDefault="00B04AB6" w:rsidP="00B04AB6">
      <w:pPr>
        <w:pStyle w:val="FootnoteText"/>
      </w:pPr>
      <w:r>
        <w:rPr>
          <w:rStyle w:val="FootnoteReference"/>
        </w:rPr>
        <w:footnoteRef/>
      </w:r>
      <w:r>
        <w:t xml:space="preserve"> </w:t>
      </w:r>
      <w:r w:rsidRPr="00663EBD">
        <w:t>Note, we are also reviewing the HVAC EM&amp;V study related to building types for chiller measure claims.</w:t>
      </w:r>
    </w:p>
  </w:footnote>
  <w:footnote w:id="38">
    <w:p w14:paraId="41443D89" w14:textId="77777777" w:rsidR="00B04AB6" w:rsidRDefault="00B04AB6" w:rsidP="00B04AB6">
      <w:pPr>
        <w:pStyle w:val="FootnoteText"/>
      </w:pPr>
      <w:r>
        <w:rPr>
          <w:rStyle w:val="FootnoteReference"/>
        </w:rPr>
        <w:footnoteRef/>
      </w:r>
      <w:r>
        <w:t xml:space="preserve"> While all measures have workpapers which are reviewed and approved by the CPUC, some measures referred to as “DEER” measures have had EM&amp;V studies and have additional more thorough vetted status.</w:t>
      </w:r>
    </w:p>
  </w:footnote>
  <w:footnote w:id="39">
    <w:p w14:paraId="71F97CAB" w14:textId="77777777" w:rsidR="00B04AB6" w:rsidRDefault="00B04AB6" w:rsidP="00B04AB6">
      <w:pPr>
        <w:pStyle w:val="DNVGLfootnote"/>
        <w:ind w:left="180" w:hanging="180"/>
      </w:pPr>
      <w:r w:rsidRPr="00CB53D3">
        <w:rPr>
          <w:rStyle w:val="FootnoteReference"/>
        </w:rPr>
        <w:footnoteRef/>
      </w:r>
      <w:r>
        <w:t xml:space="preserve"> </w:t>
      </w:r>
      <w:r>
        <w:rPr>
          <w:rStyle w:val="FootnoteTextChar"/>
        </w:rPr>
        <w:t>“</w:t>
      </w:r>
      <w:r w:rsidRPr="00CB53D3">
        <w:rPr>
          <w:rStyle w:val="FootnoteTextChar"/>
        </w:rPr>
        <w:t xml:space="preserve">2018-2020 CPUC &amp; Program Administrator Energy Efficiency Evaluation, Measurement and Verification Plan Version 9,” California Public Utilities Commission, 12/19/2019, </w:t>
      </w:r>
      <w:hyperlink r:id="rId9" w:history="1">
        <w:r w:rsidRPr="00CB53D3">
          <w:rPr>
            <w:rStyle w:val="FootnoteTextChar"/>
          </w:rPr>
          <w:t>https://pda.energydataweb.com/api/view/2325/2018-20_EMV_Plan_Final.pdf</w:t>
        </w:r>
      </w:hyperlink>
      <w:r w:rsidRPr="00CB53D3">
        <w:rPr>
          <w:rStyle w:val="FootnoteTextChar"/>
        </w:rPr>
        <w:t>.</w:t>
      </w:r>
    </w:p>
  </w:footnote>
  <w:footnote w:id="40">
    <w:p w14:paraId="0B30AC67" w14:textId="77777777" w:rsidR="00B04AB6" w:rsidRDefault="00B04AB6" w:rsidP="00B04AB6">
      <w:pPr>
        <w:pStyle w:val="FootnoteText"/>
      </w:pPr>
      <w:r>
        <w:rPr>
          <w:rStyle w:val="FootnoteReference"/>
        </w:rPr>
        <w:footnoteRef/>
      </w:r>
      <w:r>
        <w:t xml:space="preserve"> “Impact Evaluation of Home Energy Reports Residential Sector - Program Year 2018,” DNV GL, April 1, 2020. </w:t>
      </w:r>
      <w:hyperlink r:id="rId10" w:anchor="!/documents/2366/view" w:history="1">
        <w:r w:rsidRPr="005A1534">
          <w:rPr>
            <w:rStyle w:val="Hyperlink"/>
          </w:rPr>
          <w:t>https://pda.energydataweb.com/#!/documents/2366/view</w:t>
        </w:r>
      </w:hyperlink>
      <w:r>
        <w:t xml:space="preserve"> </w:t>
      </w:r>
    </w:p>
  </w:footnote>
  <w:footnote w:id="41">
    <w:p w14:paraId="65529DB1" w14:textId="77777777" w:rsidR="00B04AB6" w:rsidRDefault="00B04AB6" w:rsidP="00B04AB6">
      <w:pPr>
        <w:pStyle w:val="FootnoteText"/>
      </w:pPr>
      <w:r>
        <w:rPr>
          <w:rStyle w:val="FootnoteReference"/>
        </w:rPr>
        <w:footnoteRef/>
      </w:r>
      <w:r>
        <w:t xml:space="preserve"> “</w:t>
      </w:r>
      <w:r w:rsidRPr="00765090">
        <w:t>Water-Saving Fixtures: A Residential and Multifamily Survey to Inform Program Year 2018 Impact Evaluation</w:t>
      </w:r>
      <w:r>
        <w:t xml:space="preserve">,” APEX Analytics, March 25, 2020. </w:t>
      </w:r>
      <w:hyperlink r:id="rId11" w:anchor="!/documents/2368/view" w:history="1">
        <w:r w:rsidRPr="005A1534">
          <w:rPr>
            <w:rStyle w:val="Hyperlink"/>
          </w:rPr>
          <w:t>https://pda.energydataweb.com/#!/documents/2368/view</w:t>
        </w:r>
      </w:hyperlink>
      <w:r>
        <w:t xml:space="preserve"> </w:t>
      </w:r>
    </w:p>
  </w:footnote>
  <w:footnote w:id="42">
    <w:p w14:paraId="2D788AEF" w14:textId="77777777" w:rsidR="00B04AB6" w:rsidRDefault="00B04AB6" w:rsidP="00B04AB6">
      <w:pPr>
        <w:pStyle w:val="FootnoteText"/>
      </w:pPr>
      <w:r>
        <w:rPr>
          <w:rStyle w:val="FootnoteReference"/>
        </w:rPr>
        <w:footnoteRef/>
      </w:r>
      <w:r>
        <w:t xml:space="preserve"> “</w:t>
      </w:r>
      <w:r w:rsidRPr="00EA786C">
        <w:t>CPUC Group A Residential Sector PY 2018 Pool Pump Impact Evaluation</w:t>
      </w:r>
      <w:r>
        <w:t xml:space="preserve">,” NMR Group, Inc., April 1, 2020. </w:t>
      </w:r>
      <w:hyperlink r:id="rId12" w:anchor="!/documents/2367/view" w:history="1">
        <w:r w:rsidRPr="005A1534">
          <w:rPr>
            <w:rStyle w:val="Hyperlink"/>
          </w:rPr>
          <w:t>https://pda.energydataweb.com/#!/documents/2367/view</w:t>
        </w:r>
      </w:hyperlink>
      <w:r>
        <w:t xml:space="preserve"> </w:t>
      </w:r>
    </w:p>
  </w:footnote>
  <w:footnote w:id="43">
    <w:p w14:paraId="0476C16E" w14:textId="77777777" w:rsidR="00B04AB6" w:rsidRDefault="00B04AB6" w:rsidP="00B04AB6">
      <w:pPr>
        <w:pStyle w:val="FootnoteText"/>
      </w:pPr>
      <w:r>
        <w:rPr>
          <w:rStyle w:val="FootnoteReference"/>
        </w:rPr>
        <w:footnoteRef/>
      </w:r>
      <w:r>
        <w:t xml:space="preserve"> “Impact Evaluation of Smart Thermostats Residential Sector - Program Year 2018,” DNV GL, April 1, 2020. </w:t>
      </w:r>
      <w:hyperlink r:id="rId13" w:anchor="!/documents/2364/view" w:history="1">
        <w:r w:rsidRPr="005A1534">
          <w:rPr>
            <w:rStyle w:val="Hyperlink"/>
          </w:rPr>
          <w:t>https://pda.energydataweb.com/#!/documents/2364/view</w:t>
        </w:r>
      </w:hyperlink>
      <w:r>
        <w:t xml:space="preserve"> </w:t>
      </w:r>
    </w:p>
  </w:footnote>
  <w:footnote w:id="44">
    <w:p w14:paraId="5AE73AD4" w14:textId="77777777" w:rsidR="00B04AB6" w:rsidRDefault="00B04AB6" w:rsidP="00B04AB6">
      <w:pPr>
        <w:pStyle w:val="FootnoteText"/>
      </w:pPr>
      <w:r>
        <w:rPr>
          <w:rStyle w:val="FootnoteReference"/>
        </w:rPr>
        <w:footnoteRef/>
      </w:r>
      <w:r>
        <w:t xml:space="preserve"> “Upstream and Residential Downstream Lighting Impact Evaluation Report Lighting Sector – Program Year 2018,” DNV GL, April 1, 2020.  </w:t>
      </w:r>
      <w:hyperlink r:id="rId14" w:anchor="!/documents/2365/view" w:history="1">
        <w:r w:rsidRPr="005A1534">
          <w:rPr>
            <w:rStyle w:val="Hyperlink"/>
          </w:rPr>
          <w:t>https://pda.energydataweb.com/#!/documents/2365/view</w:t>
        </w:r>
      </w:hyperlink>
      <w:r>
        <w:t xml:space="preserve"> </w:t>
      </w:r>
    </w:p>
  </w:footnote>
  <w:footnote w:id="45">
    <w:p w14:paraId="73C8B4C0" w14:textId="77777777" w:rsidR="00B04AB6" w:rsidRDefault="00B04AB6" w:rsidP="00B04AB6">
      <w:pPr>
        <w:pStyle w:val="FootnoteText"/>
      </w:pPr>
      <w:r>
        <w:rPr>
          <w:rStyle w:val="FootnoteReference"/>
        </w:rPr>
        <w:footnoteRef/>
      </w:r>
      <w:r>
        <w:t xml:space="preserve"> “2018 Nonresidential ESPI Deemed Lighting Impact Evaluation, Final Report,” </w:t>
      </w:r>
      <w:proofErr w:type="spellStart"/>
      <w:r>
        <w:t>Itron</w:t>
      </w:r>
      <w:proofErr w:type="spellEnd"/>
      <w:r>
        <w:t xml:space="preserve">, April 1, 2020.  </w:t>
      </w:r>
      <w:hyperlink r:id="rId15" w:anchor="!/documents/2363/view" w:history="1">
        <w:r w:rsidRPr="005A1534">
          <w:rPr>
            <w:rStyle w:val="Hyperlink"/>
          </w:rPr>
          <w:t>https://pda.energydataweb.com/#!/documents/2363/view</w:t>
        </w:r>
      </w:hyperlink>
      <w:r>
        <w:t xml:space="preserve"> </w:t>
      </w:r>
    </w:p>
  </w:footnote>
  <w:footnote w:id="46">
    <w:p w14:paraId="75CB0C81" w14:textId="77777777" w:rsidR="00B04AB6" w:rsidRDefault="00B04AB6" w:rsidP="00B04AB6">
      <w:pPr>
        <w:pStyle w:val="FootnoteText"/>
      </w:pPr>
      <w:r>
        <w:rPr>
          <w:rStyle w:val="FootnoteReference"/>
        </w:rPr>
        <w:footnoteRef/>
      </w:r>
      <w:r>
        <w:t xml:space="preserve"> “</w:t>
      </w:r>
      <w:r w:rsidRPr="001A493D">
        <w:t>Program Year 2018 (PY 2018) HVAC Sector Impact Evaluation Final Report</w:t>
      </w:r>
      <w:r>
        <w:t xml:space="preserve">.” </w:t>
      </w:r>
      <w:hyperlink r:id="rId16" w:anchor="!/documents/2362/view" w:history="1">
        <w:r w:rsidRPr="005A1534">
          <w:rPr>
            <w:rStyle w:val="Hyperlink"/>
          </w:rPr>
          <w:t>https://pda.energydataweb.com/#!/documents/2362/view</w:t>
        </w:r>
      </w:hyperlink>
      <w:r>
        <w:t xml:space="preserve"> </w:t>
      </w:r>
    </w:p>
  </w:footnote>
  <w:footnote w:id="47">
    <w:p w14:paraId="09AB9A4B" w14:textId="77777777" w:rsidR="00B04AB6" w:rsidRDefault="00B04AB6" w:rsidP="00B04AB6">
      <w:pPr>
        <w:pStyle w:val="FootnoteText"/>
      </w:pPr>
      <w:r>
        <w:rPr>
          <w:rStyle w:val="FootnoteReference"/>
        </w:rPr>
        <w:footnoteRef/>
      </w:r>
      <w:r>
        <w:t xml:space="preserve"> “PY2018 Small/Medium Commercial (SMB) Sector ESPI Impact Evaluation, Final Report,” </w:t>
      </w:r>
      <w:proofErr w:type="spellStart"/>
      <w:r>
        <w:t>Itron</w:t>
      </w:r>
      <w:proofErr w:type="spellEnd"/>
      <w:r>
        <w:t xml:space="preserve">, March 31. </w:t>
      </w:r>
      <w:hyperlink r:id="rId17" w:anchor="!/documents/2361/view" w:history="1">
        <w:r w:rsidRPr="005A1534">
          <w:rPr>
            <w:rStyle w:val="Hyperlink"/>
          </w:rPr>
          <w:t>https://pda.energydataweb.com/#!/documents/2361/view</w:t>
        </w:r>
      </w:hyperlink>
      <w:r>
        <w:t xml:space="preserve"> </w:t>
      </w:r>
    </w:p>
  </w:footnote>
  <w:footnote w:id="48">
    <w:p w14:paraId="174AD23E" w14:textId="77777777" w:rsidR="00B04AB6" w:rsidRDefault="00B04AB6" w:rsidP="00B04AB6">
      <w:pPr>
        <w:pStyle w:val="FootnoteText"/>
      </w:pPr>
      <w:r>
        <w:rPr>
          <w:rStyle w:val="FootnoteReference"/>
        </w:rPr>
        <w:footnoteRef/>
      </w:r>
      <w:r>
        <w:t xml:space="preserve"> </w:t>
      </w:r>
      <w:r w:rsidRPr="004E1DF4">
        <w:t xml:space="preserve"> </w:t>
      </w:r>
      <w:hyperlink r:id="rId18" w:history="1">
        <w:r w:rsidRPr="004E1DF4">
          <w:rPr>
            <w:rStyle w:val="Hyperlink"/>
            <w:color w:val="4F81BD" w:themeColor="accent1"/>
          </w:rPr>
          <w:t>https://appliance-standards.org/products-and-links</w:t>
        </w:r>
      </w:hyperlink>
    </w:p>
  </w:footnote>
  <w:footnote w:id="49">
    <w:p w14:paraId="2C704155" w14:textId="77777777" w:rsidR="00B04AB6" w:rsidRDefault="00B04AB6" w:rsidP="00B04AB6">
      <w:pPr>
        <w:pStyle w:val="FootnoteText"/>
      </w:pPr>
      <w:r>
        <w:rPr>
          <w:rStyle w:val="FootnoteReference"/>
        </w:rPr>
        <w:footnoteRef/>
      </w:r>
      <w:r>
        <w:t xml:space="preserve"> </w:t>
      </w:r>
      <w:r w:rsidRPr="004F6A96">
        <w:t>For example, the Commercial End</w:t>
      </w:r>
      <w:r>
        <w:t>-</w:t>
      </w:r>
      <w:r w:rsidRPr="004F6A96">
        <w:t>Use Study (CEUS), Residential Appliance Saturation Study (RASS), Commercial Saturation Study-Commercial Market Share Tracking (CSS-CMST) studies, and California Lighting and Appliance Saturation Study (CLASS).</w:t>
      </w:r>
    </w:p>
  </w:footnote>
  <w:footnote w:id="50">
    <w:p w14:paraId="6987252E" w14:textId="77777777" w:rsidR="00B04AB6" w:rsidRDefault="00B04AB6" w:rsidP="00B04AB6">
      <w:pPr>
        <w:pStyle w:val="FootnoteText"/>
      </w:pPr>
      <w:r>
        <w:rPr>
          <w:rStyle w:val="FootnoteReference"/>
        </w:rPr>
        <w:footnoteRef/>
      </w:r>
      <w:r>
        <w:t xml:space="preserve"> </w:t>
      </w:r>
      <w:r w:rsidRPr="002873B6">
        <w:t>Available at</w:t>
      </w:r>
      <w:r>
        <w:rPr>
          <w:rFonts w:ascii="Verdana" w:hAnsi="Verdana"/>
        </w:rPr>
        <w:t xml:space="preserve"> </w:t>
      </w:r>
      <w:hyperlink r:id="rId19" w:history="1">
        <w:r w:rsidRPr="00847494">
          <w:rPr>
            <w:rStyle w:val="Hyperlink"/>
            <w:rFonts w:eastAsiaTheme="majorEastAsia"/>
            <w:color w:val="4F81BD" w:themeColor="accent1"/>
            <w:sz w:val="18"/>
            <w:szCs w:val="18"/>
          </w:rPr>
          <w:t>http://www.deeresources.com/files/deerchangelog/pearchangelog.html</w:t>
        </w:r>
      </w:hyperlink>
      <w:r w:rsidRPr="00847494">
        <w:rPr>
          <w:rFonts w:ascii="Verdana" w:hAnsi="Verdana"/>
          <w:sz w:val="18"/>
          <w:szCs w:val="18"/>
        </w:rPr>
        <w:t>.</w:t>
      </w:r>
    </w:p>
  </w:footnote>
  <w:footnote w:id="51">
    <w:p w14:paraId="00AA449C" w14:textId="77777777" w:rsidR="00B04AB6" w:rsidRDefault="00B04AB6" w:rsidP="00B04AB6">
      <w:pPr>
        <w:pStyle w:val="FootnoteText"/>
      </w:pPr>
      <w:r>
        <w:rPr>
          <w:rStyle w:val="FootnoteReference"/>
        </w:rPr>
        <w:footnoteRef/>
      </w:r>
      <w:r>
        <w:t xml:space="preserve"> </w:t>
      </w:r>
      <w:r w:rsidRPr="003456CD">
        <w:t>California Public Utilities Commission, October 31, 2019, “The Fuel Substitution Technical Guidance for Energy Efficiency,” Version 1.1. (See: https://www.cpuc.ca.gov/WorkArea/DownloadAsset.aspx?id=6442463564.)</w:t>
      </w:r>
    </w:p>
  </w:footnote>
  <w:footnote w:id="52">
    <w:p w14:paraId="1F16C18E" w14:textId="77777777" w:rsidR="00B04AB6" w:rsidRDefault="00B04AB6" w:rsidP="00B04AB6">
      <w:pPr>
        <w:pStyle w:val="FootnoteText"/>
      </w:pPr>
      <w:r>
        <w:rPr>
          <w:rStyle w:val="FootnoteReference"/>
        </w:rPr>
        <w:footnoteRef/>
      </w:r>
      <w:r>
        <w:t xml:space="preserve"> </w:t>
      </w:r>
      <w:r w:rsidRPr="001C05F8">
        <w:t>CPUC. “The Fuel Substitution Technical Guidance for Energy Efficiency,” Version 1.1, 2019-10-31, Chapter 2, Section 2.2, p. 6.</w:t>
      </w:r>
    </w:p>
  </w:footnote>
  <w:footnote w:id="53">
    <w:p w14:paraId="470C36DC" w14:textId="77777777" w:rsidR="00B04AB6" w:rsidRDefault="00B04AB6" w:rsidP="00B04AB6">
      <w:pPr>
        <w:pStyle w:val="FootnoteText"/>
      </w:pPr>
      <w:r>
        <w:rPr>
          <w:rStyle w:val="FootnoteReference"/>
        </w:rPr>
        <w:footnoteRef/>
      </w:r>
      <w:r>
        <w:t xml:space="preserve"> </w:t>
      </w:r>
      <w:r w:rsidRPr="001C05F8">
        <w:t>Ibid, Chapter 2, Section 2.3, p. 7.</w:t>
      </w:r>
    </w:p>
  </w:footnote>
  <w:footnote w:id="54">
    <w:p w14:paraId="3AA165D5" w14:textId="77777777" w:rsidR="00B04AB6" w:rsidRDefault="00B04AB6" w:rsidP="00B04AB6">
      <w:pPr>
        <w:pStyle w:val="FootnoteText"/>
      </w:pPr>
      <w:r>
        <w:rPr>
          <w:rStyle w:val="FootnoteReference"/>
        </w:rPr>
        <w:footnoteRef/>
      </w:r>
      <w:r>
        <w:t xml:space="preserve"> </w:t>
      </w:r>
      <w:r w:rsidRPr="003456CD">
        <w:t>Ibid, Chapter 3, Section 2.2, p. 14.</w:t>
      </w:r>
    </w:p>
  </w:footnote>
  <w:footnote w:id="55">
    <w:p w14:paraId="5CCC7EAF" w14:textId="77777777" w:rsidR="00B04AB6" w:rsidRDefault="00B04AB6" w:rsidP="00B04AB6">
      <w:pPr>
        <w:pStyle w:val="FootnoteText"/>
      </w:pPr>
      <w:r>
        <w:rPr>
          <w:rStyle w:val="FootnoteReference"/>
        </w:rPr>
        <w:footnoteRef/>
      </w:r>
      <w:r>
        <w:t xml:space="preserve"> </w:t>
      </w:r>
      <w:r w:rsidRPr="00BA0F02">
        <w:t>Ibid, Chapter 3, Section 2.2, p. 16.</w:t>
      </w:r>
    </w:p>
  </w:footnote>
  <w:footnote w:id="56">
    <w:p w14:paraId="2C24E567" w14:textId="77777777" w:rsidR="00B04AB6" w:rsidRDefault="00B04AB6" w:rsidP="00B04AB6">
      <w:pPr>
        <w:pStyle w:val="FootnoteText"/>
      </w:pPr>
      <w:r>
        <w:rPr>
          <w:rStyle w:val="FootnoteReference"/>
        </w:rPr>
        <w:footnoteRef/>
      </w:r>
      <w:r>
        <w:t xml:space="preserve"> </w:t>
      </w:r>
      <w:r w:rsidRPr="001C05F8">
        <w:t>CPUC Decision 19-08-009, August 5, 2019, p. 3.</w:t>
      </w:r>
    </w:p>
  </w:footnote>
  <w:footnote w:id="57">
    <w:p w14:paraId="1E81747D" w14:textId="77777777" w:rsidR="00B04AB6" w:rsidRDefault="00B04AB6" w:rsidP="00B04AB6">
      <w:pPr>
        <w:pStyle w:val="FootnoteText"/>
      </w:pPr>
      <w:r>
        <w:rPr>
          <w:rStyle w:val="FootnoteReference"/>
        </w:rPr>
        <w:footnoteRef/>
      </w:r>
      <w:r>
        <w:t xml:space="preserve"> </w:t>
      </w:r>
      <w:r w:rsidRPr="00C8138E">
        <w:t>NRDC Motion Seeking Commission Ruling and Comment Period on the CAECCC proposal for improvements to the Energy Efficiency Portfolio and Budget Approval Process Working Group Report</w:t>
      </w:r>
    </w:p>
  </w:footnote>
  <w:footnote w:id="58">
    <w:p w14:paraId="675EB19B" w14:textId="77777777" w:rsidR="00B04AB6" w:rsidRDefault="00B04AB6" w:rsidP="00B04AB6">
      <w:pPr>
        <w:pStyle w:val="FootnoteText"/>
      </w:pPr>
      <w:r>
        <w:rPr>
          <w:rStyle w:val="FootnoteReference"/>
        </w:rPr>
        <w:footnoteRef/>
      </w:r>
      <w:r>
        <w:t xml:space="preserve"> Resolution E-4818 Section 1.3.6.2 Add-On Equipment, pp.26-27</w:t>
      </w:r>
    </w:p>
  </w:footnote>
  <w:footnote w:id="59">
    <w:p w14:paraId="36D06B1D" w14:textId="77777777" w:rsidR="00B04AB6" w:rsidRDefault="00B04AB6" w:rsidP="00B04AB6">
      <w:pPr>
        <w:pStyle w:val="FootnoteText"/>
      </w:pPr>
      <w:r>
        <w:rPr>
          <w:rStyle w:val="FootnoteReference"/>
        </w:rPr>
        <w:footnoteRef/>
      </w:r>
      <w:r>
        <w:t xml:space="preserve"> Resolution E-4952, p. A-37</w:t>
      </w:r>
    </w:p>
  </w:footnote>
  <w:footnote w:id="60">
    <w:p w14:paraId="74AA0F46" w14:textId="77777777" w:rsidR="00B04AB6" w:rsidRDefault="00B04AB6" w:rsidP="00B04AB6">
      <w:pPr>
        <w:pStyle w:val="FootnoteText"/>
      </w:pPr>
      <w:r>
        <w:rPr>
          <w:rStyle w:val="FootnoteReference"/>
        </w:rPr>
        <w:footnoteRef/>
      </w:r>
      <w:r>
        <w:t xml:space="preserve"> Resolution E-4867, p.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5DBAA" w14:textId="39C23D66" w:rsidR="00B04AB6" w:rsidRPr="00730611" w:rsidRDefault="00B04AB6" w:rsidP="008E2F07">
    <w:pPr>
      <w:pStyle w:val="Header"/>
      <w:rPr>
        <w:rStyle w:val="HeaderChar"/>
        <w:rFonts w:ascii="Palatino Linotype" w:hAnsi="Palatino Linotype"/>
      </w:rPr>
    </w:pPr>
    <w:r w:rsidRPr="00730611">
      <w:rPr>
        <w:rFonts w:ascii="Palatino Linotype" w:hAnsi="Palatino Linotype"/>
      </w:rPr>
      <w:t>Resolution E-</w:t>
    </w:r>
    <w:r w:rsidRPr="00A116C3">
      <w:rPr>
        <w:rFonts w:ascii="Palatino Linotype" w:hAnsi="Palatino Linotype"/>
      </w:rPr>
      <w:t>5082</w:t>
    </w:r>
    <w:r w:rsidRPr="00730611">
      <w:rPr>
        <w:rFonts w:ascii="Palatino Linotype" w:hAnsi="Palatino Linotype"/>
      </w:rPr>
      <w:t xml:space="preserve"> / PB1</w:t>
    </w:r>
    <w:r>
      <w:rPr>
        <w:rFonts w:ascii="Palatino Linotype" w:hAnsi="Palatino Linotype"/>
      </w:rPr>
      <w:t xml:space="preserve">   </w:t>
    </w:r>
    <w:r w:rsidRPr="00730611">
      <w:rPr>
        <w:rFonts w:ascii="Palatino Linotype" w:hAnsi="Palatino Linotype"/>
      </w:rPr>
      <w:tab/>
    </w:r>
    <w:r w:rsidRPr="00730611">
      <w:rPr>
        <w:rFonts w:ascii="Palatino Linotype" w:hAnsi="Palatino Linotype"/>
        <w:color w:val="000000"/>
        <w:sz w:val="28"/>
        <w:szCs w:val="28"/>
      </w:rPr>
      <w:t>DRAFT</w:t>
    </w:r>
    <w:r>
      <w:rPr>
        <w:rFonts w:ascii="Palatino Linotype" w:hAnsi="Palatino Linotype"/>
        <w:color w:val="000000"/>
        <w:sz w:val="28"/>
        <w:szCs w:val="28"/>
      </w:rPr>
      <w:t xml:space="preserve"> </w:t>
    </w:r>
    <w:r>
      <w:rPr>
        <w:rFonts w:ascii="Palatino Linotype" w:hAnsi="Palatino Linotype"/>
        <w:color w:val="000000"/>
      </w:rPr>
      <w:t xml:space="preserve">    </w:t>
    </w:r>
    <w:r w:rsidRPr="00730611">
      <w:rPr>
        <w:rFonts w:ascii="Palatino Linotype" w:hAnsi="Palatino Linotype"/>
        <w:color w:val="000000"/>
      </w:rPr>
      <w:tab/>
      <w:t xml:space="preserve"> </w:t>
    </w:r>
    <w:r w:rsidRPr="00730611">
      <w:rPr>
        <w:rFonts w:ascii="Palatino Linotype" w:hAnsi="Palatino Linotype"/>
      </w:rPr>
      <w:t>August 27, 2020</w:t>
    </w:r>
  </w:p>
  <w:p w14:paraId="33AB0D5A" w14:textId="77777777" w:rsidR="00B04AB6" w:rsidRPr="00730611" w:rsidRDefault="00B04AB6" w:rsidP="008E2F07">
    <w:pPr>
      <w:pStyle w:val="Header"/>
      <w:rPr>
        <w:rStyle w:val="HeaderChar"/>
        <w:rFonts w:ascii="Palatino Linotype" w:hAnsi="Palatino Linotype"/>
      </w:rPr>
    </w:pPr>
  </w:p>
  <w:p w14:paraId="21C3D933" w14:textId="77777777" w:rsidR="00B04AB6" w:rsidRPr="005242E8" w:rsidRDefault="00B04AB6" w:rsidP="008E2F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39AC7" w14:textId="68C4E84A" w:rsidR="00B04AB6" w:rsidRPr="003B3FD4" w:rsidRDefault="00B04AB6" w:rsidP="008E2F07">
    <w:pPr>
      <w:pStyle w:val="Header"/>
      <w:rPr>
        <w:rFonts w:ascii="Times New Roman" w:hAnsi="Times New Roman"/>
        <w:color w:val="000000"/>
        <w:sz w:val="28"/>
        <w:szCs w:val="28"/>
      </w:rPr>
    </w:pPr>
    <w:r>
      <w:rPr>
        <w:szCs w:val="2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FA474" w14:textId="77777777" w:rsidR="00B04AB6" w:rsidRPr="005242E8" w:rsidRDefault="00B04AB6" w:rsidP="008E2F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F21FD" w14:textId="5A0D57D5" w:rsidR="00B04AB6" w:rsidRPr="006432F6" w:rsidRDefault="00B04AB6" w:rsidP="008E2F07">
    <w:pPr>
      <w:pStyle w:val="Header"/>
      <w:rPr>
        <w:rStyle w:val="HeaderChar"/>
      </w:rPr>
    </w:pPr>
    <w:r w:rsidRPr="006432F6">
      <w:t>DRAFT Resolution E-</w:t>
    </w:r>
    <w:r w:rsidR="00E8323A">
      <w:t>5082</w:t>
    </w:r>
    <w:r>
      <w:t xml:space="preserve"> </w:t>
    </w:r>
    <w:r w:rsidRPr="006432F6">
      <w:t>DEER2022</w:t>
    </w:r>
    <w:r>
      <w:t xml:space="preserve">     </w:t>
    </w:r>
    <w:r w:rsidRPr="006432F6">
      <w:t xml:space="preserve"> August 27, 2020</w:t>
    </w:r>
    <w:r>
      <w:t xml:space="preserve">         </w:t>
    </w:r>
    <w:r w:rsidRPr="006432F6">
      <w:rPr>
        <w:rStyle w:val="HeaderChar"/>
      </w:rPr>
      <w:t>Page A</w:t>
    </w:r>
    <w:r>
      <w:rPr>
        <w:rStyle w:val="HeaderChar"/>
      </w:rPr>
      <w:t>-1-</w:t>
    </w:r>
    <w:r w:rsidRPr="006432F6">
      <w:rPr>
        <w:rStyle w:val="HeaderChar"/>
      </w:rPr>
      <w:fldChar w:fldCharType="begin"/>
    </w:r>
    <w:r w:rsidRPr="006432F6">
      <w:rPr>
        <w:rStyle w:val="HeaderChar"/>
      </w:rPr>
      <w:instrText xml:space="preserve"> PAGE </w:instrText>
    </w:r>
    <w:r w:rsidRPr="006432F6">
      <w:rPr>
        <w:rStyle w:val="HeaderChar"/>
      </w:rPr>
      <w:fldChar w:fldCharType="separate"/>
    </w:r>
    <w:r>
      <w:rPr>
        <w:rStyle w:val="HeaderChar"/>
      </w:rPr>
      <w:t>2</w:t>
    </w:r>
    <w:r w:rsidRPr="006432F6">
      <w:rPr>
        <w:rStyle w:val="HeaderChar"/>
      </w:rPr>
      <w:fldChar w:fldCharType="end"/>
    </w:r>
  </w:p>
  <w:p w14:paraId="08E7943F" w14:textId="6F361CD8" w:rsidR="00B04AB6" w:rsidRPr="006432F6" w:rsidRDefault="00B04AB6" w:rsidP="008E2F07">
    <w:pPr>
      <w:pStyle w:val="Header"/>
    </w:pPr>
    <w:r>
      <w:t>Attachment A, Appendix 1</w:t>
    </w:r>
  </w:p>
  <w:p w14:paraId="372EE43E" w14:textId="77777777" w:rsidR="00B04AB6" w:rsidRDefault="00B04A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5534E" w14:textId="77777777" w:rsidR="00B04AB6" w:rsidRDefault="00B04A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444E"/>
    <w:multiLevelType w:val="hybridMultilevel"/>
    <w:tmpl w:val="2B0243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44E8F"/>
    <w:multiLevelType w:val="hybridMultilevel"/>
    <w:tmpl w:val="62F2558A"/>
    <w:lvl w:ilvl="0" w:tplc="218A19E6">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BB1CB9"/>
    <w:multiLevelType w:val="hybridMultilevel"/>
    <w:tmpl w:val="1464B512"/>
    <w:lvl w:ilvl="0" w:tplc="68200CBE">
      <w:start w:val="201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B7819"/>
    <w:multiLevelType w:val="singleLevel"/>
    <w:tmpl w:val="0409000F"/>
    <w:lvl w:ilvl="0">
      <w:start w:val="1"/>
      <w:numFmt w:val="decimal"/>
      <w:lvlText w:val="%1."/>
      <w:lvlJc w:val="left"/>
      <w:pPr>
        <w:tabs>
          <w:tab w:val="num" w:pos="360"/>
        </w:tabs>
        <w:ind w:left="360" w:hanging="360"/>
      </w:pPr>
      <w:rPr>
        <w:rFonts w:cs="Times New Roman"/>
      </w:rPr>
    </w:lvl>
  </w:abstractNum>
  <w:abstractNum w:abstractNumId="4" w15:restartNumberingAfterBreak="0">
    <w:nsid w:val="0C27543C"/>
    <w:multiLevelType w:val="hybridMultilevel"/>
    <w:tmpl w:val="BFCA2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AC4236"/>
    <w:multiLevelType w:val="multilevel"/>
    <w:tmpl w:val="0C021EDC"/>
    <w:lvl w:ilvl="0">
      <w:start w:val="1"/>
      <w:numFmt w:val="decimal"/>
      <w:lvlText w:val="%1."/>
      <w:lvlJc w:val="left"/>
      <w:pPr>
        <w:ind w:left="360" w:hanging="360"/>
      </w:pPr>
      <w:rPr>
        <w:rFonts w:cs="Times New Roman"/>
      </w:rPr>
    </w:lvl>
    <w:lvl w:ilvl="1">
      <w:start w:val="1"/>
      <w:numFmt w:val="decimal"/>
      <w:lvlText w:val="%1.%2."/>
      <w:lvlJc w:val="left"/>
      <w:pPr>
        <w:ind w:left="61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F11436E"/>
    <w:multiLevelType w:val="hybridMultilevel"/>
    <w:tmpl w:val="2BFE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61213"/>
    <w:multiLevelType w:val="hybridMultilevel"/>
    <w:tmpl w:val="C5F0079E"/>
    <w:lvl w:ilvl="0" w:tplc="B56EBBF4">
      <w:start w:val="1"/>
      <w:numFmt w:val="decimal"/>
      <w:lvlText w:val="%1."/>
      <w:lvlJc w:val="left"/>
      <w:pPr>
        <w:ind w:left="360" w:hanging="360"/>
      </w:pPr>
      <w:rPr>
        <w:rFonts w:cs="Times New Roman"/>
        <w:i w:val="0"/>
        <w:sz w:val="26"/>
        <w:szCs w:val="26"/>
      </w:rPr>
    </w:lvl>
    <w:lvl w:ilvl="1" w:tplc="BBAE7110">
      <w:numFmt w:val="bullet"/>
      <w:lvlText w:val=""/>
      <w:lvlJc w:val="left"/>
      <w:pPr>
        <w:ind w:left="1080" w:hanging="360"/>
      </w:pPr>
      <w:rPr>
        <w:rFonts w:ascii="Palatino Linotype" w:eastAsia="Times New Roman" w:hAnsi="Palatino Linotype"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121E39DB"/>
    <w:multiLevelType w:val="hybridMultilevel"/>
    <w:tmpl w:val="80A6FDE6"/>
    <w:lvl w:ilvl="0" w:tplc="D4B8511C">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F7A05"/>
    <w:multiLevelType w:val="hybridMultilevel"/>
    <w:tmpl w:val="7A602104"/>
    <w:lvl w:ilvl="0" w:tplc="38A0DF9A">
      <w:start w:val="1"/>
      <w:numFmt w:val="decimal"/>
      <w:pStyle w:val="Heading3"/>
      <w:lvlText w:val="%1."/>
      <w:lvlJc w:val="left"/>
      <w:pPr>
        <w:ind w:left="720" w:hanging="360"/>
      </w:pPr>
      <w:rPr>
        <w:rFonts w:cs="Times New Roman"/>
      </w:rPr>
    </w:lvl>
    <w:lvl w:ilvl="1" w:tplc="04090015">
      <w:start w:val="1"/>
      <w:numFmt w:val="upperLetter"/>
      <w:lvlText w:val="%2."/>
      <w:lvlJc w:val="left"/>
      <w:pPr>
        <w:ind w:left="36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68D16B7"/>
    <w:multiLevelType w:val="hybridMultilevel"/>
    <w:tmpl w:val="3140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B17CC"/>
    <w:multiLevelType w:val="multilevel"/>
    <w:tmpl w:val="A84A8D30"/>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2"/>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ascii="Palatino Linotype" w:hAnsi="Palatino Linotype" w:cs="Times New Roman" w:hint="default"/>
      </w:rPr>
    </w:lvl>
    <w:lvl w:ilvl="3">
      <w:start w:val="1"/>
      <w:numFmt w:val="upperRoman"/>
      <w:lvlText w:val="%4."/>
      <w:lvlJc w:val="right"/>
      <w:pPr>
        <w:ind w:left="864" w:hanging="864"/>
      </w:pPr>
      <w:rPr>
        <w:rFonts w:cs="Times New Roman" w:hint="default"/>
        <w:color w:val="auto"/>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2" w15:restartNumberingAfterBreak="0">
    <w:nsid w:val="282C6757"/>
    <w:multiLevelType w:val="hybridMultilevel"/>
    <w:tmpl w:val="9A00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31099"/>
    <w:multiLevelType w:val="hybridMultilevel"/>
    <w:tmpl w:val="6C34673A"/>
    <w:lvl w:ilvl="0" w:tplc="A4467A2E">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39CD1C6D"/>
    <w:multiLevelType w:val="hybridMultilevel"/>
    <w:tmpl w:val="3C90DD8C"/>
    <w:lvl w:ilvl="0" w:tplc="CC0A547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D97A24"/>
    <w:multiLevelType w:val="hybridMultilevel"/>
    <w:tmpl w:val="F8A0CC24"/>
    <w:lvl w:ilvl="0" w:tplc="71C068E6">
      <w:start w:val="1"/>
      <w:numFmt w:val="bullet"/>
      <w:pStyle w:val="DNVGLBulletLevel1"/>
      <w:lvlText w:val=""/>
      <w:lvlJc w:val="left"/>
      <w:pPr>
        <w:ind w:left="720" w:hanging="360"/>
      </w:pPr>
      <w:rPr>
        <w:rFonts w:ascii="Wingdings" w:hAnsi="Wingdings" w:hint="default"/>
        <w:color w:val="4BACC6" w:themeColor="accent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D8392D"/>
    <w:multiLevelType w:val="hybridMultilevel"/>
    <w:tmpl w:val="22661004"/>
    <w:lvl w:ilvl="0" w:tplc="D4B8511C">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D1621F"/>
    <w:multiLevelType w:val="hybridMultilevel"/>
    <w:tmpl w:val="A412B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0E0F79"/>
    <w:multiLevelType w:val="hybridMultilevel"/>
    <w:tmpl w:val="CDFA960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AED7975"/>
    <w:multiLevelType w:val="hybridMultilevel"/>
    <w:tmpl w:val="0DCA3E1E"/>
    <w:lvl w:ilvl="0" w:tplc="EE20E96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F92E88"/>
    <w:multiLevelType w:val="hybridMultilevel"/>
    <w:tmpl w:val="9D8C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427753"/>
    <w:multiLevelType w:val="hybridMultilevel"/>
    <w:tmpl w:val="D822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D7731F"/>
    <w:multiLevelType w:val="hybridMultilevel"/>
    <w:tmpl w:val="CD3C1C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6D047D"/>
    <w:multiLevelType w:val="hybridMultilevel"/>
    <w:tmpl w:val="EFC017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C959D3"/>
    <w:multiLevelType w:val="hybridMultilevel"/>
    <w:tmpl w:val="3258D51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1E3B9E"/>
    <w:multiLevelType w:val="hybridMultilevel"/>
    <w:tmpl w:val="7B560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F758F"/>
    <w:multiLevelType w:val="hybridMultilevel"/>
    <w:tmpl w:val="5A7A5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A6356F"/>
    <w:multiLevelType w:val="hybridMultilevel"/>
    <w:tmpl w:val="5C8AB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FE79B5"/>
    <w:multiLevelType w:val="hybridMultilevel"/>
    <w:tmpl w:val="33CC6368"/>
    <w:lvl w:ilvl="0" w:tplc="8B3ABCF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BA08CB"/>
    <w:multiLevelType w:val="hybridMultilevel"/>
    <w:tmpl w:val="0D90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E43E19"/>
    <w:multiLevelType w:val="hybridMultilevel"/>
    <w:tmpl w:val="0B680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4597B"/>
    <w:multiLevelType w:val="hybridMultilevel"/>
    <w:tmpl w:val="35242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01F43"/>
    <w:multiLevelType w:val="multilevel"/>
    <w:tmpl w:val="C5B2D284"/>
    <w:lvl w:ilvl="0">
      <w:start w:val="1"/>
      <w:numFmt w:val="decimal"/>
      <w:pStyle w:val="AttachmentHeading1"/>
      <w:lvlText w:val="%1."/>
      <w:lvlJc w:val="left"/>
      <w:pPr>
        <w:ind w:left="360" w:hanging="360"/>
      </w:pPr>
      <w:rPr>
        <w:rFonts w:cs="Times New Roman"/>
      </w:rPr>
    </w:lvl>
    <w:lvl w:ilvl="1">
      <w:start w:val="1"/>
      <w:numFmt w:val="decimal"/>
      <w:pStyle w:val="AttachmentHeading2"/>
      <w:lvlText w:val="%1.%2."/>
      <w:lvlJc w:val="left"/>
      <w:pPr>
        <w:ind w:left="612" w:hanging="432"/>
      </w:pPr>
      <w:rPr>
        <w:rFonts w:cs="Times New Roman"/>
      </w:rPr>
    </w:lvl>
    <w:lvl w:ilvl="2">
      <w:start w:val="1"/>
      <w:numFmt w:val="decimal"/>
      <w:pStyle w:val="AttachmentHeading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1"/>
  </w:num>
  <w:num w:numId="2">
    <w:abstractNumId w:val="3"/>
  </w:num>
  <w:num w:numId="3">
    <w:abstractNumId w:val="7"/>
  </w:num>
  <w:num w:numId="4">
    <w:abstractNumId w:val="32"/>
  </w:num>
  <w:num w:numId="5">
    <w:abstractNumId w:val="1"/>
  </w:num>
  <w:num w:numId="6">
    <w:abstractNumId w:val="9"/>
  </w:num>
  <w:num w:numId="7">
    <w:abstractNumId w:val="21"/>
  </w:num>
  <w:num w:numId="8">
    <w:abstractNumId w:val="32"/>
    <w:lvlOverride w:ilvl="0">
      <w:lvl w:ilvl="0">
        <w:start w:val="1"/>
        <w:numFmt w:val="decimal"/>
        <w:pStyle w:val="AttachmentHeading1"/>
        <w:lvlText w:val="%1."/>
        <w:lvlJc w:val="left"/>
        <w:pPr>
          <w:ind w:left="360" w:hanging="360"/>
        </w:pPr>
        <w:rPr>
          <w:rFonts w:ascii="Century Gothic" w:eastAsia="Times New Roman" w:hAnsi="Century Gothic" w:cs="Times New Roman" w:hint="default"/>
        </w:rPr>
      </w:lvl>
    </w:lvlOverride>
    <w:lvlOverride w:ilvl="1">
      <w:lvl w:ilvl="1">
        <w:start w:val="1"/>
        <w:numFmt w:val="decimal"/>
        <w:pStyle w:val="AttachmentHeading2"/>
        <w:lvlText w:val="%1.%2."/>
        <w:lvlJc w:val="left"/>
        <w:pPr>
          <w:ind w:left="432" w:hanging="432"/>
        </w:pPr>
        <w:rPr>
          <w:rFonts w:cs="Times New Roman" w:hint="default"/>
        </w:rPr>
      </w:lvl>
    </w:lvlOverride>
    <w:lvlOverride w:ilvl="2">
      <w:lvl w:ilvl="2">
        <w:start w:val="1"/>
        <w:numFmt w:val="decimal"/>
        <w:pStyle w:val="AttachmentHeading3"/>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9">
    <w:abstractNumId w:val="15"/>
  </w:num>
  <w:num w:numId="10">
    <w:abstractNumId w:val="32"/>
    <w:lvlOverride w:ilvl="0">
      <w:lvl w:ilvl="0">
        <w:start w:val="1"/>
        <w:numFmt w:val="decimal"/>
        <w:pStyle w:val="AttachmentHeading1"/>
        <w:lvlText w:val="%1."/>
        <w:lvlJc w:val="left"/>
        <w:pPr>
          <w:ind w:left="360" w:hanging="360"/>
        </w:pPr>
        <w:rPr>
          <w:rFonts w:ascii="Palatino Linotype" w:eastAsia="Times New Roman" w:hAnsi="Palatino Linotype" w:cs="Times New Roman"/>
        </w:rPr>
      </w:lvl>
    </w:lvlOverride>
    <w:lvlOverride w:ilvl="1">
      <w:lvl w:ilvl="1">
        <w:start w:val="1"/>
        <w:numFmt w:val="decimal"/>
        <w:pStyle w:val="AttachmentHeading2"/>
        <w:lvlText w:val="%1.%2."/>
        <w:lvlJc w:val="left"/>
        <w:pPr>
          <w:ind w:left="432" w:hanging="432"/>
        </w:pPr>
        <w:rPr>
          <w:rFonts w:cs="Times New Roman" w:hint="default"/>
        </w:rPr>
      </w:lvl>
    </w:lvlOverride>
    <w:lvlOverride w:ilvl="2">
      <w:lvl w:ilvl="2">
        <w:start w:val="1"/>
        <w:numFmt w:val="decimal"/>
        <w:pStyle w:val="AttachmentHeading3"/>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11">
    <w:abstractNumId w:val="32"/>
    <w:lvlOverride w:ilvl="0">
      <w:lvl w:ilvl="0">
        <w:start w:val="1"/>
        <w:numFmt w:val="decimal"/>
        <w:pStyle w:val="AttachmentHeading1"/>
        <w:lvlText w:val="%1."/>
        <w:lvlJc w:val="left"/>
        <w:pPr>
          <w:ind w:left="360" w:hanging="360"/>
        </w:pPr>
        <w:rPr>
          <w:rFonts w:ascii="Palatino Linotype" w:eastAsia="Times New Roman" w:hAnsi="Palatino Linotype" w:cs="Times New Roman"/>
        </w:rPr>
      </w:lvl>
    </w:lvlOverride>
    <w:lvlOverride w:ilvl="1">
      <w:lvl w:ilvl="1">
        <w:start w:val="1"/>
        <w:numFmt w:val="decimal"/>
        <w:pStyle w:val="AttachmentHeading2"/>
        <w:lvlText w:val="%1.%2."/>
        <w:lvlJc w:val="left"/>
        <w:pPr>
          <w:ind w:left="432" w:hanging="432"/>
        </w:pPr>
        <w:rPr>
          <w:rFonts w:cs="Times New Roman" w:hint="default"/>
        </w:rPr>
      </w:lvl>
    </w:lvlOverride>
    <w:lvlOverride w:ilvl="2">
      <w:lvl w:ilvl="2">
        <w:start w:val="1"/>
        <w:numFmt w:val="decimal"/>
        <w:pStyle w:val="AttachmentHeading3"/>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12">
    <w:abstractNumId w:val="32"/>
    <w:lvlOverride w:ilvl="0">
      <w:lvl w:ilvl="0">
        <w:start w:val="1"/>
        <w:numFmt w:val="decimal"/>
        <w:pStyle w:val="AttachmentHeading1"/>
        <w:lvlText w:val="%1."/>
        <w:lvlJc w:val="left"/>
        <w:pPr>
          <w:ind w:left="360" w:hanging="360"/>
        </w:pPr>
        <w:rPr>
          <w:rFonts w:ascii="Palatino Linotype" w:eastAsia="Times New Roman" w:hAnsi="Palatino Linotype" w:cs="Times New Roman"/>
        </w:rPr>
      </w:lvl>
    </w:lvlOverride>
    <w:lvlOverride w:ilvl="1">
      <w:lvl w:ilvl="1">
        <w:start w:val="1"/>
        <w:numFmt w:val="decimal"/>
        <w:pStyle w:val="AttachmentHeading2"/>
        <w:lvlText w:val="%1.%2."/>
        <w:lvlJc w:val="left"/>
        <w:pPr>
          <w:ind w:left="432" w:hanging="432"/>
        </w:pPr>
        <w:rPr>
          <w:rFonts w:cs="Times New Roman" w:hint="default"/>
        </w:rPr>
      </w:lvl>
    </w:lvlOverride>
    <w:lvlOverride w:ilvl="2">
      <w:lvl w:ilvl="2">
        <w:start w:val="1"/>
        <w:numFmt w:val="decimal"/>
        <w:pStyle w:val="AttachmentHeading3"/>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13">
    <w:abstractNumId w:val="24"/>
  </w:num>
  <w:num w:numId="14">
    <w:abstractNumId w:val="17"/>
  </w:num>
  <w:num w:numId="15">
    <w:abstractNumId w:val="18"/>
  </w:num>
  <w:num w:numId="16">
    <w:abstractNumId w:val="31"/>
  </w:num>
  <w:num w:numId="17">
    <w:abstractNumId w:val="26"/>
  </w:num>
  <w:num w:numId="18">
    <w:abstractNumId w:val="6"/>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
  </w:num>
  <w:num w:numId="23">
    <w:abstractNumId w:val="19"/>
  </w:num>
  <w:num w:numId="24">
    <w:abstractNumId w:val="25"/>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4"/>
  </w:num>
  <w:num w:numId="34">
    <w:abstractNumId w:val="32"/>
    <w:lvlOverride w:ilvl="0">
      <w:lvl w:ilvl="0">
        <w:start w:val="1"/>
        <w:numFmt w:val="decimal"/>
        <w:pStyle w:val="AttachmentHeading1"/>
        <w:lvlText w:val="%1."/>
        <w:lvlJc w:val="left"/>
        <w:pPr>
          <w:ind w:left="360" w:hanging="360"/>
        </w:pPr>
        <w:rPr>
          <w:rFonts w:cs="Times New Roman" w:hint="default"/>
        </w:rPr>
      </w:lvl>
    </w:lvlOverride>
    <w:lvlOverride w:ilvl="1">
      <w:lvl w:ilvl="1">
        <w:start w:val="1"/>
        <w:numFmt w:val="decimal"/>
        <w:pStyle w:val="AttachmentHeading2"/>
        <w:lvlText w:val="%1.%2."/>
        <w:lvlJc w:val="left"/>
        <w:pPr>
          <w:ind w:left="612" w:hanging="432"/>
        </w:pPr>
        <w:rPr>
          <w:rFonts w:cs="Times New Roman" w:hint="default"/>
        </w:rPr>
      </w:lvl>
    </w:lvlOverride>
    <w:lvlOverride w:ilvl="2">
      <w:lvl w:ilvl="2">
        <w:start w:val="1"/>
        <w:numFmt w:val="decimal"/>
        <w:pStyle w:val="AttachmentHeading3"/>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5">
    <w:abstractNumId w:val="32"/>
    <w:lvlOverride w:ilvl="0">
      <w:lvl w:ilvl="0">
        <w:start w:val="1"/>
        <w:numFmt w:val="decimal"/>
        <w:pStyle w:val="AttachmentHeading1"/>
        <w:lvlText w:val="%1."/>
        <w:lvlJc w:val="left"/>
        <w:pPr>
          <w:ind w:left="360" w:hanging="360"/>
        </w:pPr>
        <w:rPr>
          <w:rFonts w:cs="Times New Roman" w:hint="default"/>
        </w:rPr>
      </w:lvl>
    </w:lvlOverride>
    <w:lvlOverride w:ilvl="1">
      <w:lvl w:ilvl="1">
        <w:start w:val="1"/>
        <w:numFmt w:val="decimal"/>
        <w:pStyle w:val="AttachmentHeading2"/>
        <w:lvlText w:val="%1.%2."/>
        <w:lvlJc w:val="left"/>
        <w:pPr>
          <w:ind w:left="612" w:hanging="432"/>
        </w:pPr>
        <w:rPr>
          <w:rFonts w:cs="Times New Roman" w:hint="default"/>
        </w:rPr>
      </w:lvl>
    </w:lvlOverride>
    <w:lvlOverride w:ilvl="2">
      <w:lvl w:ilvl="2">
        <w:start w:val="1"/>
        <w:numFmt w:val="decimal"/>
        <w:pStyle w:val="AttachmentHeading3"/>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6">
    <w:abstractNumId w:val="20"/>
  </w:num>
  <w:num w:numId="37">
    <w:abstractNumId w:val="13"/>
  </w:num>
  <w:num w:numId="38">
    <w:abstractNumId w:val="28"/>
  </w:num>
  <w:num w:numId="39">
    <w:abstractNumId w:val="14"/>
  </w:num>
  <w:num w:numId="40">
    <w:abstractNumId w:val="0"/>
  </w:num>
  <w:num w:numId="41">
    <w:abstractNumId w:val="10"/>
  </w:num>
  <w:num w:numId="42">
    <w:abstractNumId w:val="27"/>
  </w:num>
  <w:num w:numId="43">
    <w:abstractNumId w:val="22"/>
  </w:num>
  <w:num w:numId="44">
    <w:abstractNumId w:val="29"/>
  </w:num>
  <w:num w:numId="45">
    <w:abstractNumId w:val="16"/>
  </w:num>
  <w:num w:numId="46">
    <w:abstractNumId w:val="8"/>
  </w:num>
  <w:num w:numId="47">
    <w:abstractNumId w:val="1"/>
  </w:num>
  <w:num w:numId="48">
    <w:abstractNumId w:val="12"/>
  </w:num>
  <w:num w:numId="49">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226"/>
    <w:rsid w:val="000007A2"/>
    <w:rsid w:val="0000090F"/>
    <w:rsid w:val="00000969"/>
    <w:rsid w:val="000015B0"/>
    <w:rsid w:val="00001CF6"/>
    <w:rsid w:val="00001EAE"/>
    <w:rsid w:val="000022F8"/>
    <w:rsid w:val="0000231F"/>
    <w:rsid w:val="000027CC"/>
    <w:rsid w:val="0000291E"/>
    <w:rsid w:val="00002E3A"/>
    <w:rsid w:val="000043E1"/>
    <w:rsid w:val="00005CD9"/>
    <w:rsid w:val="00005DA9"/>
    <w:rsid w:val="00005F24"/>
    <w:rsid w:val="00006295"/>
    <w:rsid w:val="0000654C"/>
    <w:rsid w:val="00007258"/>
    <w:rsid w:val="00007C79"/>
    <w:rsid w:val="00010711"/>
    <w:rsid w:val="000108A0"/>
    <w:rsid w:val="00010F69"/>
    <w:rsid w:val="00011100"/>
    <w:rsid w:val="0001150C"/>
    <w:rsid w:val="000117E2"/>
    <w:rsid w:val="0001190B"/>
    <w:rsid w:val="00011CAF"/>
    <w:rsid w:val="000123DA"/>
    <w:rsid w:val="00012645"/>
    <w:rsid w:val="00012F59"/>
    <w:rsid w:val="00013012"/>
    <w:rsid w:val="000130E6"/>
    <w:rsid w:val="000131E3"/>
    <w:rsid w:val="00013FFD"/>
    <w:rsid w:val="00014689"/>
    <w:rsid w:val="00014858"/>
    <w:rsid w:val="0001512D"/>
    <w:rsid w:val="00015754"/>
    <w:rsid w:val="0001582E"/>
    <w:rsid w:val="00015A89"/>
    <w:rsid w:val="00016008"/>
    <w:rsid w:val="00016016"/>
    <w:rsid w:val="0001619E"/>
    <w:rsid w:val="000168B3"/>
    <w:rsid w:val="00016A9B"/>
    <w:rsid w:val="00016DC7"/>
    <w:rsid w:val="000172BD"/>
    <w:rsid w:val="00017AA5"/>
    <w:rsid w:val="00017D1E"/>
    <w:rsid w:val="00017D8D"/>
    <w:rsid w:val="00017E14"/>
    <w:rsid w:val="0002045E"/>
    <w:rsid w:val="00020A29"/>
    <w:rsid w:val="00021DC4"/>
    <w:rsid w:val="0002221B"/>
    <w:rsid w:val="0002265B"/>
    <w:rsid w:val="00022E19"/>
    <w:rsid w:val="00023104"/>
    <w:rsid w:val="000236B8"/>
    <w:rsid w:val="00023B72"/>
    <w:rsid w:val="0002495C"/>
    <w:rsid w:val="00025169"/>
    <w:rsid w:val="000251E3"/>
    <w:rsid w:val="000254C1"/>
    <w:rsid w:val="0002570F"/>
    <w:rsid w:val="00026492"/>
    <w:rsid w:val="00026664"/>
    <w:rsid w:val="00026B31"/>
    <w:rsid w:val="000275A6"/>
    <w:rsid w:val="00027727"/>
    <w:rsid w:val="00027DFB"/>
    <w:rsid w:val="00027E04"/>
    <w:rsid w:val="00027E0A"/>
    <w:rsid w:val="0003085C"/>
    <w:rsid w:val="000308EF"/>
    <w:rsid w:val="00030D65"/>
    <w:rsid w:val="00031864"/>
    <w:rsid w:val="000318A1"/>
    <w:rsid w:val="00031D3F"/>
    <w:rsid w:val="00031D4D"/>
    <w:rsid w:val="00032ACC"/>
    <w:rsid w:val="00032F5F"/>
    <w:rsid w:val="00033292"/>
    <w:rsid w:val="0003361B"/>
    <w:rsid w:val="00033FFD"/>
    <w:rsid w:val="00034493"/>
    <w:rsid w:val="00035900"/>
    <w:rsid w:val="0003643A"/>
    <w:rsid w:val="000368D5"/>
    <w:rsid w:val="0003700A"/>
    <w:rsid w:val="000375AB"/>
    <w:rsid w:val="00037A5B"/>
    <w:rsid w:val="000405C9"/>
    <w:rsid w:val="0004070A"/>
    <w:rsid w:val="00040A8D"/>
    <w:rsid w:val="000413C2"/>
    <w:rsid w:val="000417D5"/>
    <w:rsid w:val="00042D0B"/>
    <w:rsid w:val="00042D6C"/>
    <w:rsid w:val="0004340A"/>
    <w:rsid w:val="00043721"/>
    <w:rsid w:val="00043E92"/>
    <w:rsid w:val="00043FA8"/>
    <w:rsid w:val="000441EE"/>
    <w:rsid w:val="00044299"/>
    <w:rsid w:val="000445A2"/>
    <w:rsid w:val="00044D18"/>
    <w:rsid w:val="0004517C"/>
    <w:rsid w:val="0004572F"/>
    <w:rsid w:val="00045799"/>
    <w:rsid w:val="0004581D"/>
    <w:rsid w:val="00045E5F"/>
    <w:rsid w:val="00045ECE"/>
    <w:rsid w:val="00046527"/>
    <w:rsid w:val="0004699A"/>
    <w:rsid w:val="00046D9F"/>
    <w:rsid w:val="000478DE"/>
    <w:rsid w:val="00047FA3"/>
    <w:rsid w:val="000508C6"/>
    <w:rsid w:val="00050A12"/>
    <w:rsid w:val="00050FA1"/>
    <w:rsid w:val="00051F9C"/>
    <w:rsid w:val="00052178"/>
    <w:rsid w:val="00052799"/>
    <w:rsid w:val="0005293B"/>
    <w:rsid w:val="000530FC"/>
    <w:rsid w:val="00053326"/>
    <w:rsid w:val="0005346A"/>
    <w:rsid w:val="00053691"/>
    <w:rsid w:val="000537F8"/>
    <w:rsid w:val="000539CF"/>
    <w:rsid w:val="00054E98"/>
    <w:rsid w:val="00054E99"/>
    <w:rsid w:val="00054FA2"/>
    <w:rsid w:val="000559A5"/>
    <w:rsid w:val="000559D6"/>
    <w:rsid w:val="00056002"/>
    <w:rsid w:val="0005635D"/>
    <w:rsid w:val="00056528"/>
    <w:rsid w:val="00056E70"/>
    <w:rsid w:val="00057B0C"/>
    <w:rsid w:val="0006017C"/>
    <w:rsid w:val="00060562"/>
    <w:rsid w:val="00060A95"/>
    <w:rsid w:val="000610D9"/>
    <w:rsid w:val="00061250"/>
    <w:rsid w:val="00061D6C"/>
    <w:rsid w:val="00062048"/>
    <w:rsid w:val="000642D0"/>
    <w:rsid w:val="000644BB"/>
    <w:rsid w:val="00064785"/>
    <w:rsid w:val="00064942"/>
    <w:rsid w:val="00064D44"/>
    <w:rsid w:val="000657E3"/>
    <w:rsid w:val="00065D6F"/>
    <w:rsid w:val="00066B8F"/>
    <w:rsid w:val="00067026"/>
    <w:rsid w:val="00067801"/>
    <w:rsid w:val="000707D2"/>
    <w:rsid w:val="00070CF0"/>
    <w:rsid w:val="000711F0"/>
    <w:rsid w:val="00071414"/>
    <w:rsid w:val="00071602"/>
    <w:rsid w:val="00071D35"/>
    <w:rsid w:val="00072630"/>
    <w:rsid w:val="0007323C"/>
    <w:rsid w:val="000732CA"/>
    <w:rsid w:val="00074A37"/>
    <w:rsid w:val="0007540D"/>
    <w:rsid w:val="0007549E"/>
    <w:rsid w:val="000759C4"/>
    <w:rsid w:val="00075BD3"/>
    <w:rsid w:val="00075EF0"/>
    <w:rsid w:val="0007627E"/>
    <w:rsid w:val="00076CA5"/>
    <w:rsid w:val="0007712E"/>
    <w:rsid w:val="000778EA"/>
    <w:rsid w:val="00077A6F"/>
    <w:rsid w:val="00080398"/>
    <w:rsid w:val="0008096F"/>
    <w:rsid w:val="000810A4"/>
    <w:rsid w:val="000814BD"/>
    <w:rsid w:val="000814E9"/>
    <w:rsid w:val="000821F1"/>
    <w:rsid w:val="000825AA"/>
    <w:rsid w:val="00082B23"/>
    <w:rsid w:val="00083183"/>
    <w:rsid w:val="00083262"/>
    <w:rsid w:val="00083428"/>
    <w:rsid w:val="0008351A"/>
    <w:rsid w:val="00083BDC"/>
    <w:rsid w:val="00084113"/>
    <w:rsid w:val="00084A2E"/>
    <w:rsid w:val="00084A8E"/>
    <w:rsid w:val="00085C99"/>
    <w:rsid w:val="00086244"/>
    <w:rsid w:val="00086AA9"/>
    <w:rsid w:val="00086BA6"/>
    <w:rsid w:val="00086CC2"/>
    <w:rsid w:val="00086F2F"/>
    <w:rsid w:val="00087640"/>
    <w:rsid w:val="00087AEA"/>
    <w:rsid w:val="00087F8A"/>
    <w:rsid w:val="0009017A"/>
    <w:rsid w:val="000905A9"/>
    <w:rsid w:val="00090749"/>
    <w:rsid w:val="00090860"/>
    <w:rsid w:val="0009128F"/>
    <w:rsid w:val="000913DA"/>
    <w:rsid w:val="00091C5B"/>
    <w:rsid w:val="00092106"/>
    <w:rsid w:val="000924FB"/>
    <w:rsid w:val="000927E0"/>
    <w:rsid w:val="00093634"/>
    <w:rsid w:val="0009385D"/>
    <w:rsid w:val="00094737"/>
    <w:rsid w:val="000949C1"/>
    <w:rsid w:val="000951D4"/>
    <w:rsid w:val="00095C66"/>
    <w:rsid w:val="00095CCA"/>
    <w:rsid w:val="0009690C"/>
    <w:rsid w:val="00096C26"/>
    <w:rsid w:val="000973CA"/>
    <w:rsid w:val="000978B2"/>
    <w:rsid w:val="00097CEC"/>
    <w:rsid w:val="000A0147"/>
    <w:rsid w:val="000A0788"/>
    <w:rsid w:val="000A08B8"/>
    <w:rsid w:val="000A1340"/>
    <w:rsid w:val="000A1AAB"/>
    <w:rsid w:val="000A1B2A"/>
    <w:rsid w:val="000A2BAC"/>
    <w:rsid w:val="000A34C7"/>
    <w:rsid w:val="000A4137"/>
    <w:rsid w:val="000A41BA"/>
    <w:rsid w:val="000A46BE"/>
    <w:rsid w:val="000A4C96"/>
    <w:rsid w:val="000A4E4E"/>
    <w:rsid w:val="000A5512"/>
    <w:rsid w:val="000A5C6F"/>
    <w:rsid w:val="000A62B9"/>
    <w:rsid w:val="000A6428"/>
    <w:rsid w:val="000A6437"/>
    <w:rsid w:val="000A64D5"/>
    <w:rsid w:val="000A65C0"/>
    <w:rsid w:val="000A69F0"/>
    <w:rsid w:val="000A6B15"/>
    <w:rsid w:val="000A76D1"/>
    <w:rsid w:val="000A7C4A"/>
    <w:rsid w:val="000A7E96"/>
    <w:rsid w:val="000B03D5"/>
    <w:rsid w:val="000B05EA"/>
    <w:rsid w:val="000B12B3"/>
    <w:rsid w:val="000B1710"/>
    <w:rsid w:val="000B1854"/>
    <w:rsid w:val="000B19FB"/>
    <w:rsid w:val="000B1D72"/>
    <w:rsid w:val="000B2385"/>
    <w:rsid w:val="000B2C46"/>
    <w:rsid w:val="000B317B"/>
    <w:rsid w:val="000B328D"/>
    <w:rsid w:val="000B3557"/>
    <w:rsid w:val="000B380A"/>
    <w:rsid w:val="000B5CD8"/>
    <w:rsid w:val="000B5EB3"/>
    <w:rsid w:val="000B6626"/>
    <w:rsid w:val="000B6B3D"/>
    <w:rsid w:val="000B6E9F"/>
    <w:rsid w:val="000B7381"/>
    <w:rsid w:val="000B76B4"/>
    <w:rsid w:val="000C0644"/>
    <w:rsid w:val="000C0F59"/>
    <w:rsid w:val="000C1DC8"/>
    <w:rsid w:val="000C22AE"/>
    <w:rsid w:val="000C2367"/>
    <w:rsid w:val="000C294B"/>
    <w:rsid w:val="000C2D74"/>
    <w:rsid w:val="000C4028"/>
    <w:rsid w:val="000C512C"/>
    <w:rsid w:val="000C5736"/>
    <w:rsid w:val="000C5A4C"/>
    <w:rsid w:val="000C6C4B"/>
    <w:rsid w:val="000C7019"/>
    <w:rsid w:val="000C71AE"/>
    <w:rsid w:val="000D0357"/>
    <w:rsid w:val="000D08DB"/>
    <w:rsid w:val="000D0ADE"/>
    <w:rsid w:val="000D0F3D"/>
    <w:rsid w:val="000D10EF"/>
    <w:rsid w:val="000D110D"/>
    <w:rsid w:val="000D18F3"/>
    <w:rsid w:val="000D1D60"/>
    <w:rsid w:val="000D1F56"/>
    <w:rsid w:val="000D25F1"/>
    <w:rsid w:val="000D2A9E"/>
    <w:rsid w:val="000D2FA7"/>
    <w:rsid w:val="000D30BE"/>
    <w:rsid w:val="000D37B9"/>
    <w:rsid w:val="000D440A"/>
    <w:rsid w:val="000D4451"/>
    <w:rsid w:val="000D44B7"/>
    <w:rsid w:val="000D45DA"/>
    <w:rsid w:val="000D46DC"/>
    <w:rsid w:val="000D49DD"/>
    <w:rsid w:val="000D5490"/>
    <w:rsid w:val="000D562B"/>
    <w:rsid w:val="000D5FF1"/>
    <w:rsid w:val="000D6490"/>
    <w:rsid w:val="000D6C89"/>
    <w:rsid w:val="000D717D"/>
    <w:rsid w:val="000D7389"/>
    <w:rsid w:val="000E0078"/>
    <w:rsid w:val="000E06DA"/>
    <w:rsid w:val="000E0946"/>
    <w:rsid w:val="000E0B7E"/>
    <w:rsid w:val="000E0C32"/>
    <w:rsid w:val="000E1301"/>
    <w:rsid w:val="000E1580"/>
    <w:rsid w:val="000E199A"/>
    <w:rsid w:val="000E2670"/>
    <w:rsid w:val="000E28F7"/>
    <w:rsid w:val="000E3415"/>
    <w:rsid w:val="000E4065"/>
    <w:rsid w:val="000E408B"/>
    <w:rsid w:val="000E4251"/>
    <w:rsid w:val="000E4346"/>
    <w:rsid w:val="000E4F47"/>
    <w:rsid w:val="000E50FF"/>
    <w:rsid w:val="000E529F"/>
    <w:rsid w:val="000E67D0"/>
    <w:rsid w:val="000E6924"/>
    <w:rsid w:val="000E6959"/>
    <w:rsid w:val="000E699D"/>
    <w:rsid w:val="000E6AE1"/>
    <w:rsid w:val="000E6B57"/>
    <w:rsid w:val="000E71BC"/>
    <w:rsid w:val="000E75D1"/>
    <w:rsid w:val="000F0476"/>
    <w:rsid w:val="000F094A"/>
    <w:rsid w:val="000F0F42"/>
    <w:rsid w:val="000F112C"/>
    <w:rsid w:val="000F1320"/>
    <w:rsid w:val="000F176D"/>
    <w:rsid w:val="000F4682"/>
    <w:rsid w:val="000F4A70"/>
    <w:rsid w:val="000F4AC9"/>
    <w:rsid w:val="000F4C98"/>
    <w:rsid w:val="000F4F47"/>
    <w:rsid w:val="000F5505"/>
    <w:rsid w:val="000F596C"/>
    <w:rsid w:val="000F76EC"/>
    <w:rsid w:val="000F796E"/>
    <w:rsid w:val="000F7D42"/>
    <w:rsid w:val="001004BB"/>
    <w:rsid w:val="00101048"/>
    <w:rsid w:val="00101D1F"/>
    <w:rsid w:val="00101D64"/>
    <w:rsid w:val="00102672"/>
    <w:rsid w:val="001026E7"/>
    <w:rsid w:val="00102E6D"/>
    <w:rsid w:val="00104495"/>
    <w:rsid w:val="0010449F"/>
    <w:rsid w:val="0010472A"/>
    <w:rsid w:val="00104A89"/>
    <w:rsid w:val="00105378"/>
    <w:rsid w:val="00105B39"/>
    <w:rsid w:val="0010781E"/>
    <w:rsid w:val="0010788D"/>
    <w:rsid w:val="001104AE"/>
    <w:rsid w:val="001108E6"/>
    <w:rsid w:val="00110BE9"/>
    <w:rsid w:val="001112DF"/>
    <w:rsid w:val="0011216B"/>
    <w:rsid w:val="00112B8C"/>
    <w:rsid w:val="00113208"/>
    <w:rsid w:val="00113AEE"/>
    <w:rsid w:val="00113D21"/>
    <w:rsid w:val="00114159"/>
    <w:rsid w:val="001141EA"/>
    <w:rsid w:val="00114885"/>
    <w:rsid w:val="00114E9E"/>
    <w:rsid w:val="0011584F"/>
    <w:rsid w:val="00115F4F"/>
    <w:rsid w:val="001166EC"/>
    <w:rsid w:val="00116E27"/>
    <w:rsid w:val="001175AC"/>
    <w:rsid w:val="00117B61"/>
    <w:rsid w:val="00120FBA"/>
    <w:rsid w:val="00121339"/>
    <w:rsid w:val="001218BF"/>
    <w:rsid w:val="00121B15"/>
    <w:rsid w:val="00121D7F"/>
    <w:rsid w:val="00121E17"/>
    <w:rsid w:val="00122259"/>
    <w:rsid w:val="001223A5"/>
    <w:rsid w:val="0012289F"/>
    <w:rsid w:val="00124993"/>
    <w:rsid w:val="001254D1"/>
    <w:rsid w:val="0012566D"/>
    <w:rsid w:val="001258B5"/>
    <w:rsid w:val="00125E39"/>
    <w:rsid w:val="00126630"/>
    <w:rsid w:val="00126C5E"/>
    <w:rsid w:val="0012775C"/>
    <w:rsid w:val="00127ACE"/>
    <w:rsid w:val="00127C67"/>
    <w:rsid w:val="00130898"/>
    <w:rsid w:val="00130DE9"/>
    <w:rsid w:val="00131789"/>
    <w:rsid w:val="00132217"/>
    <w:rsid w:val="001335E3"/>
    <w:rsid w:val="001336B2"/>
    <w:rsid w:val="00133FCB"/>
    <w:rsid w:val="00134907"/>
    <w:rsid w:val="00135852"/>
    <w:rsid w:val="00135B8E"/>
    <w:rsid w:val="0013627A"/>
    <w:rsid w:val="001364D6"/>
    <w:rsid w:val="0013651E"/>
    <w:rsid w:val="001368A1"/>
    <w:rsid w:val="001378E4"/>
    <w:rsid w:val="001401CB"/>
    <w:rsid w:val="00140AFB"/>
    <w:rsid w:val="001410E6"/>
    <w:rsid w:val="0014164E"/>
    <w:rsid w:val="0014245D"/>
    <w:rsid w:val="00142473"/>
    <w:rsid w:val="00142D3E"/>
    <w:rsid w:val="001431DB"/>
    <w:rsid w:val="00143748"/>
    <w:rsid w:val="00143C64"/>
    <w:rsid w:val="00144AF8"/>
    <w:rsid w:val="001454AE"/>
    <w:rsid w:val="001455C7"/>
    <w:rsid w:val="00147144"/>
    <w:rsid w:val="00150310"/>
    <w:rsid w:val="00150A82"/>
    <w:rsid w:val="00151677"/>
    <w:rsid w:val="00151C17"/>
    <w:rsid w:val="00152B5C"/>
    <w:rsid w:val="001531A1"/>
    <w:rsid w:val="0015357B"/>
    <w:rsid w:val="00154389"/>
    <w:rsid w:val="00155F5F"/>
    <w:rsid w:val="0015675B"/>
    <w:rsid w:val="00156B07"/>
    <w:rsid w:val="00156BC2"/>
    <w:rsid w:val="00157232"/>
    <w:rsid w:val="00157A45"/>
    <w:rsid w:val="00157C9D"/>
    <w:rsid w:val="00160144"/>
    <w:rsid w:val="001604C8"/>
    <w:rsid w:val="00160568"/>
    <w:rsid w:val="00160B99"/>
    <w:rsid w:val="00160F63"/>
    <w:rsid w:val="00161CE4"/>
    <w:rsid w:val="00161D39"/>
    <w:rsid w:val="00162447"/>
    <w:rsid w:val="00162873"/>
    <w:rsid w:val="00162BA2"/>
    <w:rsid w:val="00163582"/>
    <w:rsid w:val="00163CCA"/>
    <w:rsid w:val="00163CD7"/>
    <w:rsid w:val="00163D07"/>
    <w:rsid w:val="00164255"/>
    <w:rsid w:val="001643AB"/>
    <w:rsid w:val="001646FF"/>
    <w:rsid w:val="0016489E"/>
    <w:rsid w:val="00164F45"/>
    <w:rsid w:val="00165ABC"/>
    <w:rsid w:val="00165C0F"/>
    <w:rsid w:val="00165C62"/>
    <w:rsid w:val="00165D2E"/>
    <w:rsid w:val="00166236"/>
    <w:rsid w:val="001670EB"/>
    <w:rsid w:val="001674CF"/>
    <w:rsid w:val="001703EB"/>
    <w:rsid w:val="00170586"/>
    <w:rsid w:val="001708D7"/>
    <w:rsid w:val="001710EA"/>
    <w:rsid w:val="00171B70"/>
    <w:rsid w:val="00171D31"/>
    <w:rsid w:val="00171FCE"/>
    <w:rsid w:val="001722DC"/>
    <w:rsid w:val="00172598"/>
    <w:rsid w:val="00172821"/>
    <w:rsid w:val="001728F6"/>
    <w:rsid w:val="00172AA8"/>
    <w:rsid w:val="00172E9A"/>
    <w:rsid w:val="00173320"/>
    <w:rsid w:val="00173396"/>
    <w:rsid w:val="001737A8"/>
    <w:rsid w:val="0017417F"/>
    <w:rsid w:val="001746A6"/>
    <w:rsid w:val="00175AD9"/>
    <w:rsid w:val="00175ADA"/>
    <w:rsid w:val="00175D43"/>
    <w:rsid w:val="0017670F"/>
    <w:rsid w:val="00176B6C"/>
    <w:rsid w:val="00180582"/>
    <w:rsid w:val="001810D2"/>
    <w:rsid w:val="00181146"/>
    <w:rsid w:val="00181D93"/>
    <w:rsid w:val="001825B1"/>
    <w:rsid w:val="00182E6A"/>
    <w:rsid w:val="0018387E"/>
    <w:rsid w:val="00184799"/>
    <w:rsid w:val="00184952"/>
    <w:rsid w:val="001849E1"/>
    <w:rsid w:val="00184B2E"/>
    <w:rsid w:val="001854DA"/>
    <w:rsid w:val="00186D8E"/>
    <w:rsid w:val="00187493"/>
    <w:rsid w:val="001875D5"/>
    <w:rsid w:val="00187C27"/>
    <w:rsid w:val="00187EEF"/>
    <w:rsid w:val="0019051D"/>
    <w:rsid w:val="00190DA2"/>
    <w:rsid w:val="00190E67"/>
    <w:rsid w:val="00191092"/>
    <w:rsid w:val="0019183C"/>
    <w:rsid w:val="00192056"/>
    <w:rsid w:val="001920A8"/>
    <w:rsid w:val="0019222E"/>
    <w:rsid w:val="001935A6"/>
    <w:rsid w:val="001937C8"/>
    <w:rsid w:val="00193F73"/>
    <w:rsid w:val="00194087"/>
    <w:rsid w:val="001941E2"/>
    <w:rsid w:val="0019478F"/>
    <w:rsid w:val="00195012"/>
    <w:rsid w:val="00195387"/>
    <w:rsid w:val="00195BC7"/>
    <w:rsid w:val="001962E6"/>
    <w:rsid w:val="00196871"/>
    <w:rsid w:val="00196DD3"/>
    <w:rsid w:val="001976BD"/>
    <w:rsid w:val="00197F0B"/>
    <w:rsid w:val="001A0C7C"/>
    <w:rsid w:val="001A0F9D"/>
    <w:rsid w:val="001A2052"/>
    <w:rsid w:val="001A30A5"/>
    <w:rsid w:val="001A388E"/>
    <w:rsid w:val="001A3E87"/>
    <w:rsid w:val="001A4231"/>
    <w:rsid w:val="001A47E1"/>
    <w:rsid w:val="001A493D"/>
    <w:rsid w:val="001A5758"/>
    <w:rsid w:val="001A5BB2"/>
    <w:rsid w:val="001A5E6B"/>
    <w:rsid w:val="001A6084"/>
    <w:rsid w:val="001A669F"/>
    <w:rsid w:val="001A68EE"/>
    <w:rsid w:val="001A6BC3"/>
    <w:rsid w:val="001A7504"/>
    <w:rsid w:val="001A775D"/>
    <w:rsid w:val="001A79C1"/>
    <w:rsid w:val="001A7F12"/>
    <w:rsid w:val="001B0045"/>
    <w:rsid w:val="001B053B"/>
    <w:rsid w:val="001B0989"/>
    <w:rsid w:val="001B0A0A"/>
    <w:rsid w:val="001B0C1A"/>
    <w:rsid w:val="001B0D7C"/>
    <w:rsid w:val="001B0F46"/>
    <w:rsid w:val="001B21B6"/>
    <w:rsid w:val="001B2ECE"/>
    <w:rsid w:val="001B2FAE"/>
    <w:rsid w:val="001B31C5"/>
    <w:rsid w:val="001B32A4"/>
    <w:rsid w:val="001B384F"/>
    <w:rsid w:val="001B3AD1"/>
    <w:rsid w:val="001B3EE5"/>
    <w:rsid w:val="001B4236"/>
    <w:rsid w:val="001B428C"/>
    <w:rsid w:val="001B49A5"/>
    <w:rsid w:val="001B4D60"/>
    <w:rsid w:val="001B4DE2"/>
    <w:rsid w:val="001B4FA5"/>
    <w:rsid w:val="001B5BA0"/>
    <w:rsid w:val="001B5C16"/>
    <w:rsid w:val="001B670F"/>
    <w:rsid w:val="001B68DC"/>
    <w:rsid w:val="001B6AA5"/>
    <w:rsid w:val="001B6D5F"/>
    <w:rsid w:val="001B7093"/>
    <w:rsid w:val="001B78BA"/>
    <w:rsid w:val="001B7BA5"/>
    <w:rsid w:val="001B7BFA"/>
    <w:rsid w:val="001C0268"/>
    <w:rsid w:val="001C05F8"/>
    <w:rsid w:val="001C08CE"/>
    <w:rsid w:val="001C0E4F"/>
    <w:rsid w:val="001C0F95"/>
    <w:rsid w:val="001C157B"/>
    <w:rsid w:val="001C1908"/>
    <w:rsid w:val="001C213B"/>
    <w:rsid w:val="001C2198"/>
    <w:rsid w:val="001C22BE"/>
    <w:rsid w:val="001C2B47"/>
    <w:rsid w:val="001C2B91"/>
    <w:rsid w:val="001C33D6"/>
    <w:rsid w:val="001C36A0"/>
    <w:rsid w:val="001C3F75"/>
    <w:rsid w:val="001C413D"/>
    <w:rsid w:val="001C4B4C"/>
    <w:rsid w:val="001C4F9F"/>
    <w:rsid w:val="001C59D8"/>
    <w:rsid w:val="001C5B86"/>
    <w:rsid w:val="001C5B8C"/>
    <w:rsid w:val="001C5FEF"/>
    <w:rsid w:val="001C6CDD"/>
    <w:rsid w:val="001C739E"/>
    <w:rsid w:val="001C7456"/>
    <w:rsid w:val="001D00F8"/>
    <w:rsid w:val="001D0255"/>
    <w:rsid w:val="001D03B3"/>
    <w:rsid w:val="001D0C4D"/>
    <w:rsid w:val="001D0ED0"/>
    <w:rsid w:val="001D14C5"/>
    <w:rsid w:val="001D15BE"/>
    <w:rsid w:val="001D1BB1"/>
    <w:rsid w:val="001D2532"/>
    <w:rsid w:val="001D2710"/>
    <w:rsid w:val="001D2B1A"/>
    <w:rsid w:val="001D3AB8"/>
    <w:rsid w:val="001D3F92"/>
    <w:rsid w:val="001D4E1D"/>
    <w:rsid w:val="001D4FBA"/>
    <w:rsid w:val="001D5028"/>
    <w:rsid w:val="001D53F0"/>
    <w:rsid w:val="001D57A4"/>
    <w:rsid w:val="001D60AC"/>
    <w:rsid w:val="001D6CEC"/>
    <w:rsid w:val="001D6E98"/>
    <w:rsid w:val="001D7817"/>
    <w:rsid w:val="001D7C1A"/>
    <w:rsid w:val="001D7FA0"/>
    <w:rsid w:val="001E0279"/>
    <w:rsid w:val="001E09F8"/>
    <w:rsid w:val="001E0FB3"/>
    <w:rsid w:val="001E0FF8"/>
    <w:rsid w:val="001E141C"/>
    <w:rsid w:val="001E15DC"/>
    <w:rsid w:val="001E1CDF"/>
    <w:rsid w:val="001E1D33"/>
    <w:rsid w:val="001E1D88"/>
    <w:rsid w:val="001E21BF"/>
    <w:rsid w:val="001E23FD"/>
    <w:rsid w:val="001E2A16"/>
    <w:rsid w:val="001E2D80"/>
    <w:rsid w:val="001E3D3D"/>
    <w:rsid w:val="001E504A"/>
    <w:rsid w:val="001E5222"/>
    <w:rsid w:val="001E5E7C"/>
    <w:rsid w:val="001E61C1"/>
    <w:rsid w:val="001E6A94"/>
    <w:rsid w:val="001E6F01"/>
    <w:rsid w:val="001E7E7E"/>
    <w:rsid w:val="001F1819"/>
    <w:rsid w:val="001F1B9D"/>
    <w:rsid w:val="001F1C7A"/>
    <w:rsid w:val="001F20CC"/>
    <w:rsid w:val="001F2A06"/>
    <w:rsid w:val="001F2BF0"/>
    <w:rsid w:val="001F348A"/>
    <w:rsid w:val="001F34E8"/>
    <w:rsid w:val="001F3641"/>
    <w:rsid w:val="001F4446"/>
    <w:rsid w:val="001F4632"/>
    <w:rsid w:val="001F46F1"/>
    <w:rsid w:val="001F474C"/>
    <w:rsid w:val="001F485B"/>
    <w:rsid w:val="001F4BD6"/>
    <w:rsid w:val="001F4C40"/>
    <w:rsid w:val="001F4D32"/>
    <w:rsid w:val="001F5103"/>
    <w:rsid w:val="001F5459"/>
    <w:rsid w:val="001F55D4"/>
    <w:rsid w:val="001F5D1B"/>
    <w:rsid w:val="001F65B0"/>
    <w:rsid w:val="001F68DE"/>
    <w:rsid w:val="001F691E"/>
    <w:rsid w:val="001F6C2F"/>
    <w:rsid w:val="001F6D54"/>
    <w:rsid w:val="001F71A8"/>
    <w:rsid w:val="001F7C51"/>
    <w:rsid w:val="001F7C71"/>
    <w:rsid w:val="001F7CEA"/>
    <w:rsid w:val="00200348"/>
    <w:rsid w:val="00200E03"/>
    <w:rsid w:val="00201401"/>
    <w:rsid w:val="00201772"/>
    <w:rsid w:val="00201A53"/>
    <w:rsid w:val="0020326F"/>
    <w:rsid w:val="00203D39"/>
    <w:rsid w:val="00204456"/>
    <w:rsid w:val="00204F82"/>
    <w:rsid w:val="002057D2"/>
    <w:rsid w:val="00206649"/>
    <w:rsid w:val="00206A6E"/>
    <w:rsid w:val="00206D14"/>
    <w:rsid w:val="0020712F"/>
    <w:rsid w:val="002071DE"/>
    <w:rsid w:val="00207448"/>
    <w:rsid w:val="00210F73"/>
    <w:rsid w:val="0021100D"/>
    <w:rsid w:val="00211220"/>
    <w:rsid w:val="00211829"/>
    <w:rsid w:val="00212718"/>
    <w:rsid w:val="00212DE5"/>
    <w:rsid w:val="00212FA2"/>
    <w:rsid w:val="00213346"/>
    <w:rsid w:val="00213658"/>
    <w:rsid w:val="00214876"/>
    <w:rsid w:val="00214933"/>
    <w:rsid w:val="00214E08"/>
    <w:rsid w:val="002151B2"/>
    <w:rsid w:val="00215BB6"/>
    <w:rsid w:val="00216CB2"/>
    <w:rsid w:val="002177A5"/>
    <w:rsid w:val="00217D90"/>
    <w:rsid w:val="00217FFB"/>
    <w:rsid w:val="00220672"/>
    <w:rsid w:val="00220AA2"/>
    <w:rsid w:val="00220CBA"/>
    <w:rsid w:val="00220E0A"/>
    <w:rsid w:val="00221CAB"/>
    <w:rsid w:val="00221D8C"/>
    <w:rsid w:val="00221EF0"/>
    <w:rsid w:val="002221DD"/>
    <w:rsid w:val="002224A3"/>
    <w:rsid w:val="002228F7"/>
    <w:rsid w:val="0022348E"/>
    <w:rsid w:val="002234F0"/>
    <w:rsid w:val="002236E6"/>
    <w:rsid w:val="00224416"/>
    <w:rsid w:val="00224832"/>
    <w:rsid w:val="0022506F"/>
    <w:rsid w:val="00225687"/>
    <w:rsid w:val="002258F2"/>
    <w:rsid w:val="00226413"/>
    <w:rsid w:val="00226F9C"/>
    <w:rsid w:val="00227652"/>
    <w:rsid w:val="002278A6"/>
    <w:rsid w:val="00227E95"/>
    <w:rsid w:val="0023041F"/>
    <w:rsid w:val="0023051E"/>
    <w:rsid w:val="002311BF"/>
    <w:rsid w:val="00231876"/>
    <w:rsid w:val="00231ABD"/>
    <w:rsid w:val="00231C90"/>
    <w:rsid w:val="002321D7"/>
    <w:rsid w:val="00232206"/>
    <w:rsid w:val="002323DE"/>
    <w:rsid w:val="002329B8"/>
    <w:rsid w:val="00232D9C"/>
    <w:rsid w:val="00232DA1"/>
    <w:rsid w:val="00232FB0"/>
    <w:rsid w:val="0023330D"/>
    <w:rsid w:val="002335ED"/>
    <w:rsid w:val="00233BD9"/>
    <w:rsid w:val="00234E1B"/>
    <w:rsid w:val="002359E6"/>
    <w:rsid w:val="00235BAD"/>
    <w:rsid w:val="002361E1"/>
    <w:rsid w:val="0023630C"/>
    <w:rsid w:val="002364AB"/>
    <w:rsid w:val="00236C5A"/>
    <w:rsid w:val="00236D9E"/>
    <w:rsid w:val="00236DD9"/>
    <w:rsid w:val="002374A4"/>
    <w:rsid w:val="00237A7F"/>
    <w:rsid w:val="00237E9C"/>
    <w:rsid w:val="00240134"/>
    <w:rsid w:val="002403A7"/>
    <w:rsid w:val="0024090E"/>
    <w:rsid w:val="00241185"/>
    <w:rsid w:val="00241559"/>
    <w:rsid w:val="00241E24"/>
    <w:rsid w:val="00242AAB"/>
    <w:rsid w:val="00242AEF"/>
    <w:rsid w:val="00242BFC"/>
    <w:rsid w:val="002430C8"/>
    <w:rsid w:val="0024356A"/>
    <w:rsid w:val="00243649"/>
    <w:rsid w:val="002439FF"/>
    <w:rsid w:val="00244D4A"/>
    <w:rsid w:val="00245104"/>
    <w:rsid w:val="00245146"/>
    <w:rsid w:val="002462F5"/>
    <w:rsid w:val="0024648A"/>
    <w:rsid w:val="00246749"/>
    <w:rsid w:val="00246AD3"/>
    <w:rsid w:val="00246E1F"/>
    <w:rsid w:val="00246E5B"/>
    <w:rsid w:val="002472AD"/>
    <w:rsid w:val="0024785B"/>
    <w:rsid w:val="00247A80"/>
    <w:rsid w:val="00247B33"/>
    <w:rsid w:val="00247D95"/>
    <w:rsid w:val="002507B8"/>
    <w:rsid w:val="00250E9F"/>
    <w:rsid w:val="00251A82"/>
    <w:rsid w:val="00251B56"/>
    <w:rsid w:val="00251CD0"/>
    <w:rsid w:val="00251DC4"/>
    <w:rsid w:val="00252052"/>
    <w:rsid w:val="0025219C"/>
    <w:rsid w:val="0025233D"/>
    <w:rsid w:val="002524A5"/>
    <w:rsid w:val="0025388D"/>
    <w:rsid w:val="00253BA5"/>
    <w:rsid w:val="002544AB"/>
    <w:rsid w:val="00254526"/>
    <w:rsid w:val="0025534E"/>
    <w:rsid w:val="002564B4"/>
    <w:rsid w:val="0025652A"/>
    <w:rsid w:val="002566E5"/>
    <w:rsid w:val="00256914"/>
    <w:rsid w:val="00256DD3"/>
    <w:rsid w:val="00256E76"/>
    <w:rsid w:val="0025779D"/>
    <w:rsid w:val="00257D29"/>
    <w:rsid w:val="0026003E"/>
    <w:rsid w:val="002601C4"/>
    <w:rsid w:val="00260CBA"/>
    <w:rsid w:val="00260EB0"/>
    <w:rsid w:val="0026123A"/>
    <w:rsid w:val="002612D4"/>
    <w:rsid w:val="00261510"/>
    <w:rsid w:val="00261DD7"/>
    <w:rsid w:val="002624FC"/>
    <w:rsid w:val="00262BBB"/>
    <w:rsid w:val="00262BE4"/>
    <w:rsid w:val="00262CDC"/>
    <w:rsid w:val="002650DB"/>
    <w:rsid w:val="002651F4"/>
    <w:rsid w:val="00265E36"/>
    <w:rsid w:val="0026608C"/>
    <w:rsid w:val="00266539"/>
    <w:rsid w:val="00266A6F"/>
    <w:rsid w:val="00267010"/>
    <w:rsid w:val="00267CB6"/>
    <w:rsid w:val="0027033F"/>
    <w:rsid w:val="002705E5"/>
    <w:rsid w:val="0027088A"/>
    <w:rsid w:val="002716E9"/>
    <w:rsid w:val="00271917"/>
    <w:rsid w:val="00271BCA"/>
    <w:rsid w:val="002720BA"/>
    <w:rsid w:val="00272370"/>
    <w:rsid w:val="00272A5B"/>
    <w:rsid w:val="00273B42"/>
    <w:rsid w:val="00273E10"/>
    <w:rsid w:val="00275431"/>
    <w:rsid w:val="00276AF7"/>
    <w:rsid w:val="00276C85"/>
    <w:rsid w:val="00276FD8"/>
    <w:rsid w:val="002774AF"/>
    <w:rsid w:val="00277590"/>
    <w:rsid w:val="002776FE"/>
    <w:rsid w:val="00277F3A"/>
    <w:rsid w:val="002804FE"/>
    <w:rsid w:val="00280699"/>
    <w:rsid w:val="00280B15"/>
    <w:rsid w:val="00280EC8"/>
    <w:rsid w:val="00280F6F"/>
    <w:rsid w:val="00281925"/>
    <w:rsid w:val="00281AFF"/>
    <w:rsid w:val="00281FA4"/>
    <w:rsid w:val="0028271E"/>
    <w:rsid w:val="0028324A"/>
    <w:rsid w:val="002832F1"/>
    <w:rsid w:val="0028383B"/>
    <w:rsid w:val="002849CA"/>
    <w:rsid w:val="00284B4D"/>
    <w:rsid w:val="00284C73"/>
    <w:rsid w:val="00284EC9"/>
    <w:rsid w:val="00284FBB"/>
    <w:rsid w:val="00285149"/>
    <w:rsid w:val="0028529A"/>
    <w:rsid w:val="00285BC7"/>
    <w:rsid w:val="0028637A"/>
    <w:rsid w:val="00286416"/>
    <w:rsid w:val="00286989"/>
    <w:rsid w:val="0028762B"/>
    <w:rsid w:val="00290383"/>
    <w:rsid w:val="002904D4"/>
    <w:rsid w:val="002905D5"/>
    <w:rsid w:val="002919A8"/>
    <w:rsid w:val="00292122"/>
    <w:rsid w:val="00292179"/>
    <w:rsid w:val="002923C3"/>
    <w:rsid w:val="00292688"/>
    <w:rsid w:val="0029275C"/>
    <w:rsid w:val="00292D6D"/>
    <w:rsid w:val="00293181"/>
    <w:rsid w:val="002934B2"/>
    <w:rsid w:val="0029387F"/>
    <w:rsid w:val="00293EE4"/>
    <w:rsid w:val="002943DD"/>
    <w:rsid w:val="00294AC7"/>
    <w:rsid w:val="0029519A"/>
    <w:rsid w:val="002954A3"/>
    <w:rsid w:val="002960EE"/>
    <w:rsid w:val="0029652C"/>
    <w:rsid w:val="002965E0"/>
    <w:rsid w:val="002968F8"/>
    <w:rsid w:val="00296B37"/>
    <w:rsid w:val="002973A9"/>
    <w:rsid w:val="00297B77"/>
    <w:rsid w:val="002A015A"/>
    <w:rsid w:val="002A05EB"/>
    <w:rsid w:val="002A0780"/>
    <w:rsid w:val="002A097C"/>
    <w:rsid w:val="002A1644"/>
    <w:rsid w:val="002A18F4"/>
    <w:rsid w:val="002A1C15"/>
    <w:rsid w:val="002A1D18"/>
    <w:rsid w:val="002A27A3"/>
    <w:rsid w:val="002A3123"/>
    <w:rsid w:val="002A3E54"/>
    <w:rsid w:val="002A4241"/>
    <w:rsid w:val="002A4524"/>
    <w:rsid w:val="002A45B7"/>
    <w:rsid w:val="002A46C3"/>
    <w:rsid w:val="002A5DA0"/>
    <w:rsid w:val="002A6281"/>
    <w:rsid w:val="002A6988"/>
    <w:rsid w:val="002A73A5"/>
    <w:rsid w:val="002A7751"/>
    <w:rsid w:val="002A788A"/>
    <w:rsid w:val="002B0CFC"/>
    <w:rsid w:val="002B0D0E"/>
    <w:rsid w:val="002B1436"/>
    <w:rsid w:val="002B1651"/>
    <w:rsid w:val="002B2659"/>
    <w:rsid w:val="002B299D"/>
    <w:rsid w:val="002B2B6B"/>
    <w:rsid w:val="002B3279"/>
    <w:rsid w:val="002B377A"/>
    <w:rsid w:val="002B3C97"/>
    <w:rsid w:val="002B46DF"/>
    <w:rsid w:val="002B4784"/>
    <w:rsid w:val="002B50CC"/>
    <w:rsid w:val="002B52CA"/>
    <w:rsid w:val="002B5475"/>
    <w:rsid w:val="002B56B8"/>
    <w:rsid w:val="002B57D8"/>
    <w:rsid w:val="002B5F11"/>
    <w:rsid w:val="002B63A9"/>
    <w:rsid w:val="002B66A4"/>
    <w:rsid w:val="002B67EA"/>
    <w:rsid w:val="002B6848"/>
    <w:rsid w:val="002B6A92"/>
    <w:rsid w:val="002B6C9B"/>
    <w:rsid w:val="002B7ACC"/>
    <w:rsid w:val="002B7C53"/>
    <w:rsid w:val="002B7DB5"/>
    <w:rsid w:val="002B7E57"/>
    <w:rsid w:val="002B7F5A"/>
    <w:rsid w:val="002C0356"/>
    <w:rsid w:val="002C0C83"/>
    <w:rsid w:val="002C1CA7"/>
    <w:rsid w:val="002C2241"/>
    <w:rsid w:val="002C299E"/>
    <w:rsid w:val="002C3502"/>
    <w:rsid w:val="002C4473"/>
    <w:rsid w:val="002C44E7"/>
    <w:rsid w:val="002C468F"/>
    <w:rsid w:val="002C4AF5"/>
    <w:rsid w:val="002C4B7C"/>
    <w:rsid w:val="002C4CFC"/>
    <w:rsid w:val="002C5985"/>
    <w:rsid w:val="002C6CC8"/>
    <w:rsid w:val="002C72D7"/>
    <w:rsid w:val="002D027E"/>
    <w:rsid w:val="002D03B1"/>
    <w:rsid w:val="002D180B"/>
    <w:rsid w:val="002D22C4"/>
    <w:rsid w:val="002D268F"/>
    <w:rsid w:val="002D2E1D"/>
    <w:rsid w:val="002D2E66"/>
    <w:rsid w:val="002D308C"/>
    <w:rsid w:val="002D3300"/>
    <w:rsid w:val="002D3331"/>
    <w:rsid w:val="002D333C"/>
    <w:rsid w:val="002D4161"/>
    <w:rsid w:val="002D427D"/>
    <w:rsid w:val="002D471D"/>
    <w:rsid w:val="002D481A"/>
    <w:rsid w:val="002D59D5"/>
    <w:rsid w:val="002D5E14"/>
    <w:rsid w:val="002D6107"/>
    <w:rsid w:val="002D6177"/>
    <w:rsid w:val="002D671F"/>
    <w:rsid w:val="002D6DFA"/>
    <w:rsid w:val="002D7046"/>
    <w:rsid w:val="002D715A"/>
    <w:rsid w:val="002D796E"/>
    <w:rsid w:val="002E0568"/>
    <w:rsid w:val="002E0827"/>
    <w:rsid w:val="002E0FA4"/>
    <w:rsid w:val="002E16EC"/>
    <w:rsid w:val="002E1E25"/>
    <w:rsid w:val="002E1F4D"/>
    <w:rsid w:val="002E2E31"/>
    <w:rsid w:val="002E38E1"/>
    <w:rsid w:val="002E39D1"/>
    <w:rsid w:val="002E3E06"/>
    <w:rsid w:val="002E3FF8"/>
    <w:rsid w:val="002E473A"/>
    <w:rsid w:val="002E49DC"/>
    <w:rsid w:val="002E4A8E"/>
    <w:rsid w:val="002E5590"/>
    <w:rsid w:val="002E5856"/>
    <w:rsid w:val="002E5C49"/>
    <w:rsid w:val="002E5E69"/>
    <w:rsid w:val="002E5FC3"/>
    <w:rsid w:val="002E62B4"/>
    <w:rsid w:val="002E697B"/>
    <w:rsid w:val="002E6B7C"/>
    <w:rsid w:val="002E6C9C"/>
    <w:rsid w:val="002E7914"/>
    <w:rsid w:val="002E79FB"/>
    <w:rsid w:val="002E7D40"/>
    <w:rsid w:val="002E7E90"/>
    <w:rsid w:val="002F0386"/>
    <w:rsid w:val="002F077E"/>
    <w:rsid w:val="002F0AD8"/>
    <w:rsid w:val="002F0D99"/>
    <w:rsid w:val="002F0E87"/>
    <w:rsid w:val="002F2261"/>
    <w:rsid w:val="002F2666"/>
    <w:rsid w:val="002F335B"/>
    <w:rsid w:val="002F41A7"/>
    <w:rsid w:val="002F43A9"/>
    <w:rsid w:val="002F46E8"/>
    <w:rsid w:val="002F4BFD"/>
    <w:rsid w:val="002F501E"/>
    <w:rsid w:val="002F5E40"/>
    <w:rsid w:val="002F65D2"/>
    <w:rsid w:val="002F66F0"/>
    <w:rsid w:val="002F6E99"/>
    <w:rsid w:val="002F7272"/>
    <w:rsid w:val="002F76C1"/>
    <w:rsid w:val="002F7B53"/>
    <w:rsid w:val="00300CB3"/>
    <w:rsid w:val="00300E14"/>
    <w:rsid w:val="00300E36"/>
    <w:rsid w:val="003013D2"/>
    <w:rsid w:val="00301E5D"/>
    <w:rsid w:val="00301F8D"/>
    <w:rsid w:val="003022DE"/>
    <w:rsid w:val="003022E8"/>
    <w:rsid w:val="003023DD"/>
    <w:rsid w:val="00303194"/>
    <w:rsid w:val="003036BD"/>
    <w:rsid w:val="0030473A"/>
    <w:rsid w:val="003049BE"/>
    <w:rsid w:val="00304BF4"/>
    <w:rsid w:val="00305592"/>
    <w:rsid w:val="003055AE"/>
    <w:rsid w:val="00306341"/>
    <w:rsid w:val="00306C92"/>
    <w:rsid w:val="003073E2"/>
    <w:rsid w:val="003074BA"/>
    <w:rsid w:val="00310558"/>
    <w:rsid w:val="00310EC7"/>
    <w:rsid w:val="00311104"/>
    <w:rsid w:val="00311106"/>
    <w:rsid w:val="003116DA"/>
    <w:rsid w:val="00311729"/>
    <w:rsid w:val="0031191E"/>
    <w:rsid w:val="00311EA2"/>
    <w:rsid w:val="0031231B"/>
    <w:rsid w:val="003126FF"/>
    <w:rsid w:val="00312990"/>
    <w:rsid w:val="00312F0F"/>
    <w:rsid w:val="003130CC"/>
    <w:rsid w:val="00313261"/>
    <w:rsid w:val="003132F6"/>
    <w:rsid w:val="0031390A"/>
    <w:rsid w:val="003153D8"/>
    <w:rsid w:val="003157A1"/>
    <w:rsid w:val="003159BE"/>
    <w:rsid w:val="00315EB5"/>
    <w:rsid w:val="00315ED8"/>
    <w:rsid w:val="0031687A"/>
    <w:rsid w:val="0031690D"/>
    <w:rsid w:val="00316DFB"/>
    <w:rsid w:val="00316E8D"/>
    <w:rsid w:val="00320A44"/>
    <w:rsid w:val="00320E2C"/>
    <w:rsid w:val="00320EAA"/>
    <w:rsid w:val="003210C1"/>
    <w:rsid w:val="00321BF9"/>
    <w:rsid w:val="00321FCD"/>
    <w:rsid w:val="003222AD"/>
    <w:rsid w:val="00322577"/>
    <w:rsid w:val="00322692"/>
    <w:rsid w:val="00322854"/>
    <w:rsid w:val="00322C91"/>
    <w:rsid w:val="00323A9E"/>
    <w:rsid w:val="00323B0C"/>
    <w:rsid w:val="0032464C"/>
    <w:rsid w:val="003246DD"/>
    <w:rsid w:val="00324869"/>
    <w:rsid w:val="00324BFB"/>
    <w:rsid w:val="00325131"/>
    <w:rsid w:val="00325291"/>
    <w:rsid w:val="00326010"/>
    <w:rsid w:val="0032604F"/>
    <w:rsid w:val="00326459"/>
    <w:rsid w:val="00326522"/>
    <w:rsid w:val="0032662C"/>
    <w:rsid w:val="0032693F"/>
    <w:rsid w:val="00327609"/>
    <w:rsid w:val="00327673"/>
    <w:rsid w:val="00330835"/>
    <w:rsid w:val="00330937"/>
    <w:rsid w:val="00331301"/>
    <w:rsid w:val="0033136A"/>
    <w:rsid w:val="003317AF"/>
    <w:rsid w:val="00332CE3"/>
    <w:rsid w:val="00332D9E"/>
    <w:rsid w:val="00333738"/>
    <w:rsid w:val="00333791"/>
    <w:rsid w:val="003338BD"/>
    <w:rsid w:val="00334209"/>
    <w:rsid w:val="00334283"/>
    <w:rsid w:val="0033451E"/>
    <w:rsid w:val="00334BA4"/>
    <w:rsid w:val="00334F7F"/>
    <w:rsid w:val="00337039"/>
    <w:rsid w:val="0033795A"/>
    <w:rsid w:val="00337C41"/>
    <w:rsid w:val="0034011E"/>
    <w:rsid w:val="00340942"/>
    <w:rsid w:val="00340B14"/>
    <w:rsid w:val="00340C98"/>
    <w:rsid w:val="00341389"/>
    <w:rsid w:val="0034168A"/>
    <w:rsid w:val="00341AAA"/>
    <w:rsid w:val="00342DAA"/>
    <w:rsid w:val="00342DD9"/>
    <w:rsid w:val="00342EEF"/>
    <w:rsid w:val="00343BDD"/>
    <w:rsid w:val="00343CEE"/>
    <w:rsid w:val="00343E48"/>
    <w:rsid w:val="00344490"/>
    <w:rsid w:val="0034485B"/>
    <w:rsid w:val="00344F0B"/>
    <w:rsid w:val="003450C5"/>
    <w:rsid w:val="00345254"/>
    <w:rsid w:val="003456CD"/>
    <w:rsid w:val="003477EC"/>
    <w:rsid w:val="003505B2"/>
    <w:rsid w:val="00350BBD"/>
    <w:rsid w:val="00351299"/>
    <w:rsid w:val="00351E67"/>
    <w:rsid w:val="00351E6F"/>
    <w:rsid w:val="003521C7"/>
    <w:rsid w:val="00352470"/>
    <w:rsid w:val="00353138"/>
    <w:rsid w:val="0035348C"/>
    <w:rsid w:val="0035364D"/>
    <w:rsid w:val="003536BF"/>
    <w:rsid w:val="00353C7F"/>
    <w:rsid w:val="00353F5D"/>
    <w:rsid w:val="00354517"/>
    <w:rsid w:val="00354DB0"/>
    <w:rsid w:val="00355027"/>
    <w:rsid w:val="0035646E"/>
    <w:rsid w:val="00356606"/>
    <w:rsid w:val="00356C38"/>
    <w:rsid w:val="00357ED0"/>
    <w:rsid w:val="00361172"/>
    <w:rsid w:val="00361D2E"/>
    <w:rsid w:val="0036249B"/>
    <w:rsid w:val="0036281D"/>
    <w:rsid w:val="00362FA4"/>
    <w:rsid w:val="003632F3"/>
    <w:rsid w:val="00364014"/>
    <w:rsid w:val="00364362"/>
    <w:rsid w:val="003643D0"/>
    <w:rsid w:val="003644A4"/>
    <w:rsid w:val="0036472E"/>
    <w:rsid w:val="00364C30"/>
    <w:rsid w:val="00364E1C"/>
    <w:rsid w:val="00365075"/>
    <w:rsid w:val="003659EC"/>
    <w:rsid w:val="00365B5C"/>
    <w:rsid w:val="00365F9F"/>
    <w:rsid w:val="0036625A"/>
    <w:rsid w:val="0036668D"/>
    <w:rsid w:val="00366AD1"/>
    <w:rsid w:val="00366E37"/>
    <w:rsid w:val="00366E47"/>
    <w:rsid w:val="003670A2"/>
    <w:rsid w:val="0036723D"/>
    <w:rsid w:val="003674A3"/>
    <w:rsid w:val="00367844"/>
    <w:rsid w:val="0037045B"/>
    <w:rsid w:val="003705F7"/>
    <w:rsid w:val="003708C4"/>
    <w:rsid w:val="00370B1A"/>
    <w:rsid w:val="00370E19"/>
    <w:rsid w:val="00370F77"/>
    <w:rsid w:val="00371236"/>
    <w:rsid w:val="0037278F"/>
    <w:rsid w:val="003727BB"/>
    <w:rsid w:val="00373111"/>
    <w:rsid w:val="0037347A"/>
    <w:rsid w:val="00373599"/>
    <w:rsid w:val="00373A5E"/>
    <w:rsid w:val="00373CE4"/>
    <w:rsid w:val="00373D6B"/>
    <w:rsid w:val="0037418D"/>
    <w:rsid w:val="0037452B"/>
    <w:rsid w:val="00374A67"/>
    <w:rsid w:val="00374DA6"/>
    <w:rsid w:val="00375272"/>
    <w:rsid w:val="00375B60"/>
    <w:rsid w:val="00375FD5"/>
    <w:rsid w:val="003762DE"/>
    <w:rsid w:val="003763D7"/>
    <w:rsid w:val="003777E5"/>
    <w:rsid w:val="00380745"/>
    <w:rsid w:val="00381258"/>
    <w:rsid w:val="003829AC"/>
    <w:rsid w:val="0038337F"/>
    <w:rsid w:val="00383B8C"/>
    <w:rsid w:val="00384471"/>
    <w:rsid w:val="0038499C"/>
    <w:rsid w:val="003849DF"/>
    <w:rsid w:val="00385468"/>
    <w:rsid w:val="00385629"/>
    <w:rsid w:val="00386232"/>
    <w:rsid w:val="00386D3E"/>
    <w:rsid w:val="00386D63"/>
    <w:rsid w:val="00386EB6"/>
    <w:rsid w:val="00390234"/>
    <w:rsid w:val="0039028A"/>
    <w:rsid w:val="0039042F"/>
    <w:rsid w:val="00390E0B"/>
    <w:rsid w:val="00391856"/>
    <w:rsid w:val="00391877"/>
    <w:rsid w:val="00391A70"/>
    <w:rsid w:val="00391E99"/>
    <w:rsid w:val="00392830"/>
    <w:rsid w:val="00392DD4"/>
    <w:rsid w:val="003948BA"/>
    <w:rsid w:val="00394A68"/>
    <w:rsid w:val="00394AD2"/>
    <w:rsid w:val="00394C71"/>
    <w:rsid w:val="00395A32"/>
    <w:rsid w:val="00395D54"/>
    <w:rsid w:val="00395E92"/>
    <w:rsid w:val="003965F7"/>
    <w:rsid w:val="003966B0"/>
    <w:rsid w:val="00396CA2"/>
    <w:rsid w:val="003A01AE"/>
    <w:rsid w:val="003A0D67"/>
    <w:rsid w:val="003A0EE0"/>
    <w:rsid w:val="003A1154"/>
    <w:rsid w:val="003A1191"/>
    <w:rsid w:val="003A2D36"/>
    <w:rsid w:val="003A2F5B"/>
    <w:rsid w:val="003A38A4"/>
    <w:rsid w:val="003A3997"/>
    <w:rsid w:val="003A3E8D"/>
    <w:rsid w:val="003A4AD6"/>
    <w:rsid w:val="003A51BA"/>
    <w:rsid w:val="003A56AA"/>
    <w:rsid w:val="003A575B"/>
    <w:rsid w:val="003A60A3"/>
    <w:rsid w:val="003A6381"/>
    <w:rsid w:val="003A65D3"/>
    <w:rsid w:val="003A6878"/>
    <w:rsid w:val="003A7A4C"/>
    <w:rsid w:val="003A7AE6"/>
    <w:rsid w:val="003A7CA3"/>
    <w:rsid w:val="003A7CAA"/>
    <w:rsid w:val="003B0364"/>
    <w:rsid w:val="003B0D10"/>
    <w:rsid w:val="003B123E"/>
    <w:rsid w:val="003B1490"/>
    <w:rsid w:val="003B1A4A"/>
    <w:rsid w:val="003B1B4C"/>
    <w:rsid w:val="003B2410"/>
    <w:rsid w:val="003B281F"/>
    <w:rsid w:val="003B3DFA"/>
    <w:rsid w:val="003B3FB5"/>
    <w:rsid w:val="003B3FD4"/>
    <w:rsid w:val="003B46EF"/>
    <w:rsid w:val="003B4EDE"/>
    <w:rsid w:val="003B57EF"/>
    <w:rsid w:val="003B5DFC"/>
    <w:rsid w:val="003B6270"/>
    <w:rsid w:val="003B6573"/>
    <w:rsid w:val="003B73FC"/>
    <w:rsid w:val="003B76D0"/>
    <w:rsid w:val="003B7CC3"/>
    <w:rsid w:val="003C012A"/>
    <w:rsid w:val="003C03C0"/>
    <w:rsid w:val="003C043C"/>
    <w:rsid w:val="003C05FB"/>
    <w:rsid w:val="003C07C6"/>
    <w:rsid w:val="003C089C"/>
    <w:rsid w:val="003C0A6B"/>
    <w:rsid w:val="003C1262"/>
    <w:rsid w:val="003C136E"/>
    <w:rsid w:val="003C2BB2"/>
    <w:rsid w:val="003C2BF9"/>
    <w:rsid w:val="003C2E0D"/>
    <w:rsid w:val="003C3012"/>
    <w:rsid w:val="003C3294"/>
    <w:rsid w:val="003C336E"/>
    <w:rsid w:val="003C360E"/>
    <w:rsid w:val="003C3A83"/>
    <w:rsid w:val="003C3D73"/>
    <w:rsid w:val="003C4410"/>
    <w:rsid w:val="003C51E3"/>
    <w:rsid w:val="003C5490"/>
    <w:rsid w:val="003C5521"/>
    <w:rsid w:val="003C5908"/>
    <w:rsid w:val="003C5CCC"/>
    <w:rsid w:val="003C65F9"/>
    <w:rsid w:val="003C7109"/>
    <w:rsid w:val="003C7D60"/>
    <w:rsid w:val="003C7F0D"/>
    <w:rsid w:val="003D00E3"/>
    <w:rsid w:val="003D0AC8"/>
    <w:rsid w:val="003D0AEB"/>
    <w:rsid w:val="003D0F4C"/>
    <w:rsid w:val="003D32AC"/>
    <w:rsid w:val="003D32C7"/>
    <w:rsid w:val="003D3453"/>
    <w:rsid w:val="003D361A"/>
    <w:rsid w:val="003D383A"/>
    <w:rsid w:val="003D3DBA"/>
    <w:rsid w:val="003D3E31"/>
    <w:rsid w:val="003D3FA5"/>
    <w:rsid w:val="003D43F6"/>
    <w:rsid w:val="003D4B8D"/>
    <w:rsid w:val="003D4FDB"/>
    <w:rsid w:val="003D52E5"/>
    <w:rsid w:val="003D5F8F"/>
    <w:rsid w:val="003D6035"/>
    <w:rsid w:val="003D698F"/>
    <w:rsid w:val="003D70E3"/>
    <w:rsid w:val="003D72C6"/>
    <w:rsid w:val="003D7484"/>
    <w:rsid w:val="003D7E01"/>
    <w:rsid w:val="003D7F3D"/>
    <w:rsid w:val="003E09B6"/>
    <w:rsid w:val="003E0A14"/>
    <w:rsid w:val="003E1662"/>
    <w:rsid w:val="003E17B0"/>
    <w:rsid w:val="003E19D9"/>
    <w:rsid w:val="003E1B5B"/>
    <w:rsid w:val="003E1E45"/>
    <w:rsid w:val="003E1F09"/>
    <w:rsid w:val="003E2152"/>
    <w:rsid w:val="003E2155"/>
    <w:rsid w:val="003E2D85"/>
    <w:rsid w:val="003E315D"/>
    <w:rsid w:val="003E4950"/>
    <w:rsid w:val="003E4B00"/>
    <w:rsid w:val="003E5199"/>
    <w:rsid w:val="003E5628"/>
    <w:rsid w:val="003E562E"/>
    <w:rsid w:val="003E565D"/>
    <w:rsid w:val="003E5748"/>
    <w:rsid w:val="003E5E6C"/>
    <w:rsid w:val="003E602A"/>
    <w:rsid w:val="003E6105"/>
    <w:rsid w:val="003E646D"/>
    <w:rsid w:val="003E6BF2"/>
    <w:rsid w:val="003E6C4B"/>
    <w:rsid w:val="003E719A"/>
    <w:rsid w:val="003E7400"/>
    <w:rsid w:val="003F020B"/>
    <w:rsid w:val="003F13E5"/>
    <w:rsid w:val="003F1C52"/>
    <w:rsid w:val="003F22D0"/>
    <w:rsid w:val="003F2C88"/>
    <w:rsid w:val="003F3467"/>
    <w:rsid w:val="003F3F81"/>
    <w:rsid w:val="003F40D3"/>
    <w:rsid w:val="003F47C5"/>
    <w:rsid w:val="003F5419"/>
    <w:rsid w:val="003F56AE"/>
    <w:rsid w:val="003F61FC"/>
    <w:rsid w:val="003F7128"/>
    <w:rsid w:val="003F791F"/>
    <w:rsid w:val="003F79A8"/>
    <w:rsid w:val="003F7B8D"/>
    <w:rsid w:val="003F7C6B"/>
    <w:rsid w:val="003F7C7E"/>
    <w:rsid w:val="003F7DC1"/>
    <w:rsid w:val="004002A9"/>
    <w:rsid w:val="00400399"/>
    <w:rsid w:val="00400642"/>
    <w:rsid w:val="00400A26"/>
    <w:rsid w:val="00400EF7"/>
    <w:rsid w:val="00401110"/>
    <w:rsid w:val="00401D39"/>
    <w:rsid w:val="00401E21"/>
    <w:rsid w:val="0040201B"/>
    <w:rsid w:val="00402450"/>
    <w:rsid w:val="004029C9"/>
    <w:rsid w:val="00402C4B"/>
    <w:rsid w:val="00403529"/>
    <w:rsid w:val="00403A4C"/>
    <w:rsid w:val="0040510A"/>
    <w:rsid w:val="004053F7"/>
    <w:rsid w:val="0040562B"/>
    <w:rsid w:val="00405FF5"/>
    <w:rsid w:val="004076D7"/>
    <w:rsid w:val="00407E67"/>
    <w:rsid w:val="00410509"/>
    <w:rsid w:val="00410EAA"/>
    <w:rsid w:val="00410FD1"/>
    <w:rsid w:val="0041133D"/>
    <w:rsid w:val="004113C6"/>
    <w:rsid w:val="00411B1E"/>
    <w:rsid w:val="00411CC8"/>
    <w:rsid w:val="004131E4"/>
    <w:rsid w:val="00413424"/>
    <w:rsid w:val="00413C92"/>
    <w:rsid w:val="0041429B"/>
    <w:rsid w:val="00414439"/>
    <w:rsid w:val="00414E27"/>
    <w:rsid w:val="00415380"/>
    <w:rsid w:val="00415BE5"/>
    <w:rsid w:val="0041683A"/>
    <w:rsid w:val="004173C0"/>
    <w:rsid w:val="004178A0"/>
    <w:rsid w:val="00417E99"/>
    <w:rsid w:val="004205FD"/>
    <w:rsid w:val="004209D7"/>
    <w:rsid w:val="004213A3"/>
    <w:rsid w:val="0042180F"/>
    <w:rsid w:val="00421C6F"/>
    <w:rsid w:val="00421DB8"/>
    <w:rsid w:val="00421E09"/>
    <w:rsid w:val="00421FE9"/>
    <w:rsid w:val="004222C9"/>
    <w:rsid w:val="004224BD"/>
    <w:rsid w:val="00422BB5"/>
    <w:rsid w:val="00423384"/>
    <w:rsid w:val="00423C33"/>
    <w:rsid w:val="0042426B"/>
    <w:rsid w:val="0042469A"/>
    <w:rsid w:val="00424A10"/>
    <w:rsid w:val="00424F0F"/>
    <w:rsid w:val="004250F1"/>
    <w:rsid w:val="0042584D"/>
    <w:rsid w:val="004258D5"/>
    <w:rsid w:val="004268B7"/>
    <w:rsid w:val="004269A0"/>
    <w:rsid w:val="00426A86"/>
    <w:rsid w:val="00426CBE"/>
    <w:rsid w:val="00427777"/>
    <w:rsid w:val="00427E8F"/>
    <w:rsid w:val="00430302"/>
    <w:rsid w:val="004311A6"/>
    <w:rsid w:val="00431548"/>
    <w:rsid w:val="004317BA"/>
    <w:rsid w:val="0043333C"/>
    <w:rsid w:val="00433349"/>
    <w:rsid w:val="00433D4F"/>
    <w:rsid w:val="00433E4C"/>
    <w:rsid w:val="0043465B"/>
    <w:rsid w:val="00434B0A"/>
    <w:rsid w:val="00435546"/>
    <w:rsid w:val="00435F71"/>
    <w:rsid w:val="004374BE"/>
    <w:rsid w:val="004377C4"/>
    <w:rsid w:val="0044045E"/>
    <w:rsid w:val="004404E8"/>
    <w:rsid w:val="00440728"/>
    <w:rsid w:val="00440B2F"/>
    <w:rsid w:val="004415E6"/>
    <w:rsid w:val="004417A1"/>
    <w:rsid w:val="004425D4"/>
    <w:rsid w:val="00443BB7"/>
    <w:rsid w:val="00443FA1"/>
    <w:rsid w:val="0044415E"/>
    <w:rsid w:val="00444E32"/>
    <w:rsid w:val="004451C7"/>
    <w:rsid w:val="00445A78"/>
    <w:rsid w:val="00445FED"/>
    <w:rsid w:val="00446CEF"/>
    <w:rsid w:val="00446F14"/>
    <w:rsid w:val="004471FA"/>
    <w:rsid w:val="0044763A"/>
    <w:rsid w:val="00447E5B"/>
    <w:rsid w:val="00450C36"/>
    <w:rsid w:val="004510AF"/>
    <w:rsid w:val="00451A0D"/>
    <w:rsid w:val="00452EAD"/>
    <w:rsid w:val="00453FAD"/>
    <w:rsid w:val="00454E33"/>
    <w:rsid w:val="00455050"/>
    <w:rsid w:val="00455409"/>
    <w:rsid w:val="00455F72"/>
    <w:rsid w:val="00456C30"/>
    <w:rsid w:val="00456DDF"/>
    <w:rsid w:val="004573C8"/>
    <w:rsid w:val="00457560"/>
    <w:rsid w:val="0045772C"/>
    <w:rsid w:val="0046070D"/>
    <w:rsid w:val="00461481"/>
    <w:rsid w:val="004614E7"/>
    <w:rsid w:val="0046172F"/>
    <w:rsid w:val="00461787"/>
    <w:rsid w:val="00461CE7"/>
    <w:rsid w:val="00461E2F"/>
    <w:rsid w:val="00461F79"/>
    <w:rsid w:val="004625E2"/>
    <w:rsid w:val="00462B56"/>
    <w:rsid w:val="00462C18"/>
    <w:rsid w:val="004636E6"/>
    <w:rsid w:val="00464548"/>
    <w:rsid w:val="00464B90"/>
    <w:rsid w:val="00464C42"/>
    <w:rsid w:val="00464C65"/>
    <w:rsid w:val="00464EEA"/>
    <w:rsid w:val="004655CB"/>
    <w:rsid w:val="00465B96"/>
    <w:rsid w:val="00466684"/>
    <w:rsid w:val="0046670E"/>
    <w:rsid w:val="00466BBE"/>
    <w:rsid w:val="00466BD9"/>
    <w:rsid w:val="00467962"/>
    <w:rsid w:val="00470160"/>
    <w:rsid w:val="00470592"/>
    <w:rsid w:val="00470C3A"/>
    <w:rsid w:val="00470D7A"/>
    <w:rsid w:val="00470F12"/>
    <w:rsid w:val="004712A9"/>
    <w:rsid w:val="004727D3"/>
    <w:rsid w:val="004729E8"/>
    <w:rsid w:val="00472A3C"/>
    <w:rsid w:val="00472A55"/>
    <w:rsid w:val="00473304"/>
    <w:rsid w:val="004747BF"/>
    <w:rsid w:val="00474A46"/>
    <w:rsid w:val="00474ABE"/>
    <w:rsid w:val="0047554D"/>
    <w:rsid w:val="00475D64"/>
    <w:rsid w:val="004760B0"/>
    <w:rsid w:val="004761DF"/>
    <w:rsid w:val="004765F8"/>
    <w:rsid w:val="00476CBA"/>
    <w:rsid w:val="004774BC"/>
    <w:rsid w:val="004776AC"/>
    <w:rsid w:val="00477C74"/>
    <w:rsid w:val="004805B3"/>
    <w:rsid w:val="00480812"/>
    <w:rsid w:val="00480B8B"/>
    <w:rsid w:val="004810B1"/>
    <w:rsid w:val="00481E0A"/>
    <w:rsid w:val="00483490"/>
    <w:rsid w:val="00483677"/>
    <w:rsid w:val="0048377F"/>
    <w:rsid w:val="00483930"/>
    <w:rsid w:val="00483969"/>
    <w:rsid w:val="004843B6"/>
    <w:rsid w:val="00484607"/>
    <w:rsid w:val="00484751"/>
    <w:rsid w:val="00484F97"/>
    <w:rsid w:val="00485ABE"/>
    <w:rsid w:val="00485CF4"/>
    <w:rsid w:val="00485D16"/>
    <w:rsid w:val="00485F30"/>
    <w:rsid w:val="00486397"/>
    <w:rsid w:val="0048653E"/>
    <w:rsid w:val="0048686E"/>
    <w:rsid w:val="00486D3A"/>
    <w:rsid w:val="00487154"/>
    <w:rsid w:val="004872D1"/>
    <w:rsid w:val="00487EF8"/>
    <w:rsid w:val="00490D21"/>
    <w:rsid w:val="00491CA3"/>
    <w:rsid w:val="00491EB3"/>
    <w:rsid w:val="004920A6"/>
    <w:rsid w:val="00492553"/>
    <w:rsid w:val="00492DEF"/>
    <w:rsid w:val="004932C4"/>
    <w:rsid w:val="004934F4"/>
    <w:rsid w:val="00493C7B"/>
    <w:rsid w:val="00493F80"/>
    <w:rsid w:val="00493FC1"/>
    <w:rsid w:val="004944F5"/>
    <w:rsid w:val="0049506A"/>
    <w:rsid w:val="004951DE"/>
    <w:rsid w:val="004952EF"/>
    <w:rsid w:val="00496001"/>
    <w:rsid w:val="00496279"/>
    <w:rsid w:val="0049658D"/>
    <w:rsid w:val="004966E4"/>
    <w:rsid w:val="00496C79"/>
    <w:rsid w:val="0049741B"/>
    <w:rsid w:val="0049767B"/>
    <w:rsid w:val="004A00FF"/>
    <w:rsid w:val="004A11FB"/>
    <w:rsid w:val="004A120A"/>
    <w:rsid w:val="004A129C"/>
    <w:rsid w:val="004A12BA"/>
    <w:rsid w:val="004A18F2"/>
    <w:rsid w:val="004A2EF2"/>
    <w:rsid w:val="004A39D8"/>
    <w:rsid w:val="004A3C32"/>
    <w:rsid w:val="004A3CFD"/>
    <w:rsid w:val="004A4595"/>
    <w:rsid w:val="004A49C6"/>
    <w:rsid w:val="004A49EB"/>
    <w:rsid w:val="004A5242"/>
    <w:rsid w:val="004A53B2"/>
    <w:rsid w:val="004A5830"/>
    <w:rsid w:val="004A61EF"/>
    <w:rsid w:val="004A6341"/>
    <w:rsid w:val="004A690F"/>
    <w:rsid w:val="004A6A8A"/>
    <w:rsid w:val="004A72B5"/>
    <w:rsid w:val="004A72CD"/>
    <w:rsid w:val="004A7352"/>
    <w:rsid w:val="004A73DD"/>
    <w:rsid w:val="004B0572"/>
    <w:rsid w:val="004B0684"/>
    <w:rsid w:val="004B096B"/>
    <w:rsid w:val="004B0DFC"/>
    <w:rsid w:val="004B143B"/>
    <w:rsid w:val="004B16FB"/>
    <w:rsid w:val="004B17C5"/>
    <w:rsid w:val="004B2228"/>
    <w:rsid w:val="004B338E"/>
    <w:rsid w:val="004B3684"/>
    <w:rsid w:val="004B3F3A"/>
    <w:rsid w:val="004B427E"/>
    <w:rsid w:val="004B4B22"/>
    <w:rsid w:val="004B4C97"/>
    <w:rsid w:val="004B4DCA"/>
    <w:rsid w:val="004B565F"/>
    <w:rsid w:val="004B5906"/>
    <w:rsid w:val="004B5FA2"/>
    <w:rsid w:val="004B7374"/>
    <w:rsid w:val="004B73FF"/>
    <w:rsid w:val="004C0016"/>
    <w:rsid w:val="004C071B"/>
    <w:rsid w:val="004C08E3"/>
    <w:rsid w:val="004C095C"/>
    <w:rsid w:val="004C1C11"/>
    <w:rsid w:val="004C1D66"/>
    <w:rsid w:val="004C2657"/>
    <w:rsid w:val="004C2DE9"/>
    <w:rsid w:val="004C3027"/>
    <w:rsid w:val="004C3158"/>
    <w:rsid w:val="004C33D8"/>
    <w:rsid w:val="004C3AD9"/>
    <w:rsid w:val="004C4231"/>
    <w:rsid w:val="004C42E0"/>
    <w:rsid w:val="004C4743"/>
    <w:rsid w:val="004C51C1"/>
    <w:rsid w:val="004C52FF"/>
    <w:rsid w:val="004C5BE0"/>
    <w:rsid w:val="004C6305"/>
    <w:rsid w:val="004C63A3"/>
    <w:rsid w:val="004C63F1"/>
    <w:rsid w:val="004C6675"/>
    <w:rsid w:val="004C6DA2"/>
    <w:rsid w:val="004C7D89"/>
    <w:rsid w:val="004C7F88"/>
    <w:rsid w:val="004C7F9D"/>
    <w:rsid w:val="004D00BA"/>
    <w:rsid w:val="004D030B"/>
    <w:rsid w:val="004D0570"/>
    <w:rsid w:val="004D07C2"/>
    <w:rsid w:val="004D08C4"/>
    <w:rsid w:val="004D0B84"/>
    <w:rsid w:val="004D0C25"/>
    <w:rsid w:val="004D0C96"/>
    <w:rsid w:val="004D0D61"/>
    <w:rsid w:val="004D11A7"/>
    <w:rsid w:val="004D159A"/>
    <w:rsid w:val="004D16FD"/>
    <w:rsid w:val="004D19D4"/>
    <w:rsid w:val="004D1B35"/>
    <w:rsid w:val="004D349B"/>
    <w:rsid w:val="004D36B1"/>
    <w:rsid w:val="004D381E"/>
    <w:rsid w:val="004D46AA"/>
    <w:rsid w:val="004D4807"/>
    <w:rsid w:val="004D4D2D"/>
    <w:rsid w:val="004D5175"/>
    <w:rsid w:val="004D521F"/>
    <w:rsid w:val="004D55F0"/>
    <w:rsid w:val="004D5FA9"/>
    <w:rsid w:val="004D6980"/>
    <w:rsid w:val="004D6CD4"/>
    <w:rsid w:val="004D70F1"/>
    <w:rsid w:val="004D7A2E"/>
    <w:rsid w:val="004E0143"/>
    <w:rsid w:val="004E0494"/>
    <w:rsid w:val="004E1599"/>
    <w:rsid w:val="004E1719"/>
    <w:rsid w:val="004E1E0D"/>
    <w:rsid w:val="004E2572"/>
    <w:rsid w:val="004E2B41"/>
    <w:rsid w:val="004E30CA"/>
    <w:rsid w:val="004E3192"/>
    <w:rsid w:val="004E3D21"/>
    <w:rsid w:val="004E46A4"/>
    <w:rsid w:val="004E4C72"/>
    <w:rsid w:val="004E59F3"/>
    <w:rsid w:val="004E62F1"/>
    <w:rsid w:val="004E63F7"/>
    <w:rsid w:val="004E6F80"/>
    <w:rsid w:val="004E7751"/>
    <w:rsid w:val="004E796D"/>
    <w:rsid w:val="004E7F28"/>
    <w:rsid w:val="004F0172"/>
    <w:rsid w:val="004F0527"/>
    <w:rsid w:val="004F0C26"/>
    <w:rsid w:val="004F1186"/>
    <w:rsid w:val="004F1614"/>
    <w:rsid w:val="004F1CD2"/>
    <w:rsid w:val="004F1D39"/>
    <w:rsid w:val="004F1F59"/>
    <w:rsid w:val="004F2248"/>
    <w:rsid w:val="004F25D6"/>
    <w:rsid w:val="004F263E"/>
    <w:rsid w:val="004F268F"/>
    <w:rsid w:val="004F2755"/>
    <w:rsid w:val="004F2786"/>
    <w:rsid w:val="004F3006"/>
    <w:rsid w:val="004F3210"/>
    <w:rsid w:val="004F34DB"/>
    <w:rsid w:val="004F368B"/>
    <w:rsid w:val="004F36BF"/>
    <w:rsid w:val="004F3FA5"/>
    <w:rsid w:val="004F46D7"/>
    <w:rsid w:val="004F479E"/>
    <w:rsid w:val="004F4885"/>
    <w:rsid w:val="004F5C89"/>
    <w:rsid w:val="004F657D"/>
    <w:rsid w:val="004F6A96"/>
    <w:rsid w:val="004F6CF3"/>
    <w:rsid w:val="004F7240"/>
    <w:rsid w:val="004F74FE"/>
    <w:rsid w:val="004F7F50"/>
    <w:rsid w:val="00500644"/>
    <w:rsid w:val="0050079C"/>
    <w:rsid w:val="005007D6"/>
    <w:rsid w:val="00500C3E"/>
    <w:rsid w:val="00500FE6"/>
    <w:rsid w:val="00501AE4"/>
    <w:rsid w:val="00501BB2"/>
    <w:rsid w:val="005023C4"/>
    <w:rsid w:val="005024DA"/>
    <w:rsid w:val="005025EA"/>
    <w:rsid w:val="00502D7C"/>
    <w:rsid w:val="00502E21"/>
    <w:rsid w:val="00502E74"/>
    <w:rsid w:val="00503188"/>
    <w:rsid w:val="0050362F"/>
    <w:rsid w:val="005040C2"/>
    <w:rsid w:val="00504ABD"/>
    <w:rsid w:val="0050552E"/>
    <w:rsid w:val="005063BD"/>
    <w:rsid w:val="0050667F"/>
    <w:rsid w:val="00506F1B"/>
    <w:rsid w:val="00507074"/>
    <w:rsid w:val="00507514"/>
    <w:rsid w:val="0050762B"/>
    <w:rsid w:val="00507876"/>
    <w:rsid w:val="00507E02"/>
    <w:rsid w:val="0051021C"/>
    <w:rsid w:val="0051027B"/>
    <w:rsid w:val="0051072F"/>
    <w:rsid w:val="005109F0"/>
    <w:rsid w:val="00510FC2"/>
    <w:rsid w:val="0051144A"/>
    <w:rsid w:val="00511AB3"/>
    <w:rsid w:val="005120C8"/>
    <w:rsid w:val="00512EDB"/>
    <w:rsid w:val="005131E9"/>
    <w:rsid w:val="005133CC"/>
    <w:rsid w:val="005136BD"/>
    <w:rsid w:val="00513990"/>
    <w:rsid w:val="00513A1E"/>
    <w:rsid w:val="00514331"/>
    <w:rsid w:val="005147C7"/>
    <w:rsid w:val="00514B33"/>
    <w:rsid w:val="00514E5E"/>
    <w:rsid w:val="0051530B"/>
    <w:rsid w:val="00515530"/>
    <w:rsid w:val="00515644"/>
    <w:rsid w:val="005160F7"/>
    <w:rsid w:val="00516392"/>
    <w:rsid w:val="005163AA"/>
    <w:rsid w:val="005164B6"/>
    <w:rsid w:val="00516BF1"/>
    <w:rsid w:val="00516DEC"/>
    <w:rsid w:val="005171D9"/>
    <w:rsid w:val="00517443"/>
    <w:rsid w:val="0051784E"/>
    <w:rsid w:val="00517D5C"/>
    <w:rsid w:val="00517E77"/>
    <w:rsid w:val="005203F7"/>
    <w:rsid w:val="0052151C"/>
    <w:rsid w:val="005218DC"/>
    <w:rsid w:val="00522592"/>
    <w:rsid w:val="0052299D"/>
    <w:rsid w:val="005232CB"/>
    <w:rsid w:val="005237FF"/>
    <w:rsid w:val="00523E82"/>
    <w:rsid w:val="005242E8"/>
    <w:rsid w:val="00524497"/>
    <w:rsid w:val="0052465F"/>
    <w:rsid w:val="00524743"/>
    <w:rsid w:val="00525475"/>
    <w:rsid w:val="0052566D"/>
    <w:rsid w:val="005259C0"/>
    <w:rsid w:val="00525B9F"/>
    <w:rsid w:val="00525FC2"/>
    <w:rsid w:val="00525FD0"/>
    <w:rsid w:val="00526709"/>
    <w:rsid w:val="00526B51"/>
    <w:rsid w:val="00526B9A"/>
    <w:rsid w:val="005273D9"/>
    <w:rsid w:val="00527595"/>
    <w:rsid w:val="00527FA1"/>
    <w:rsid w:val="0053103D"/>
    <w:rsid w:val="005313EA"/>
    <w:rsid w:val="00531D87"/>
    <w:rsid w:val="00531E7A"/>
    <w:rsid w:val="00532651"/>
    <w:rsid w:val="0053275E"/>
    <w:rsid w:val="00532E52"/>
    <w:rsid w:val="00533119"/>
    <w:rsid w:val="0053391A"/>
    <w:rsid w:val="0053392C"/>
    <w:rsid w:val="00533C08"/>
    <w:rsid w:val="00534E7D"/>
    <w:rsid w:val="00534F64"/>
    <w:rsid w:val="00535547"/>
    <w:rsid w:val="0053565C"/>
    <w:rsid w:val="00535A2A"/>
    <w:rsid w:val="00535D08"/>
    <w:rsid w:val="00536A08"/>
    <w:rsid w:val="00536C0E"/>
    <w:rsid w:val="00536D02"/>
    <w:rsid w:val="00536EC8"/>
    <w:rsid w:val="00537017"/>
    <w:rsid w:val="0053736A"/>
    <w:rsid w:val="0053775D"/>
    <w:rsid w:val="00537D96"/>
    <w:rsid w:val="00540C05"/>
    <w:rsid w:val="00540E33"/>
    <w:rsid w:val="00541468"/>
    <w:rsid w:val="00541B4C"/>
    <w:rsid w:val="00541F8D"/>
    <w:rsid w:val="00542574"/>
    <w:rsid w:val="005425E3"/>
    <w:rsid w:val="00542B13"/>
    <w:rsid w:val="005437FB"/>
    <w:rsid w:val="00543FED"/>
    <w:rsid w:val="00544360"/>
    <w:rsid w:val="0054495E"/>
    <w:rsid w:val="00545009"/>
    <w:rsid w:val="00545029"/>
    <w:rsid w:val="005452A3"/>
    <w:rsid w:val="00545DF7"/>
    <w:rsid w:val="00545ED3"/>
    <w:rsid w:val="00545ED5"/>
    <w:rsid w:val="00546156"/>
    <w:rsid w:val="005468E9"/>
    <w:rsid w:val="00546D2A"/>
    <w:rsid w:val="00546FCA"/>
    <w:rsid w:val="0054701D"/>
    <w:rsid w:val="00550237"/>
    <w:rsid w:val="00550238"/>
    <w:rsid w:val="005504FB"/>
    <w:rsid w:val="00550901"/>
    <w:rsid w:val="00551D2B"/>
    <w:rsid w:val="00551F23"/>
    <w:rsid w:val="0055293A"/>
    <w:rsid w:val="00552D73"/>
    <w:rsid w:val="00552F7F"/>
    <w:rsid w:val="00553156"/>
    <w:rsid w:val="00553B52"/>
    <w:rsid w:val="00553C83"/>
    <w:rsid w:val="00553ED6"/>
    <w:rsid w:val="0055419A"/>
    <w:rsid w:val="00554707"/>
    <w:rsid w:val="0055478A"/>
    <w:rsid w:val="00554C85"/>
    <w:rsid w:val="00554E9E"/>
    <w:rsid w:val="005551F7"/>
    <w:rsid w:val="005556E4"/>
    <w:rsid w:val="00556089"/>
    <w:rsid w:val="00556C30"/>
    <w:rsid w:val="005570A9"/>
    <w:rsid w:val="0055796B"/>
    <w:rsid w:val="00557A7E"/>
    <w:rsid w:val="00557FBF"/>
    <w:rsid w:val="00560EC2"/>
    <w:rsid w:val="00561160"/>
    <w:rsid w:val="005622B8"/>
    <w:rsid w:val="00562F98"/>
    <w:rsid w:val="005633C0"/>
    <w:rsid w:val="00563590"/>
    <w:rsid w:val="00563CDC"/>
    <w:rsid w:val="005643D5"/>
    <w:rsid w:val="00564BFB"/>
    <w:rsid w:val="00564CFE"/>
    <w:rsid w:val="00565317"/>
    <w:rsid w:val="00565588"/>
    <w:rsid w:val="00565810"/>
    <w:rsid w:val="00566040"/>
    <w:rsid w:val="0056637A"/>
    <w:rsid w:val="005667FB"/>
    <w:rsid w:val="00566A98"/>
    <w:rsid w:val="005673AB"/>
    <w:rsid w:val="0056774E"/>
    <w:rsid w:val="00567E6B"/>
    <w:rsid w:val="005701A8"/>
    <w:rsid w:val="005705F7"/>
    <w:rsid w:val="00570CC5"/>
    <w:rsid w:val="00571047"/>
    <w:rsid w:val="005712F1"/>
    <w:rsid w:val="00571403"/>
    <w:rsid w:val="00571CA0"/>
    <w:rsid w:val="00572044"/>
    <w:rsid w:val="0057348A"/>
    <w:rsid w:val="005747E9"/>
    <w:rsid w:val="00574C15"/>
    <w:rsid w:val="0057523A"/>
    <w:rsid w:val="00575DC8"/>
    <w:rsid w:val="0057699D"/>
    <w:rsid w:val="0057767F"/>
    <w:rsid w:val="00577D20"/>
    <w:rsid w:val="005807AB"/>
    <w:rsid w:val="00580B69"/>
    <w:rsid w:val="00580F34"/>
    <w:rsid w:val="00581D60"/>
    <w:rsid w:val="00582DFA"/>
    <w:rsid w:val="0058417F"/>
    <w:rsid w:val="00584656"/>
    <w:rsid w:val="00584697"/>
    <w:rsid w:val="00584CEB"/>
    <w:rsid w:val="00584DDF"/>
    <w:rsid w:val="00584EDA"/>
    <w:rsid w:val="005850D5"/>
    <w:rsid w:val="00585D41"/>
    <w:rsid w:val="0058601D"/>
    <w:rsid w:val="005860D2"/>
    <w:rsid w:val="00586441"/>
    <w:rsid w:val="00586684"/>
    <w:rsid w:val="00586730"/>
    <w:rsid w:val="005867B5"/>
    <w:rsid w:val="00586F24"/>
    <w:rsid w:val="00587354"/>
    <w:rsid w:val="00587C03"/>
    <w:rsid w:val="00590024"/>
    <w:rsid w:val="005902FD"/>
    <w:rsid w:val="00590F51"/>
    <w:rsid w:val="005916DF"/>
    <w:rsid w:val="00591CDC"/>
    <w:rsid w:val="00591D7B"/>
    <w:rsid w:val="00591F13"/>
    <w:rsid w:val="005926BD"/>
    <w:rsid w:val="0059293B"/>
    <w:rsid w:val="00592DC4"/>
    <w:rsid w:val="005930BF"/>
    <w:rsid w:val="00593424"/>
    <w:rsid w:val="005942C8"/>
    <w:rsid w:val="0059489D"/>
    <w:rsid w:val="00595C8C"/>
    <w:rsid w:val="00595F97"/>
    <w:rsid w:val="005960D6"/>
    <w:rsid w:val="00596436"/>
    <w:rsid w:val="00596496"/>
    <w:rsid w:val="0059765E"/>
    <w:rsid w:val="00597712"/>
    <w:rsid w:val="00597CF4"/>
    <w:rsid w:val="005A10DB"/>
    <w:rsid w:val="005A12BE"/>
    <w:rsid w:val="005A1312"/>
    <w:rsid w:val="005A215E"/>
    <w:rsid w:val="005A2FC9"/>
    <w:rsid w:val="005A3CBD"/>
    <w:rsid w:val="005A3F70"/>
    <w:rsid w:val="005A409F"/>
    <w:rsid w:val="005A476D"/>
    <w:rsid w:val="005A48AC"/>
    <w:rsid w:val="005A4BCA"/>
    <w:rsid w:val="005A5582"/>
    <w:rsid w:val="005A5985"/>
    <w:rsid w:val="005A5E0A"/>
    <w:rsid w:val="005A6067"/>
    <w:rsid w:val="005A7ADC"/>
    <w:rsid w:val="005A7E68"/>
    <w:rsid w:val="005B0B3E"/>
    <w:rsid w:val="005B0B7F"/>
    <w:rsid w:val="005B0D12"/>
    <w:rsid w:val="005B0DA7"/>
    <w:rsid w:val="005B101A"/>
    <w:rsid w:val="005B11E9"/>
    <w:rsid w:val="005B1582"/>
    <w:rsid w:val="005B1D66"/>
    <w:rsid w:val="005B1EE3"/>
    <w:rsid w:val="005B21AE"/>
    <w:rsid w:val="005B2201"/>
    <w:rsid w:val="005B256D"/>
    <w:rsid w:val="005B2670"/>
    <w:rsid w:val="005B32E3"/>
    <w:rsid w:val="005B34DB"/>
    <w:rsid w:val="005B3508"/>
    <w:rsid w:val="005B3A12"/>
    <w:rsid w:val="005B3FD3"/>
    <w:rsid w:val="005B4A00"/>
    <w:rsid w:val="005B4A7B"/>
    <w:rsid w:val="005B4F4F"/>
    <w:rsid w:val="005B507D"/>
    <w:rsid w:val="005B53F8"/>
    <w:rsid w:val="005B54D2"/>
    <w:rsid w:val="005B61BE"/>
    <w:rsid w:val="005B61CB"/>
    <w:rsid w:val="005B6240"/>
    <w:rsid w:val="005B627B"/>
    <w:rsid w:val="005B691C"/>
    <w:rsid w:val="005B6DBF"/>
    <w:rsid w:val="005B7CE0"/>
    <w:rsid w:val="005C057F"/>
    <w:rsid w:val="005C1096"/>
    <w:rsid w:val="005C15A9"/>
    <w:rsid w:val="005C15B3"/>
    <w:rsid w:val="005C1CCD"/>
    <w:rsid w:val="005C21A1"/>
    <w:rsid w:val="005C2BA3"/>
    <w:rsid w:val="005C2FA0"/>
    <w:rsid w:val="005C41D5"/>
    <w:rsid w:val="005C474C"/>
    <w:rsid w:val="005C53C4"/>
    <w:rsid w:val="005C5660"/>
    <w:rsid w:val="005C5683"/>
    <w:rsid w:val="005C5882"/>
    <w:rsid w:val="005C639E"/>
    <w:rsid w:val="005C66D4"/>
    <w:rsid w:val="005C7380"/>
    <w:rsid w:val="005C7681"/>
    <w:rsid w:val="005C7C3E"/>
    <w:rsid w:val="005D07BC"/>
    <w:rsid w:val="005D0993"/>
    <w:rsid w:val="005D0B5B"/>
    <w:rsid w:val="005D0E7D"/>
    <w:rsid w:val="005D0F30"/>
    <w:rsid w:val="005D1247"/>
    <w:rsid w:val="005D1D0E"/>
    <w:rsid w:val="005D23C8"/>
    <w:rsid w:val="005D25A3"/>
    <w:rsid w:val="005D2B4E"/>
    <w:rsid w:val="005D302C"/>
    <w:rsid w:val="005D303F"/>
    <w:rsid w:val="005D3A92"/>
    <w:rsid w:val="005D3F47"/>
    <w:rsid w:val="005D4EE6"/>
    <w:rsid w:val="005D4EF6"/>
    <w:rsid w:val="005D513C"/>
    <w:rsid w:val="005D5A8E"/>
    <w:rsid w:val="005D67A2"/>
    <w:rsid w:val="005D6E2C"/>
    <w:rsid w:val="005D73DA"/>
    <w:rsid w:val="005D7EA4"/>
    <w:rsid w:val="005E0D26"/>
    <w:rsid w:val="005E0D73"/>
    <w:rsid w:val="005E143E"/>
    <w:rsid w:val="005E1606"/>
    <w:rsid w:val="005E184C"/>
    <w:rsid w:val="005E1B61"/>
    <w:rsid w:val="005E1C38"/>
    <w:rsid w:val="005E26F6"/>
    <w:rsid w:val="005E2747"/>
    <w:rsid w:val="005E2BFE"/>
    <w:rsid w:val="005E2C19"/>
    <w:rsid w:val="005E2D81"/>
    <w:rsid w:val="005E38E1"/>
    <w:rsid w:val="005E3CF1"/>
    <w:rsid w:val="005E4358"/>
    <w:rsid w:val="005E4460"/>
    <w:rsid w:val="005E4BF8"/>
    <w:rsid w:val="005E4EA3"/>
    <w:rsid w:val="005E51D2"/>
    <w:rsid w:val="005E5610"/>
    <w:rsid w:val="005E56FD"/>
    <w:rsid w:val="005E5946"/>
    <w:rsid w:val="005E5CDD"/>
    <w:rsid w:val="005E63D6"/>
    <w:rsid w:val="005E65B6"/>
    <w:rsid w:val="005E670D"/>
    <w:rsid w:val="005E6F67"/>
    <w:rsid w:val="005E713E"/>
    <w:rsid w:val="005E721E"/>
    <w:rsid w:val="005E7AE9"/>
    <w:rsid w:val="005F022E"/>
    <w:rsid w:val="005F067F"/>
    <w:rsid w:val="005F0BF4"/>
    <w:rsid w:val="005F0D4C"/>
    <w:rsid w:val="005F1301"/>
    <w:rsid w:val="005F1804"/>
    <w:rsid w:val="005F266D"/>
    <w:rsid w:val="005F2737"/>
    <w:rsid w:val="005F2B8B"/>
    <w:rsid w:val="005F2FE5"/>
    <w:rsid w:val="005F3101"/>
    <w:rsid w:val="005F31A9"/>
    <w:rsid w:val="005F357C"/>
    <w:rsid w:val="005F36D2"/>
    <w:rsid w:val="005F38EE"/>
    <w:rsid w:val="005F4402"/>
    <w:rsid w:val="005F4550"/>
    <w:rsid w:val="005F5413"/>
    <w:rsid w:val="005F5723"/>
    <w:rsid w:val="005F5F72"/>
    <w:rsid w:val="005F63A5"/>
    <w:rsid w:val="005F64B9"/>
    <w:rsid w:val="005F64E9"/>
    <w:rsid w:val="005F6C22"/>
    <w:rsid w:val="005F72A4"/>
    <w:rsid w:val="005F7E84"/>
    <w:rsid w:val="00600292"/>
    <w:rsid w:val="00600301"/>
    <w:rsid w:val="0060053F"/>
    <w:rsid w:val="00600B81"/>
    <w:rsid w:val="00601C38"/>
    <w:rsid w:val="00601E01"/>
    <w:rsid w:val="0060226D"/>
    <w:rsid w:val="00602A03"/>
    <w:rsid w:val="00603511"/>
    <w:rsid w:val="00603EB8"/>
    <w:rsid w:val="006043A7"/>
    <w:rsid w:val="00604A04"/>
    <w:rsid w:val="00605737"/>
    <w:rsid w:val="0060594E"/>
    <w:rsid w:val="006059E4"/>
    <w:rsid w:val="0060616A"/>
    <w:rsid w:val="006064C4"/>
    <w:rsid w:val="00606748"/>
    <w:rsid w:val="00607081"/>
    <w:rsid w:val="00607610"/>
    <w:rsid w:val="00607639"/>
    <w:rsid w:val="00607C96"/>
    <w:rsid w:val="00607FCD"/>
    <w:rsid w:val="00610127"/>
    <w:rsid w:val="00610535"/>
    <w:rsid w:val="00610A27"/>
    <w:rsid w:val="00610A8F"/>
    <w:rsid w:val="00610BD4"/>
    <w:rsid w:val="006116D4"/>
    <w:rsid w:val="00611DB0"/>
    <w:rsid w:val="00612CFA"/>
    <w:rsid w:val="00613551"/>
    <w:rsid w:val="006138DC"/>
    <w:rsid w:val="0061397E"/>
    <w:rsid w:val="00613F26"/>
    <w:rsid w:val="00615149"/>
    <w:rsid w:val="006151F3"/>
    <w:rsid w:val="00615DBA"/>
    <w:rsid w:val="006162DB"/>
    <w:rsid w:val="00616841"/>
    <w:rsid w:val="00616C53"/>
    <w:rsid w:val="00617B14"/>
    <w:rsid w:val="00617F64"/>
    <w:rsid w:val="00620292"/>
    <w:rsid w:val="0062053C"/>
    <w:rsid w:val="006205F1"/>
    <w:rsid w:val="006208FF"/>
    <w:rsid w:val="00620937"/>
    <w:rsid w:val="006212D3"/>
    <w:rsid w:val="0062143B"/>
    <w:rsid w:val="006215CC"/>
    <w:rsid w:val="00621BD2"/>
    <w:rsid w:val="00621E2D"/>
    <w:rsid w:val="00621EF7"/>
    <w:rsid w:val="00622D01"/>
    <w:rsid w:val="0062312C"/>
    <w:rsid w:val="00625120"/>
    <w:rsid w:val="00625151"/>
    <w:rsid w:val="006256AF"/>
    <w:rsid w:val="0062701A"/>
    <w:rsid w:val="00627345"/>
    <w:rsid w:val="0062797C"/>
    <w:rsid w:val="00630144"/>
    <w:rsid w:val="0063024C"/>
    <w:rsid w:val="006322DB"/>
    <w:rsid w:val="00633A78"/>
    <w:rsid w:val="00633B84"/>
    <w:rsid w:val="00635ED6"/>
    <w:rsid w:val="00636861"/>
    <w:rsid w:val="00636ADD"/>
    <w:rsid w:val="00637073"/>
    <w:rsid w:val="006375B1"/>
    <w:rsid w:val="00637A4A"/>
    <w:rsid w:val="00637CE7"/>
    <w:rsid w:val="00637F84"/>
    <w:rsid w:val="00642D34"/>
    <w:rsid w:val="006430E8"/>
    <w:rsid w:val="006432F6"/>
    <w:rsid w:val="00643E78"/>
    <w:rsid w:val="006440EC"/>
    <w:rsid w:val="006447DD"/>
    <w:rsid w:val="00644CA1"/>
    <w:rsid w:val="00644EDE"/>
    <w:rsid w:val="00645574"/>
    <w:rsid w:val="00645DF2"/>
    <w:rsid w:val="0064640A"/>
    <w:rsid w:val="00646890"/>
    <w:rsid w:val="00647068"/>
    <w:rsid w:val="006470FB"/>
    <w:rsid w:val="00647735"/>
    <w:rsid w:val="00647C72"/>
    <w:rsid w:val="00650B64"/>
    <w:rsid w:val="00650E18"/>
    <w:rsid w:val="0065102F"/>
    <w:rsid w:val="00651B30"/>
    <w:rsid w:val="00651D47"/>
    <w:rsid w:val="0065228D"/>
    <w:rsid w:val="00652DCB"/>
    <w:rsid w:val="00653AC8"/>
    <w:rsid w:val="00653D24"/>
    <w:rsid w:val="00654937"/>
    <w:rsid w:val="0065547F"/>
    <w:rsid w:val="00655629"/>
    <w:rsid w:val="0065657D"/>
    <w:rsid w:val="00657559"/>
    <w:rsid w:val="0065796D"/>
    <w:rsid w:val="00660E31"/>
    <w:rsid w:val="00660EF6"/>
    <w:rsid w:val="0066173B"/>
    <w:rsid w:val="00661F1A"/>
    <w:rsid w:val="006622D0"/>
    <w:rsid w:val="006627EF"/>
    <w:rsid w:val="00662B50"/>
    <w:rsid w:val="00662D1F"/>
    <w:rsid w:val="006638D5"/>
    <w:rsid w:val="00663D34"/>
    <w:rsid w:val="00663EBD"/>
    <w:rsid w:val="0066451F"/>
    <w:rsid w:val="0066494F"/>
    <w:rsid w:val="0066537D"/>
    <w:rsid w:val="00665B0C"/>
    <w:rsid w:val="00666559"/>
    <w:rsid w:val="00666E2E"/>
    <w:rsid w:val="00666F6B"/>
    <w:rsid w:val="00667479"/>
    <w:rsid w:val="0066753C"/>
    <w:rsid w:val="006678B3"/>
    <w:rsid w:val="006678BE"/>
    <w:rsid w:val="00667D00"/>
    <w:rsid w:val="00670728"/>
    <w:rsid w:val="00670B4F"/>
    <w:rsid w:val="006723C9"/>
    <w:rsid w:val="00672FFB"/>
    <w:rsid w:val="006730D7"/>
    <w:rsid w:val="00673985"/>
    <w:rsid w:val="00673B02"/>
    <w:rsid w:val="00673FB4"/>
    <w:rsid w:val="00674A8D"/>
    <w:rsid w:val="00674D1C"/>
    <w:rsid w:val="006752C6"/>
    <w:rsid w:val="0067534D"/>
    <w:rsid w:val="006753D7"/>
    <w:rsid w:val="00675744"/>
    <w:rsid w:val="006768A7"/>
    <w:rsid w:val="00677770"/>
    <w:rsid w:val="00677CEF"/>
    <w:rsid w:val="006808BA"/>
    <w:rsid w:val="00680912"/>
    <w:rsid w:val="00680E85"/>
    <w:rsid w:val="00681C0D"/>
    <w:rsid w:val="00681C91"/>
    <w:rsid w:val="00681CC9"/>
    <w:rsid w:val="00681D42"/>
    <w:rsid w:val="00681FF6"/>
    <w:rsid w:val="00682276"/>
    <w:rsid w:val="006825B1"/>
    <w:rsid w:val="006829DA"/>
    <w:rsid w:val="00682ADF"/>
    <w:rsid w:val="006837EC"/>
    <w:rsid w:val="00683A3D"/>
    <w:rsid w:val="00683D67"/>
    <w:rsid w:val="00684103"/>
    <w:rsid w:val="006844F2"/>
    <w:rsid w:val="00684987"/>
    <w:rsid w:val="00685258"/>
    <w:rsid w:val="00685755"/>
    <w:rsid w:val="00685939"/>
    <w:rsid w:val="00685AD1"/>
    <w:rsid w:val="00685D21"/>
    <w:rsid w:val="00685DA7"/>
    <w:rsid w:val="006860EE"/>
    <w:rsid w:val="00686145"/>
    <w:rsid w:val="0068634C"/>
    <w:rsid w:val="00686C40"/>
    <w:rsid w:val="00686E21"/>
    <w:rsid w:val="0068710E"/>
    <w:rsid w:val="00687407"/>
    <w:rsid w:val="006874F6"/>
    <w:rsid w:val="0068781A"/>
    <w:rsid w:val="00690022"/>
    <w:rsid w:val="00690400"/>
    <w:rsid w:val="0069061C"/>
    <w:rsid w:val="0069072D"/>
    <w:rsid w:val="00690B56"/>
    <w:rsid w:val="00691260"/>
    <w:rsid w:val="0069223B"/>
    <w:rsid w:val="00693A52"/>
    <w:rsid w:val="00694392"/>
    <w:rsid w:val="00694566"/>
    <w:rsid w:val="0069464D"/>
    <w:rsid w:val="0069493E"/>
    <w:rsid w:val="0069582A"/>
    <w:rsid w:val="00695914"/>
    <w:rsid w:val="00695C62"/>
    <w:rsid w:val="00696287"/>
    <w:rsid w:val="0069694C"/>
    <w:rsid w:val="00696E9F"/>
    <w:rsid w:val="0069724F"/>
    <w:rsid w:val="006973D6"/>
    <w:rsid w:val="0069751A"/>
    <w:rsid w:val="00697968"/>
    <w:rsid w:val="00697CB3"/>
    <w:rsid w:val="00697D2B"/>
    <w:rsid w:val="00697F76"/>
    <w:rsid w:val="006A048A"/>
    <w:rsid w:val="006A054F"/>
    <w:rsid w:val="006A0E2F"/>
    <w:rsid w:val="006A181B"/>
    <w:rsid w:val="006A19AB"/>
    <w:rsid w:val="006A1FFC"/>
    <w:rsid w:val="006A219F"/>
    <w:rsid w:val="006A22BB"/>
    <w:rsid w:val="006A2C67"/>
    <w:rsid w:val="006A2FC0"/>
    <w:rsid w:val="006A339E"/>
    <w:rsid w:val="006A3AA1"/>
    <w:rsid w:val="006A45E2"/>
    <w:rsid w:val="006A4A7C"/>
    <w:rsid w:val="006A54D7"/>
    <w:rsid w:val="006A5D78"/>
    <w:rsid w:val="006A5EDD"/>
    <w:rsid w:val="006A681F"/>
    <w:rsid w:val="006A6914"/>
    <w:rsid w:val="006A746D"/>
    <w:rsid w:val="006A7867"/>
    <w:rsid w:val="006A788A"/>
    <w:rsid w:val="006B0922"/>
    <w:rsid w:val="006B0A39"/>
    <w:rsid w:val="006B0BF8"/>
    <w:rsid w:val="006B135F"/>
    <w:rsid w:val="006B1419"/>
    <w:rsid w:val="006B2319"/>
    <w:rsid w:val="006B2327"/>
    <w:rsid w:val="006B2D1D"/>
    <w:rsid w:val="006B301D"/>
    <w:rsid w:val="006B3F4B"/>
    <w:rsid w:val="006B4085"/>
    <w:rsid w:val="006B42EC"/>
    <w:rsid w:val="006B4A60"/>
    <w:rsid w:val="006B4EF6"/>
    <w:rsid w:val="006B5440"/>
    <w:rsid w:val="006B569C"/>
    <w:rsid w:val="006B5875"/>
    <w:rsid w:val="006B5889"/>
    <w:rsid w:val="006B61D8"/>
    <w:rsid w:val="006B6617"/>
    <w:rsid w:val="006B79E5"/>
    <w:rsid w:val="006C03A1"/>
    <w:rsid w:val="006C08AD"/>
    <w:rsid w:val="006C0E74"/>
    <w:rsid w:val="006C15DD"/>
    <w:rsid w:val="006C1806"/>
    <w:rsid w:val="006C1AB5"/>
    <w:rsid w:val="006C1C80"/>
    <w:rsid w:val="006C208C"/>
    <w:rsid w:val="006C2582"/>
    <w:rsid w:val="006C35D1"/>
    <w:rsid w:val="006C389E"/>
    <w:rsid w:val="006C39C3"/>
    <w:rsid w:val="006C3CCB"/>
    <w:rsid w:val="006C465B"/>
    <w:rsid w:val="006C4822"/>
    <w:rsid w:val="006C4FE1"/>
    <w:rsid w:val="006C5751"/>
    <w:rsid w:val="006C5755"/>
    <w:rsid w:val="006C60C5"/>
    <w:rsid w:val="006C6123"/>
    <w:rsid w:val="006D005F"/>
    <w:rsid w:val="006D03DE"/>
    <w:rsid w:val="006D056D"/>
    <w:rsid w:val="006D09BA"/>
    <w:rsid w:val="006D0A5A"/>
    <w:rsid w:val="006D0BBE"/>
    <w:rsid w:val="006D1817"/>
    <w:rsid w:val="006D1C58"/>
    <w:rsid w:val="006D21D1"/>
    <w:rsid w:val="006D27FA"/>
    <w:rsid w:val="006D31DF"/>
    <w:rsid w:val="006D335C"/>
    <w:rsid w:val="006D3772"/>
    <w:rsid w:val="006D405D"/>
    <w:rsid w:val="006D4738"/>
    <w:rsid w:val="006D4746"/>
    <w:rsid w:val="006D4923"/>
    <w:rsid w:val="006D49E8"/>
    <w:rsid w:val="006D51B9"/>
    <w:rsid w:val="006D59E9"/>
    <w:rsid w:val="006D5CB0"/>
    <w:rsid w:val="006D5CB8"/>
    <w:rsid w:val="006D5CF9"/>
    <w:rsid w:val="006D622B"/>
    <w:rsid w:val="006D64EF"/>
    <w:rsid w:val="006D7419"/>
    <w:rsid w:val="006D7576"/>
    <w:rsid w:val="006D75CA"/>
    <w:rsid w:val="006D76A4"/>
    <w:rsid w:val="006D7F8D"/>
    <w:rsid w:val="006E10CC"/>
    <w:rsid w:val="006E1A28"/>
    <w:rsid w:val="006E270D"/>
    <w:rsid w:val="006E286B"/>
    <w:rsid w:val="006E2A5A"/>
    <w:rsid w:val="006E2C89"/>
    <w:rsid w:val="006E32D4"/>
    <w:rsid w:val="006E32FF"/>
    <w:rsid w:val="006E3AF9"/>
    <w:rsid w:val="006E3ECE"/>
    <w:rsid w:val="006E4FFF"/>
    <w:rsid w:val="006E50C6"/>
    <w:rsid w:val="006E55E7"/>
    <w:rsid w:val="006E5757"/>
    <w:rsid w:val="006E5BBC"/>
    <w:rsid w:val="006E653D"/>
    <w:rsid w:val="006E6B1D"/>
    <w:rsid w:val="006E6C58"/>
    <w:rsid w:val="006E775B"/>
    <w:rsid w:val="006E7A78"/>
    <w:rsid w:val="006E7B72"/>
    <w:rsid w:val="006E7D65"/>
    <w:rsid w:val="006F0124"/>
    <w:rsid w:val="006F0257"/>
    <w:rsid w:val="006F03B8"/>
    <w:rsid w:val="006F0920"/>
    <w:rsid w:val="006F1884"/>
    <w:rsid w:val="006F247D"/>
    <w:rsid w:val="006F3774"/>
    <w:rsid w:val="006F381A"/>
    <w:rsid w:val="006F3F3B"/>
    <w:rsid w:val="006F40F6"/>
    <w:rsid w:val="006F4A19"/>
    <w:rsid w:val="006F5005"/>
    <w:rsid w:val="006F5039"/>
    <w:rsid w:val="006F57B9"/>
    <w:rsid w:val="006F59AF"/>
    <w:rsid w:val="006F59FF"/>
    <w:rsid w:val="006F6279"/>
    <w:rsid w:val="006F6484"/>
    <w:rsid w:val="006F669E"/>
    <w:rsid w:val="006F70F1"/>
    <w:rsid w:val="006F71A2"/>
    <w:rsid w:val="00700171"/>
    <w:rsid w:val="007005CF"/>
    <w:rsid w:val="00700727"/>
    <w:rsid w:val="00701A96"/>
    <w:rsid w:val="00701AFA"/>
    <w:rsid w:val="00701DF5"/>
    <w:rsid w:val="0070212F"/>
    <w:rsid w:val="00702198"/>
    <w:rsid w:val="0070236D"/>
    <w:rsid w:val="0070278A"/>
    <w:rsid w:val="00702DF2"/>
    <w:rsid w:val="00703934"/>
    <w:rsid w:val="00703A42"/>
    <w:rsid w:val="00703B7A"/>
    <w:rsid w:val="00703D4A"/>
    <w:rsid w:val="0070472E"/>
    <w:rsid w:val="00704BB0"/>
    <w:rsid w:val="00705166"/>
    <w:rsid w:val="0070535A"/>
    <w:rsid w:val="00705AC5"/>
    <w:rsid w:val="00705BCB"/>
    <w:rsid w:val="00705C85"/>
    <w:rsid w:val="0070601F"/>
    <w:rsid w:val="00706111"/>
    <w:rsid w:val="007066A1"/>
    <w:rsid w:val="007066A7"/>
    <w:rsid w:val="0070674C"/>
    <w:rsid w:val="00706E1D"/>
    <w:rsid w:val="007072D8"/>
    <w:rsid w:val="007101AA"/>
    <w:rsid w:val="0071040C"/>
    <w:rsid w:val="00710938"/>
    <w:rsid w:val="00711708"/>
    <w:rsid w:val="00711862"/>
    <w:rsid w:val="0071297A"/>
    <w:rsid w:val="007133A3"/>
    <w:rsid w:val="00713602"/>
    <w:rsid w:val="00714020"/>
    <w:rsid w:val="007143B8"/>
    <w:rsid w:val="00714672"/>
    <w:rsid w:val="007147C7"/>
    <w:rsid w:val="00714D14"/>
    <w:rsid w:val="00714D63"/>
    <w:rsid w:val="00714E86"/>
    <w:rsid w:val="007150A5"/>
    <w:rsid w:val="007159D7"/>
    <w:rsid w:val="00715F28"/>
    <w:rsid w:val="007167AE"/>
    <w:rsid w:val="00716886"/>
    <w:rsid w:val="00716A6F"/>
    <w:rsid w:val="00716ABD"/>
    <w:rsid w:val="00716C8F"/>
    <w:rsid w:val="007170EF"/>
    <w:rsid w:val="00717298"/>
    <w:rsid w:val="00717329"/>
    <w:rsid w:val="0071751B"/>
    <w:rsid w:val="00717548"/>
    <w:rsid w:val="00720AA7"/>
    <w:rsid w:val="00721461"/>
    <w:rsid w:val="0072171B"/>
    <w:rsid w:val="00721F9D"/>
    <w:rsid w:val="0072258A"/>
    <w:rsid w:val="00722640"/>
    <w:rsid w:val="007226ED"/>
    <w:rsid w:val="007231F8"/>
    <w:rsid w:val="0072332A"/>
    <w:rsid w:val="007233A8"/>
    <w:rsid w:val="007237B1"/>
    <w:rsid w:val="00724023"/>
    <w:rsid w:val="007244D6"/>
    <w:rsid w:val="00725C20"/>
    <w:rsid w:val="00725D77"/>
    <w:rsid w:val="00725F87"/>
    <w:rsid w:val="007260FB"/>
    <w:rsid w:val="0072647F"/>
    <w:rsid w:val="00730611"/>
    <w:rsid w:val="00730A0A"/>
    <w:rsid w:val="00730A50"/>
    <w:rsid w:val="00730A59"/>
    <w:rsid w:val="00730E68"/>
    <w:rsid w:val="007311CA"/>
    <w:rsid w:val="0073134C"/>
    <w:rsid w:val="00731546"/>
    <w:rsid w:val="007315F3"/>
    <w:rsid w:val="00731925"/>
    <w:rsid w:val="0073221D"/>
    <w:rsid w:val="0073237C"/>
    <w:rsid w:val="007331B8"/>
    <w:rsid w:val="007335AC"/>
    <w:rsid w:val="00734499"/>
    <w:rsid w:val="00734FD9"/>
    <w:rsid w:val="00735963"/>
    <w:rsid w:val="0073617F"/>
    <w:rsid w:val="007361D2"/>
    <w:rsid w:val="00736285"/>
    <w:rsid w:val="007367A6"/>
    <w:rsid w:val="0073783B"/>
    <w:rsid w:val="00737AB8"/>
    <w:rsid w:val="00737E70"/>
    <w:rsid w:val="00737E72"/>
    <w:rsid w:val="00737F13"/>
    <w:rsid w:val="007402C5"/>
    <w:rsid w:val="00740695"/>
    <w:rsid w:val="00740A77"/>
    <w:rsid w:val="007413EB"/>
    <w:rsid w:val="00741842"/>
    <w:rsid w:val="0074258E"/>
    <w:rsid w:val="00742790"/>
    <w:rsid w:val="00742E1A"/>
    <w:rsid w:val="00743A48"/>
    <w:rsid w:val="00743E67"/>
    <w:rsid w:val="00743F94"/>
    <w:rsid w:val="00744047"/>
    <w:rsid w:val="00744700"/>
    <w:rsid w:val="00744B29"/>
    <w:rsid w:val="00744F29"/>
    <w:rsid w:val="0074610B"/>
    <w:rsid w:val="00746359"/>
    <w:rsid w:val="00746DA3"/>
    <w:rsid w:val="00746F81"/>
    <w:rsid w:val="00747225"/>
    <w:rsid w:val="007472F2"/>
    <w:rsid w:val="00747BC0"/>
    <w:rsid w:val="007509F6"/>
    <w:rsid w:val="0075106F"/>
    <w:rsid w:val="00751158"/>
    <w:rsid w:val="00751864"/>
    <w:rsid w:val="007518DF"/>
    <w:rsid w:val="00752140"/>
    <w:rsid w:val="00752943"/>
    <w:rsid w:val="00752E92"/>
    <w:rsid w:val="00752E9A"/>
    <w:rsid w:val="00753089"/>
    <w:rsid w:val="0075320D"/>
    <w:rsid w:val="007532E2"/>
    <w:rsid w:val="007535BE"/>
    <w:rsid w:val="00753619"/>
    <w:rsid w:val="00753693"/>
    <w:rsid w:val="00754724"/>
    <w:rsid w:val="00754DDA"/>
    <w:rsid w:val="00754EF0"/>
    <w:rsid w:val="0075560F"/>
    <w:rsid w:val="00755DCC"/>
    <w:rsid w:val="00755EF3"/>
    <w:rsid w:val="00756F4D"/>
    <w:rsid w:val="00757737"/>
    <w:rsid w:val="00757741"/>
    <w:rsid w:val="007600F6"/>
    <w:rsid w:val="0076011F"/>
    <w:rsid w:val="007601A2"/>
    <w:rsid w:val="00760386"/>
    <w:rsid w:val="007606BC"/>
    <w:rsid w:val="0076095A"/>
    <w:rsid w:val="00760A36"/>
    <w:rsid w:val="00760CD4"/>
    <w:rsid w:val="0076171E"/>
    <w:rsid w:val="00761CBB"/>
    <w:rsid w:val="0076214F"/>
    <w:rsid w:val="007623D7"/>
    <w:rsid w:val="00762763"/>
    <w:rsid w:val="007629E8"/>
    <w:rsid w:val="00762B4B"/>
    <w:rsid w:val="00762DD4"/>
    <w:rsid w:val="00763025"/>
    <w:rsid w:val="00763180"/>
    <w:rsid w:val="00763ABC"/>
    <w:rsid w:val="00763B9F"/>
    <w:rsid w:val="0076422C"/>
    <w:rsid w:val="00764441"/>
    <w:rsid w:val="007644C7"/>
    <w:rsid w:val="007648DB"/>
    <w:rsid w:val="00764A4F"/>
    <w:rsid w:val="00765090"/>
    <w:rsid w:val="007650E8"/>
    <w:rsid w:val="00765653"/>
    <w:rsid w:val="00766F1E"/>
    <w:rsid w:val="00767FC7"/>
    <w:rsid w:val="007714FD"/>
    <w:rsid w:val="0077199E"/>
    <w:rsid w:val="007727CF"/>
    <w:rsid w:val="007732B1"/>
    <w:rsid w:val="007735B5"/>
    <w:rsid w:val="007739CC"/>
    <w:rsid w:val="007739EF"/>
    <w:rsid w:val="0077414C"/>
    <w:rsid w:val="00774635"/>
    <w:rsid w:val="00774642"/>
    <w:rsid w:val="00774F24"/>
    <w:rsid w:val="007750BD"/>
    <w:rsid w:val="007756F0"/>
    <w:rsid w:val="007758F3"/>
    <w:rsid w:val="00775AE5"/>
    <w:rsid w:val="00775CCB"/>
    <w:rsid w:val="00776344"/>
    <w:rsid w:val="007766FC"/>
    <w:rsid w:val="00776822"/>
    <w:rsid w:val="0077694F"/>
    <w:rsid w:val="00776C40"/>
    <w:rsid w:val="0077768E"/>
    <w:rsid w:val="007778B7"/>
    <w:rsid w:val="007801FF"/>
    <w:rsid w:val="00780C66"/>
    <w:rsid w:val="00780FAC"/>
    <w:rsid w:val="00780FBF"/>
    <w:rsid w:val="00781037"/>
    <w:rsid w:val="00782787"/>
    <w:rsid w:val="00782852"/>
    <w:rsid w:val="00782901"/>
    <w:rsid w:val="00783129"/>
    <w:rsid w:val="0078419B"/>
    <w:rsid w:val="00784230"/>
    <w:rsid w:val="007843B5"/>
    <w:rsid w:val="00784E1E"/>
    <w:rsid w:val="00785270"/>
    <w:rsid w:val="0078658D"/>
    <w:rsid w:val="007868A6"/>
    <w:rsid w:val="007869A5"/>
    <w:rsid w:val="0078745D"/>
    <w:rsid w:val="00787A44"/>
    <w:rsid w:val="00787AA4"/>
    <w:rsid w:val="00787CCC"/>
    <w:rsid w:val="00787CED"/>
    <w:rsid w:val="00790A39"/>
    <w:rsid w:val="00790FAC"/>
    <w:rsid w:val="00791679"/>
    <w:rsid w:val="00792507"/>
    <w:rsid w:val="0079259F"/>
    <w:rsid w:val="007926B4"/>
    <w:rsid w:val="00792730"/>
    <w:rsid w:val="00792F83"/>
    <w:rsid w:val="0079304D"/>
    <w:rsid w:val="00793203"/>
    <w:rsid w:val="00793381"/>
    <w:rsid w:val="00793B70"/>
    <w:rsid w:val="00796130"/>
    <w:rsid w:val="007969B7"/>
    <w:rsid w:val="00797906"/>
    <w:rsid w:val="007A049B"/>
    <w:rsid w:val="007A0BE0"/>
    <w:rsid w:val="007A0CA9"/>
    <w:rsid w:val="007A1C52"/>
    <w:rsid w:val="007A207E"/>
    <w:rsid w:val="007A20F7"/>
    <w:rsid w:val="007A241D"/>
    <w:rsid w:val="007A2F35"/>
    <w:rsid w:val="007A2F63"/>
    <w:rsid w:val="007A3169"/>
    <w:rsid w:val="007A3788"/>
    <w:rsid w:val="007A4B03"/>
    <w:rsid w:val="007A529E"/>
    <w:rsid w:val="007A5377"/>
    <w:rsid w:val="007A5685"/>
    <w:rsid w:val="007A5865"/>
    <w:rsid w:val="007A6315"/>
    <w:rsid w:val="007A69A4"/>
    <w:rsid w:val="007A7DBF"/>
    <w:rsid w:val="007B084D"/>
    <w:rsid w:val="007B0EBF"/>
    <w:rsid w:val="007B14CB"/>
    <w:rsid w:val="007B1993"/>
    <w:rsid w:val="007B1A25"/>
    <w:rsid w:val="007B1FB8"/>
    <w:rsid w:val="007B2AA6"/>
    <w:rsid w:val="007B34DB"/>
    <w:rsid w:val="007B37B9"/>
    <w:rsid w:val="007B3E0E"/>
    <w:rsid w:val="007B3FBF"/>
    <w:rsid w:val="007B4868"/>
    <w:rsid w:val="007B4A48"/>
    <w:rsid w:val="007B5097"/>
    <w:rsid w:val="007B5876"/>
    <w:rsid w:val="007B73DF"/>
    <w:rsid w:val="007B7F7D"/>
    <w:rsid w:val="007C071D"/>
    <w:rsid w:val="007C0C76"/>
    <w:rsid w:val="007C1B99"/>
    <w:rsid w:val="007C1D53"/>
    <w:rsid w:val="007C277B"/>
    <w:rsid w:val="007C2969"/>
    <w:rsid w:val="007C2C10"/>
    <w:rsid w:val="007C34FF"/>
    <w:rsid w:val="007C3656"/>
    <w:rsid w:val="007C389A"/>
    <w:rsid w:val="007C3D69"/>
    <w:rsid w:val="007C4A72"/>
    <w:rsid w:val="007C4DC2"/>
    <w:rsid w:val="007C53E1"/>
    <w:rsid w:val="007C7181"/>
    <w:rsid w:val="007C71FF"/>
    <w:rsid w:val="007C7608"/>
    <w:rsid w:val="007C79FC"/>
    <w:rsid w:val="007C7B83"/>
    <w:rsid w:val="007C7B9C"/>
    <w:rsid w:val="007C7D5A"/>
    <w:rsid w:val="007D03D5"/>
    <w:rsid w:val="007D0901"/>
    <w:rsid w:val="007D0F12"/>
    <w:rsid w:val="007D136D"/>
    <w:rsid w:val="007D24A2"/>
    <w:rsid w:val="007D2537"/>
    <w:rsid w:val="007D3703"/>
    <w:rsid w:val="007D3870"/>
    <w:rsid w:val="007D415A"/>
    <w:rsid w:val="007D43B0"/>
    <w:rsid w:val="007D4606"/>
    <w:rsid w:val="007D4B7D"/>
    <w:rsid w:val="007D50EF"/>
    <w:rsid w:val="007D5147"/>
    <w:rsid w:val="007D51EF"/>
    <w:rsid w:val="007D5CAD"/>
    <w:rsid w:val="007D5F90"/>
    <w:rsid w:val="007D7AFF"/>
    <w:rsid w:val="007D7D9B"/>
    <w:rsid w:val="007E0107"/>
    <w:rsid w:val="007E0203"/>
    <w:rsid w:val="007E0669"/>
    <w:rsid w:val="007E0AA5"/>
    <w:rsid w:val="007E0B1F"/>
    <w:rsid w:val="007E0DE8"/>
    <w:rsid w:val="007E1364"/>
    <w:rsid w:val="007E1376"/>
    <w:rsid w:val="007E145F"/>
    <w:rsid w:val="007E17BB"/>
    <w:rsid w:val="007E24FD"/>
    <w:rsid w:val="007E2784"/>
    <w:rsid w:val="007E2EB2"/>
    <w:rsid w:val="007E31A6"/>
    <w:rsid w:val="007E3593"/>
    <w:rsid w:val="007E384E"/>
    <w:rsid w:val="007E3AE1"/>
    <w:rsid w:val="007E44BC"/>
    <w:rsid w:val="007E4697"/>
    <w:rsid w:val="007E476A"/>
    <w:rsid w:val="007E4CA7"/>
    <w:rsid w:val="007E4D55"/>
    <w:rsid w:val="007E546E"/>
    <w:rsid w:val="007E5A37"/>
    <w:rsid w:val="007E5B61"/>
    <w:rsid w:val="007E63D6"/>
    <w:rsid w:val="007E736E"/>
    <w:rsid w:val="007E7755"/>
    <w:rsid w:val="007F035E"/>
    <w:rsid w:val="007F03AB"/>
    <w:rsid w:val="007F06E3"/>
    <w:rsid w:val="007F07AD"/>
    <w:rsid w:val="007F0FA0"/>
    <w:rsid w:val="007F1DDC"/>
    <w:rsid w:val="007F20ED"/>
    <w:rsid w:val="007F347F"/>
    <w:rsid w:val="007F3D04"/>
    <w:rsid w:val="007F47FC"/>
    <w:rsid w:val="007F4855"/>
    <w:rsid w:val="007F4989"/>
    <w:rsid w:val="007F4A69"/>
    <w:rsid w:val="007F5213"/>
    <w:rsid w:val="007F56AB"/>
    <w:rsid w:val="007F619A"/>
    <w:rsid w:val="007F7097"/>
    <w:rsid w:val="007F70ED"/>
    <w:rsid w:val="007F7499"/>
    <w:rsid w:val="007F782B"/>
    <w:rsid w:val="007F78BA"/>
    <w:rsid w:val="007F7DC9"/>
    <w:rsid w:val="008003AC"/>
    <w:rsid w:val="00800645"/>
    <w:rsid w:val="0080066D"/>
    <w:rsid w:val="00800C4D"/>
    <w:rsid w:val="00800E54"/>
    <w:rsid w:val="0080113E"/>
    <w:rsid w:val="008014A3"/>
    <w:rsid w:val="00801A98"/>
    <w:rsid w:val="0080211F"/>
    <w:rsid w:val="00802EC3"/>
    <w:rsid w:val="00803245"/>
    <w:rsid w:val="00803699"/>
    <w:rsid w:val="0080396E"/>
    <w:rsid w:val="008041D6"/>
    <w:rsid w:val="008042B9"/>
    <w:rsid w:val="008045C4"/>
    <w:rsid w:val="00804BFE"/>
    <w:rsid w:val="00806346"/>
    <w:rsid w:val="0080683A"/>
    <w:rsid w:val="00806E68"/>
    <w:rsid w:val="00807770"/>
    <w:rsid w:val="0080791A"/>
    <w:rsid w:val="0081045A"/>
    <w:rsid w:val="0081070F"/>
    <w:rsid w:val="00810DFF"/>
    <w:rsid w:val="00811269"/>
    <w:rsid w:val="008115D1"/>
    <w:rsid w:val="00811F7D"/>
    <w:rsid w:val="008122EA"/>
    <w:rsid w:val="008134AD"/>
    <w:rsid w:val="00813B21"/>
    <w:rsid w:val="00813D8B"/>
    <w:rsid w:val="00813FBF"/>
    <w:rsid w:val="0081461A"/>
    <w:rsid w:val="00814F22"/>
    <w:rsid w:val="00816058"/>
    <w:rsid w:val="008161E4"/>
    <w:rsid w:val="0081648E"/>
    <w:rsid w:val="00816641"/>
    <w:rsid w:val="00816C36"/>
    <w:rsid w:val="00817815"/>
    <w:rsid w:val="00820EC6"/>
    <w:rsid w:val="008214B5"/>
    <w:rsid w:val="008215E3"/>
    <w:rsid w:val="00821843"/>
    <w:rsid w:val="00821E5C"/>
    <w:rsid w:val="00821F0B"/>
    <w:rsid w:val="00821F75"/>
    <w:rsid w:val="008228D2"/>
    <w:rsid w:val="00822D03"/>
    <w:rsid w:val="0082348A"/>
    <w:rsid w:val="00824574"/>
    <w:rsid w:val="00824C15"/>
    <w:rsid w:val="00824F52"/>
    <w:rsid w:val="0082582D"/>
    <w:rsid w:val="00825A28"/>
    <w:rsid w:val="00826B5F"/>
    <w:rsid w:val="00826DBB"/>
    <w:rsid w:val="00826FE5"/>
    <w:rsid w:val="008272C2"/>
    <w:rsid w:val="00827C1C"/>
    <w:rsid w:val="00827DA9"/>
    <w:rsid w:val="0083121F"/>
    <w:rsid w:val="0083153B"/>
    <w:rsid w:val="00831848"/>
    <w:rsid w:val="00831E72"/>
    <w:rsid w:val="00832026"/>
    <w:rsid w:val="008327DF"/>
    <w:rsid w:val="00834961"/>
    <w:rsid w:val="00834BF7"/>
    <w:rsid w:val="008354B8"/>
    <w:rsid w:val="00835744"/>
    <w:rsid w:val="008364EE"/>
    <w:rsid w:val="0083651E"/>
    <w:rsid w:val="0083664E"/>
    <w:rsid w:val="00836A54"/>
    <w:rsid w:val="0083710F"/>
    <w:rsid w:val="008372F7"/>
    <w:rsid w:val="008372FA"/>
    <w:rsid w:val="00841079"/>
    <w:rsid w:val="00841F2F"/>
    <w:rsid w:val="008424F7"/>
    <w:rsid w:val="00843134"/>
    <w:rsid w:val="008437ED"/>
    <w:rsid w:val="00843DFE"/>
    <w:rsid w:val="008440AC"/>
    <w:rsid w:val="00844269"/>
    <w:rsid w:val="00844508"/>
    <w:rsid w:val="00844D39"/>
    <w:rsid w:val="00844D98"/>
    <w:rsid w:val="00845CEE"/>
    <w:rsid w:val="00845FD4"/>
    <w:rsid w:val="00846A3B"/>
    <w:rsid w:val="00846AA8"/>
    <w:rsid w:val="00846B1D"/>
    <w:rsid w:val="00846E6F"/>
    <w:rsid w:val="008471B8"/>
    <w:rsid w:val="00847232"/>
    <w:rsid w:val="00847CD3"/>
    <w:rsid w:val="008502A8"/>
    <w:rsid w:val="00850489"/>
    <w:rsid w:val="00850B1A"/>
    <w:rsid w:val="00851350"/>
    <w:rsid w:val="00852786"/>
    <w:rsid w:val="00852AAB"/>
    <w:rsid w:val="008538E9"/>
    <w:rsid w:val="00853FA7"/>
    <w:rsid w:val="0085405D"/>
    <w:rsid w:val="00854B37"/>
    <w:rsid w:val="0085545C"/>
    <w:rsid w:val="00855748"/>
    <w:rsid w:val="008557F2"/>
    <w:rsid w:val="00855D04"/>
    <w:rsid w:val="008564A4"/>
    <w:rsid w:val="008567D5"/>
    <w:rsid w:val="00857473"/>
    <w:rsid w:val="008603B3"/>
    <w:rsid w:val="00861414"/>
    <w:rsid w:val="0086167D"/>
    <w:rsid w:val="0086199C"/>
    <w:rsid w:val="00861C1A"/>
    <w:rsid w:val="00862159"/>
    <w:rsid w:val="00862387"/>
    <w:rsid w:val="008627D4"/>
    <w:rsid w:val="00862BAE"/>
    <w:rsid w:val="00862C73"/>
    <w:rsid w:val="008632A2"/>
    <w:rsid w:val="0086499A"/>
    <w:rsid w:val="008654BC"/>
    <w:rsid w:val="0086580A"/>
    <w:rsid w:val="00866139"/>
    <w:rsid w:val="00866B2D"/>
    <w:rsid w:val="00866CA3"/>
    <w:rsid w:val="0086712E"/>
    <w:rsid w:val="0086729B"/>
    <w:rsid w:val="0086740B"/>
    <w:rsid w:val="0086759E"/>
    <w:rsid w:val="008677D0"/>
    <w:rsid w:val="00870297"/>
    <w:rsid w:val="00871FDE"/>
    <w:rsid w:val="00872014"/>
    <w:rsid w:val="008721B7"/>
    <w:rsid w:val="00872785"/>
    <w:rsid w:val="00872E26"/>
    <w:rsid w:val="00873361"/>
    <w:rsid w:val="00873448"/>
    <w:rsid w:val="008736C6"/>
    <w:rsid w:val="008738A6"/>
    <w:rsid w:val="00873BC0"/>
    <w:rsid w:val="00873E05"/>
    <w:rsid w:val="00874029"/>
    <w:rsid w:val="008749CF"/>
    <w:rsid w:val="00874C13"/>
    <w:rsid w:val="008753EA"/>
    <w:rsid w:val="00875AD8"/>
    <w:rsid w:val="00875B55"/>
    <w:rsid w:val="00875D25"/>
    <w:rsid w:val="00875EC5"/>
    <w:rsid w:val="00876320"/>
    <w:rsid w:val="00876476"/>
    <w:rsid w:val="008768AD"/>
    <w:rsid w:val="00876F40"/>
    <w:rsid w:val="00877778"/>
    <w:rsid w:val="0088037E"/>
    <w:rsid w:val="00880F25"/>
    <w:rsid w:val="00881213"/>
    <w:rsid w:val="00881730"/>
    <w:rsid w:val="00881D25"/>
    <w:rsid w:val="008825C9"/>
    <w:rsid w:val="0088296D"/>
    <w:rsid w:val="00882E04"/>
    <w:rsid w:val="00883E01"/>
    <w:rsid w:val="00883ECD"/>
    <w:rsid w:val="008853E0"/>
    <w:rsid w:val="00885C24"/>
    <w:rsid w:val="008860C7"/>
    <w:rsid w:val="008861B1"/>
    <w:rsid w:val="008867D5"/>
    <w:rsid w:val="00886939"/>
    <w:rsid w:val="00886DC7"/>
    <w:rsid w:val="0088766C"/>
    <w:rsid w:val="008908CF"/>
    <w:rsid w:val="00890EB5"/>
    <w:rsid w:val="0089115A"/>
    <w:rsid w:val="0089117A"/>
    <w:rsid w:val="00891282"/>
    <w:rsid w:val="00892B0F"/>
    <w:rsid w:val="0089376C"/>
    <w:rsid w:val="008937A0"/>
    <w:rsid w:val="00893AF6"/>
    <w:rsid w:val="00893F04"/>
    <w:rsid w:val="008945E2"/>
    <w:rsid w:val="00894A73"/>
    <w:rsid w:val="00895020"/>
    <w:rsid w:val="00895374"/>
    <w:rsid w:val="00895748"/>
    <w:rsid w:val="0089585C"/>
    <w:rsid w:val="00895D25"/>
    <w:rsid w:val="00895D6E"/>
    <w:rsid w:val="00896152"/>
    <w:rsid w:val="0089642D"/>
    <w:rsid w:val="00896572"/>
    <w:rsid w:val="008968D0"/>
    <w:rsid w:val="00896A7E"/>
    <w:rsid w:val="008975C1"/>
    <w:rsid w:val="008975C4"/>
    <w:rsid w:val="00897EC5"/>
    <w:rsid w:val="008A0D54"/>
    <w:rsid w:val="008A2123"/>
    <w:rsid w:val="008A22D2"/>
    <w:rsid w:val="008A2870"/>
    <w:rsid w:val="008A28CD"/>
    <w:rsid w:val="008A2F47"/>
    <w:rsid w:val="008A30E0"/>
    <w:rsid w:val="008A3752"/>
    <w:rsid w:val="008A3F45"/>
    <w:rsid w:val="008A43DB"/>
    <w:rsid w:val="008A4569"/>
    <w:rsid w:val="008A464B"/>
    <w:rsid w:val="008A47D0"/>
    <w:rsid w:val="008A4E80"/>
    <w:rsid w:val="008A4F3A"/>
    <w:rsid w:val="008A5518"/>
    <w:rsid w:val="008A5645"/>
    <w:rsid w:val="008A5EC4"/>
    <w:rsid w:val="008A5F74"/>
    <w:rsid w:val="008A6B84"/>
    <w:rsid w:val="008A6FBF"/>
    <w:rsid w:val="008A7014"/>
    <w:rsid w:val="008A7201"/>
    <w:rsid w:val="008A7667"/>
    <w:rsid w:val="008A7A1D"/>
    <w:rsid w:val="008A7A35"/>
    <w:rsid w:val="008A7F09"/>
    <w:rsid w:val="008B2402"/>
    <w:rsid w:val="008B241A"/>
    <w:rsid w:val="008B2A33"/>
    <w:rsid w:val="008B2AB4"/>
    <w:rsid w:val="008B2DC4"/>
    <w:rsid w:val="008B2DF7"/>
    <w:rsid w:val="008B3631"/>
    <w:rsid w:val="008B3976"/>
    <w:rsid w:val="008B4484"/>
    <w:rsid w:val="008B514A"/>
    <w:rsid w:val="008B553D"/>
    <w:rsid w:val="008B574D"/>
    <w:rsid w:val="008B58B3"/>
    <w:rsid w:val="008B5A3E"/>
    <w:rsid w:val="008B5BC1"/>
    <w:rsid w:val="008B5D3D"/>
    <w:rsid w:val="008B692D"/>
    <w:rsid w:val="008B6D3D"/>
    <w:rsid w:val="008B73E2"/>
    <w:rsid w:val="008B7734"/>
    <w:rsid w:val="008B7883"/>
    <w:rsid w:val="008B7AAF"/>
    <w:rsid w:val="008B7F6E"/>
    <w:rsid w:val="008C00E8"/>
    <w:rsid w:val="008C0119"/>
    <w:rsid w:val="008C0351"/>
    <w:rsid w:val="008C057E"/>
    <w:rsid w:val="008C08CA"/>
    <w:rsid w:val="008C2B6B"/>
    <w:rsid w:val="008C3A53"/>
    <w:rsid w:val="008C4295"/>
    <w:rsid w:val="008C4570"/>
    <w:rsid w:val="008C48FB"/>
    <w:rsid w:val="008C5E0B"/>
    <w:rsid w:val="008C62E5"/>
    <w:rsid w:val="008C6564"/>
    <w:rsid w:val="008C6785"/>
    <w:rsid w:val="008C6C60"/>
    <w:rsid w:val="008C74FA"/>
    <w:rsid w:val="008D0006"/>
    <w:rsid w:val="008D02A0"/>
    <w:rsid w:val="008D0663"/>
    <w:rsid w:val="008D0909"/>
    <w:rsid w:val="008D0A6C"/>
    <w:rsid w:val="008D1E2D"/>
    <w:rsid w:val="008D1EA0"/>
    <w:rsid w:val="008D1F84"/>
    <w:rsid w:val="008D273E"/>
    <w:rsid w:val="008D2838"/>
    <w:rsid w:val="008D2E9C"/>
    <w:rsid w:val="008D365F"/>
    <w:rsid w:val="008D3C6A"/>
    <w:rsid w:val="008D3EC5"/>
    <w:rsid w:val="008D5099"/>
    <w:rsid w:val="008D5B45"/>
    <w:rsid w:val="008D5D1F"/>
    <w:rsid w:val="008D60EE"/>
    <w:rsid w:val="008D61F1"/>
    <w:rsid w:val="008D6976"/>
    <w:rsid w:val="008D6B2C"/>
    <w:rsid w:val="008D6CC7"/>
    <w:rsid w:val="008D6EF0"/>
    <w:rsid w:val="008E0876"/>
    <w:rsid w:val="008E170B"/>
    <w:rsid w:val="008E1D58"/>
    <w:rsid w:val="008E22D6"/>
    <w:rsid w:val="008E248A"/>
    <w:rsid w:val="008E257F"/>
    <w:rsid w:val="008E27FF"/>
    <w:rsid w:val="008E2980"/>
    <w:rsid w:val="008E2B07"/>
    <w:rsid w:val="008E2CFB"/>
    <w:rsid w:val="008E2F07"/>
    <w:rsid w:val="008E37DE"/>
    <w:rsid w:val="008E39D2"/>
    <w:rsid w:val="008E3B80"/>
    <w:rsid w:val="008E3CC8"/>
    <w:rsid w:val="008E3D9F"/>
    <w:rsid w:val="008E3E72"/>
    <w:rsid w:val="008E3FF8"/>
    <w:rsid w:val="008E4113"/>
    <w:rsid w:val="008E42DE"/>
    <w:rsid w:val="008E46D7"/>
    <w:rsid w:val="008E4EF8"/>
    <w:rsid w:val="008E5263"/>
    <w:rsid w:val="008E52D3"/>
    <w:rsid w:val="008E554F"/>
    <w:rsid w:val="008E5DCC"/>
    <w:rsid w:val="008E5E72"/>
    <w:rsid w:val="008E64A7"/>
    <w:rsid w:val="008E6D0A"/>
    <w:rsid w:val="008E701B"/>
    <w:rsid w:val="008E7541"/>
    <w:rsid w:val="008E7A33"/>
    <w:rsid w:val="008F01E1"/>
    <w:rsid w:val="008F0C93"/>
    <w:rsid w:val="008F176A"/>
    <w:rsid w:val="008F28A6"/>
    <w:rsid w:val="008F2BE9"/>
    <w:rsid w:val="008F33FF"/>
    <w:rsid w:val="008F36E0"/>
    <w:rsid w:val="008F37BA"/>
    <w:rsid w:val="008F3DC0"/>
    <w:rsid w:val="008F3E57"/>
    <w:rsid w:val="008F40CA"/>
    <w:rsid w:val="008F4113"/>
    <w:rsid w:val="008F4493"/>
    <w:rsid w:val="008F4630"/>
    <w:rsid w:val="008F4665"/>
    <w:rsid w:val="008F4B0E"/>
    <w:rsid w:val="008F4CB6"/>
    <w:rsid w:val="008F532B"/>
    <w:rsid w:val="008F6473"/>
    <w:rsid w:val="008F64B0"/>
    <w:rsid w:val="008F6C71"/>
    <w:rsid w:val="008F70AA"/>
    <w:rsid w:val="008F7429"/>
    <w:rsid w:val="008F7664"/>
    <w:rsid w:val="008F7EA2"/>
    <w:rsid w:val="009000E5"/>
    <w:rsid w:val="009005CF"/>
    <w:rsid w:val="00900838"/>
    <w:rsid w:val="0090089E"/>
    <w:rsid w:val="00900FF8"/>
    <w:rsid w:val="009012DC"/>
    <w:rsid w:val="0090137B"/>
    <w:rsid w:val="009016DF"/>
    <w:rsid w:val="00901719"/>
    <w:rsid w:val="00901902"/>
    <w:rsid w:val="00901BD8"/>
    <w:rsid w:val="0090300E"/>
    <w:rsid w:val="00903623"/>
    <w:rsid w:val="009039D0"/>
    <w:rsid w:val="00903B72"/>
    <w:rsid w:val="00903C11"/>
    <w:rsid w:val="00903C74"/>
    <w:rsid w:val="0090408E"/>
    <w:rsid w:val="009047F4"/>
    <w:rsid w:val="0090487A"/>
    <w:rsid w:val="00904AF0"/>
    <w:rsid w:val="00904DE1"/>
    <w:rsid w:val="0090604C"/>
    <w:rsid w:val="009068DF"/>
    <w:rsid w:val="00906BC4"/>
    <w:rsid w:val="009107C1"/>
    <w:rsid w:val="0091171C"/>
    <w:rsid w:val="00912268"/>
    <w:rsid w:val="0091242F"/>
    <w:rsid w:val="00912570"/>
    <w:rsid w:val="009128E0"/>
    <w:rsid w:val="00912D55"/>
    <w:rsid w:val="00913910"/>
    <w:rsid w:val="00913EAB"/>
    <w:rsid w:val="00913EC1"/>
    <w:rsid w:val="00914070"/>
    <w:rsid w:val="00914173"/>
    <w:rsid w:val="00914A0A"/>
    <w:rsid w:val="00914FC0"/>
    <w:rsid w:val="0091538A"/>
    <w:rsid w:val="0091569F"/>
    <w:rsid w:val="00915ACD"/>
    <w:rsid w:val="00915B32"/>
    <w:rsid w:val="00916182"/>
    <w:rsid w:val="009167A6"/>
    <w:rsid w:val="00916897"/>
    <w:rsid w:val="009177FC"/>
    <w:rsid w:val="00917B43"/>
    <w:rsid w:val="00920707"/>
    <w:rsid w:val="00920AAD"/>
    <w:rsid w:val="009211A7"/>
    <w:rsid w:val="0092140D"/>
    <w:rsid w:val="00921C1D"/>
    <w:rsid w:val="00921C8F"/>
    <w:rsid w:val="00921EB0"/>
    <w:rsid w:val="00921EDC"/>
    <w:rsid w:val="009220B9"/>
    <w:rsid w:val="009226BB"/>
    <w:rsid w:val="0092309F"/>
    <w:rsid w:val="00923C8B"/>
    <w:rsid w:val="009242FD"/>
    <w:rsid w:val="009246E6"/>
    <w:rsid w:val="00924A64"/>
    <w:rsid w:val="0092516E"/>
    <w:rsid w:val="00925539"/>
    <w:rsid w:val="0092593E"/>
    <w:rsid w:val="00925B8E"/>
    <w:rsid w:val="009267A7"/>
    <w:rsid w:val="0092694D"/>
    <w:rsid w:val="00926F40"/>
    <w:rsid w:val="00927A50"/>
    <w:rsid w:val="00930025"/>
    <w:rsid w:val="00930BFD"/>
    <w:rsid w:val="00930FEC"/>
    <w:rsid w:val="009311D0"/>
    <w:rsid w:val="0093139C"/>
    <w:rsid w:val="00931677"/>
    <w:rsid w:val="009319C7"/>
    <w:rsid w:val="00931B22"/>
    <w:rsid w:val="00931BAE"/>
    <w:rsid w:val="00932315"/>
    <w:rsid w:val="0093275B"/>
    <w:rsid w:val="00932974"/>
    <w:rsid w:val="00932E89"/>
    <w:rsid w:val="00932F0B"/>
    <w:rsid w:val="00933A0F"/>
    <w:rsid w:val="00933D07"/>
    <w:rsid w:val="00934581"/>
    <w:rsid w:val="00934947"/>
    <w:rsid w:val="00934977"/>
    <w:rsid w:val="00934AB6"/>
    <w:rsid w:val="00934AF1"/>
    <w:rsid w:val="00934F77"/>
    <w:rsid w:val="00935422"/>
    <w:rsid w:val="009354D4"/>
    <w:rsid w:val="009355C2"/>
    <w:rsid w:val="00935A23"/>
    <w:rsid w:val="00935C32"/>
    <w:rsid w:val="00935DE8"/>
    <w:rsid w:val="00935E10"/>
    <w:rsid w:val="00936614"/>
    <w:rsid w:val="00936D70"/>
    <w:rsid w:val="009372F7"/>
    <w:rsid w:val="009373A5"/>
    <w:rsid w:val="009405D1"/>
    <w:rsid w:val="009409F9"/>
    <w:rsid w:val="00940F37"/>
    <w:rsid w:val="0094126F"/>
    <w:rsid w:val="0094168B"/>
    <w:rsid w:val="00941B75"/>
    <w:rsid w:val="00941F9A"/>
    <w:rsid w:val="00943953"/>
    <w:rsid w:val="00943C68"/>
    <w:rsid w:val="00944048"/>
    <w:rsid w:val="009445C2"/>
    <w:rsid w:val="00944E2F"/>
    <w:rsid w:val="00944E6F"/>
    <w:rsid w:val="0094509A"/>
    <w:rsid w:val="0094560B"/>
    <w:rsid w:val="0094659C"/>
    <w:rsid w:val="00946722"/>
    <w:rsid w:val="00946FD8"/>
    <w:rsid w:val="00947373"/>
    <w:rsid w:val="00947ED3"/>
    <w:rsid w:val="009500C5"/>
    <w:rsid w:val="009504E0"/>
    <w:rsid w:val="00950E6D"/>
    <w:rsid w:val="00950ED6"/>
    <w:rsid w:val="00951686"/>
    <w:rsid w:val="00951702"/>
    <w:rsid w:val="0095170B"/>
    <w:rsid w:val="00951B93"/>
    <w:rsid w:val="00951B9D"/>
    <w:rsid w:val="009521AA"/>
    <w:rsid w:val="0095291F"/>
    <w:rsid w:val="00952B1B"/>
    <w:rsid w:val="00952F64"/>
    <w:rsid w:val="00952FBE"/>
    <w:rsid w:val="00953123"/>
    <w:rsid w:val="009533FA"/>
    <w:rsid w:val="0095435E"/>
    <w:rsid w:val="00954727"/>
    <w:rsid w:val="00954ADE"/>
    <w:rsid w:val="00955807"/>
    <w:rsid w:val="00955826"/>
    <w:rsid w:val="009558B9"/>
    <w:rsid w:val="00955CC1"/>
    <w:rsid w:val="00955E76"/>
    <w:rsid w:val="009567A8"/>
    <w:rsid w:val="00956DEE"/>
    <w:rsid w:val="0095707D"/>
    <w:rsid w:val="00957C0C"/>
    <w:rsid w:val="0096013E"/>
    <w:rsid w:val="0096017D"/>
    <w:rsid w:val="009604BE"/>
    <w:rsid w:val="00961414"/>
    <w:rsid w:val="0096187E"/>
    <w:rsid w:val="00961C05"/>
    <w:rsid w:val="00961CC0"/>
    <w:rsid w:val="00961D2B"/>
    <w:rsid w:val="009625DF"/>
    <w:rsid w:val="009628A3"/>
    <w:rsid w:val="00962949"/>
    <w:rsid w:val="009635FC"/>
    <w:rsid w:val="00963789"/>
    <w:rsid w:val="00963E2D"/>
    <w:rsid w:val="00963F35"/>
    <w:rsid w:val="009640A5"/>
    <w:rsid w:val="009648A5"/>
    <w:rsid w:val="009648FA"/>
    <w:rsid w:val="009649E5"/>
    <w:rsid w:val="00964D55"/>
    <w:rsid w:val="00964D69"/>
    <w:rsid w:val="00964E1E"/>
    <w:rsid w:val="00965BB1"/>
    <w:rsid w:val="00965D6D"/>
    <w:rsid w:val="00966292"/>
    <w:rsid w:val="009669A7"/>
    <w:rsid w:val="00966D8C"/>
    <w:rsid w:val="00967042"/>
    <w:rsid w:val="00967990"/>
    <w:rsid w:val="00967FD3"/>
    <w:rsid w:val="009706AA"/>
    <w:rsid w:val="00971448"/>
    <w:rsid w:val="009715C7"/>
    <w:rsid w:val="00971743"/>
    <w:rsid w:val="009720F8"/>
    <w:rsid w:val="009722B2"/>
    <w:rsid w:val="00972417"/>
    <w:rsid w:val="00972696"/>
    <w:rsid w:val="0097297D"/>
    <w:rsid w:val="00972C2B"/>
    <w:rsid w:val="00972CE4"/>
    <w:rsid w:val="00972E2A"/>
    <w:rsid w:val="00972FA8"/>
    <w:rsid w:val="009734B9"/>
    <w:rsid w:val="00973530"/>
    <w:rsid w:val="00973544"/>
    <w:rsid w:val="009737BB"/>
    <w:rsid w:val="00973A43"/>
    <w:rsid w:val="00973C9D"/>
    <w:rsid w:val="0097416F"/>
    <w:rsid w:val="00974FFE"/>
    <w:rsid w:val="009754BF"/>
    <w:rsid w:val="0097573B"/>
    <w:rsid w:val="009759F4"/>
    <w:rsid w:val="00975A3F"/>
    <w:rsid w:val="00975A7F"/>
    <w:rsid w:val="00975DC9"/>
    <w:rsid w:val="009767C2"/>
    <w:rsid w:val="00976D15"/>
    <w:rsid w:val="00977C58"/>
    <w:rsid w:val="00980B2E"/>
    <w:rsid w:val="009810CD"/>
    <w:rsid w:val="0098119F"/>
    <w:rsid w:val="00981202"/>
    <w:rsid w:val="009818C7"/>
    <w:rsid w:val="009818E3"/>
    <w:rsid w:val="00981DED"/>
    <w:rsid w:val="00982AB4"/>
    <w:rsid w:val="00982DA9"/>
    <w:rsid w:val="0098314F"/>
    <w:rsid w:val="00983481"/>
    <w:rsid w:val="0098382A"/>
    <w:rsid w:val="00983A15"/>
    <w:rsid w:val="00983EAA"/>
    <w:rsid w:val="009840F1"/>
    <w:rsid w:val="0098472F"/>
    <w:rsid w:val="00984B7F"/>
    <w:rsid w:val="00985310"/>
    <w:rsid w:val="0098547D"/>
    <w:rsid w:val="0098577A"/>
    <w:rsid w:val="00985A05"/>
    <w:rsid w:val="00985A59"/>
    <w:rsid w:val="00985C31"/>
    <w:rsid w:val="00986335"/>
    <w:rsid w:val="0098686E"/>
    <w:rsid w:val="00987002"/>
    <w:rsid w:val="00987CBF"/>
    <w:rsid w:val="0099063A"/>
    <w:rsid w:val="00990A1E"/>
    <w:rsid w:val="00990D8B"/>
    <w:rsid w:val="00990EAC"/>
    <w:rsid w:val="0099100C"/>
    <w:rsid w:val="009917F0"/>
    <w:rsid w:val="009919E2"/>
    <w:rsid w:val="00991A4F"/>
    <w:rsid w:val="009920AD"/>
    <w:rsid w:val="009927D1"/>
    <w:rsid w:val="00993C92"/>
    <w:rsid w:val="00994F04"/>
    <w:rsid w:val="00995119"/>
    <w:rsid w:val="00995646"/>
    <w:rsid w:val="00995B8F"/>
    <w:rsid w:val="00996B4D"/>
    <w:rsid w:val="00996CF7"/>
    <w:rsid w:val="0099797A"/>
    <w:rsid w:val="00997EE9"/>
    <w:rsid w:val="009A0B06"/>
    <w:rsid w:val="009A0E6B"/>
    <w:rsid w:val="009A0E99"/>
    <w:rsid w:val="009A0ECE"/>
    <w:rsid w:val="009A0F1C"/>
    <w:rsid w:val="009A1138"/>
    <w:rsid w:val="009A12CA"/>
    <w:rsid w:val="009A1B17"/>
    <w:rsid w:val="009A228E"/>
    <w:rsid w:val="009A2414"/>
    <w:rsid w:val="009A250E"/>
    <w:rsid w:val="009A29CC"/>
    <w:rsid w:val="009A2E73"/>
    <w:rsid w:val="009A33CB"/>
    <w:rsid w:val="009A36BE"/>
    <w:rsid w:val="009A3D65"/>
    <w:rsid w:val="009A40EC"/>
    <w:rsid w:val="009A41BB"/>
    <w:rsid w:val="009A46EE"/>
    <w:rsid w:val="009A4E3E"/>
    <w:rsid w:val="009A4F68"/>
    <w:rsid w:val="009A62CD"/>
    <w:rsid w:val="009A6C8F"/>
    <w:rsid w:val="009A74DE"/>
    <w:rsid w:val="009A74E8"/>
    <w:rsid w:val="009A7505"/>
    <w:rsid w:val="009A7724"/>
    <w:rsid w:val="009A7947"/>
    <w:rsid w:val="009B020F"/>
    <w:rsid w:val="009B02D4"/>
    <w:rsid w:val="009B126F"/>
    <w:rsid w:val="009B1386"/>
    <w:rsid w:val="009B2798"/>
    <w:rsid w:val="009B2C9C"/>
    <w:rsid w:val="009B3506"/>
    <w:rsid w:val="009B3BFF"/>
    <w:rsid w:val="009B40B2"/>
    <w:rsid w:val="009B4165"/>
    <w:rsid w:val="009B461D"/>
    <w:rsid w:val="009B49EE"/>
    <w:rsid w:val="009B4D64"/>
    <w:rsid w:val="009B5A2F"/>
    <w:rsid w:val="009B6386"/>
    <w:rsid w:val="009B6892"/>
    <w:rsid w:val="009B6F0D"/>
    <w:rsid w:val="009B7805"/>
    <w:rsid w:val="009B7AB9"/>
    <w:rsid w:val="009C0055"/>
    <w:rsid w:val="009C01B1"/>
    <w:rsid w:val="009C04DF"/>
    <w:rsid w:val="009C05CD"/>
    <w:rsid w:val="009C0872"/>
    <w:rsid w:val="009C09F4"/>
    <w:rsid w:val="009C0E57"/>
    <w:rsid w:val="009C110B"/>
    <w:rsid w:val="009C1E51"/>
    <w:rsid w:val="009C1EE8"/>
    <w:rsid w:val="009C296B"/>
    <w:rsid w:val="009C2FD7"/>
    <w:rsid w:val="009C41AD"/>
    <w:rsid w:val="009C4F5F"/>
    <w:rsid w:val="009C5146"/>
    <w:rsid w:val="009C5223"/>
    <w:rsid w:val="009C6754"/>
    <w:rsid w:val="009C6AF7"/>
    <w:rsid w:val="009C6C05"/>
    <w:rsid w:val="009C7219"/>
    <w:rsid w:val="009C7AA9"/>
    <w:rsid w:val="009D077D"/>
    <w:rsid w:val="009D1269"/>
    <w:rsid w:val="009D1A68"/>
    <w:rsid w:val="009D1E1A"/>
    <w:rsid w:val="009D1E65"/>
    <w:rsid w:val="009D2B72"/>
    <w:rsid w:val="009D2BBD"/>
    <w:rsid w:val="009D368A"/>
    <w:rsid w:val="009D4206"/>
    <w:rsid w:val="009D505A"/>
    <w:rsid w:val="009D53E7"/>
    <w:rsid w:val="009D55B0"/>
    <w:rsid w:val="009D55D6"/>
    <w:rsid w:val="009D6290"/>
    <w:rsid w:val="009D64FE"/>
    <w:rsid w:val="009D6581"/>
    <w:rsid w:val="009D701B"/>
    <w:rsid w:val="009E01A7"/>
    <w:rsid w:val="009E1E4F"/>
    <w:rsid w:val="009E1FC5"/>
    <w:rsid w:val="009E26D9"/>
    <w:rsid w:val="009E2E2C"/>
    <w:rsid w:val="009E3210"/>
    <w:rsid w:val="009E340E"/>
    <w:rsid w:val="009E348F"/>
    <w:rsid w:val="009E3A60"/>
    <w:rsid w:val="009E46CD"/>
    <w:rsid w:val="009E49FC"/>
    <w:rsid w:val="009E4FFF"/>
    <w:rsid w:val="009E5305"/>
    <w:rsid w:val="009E53ED"/>
    <w:rsid w:val="009E56A9"/>
    <w:rsid w:val="009E58AC"/>
    <w:rsid w:val="009E60B8"/>
    <w:rsid w:val="009E6710"/>
    <w:rsid w:val="009E72C5"/>
    <w:rsid w:val="009E7A86"/>
    <w:rsid w:val="009E7C9F"/>
    <w:rsid w:val="009F0038"/>
    <w:rsid w:val="009F01E5"/>
    <w:rsid w:val="009F03A7"/>
    <w:rsid w:val="009F099A"/>
    <w:rsid w:val="009F1194"/>
    <w:rsid w:val="009F18B4"/>
    <w:rsid w:val="009F1DCA"/>
    <w:rsid w:val="009F214E"/>
    <w:rsid w:val="009F2461"/>
    <w:rsid w:val="009F24EB"/>
    <w:rsid w:val="009F2743"/>
    <w:rsid w:val="009F2C98"/>
    <w:rsid w:val="009F381E"/>
    <w:rsid w:val="009F3B63"/>
    <w:rsid w:val="009F3E29"/>
    <w:rsid w:val="009F4361"/>
    <w:rsid w:val="009F4863"/>
    <w:rsid w:val="009F4A13"/>
    <w:rsid w:val="009F4F78"/>
    <w:rsid w:val="009F52FF"/>
    <w:rsid w:val="009F5A1A"/>
    <w:rsid w:val="009F5EC0"/>
    <w:rsid w:val="009F603D"/>
    <w:rsid w:val="009F6101"/>
    <w:rsid w:val="009F619A"/>
    <w:rsid w:val="009F6320"/>
    <w:rsid w:val="009F6889"/>
    <w:rsid w:val="009F7191"/>
    <w:rsid w:val="009F7532"/>
    <w:rsid w:val="009F7548"/>
    <w:rsid w:val="009F7B93"/>
    <w:rsid w:val="009F7D18"/>
    <w:rsid w:val="009F7F39"/>
    <w:rsid w:val="009F7FA8"/>
    <w:rsid w:val="00A0023D"/>
    <w:rsid w:val="00A0074E"/>
    <w:rsid w:val="00A00813"/>
    <w:rsid w:val="00A00966"/>
    <w:rsid w:val="00A0111B"/>
    <w:rsid w:val="00A01B27"/>
    <w:rsid w:val="00A01EE7"/>
    <w:rsid w:val="00A029CF"/>
    <w:rsid w:val="00A02B07"/>
    <w:rsid w:val="00A02C47"/>
    <w:rsid w:val="00A02EE2"/>
    <w:rsid w:val="00A03920"/>
    <w:rsid w:val="00A03C49"/>
    <w:rsid w:val="00A03D8B"/>
    <w:rsid w:val="00A03ED1"/>
    <w:rsid w:val="00A048FF"/>
    <w:rsid w:val="00A04E10"/>
    <w:rsid w:val="00A05240"/>
    <w:rsid w:val="00A05DDF"/>
    <w:rsid w:val="00A06002"/>
    <w:rsid w:val="00A067B0"/>
    <w:rsid w:val="00A06C9F"/>
    <w:rsid w:val="00A07204"/>
    <w:rsid w:val="00A07890"/>
    <w:rsid w:val="00A078CF"/>
    <w:rsid w:val="00A07CF8"/>
    <w:rsid w:val="00A10625"/>
    <w:rsid w:val="00A1092D"/>
    <w:rsid w:val="00A1165B"/>
    <w:rsid w:val="00A116C3"/>
    <w:rsid w:val="00A11910"/>
    <w:rsid w:val="00A123FD"/>
    <w:rsid w:val="00A127D5"/>
    <w:rsid w:val="00A13842"/>
    <w:rsid w:val="00A13A55"/>
    <w:rsid w:val="00A15640"/>
    <w:rsid w:val="00A16271"/>
    <w:rsid w:val="00A166C6"/>
    <w:rsid w:val="00A1703B"/>
    <w:rsid w:val="00A179AB"/>
    <w:rsid w:val="00A17A7B"/>
    <w:rsid w:val="00A201C8"/>
    <w:rsid w:val="00A2036A"/>
    <w:rsid w:val="00A205D9"/>
    <w:rsid w:val="00A205E8"/>
    <w:rsid w:val="00A20EC4"/>
    <w:rsid w:val="00A2112F"/>
    <w:rsid w:val="00A21446"/>
    <w:rsid w:val="00A21C84"/>
    <w:rsid w:val="00A21F6B"/>
    <w:rsid w:val="00A220B0"/>
    <w:rsid w:val="00A22B50"/>
    <w:rsid w:val="00A22D05"/>
    <w:rsid w:val="00A22D1E"/>
    <w:rsid w:val="00A22FFA"/>
    <w:rsid w:val="00A23461"/>
    <w:rsid w:val="00A237A6"/>
    <w:rsid w:val="00A23832"/>
    <w:rsid w:val="00A23B04"/>
    <w:rsid w:val="00A23D05"/>
    <w:rsid w:val="00A24189"/>
    <w:rsid w:val="00A2482C"/>
    <w:rsid w:val="00A25199"/>
    <w:rsid w:val="00A25468"/>
    <w:rsid w:val="00A25BEC"/>
    <w:rsid w:val="00A25CB1"/>
    <w:rsid w:val="00A26F04"/>
    <w:rsid w:val="00A27010"/>
    <w:rsid w:val="00A27052"/>
    <w:rsid w:val="00A27614"/>
    <w:rsid w:val="00A27ACE"/>
    <w:rsid w:val="00A27B84"/>
    <w:rsid w:val="00A27D3C"/>
    <w:rsid w:val="00A30346"/>
    <w:rsid w:val="00A309B3"/>
    <w:rsid w:val="00A31029"/>
    <w:rsid w:val="00A31717"/>
    <w:rsid w:val="00A31D7D"/>
    <w:rsid w:val="00A3268F"/>
    <w:rsid w:val="00A32CFD"/>
    <w:rsid w:val="00A33746"/>
    <w:rsid w:val="00A347AE"/>
    <w:rsid w:val="00A34822"/>
    <w:rsid w:val="00A34CBF"/>
    <w:rsid w:val="00A3528E"/>
    <w:rsid w:val="00A3532A"/>
    <w:rsid w:val="00A35395"/>
    <w:rsid w:val="00A35723"/>
    <w:rsid w:val="00A370FB"/>
    <w:rsid w:val="00A37458"/>
    <w:rsid w:val="00A37BC0"/>
    <w:rsid w:val="00A40491"/>
    <w:rsid w:val="00A40A76"/>
    <w:rsid w:val="00A41525"/>
    <w:rsid w:val="00A41CD2"/>
    <w:rsid w:val="00A42A42"/>
    <w:rsid w:val="00A42B90"/>
    <w:rsid w:val="00A42F57"/>
    <w:rsid w:val="00A431E1"/>
    <w:rsid w:val="00A4355B"/>
    <w:rsid w:val="00A445F7"/>
    <w:rsid w:val="00A4493D"/>
    <w:rsid w:val="00A455CE"/>
    <w:rsid w:val="00A458C4"/>
    <w:rsid w:val="00A45CD1"/>
    <w:rsid w:val="00A45DC7"/>
    <w:rsid w:val="00A45E17"/>
    <w:rsid w:val="00A46BA7"/>
    <w:rsid w:val="00A470F5"/>
    <w:rsid w:val="00A4720E"/>
    <w:rsid w:val="00A477DE"/>
    <w:rsid w:val="00A47BC3"/>
    <w:rsid w:val="00A47C63"/>
    <w:rsid w:val="00A51706"/>
    <w:rsid w:val="00A51722"/>
    <w:rsid w:val="00A51D39"/>
    <w:rsid w:val="00A5372C"/>
    <w:rsid w:val="00A53B76"/>
    <w:rsid w:val="00A5402E"/>
    <w:rsid w:val="00A54DDE"/>
    <w:rsid w:val="00A55C52"/>
    <w:rsid w:val="00A573ED"/>
    <w:rsid w:val="00A57680"/>
    <w:rsid w:val="00A579A4"/>
    <w:rsid w:val="00A60D3E"/>
    <w:rsid w:val="00A60D85"/>
    <w:rsid w:val="00A61366"/>
    <w:rsid w:val="00A6179A"/>
    <w:rsid w:val="00A61A81"/>
    <w:rsid w:val="00A61E4E"/>
    <w:rsid w:val="00A61E81"/>
    <w:rsid w:val="00A622C2"/>
    <w:rsid w:val="00A6231C"/>
    <w:rsid w:val="00A62D3B"/>
    <w:rsid w:val="00A6350E"/>
    <w:rsid w:val="00A63797"/>
    <w:rsid w:val="00A63B3D"/>
    <w:rsid w:val="00A640CE"/>
    <w:rsid w:val="00A641F4"/>
    <w:rsid w:val="00A64547"/>
    <w:rsid w:val="00A64B88"/>
    <w:rsid w:val="00A64EC2"/>
    <w:rsid w:val="00A657D4"/>
    <w:rsid w:val="00A65A03"/>
    <w:rsid w:val="00A65E13"/>
    <w:rsid w:val="00A65E83"/>
    <w:rsid w:val="00A66555"/>
    <w:rsid w:val="00A667A4"/>
    <w:rsid w:val="00A66D23"/>
    <w:rsid w:val="00A66E98"/>
    <w:rsid w:val="00A66E9A"/>
    <w:rsid w:val="00A6730E"/>
    <w:rsid w:val="00A673D9"/>
    <w:rsid w:val="00A673F2"/>
    <w:rsid w:val="00A6791D"/>
    <w:rsid w:val="00A679BD"/>
    <w:rsid w:val="00A7022D"/>
    <w:rsid w:val="00A70556"/>
    <w:rsid w:val="00A70C06"/>
    <w:rsid w:val="00A70C96"/>
    <w:rsid w:val="00A71B0F"/>
    <w:rsid w:val="00A71C44"/>
    <w:rsid w:val="00A7200B"/>
    <w:rsid w:val="00A72AC8"/>
    <w:rsid w:val="00A72B74"/>
    <w:rsid w:val="00A72C16"/>
    <w:rsid w:val="00A73111"/>
    <w:rsid w:val="00A744E8"/>
    <w:rsid w:val="00A75304"/>
    <w:rsid w:val="00A75C2D"/>
    <w:rsid w:val="00A76D96"/>
    <w:rsid w:val="00A77379"/>
    <w:rsid w:val="00A77BB9"/>
    <w:rsid w:val="00A8014A"/>
    <w:rsid w:val="00A8021C"/>
    <w:rsid w:val="00A814AE"/>
    <w:rsid w:val="00A816DC"/>
    <w:rsid w:val="00A81AF1"/>
    <w:rsid w:val="00A82A0E"/>
    <w:rsid w:val="00A83A7C"/>
    <w:rsid w:val="00A83E75"/>
    <w:rsid w:val="00A84316"/>
    <w:rsid w:val="00A84C0B"/>
    <w:rsid w:val="00A85F92"/>
    <w:rsid w:val="00A867E4"/>
    <w:rsid w:val="00A869E1"/>
    <w:rsid w:val="00A87EE5"/>
    <w:rsid w:val="00A87F0D"/>
    <w:rsid w:val="00A90045"/>
    <w:rsid w:val="00A90B54"/>
    <w:rsid w:val="00A91356"/>
    <w:rsid w:val="00A9188B"/>
    <w:rsid w:val="00A91A78"/>
    <w:rsid w:val="00A94CCF"/>
    <w:rsid w:val="00A950ED"/>
    <w:rsid w:val="00A95D68"/>
    <w:rsid w:val="00A963A4"/>
    <w:rsid w:val="00A96463"/>
    <w:rsid w:val="00A964AA"/>
    <w:rsid w:val="00A969A3"/>
    <w:rsid w:val="00A96B1D"/>
    <w:rsid w:val="00A96B25"/>
    <w:rsid w:val="00A97627"/>
    <w:rsid w:val="00A97CB8"/>
    <w:rsid w:val="00AA1288"/>
    <w:rsid w:val="00AA15BC"/>
    <w:rsid w:val="00AA15E5"/>
    <w:rsid w:val="00AA19DF"/>
    <w:rsid w:val="00AA1B27"/>
    <w:rsid w:val="00AA1BFD"/>
    <w:rsid w:val="00AA3062"/>
    <w:rsid w:val="00AA3966"/>
    <w:rsid w:val="00AA399C"/>
    <w:rsid w:val="00AA3FC7"/>
    <w:rsid w:val="00AA47F0"/>
    <w:rsid w:val="00AA4A33"/>
    <w:rsid w:val="00AA51E0"/>
    <w:rsid w:val="00AA5445"/>
    <w:rsid w:val="00AA57B9"/>
    <w:rsid w:val="00AA587A"/>
    <w:rsid w:val="00AA63EF"/>
    <w:rsid w:val="00AA6F03"/>
    <w:rsid w:val="00AA7044"/>
    <w:rsid w:val="00AA764B"/>
    <w:rsid w:val="00AA7913"/>
    <w:rsid w:val="00AA7ACD"/>
    <w:rsid w:val="00AA7FFB"/>
    <w:rsid w:val="00AB11D6"/>
    <w:rsid w:val="00AB171C"/>
    <w:rsid w:val="00AB1E09"/>
    <w:rsid w:val="00AB1F11"/>
    <w:rsid w:val="00AB20A4"/>
    <w:rsid w:val="00AB20F7"/>
    <w:rsid w:val="00AB213E"/>
    <w:rsid w:val="00AB23E3"/>
    <w:rsid w:val="00AB259A"/>
    <w:rsid w:val="00AB2AEE"/>
    <w:rsid w:val="00AB2E8E"/>
    <w:rsid w:val="00AB3559"/>
    <w:rsid w:val="00AB3C2B"/>
    <w:rsid w:val="00AB3F16"/>
    <w:rsid w:val="00AB4F51"/>
    <w:rsid w:val="00AB6634"/>
    <w:rsid w:val="00AC0A27"/>
    <w:rsid w:val="00AC0A81"/>
    <w:rsid w:val="00AC0ACB"/>
    <w:rsid w:val="00AC0C2A"/>
    <w:rsid w:val="00AC0FF4"/>
    <w:rsid w:val="00AC19D0"/>
    <w:rsid w:val="00AC1A38"/>
    <w:rsid w:val="00AC1A8E"/>
    <w:rsid w:val="00AC1B09"/>
    <w:rsid w:val="00AC1D53"/>
    <w:rsid w:val="00AC22DE"/>
    <w:rsid w:val="00AC2C21"/>
    <w:rsid w:val="00AC2EC7"/>
    <w:rsid w:val="00AC35AD"/>
    <w:rsid w:val="00AC3C73"/>
    <w:rsid w:val="00AC3E61"/>
    <w:rsid w:val="00AC40AC"/>
    <w:rsid w:val="00AC4756"/>
    <w:rsid w:val="00AC48C6"/>
    <w:rsid w:val="00AC48DE"/>
    <w:rsid w:val="00AC4D83"/>
    <w:rsid w:val="00AC4F6A"/>
    <w:rsid w:val="00AC5154"/>
    <w:rsid w:val="00AC51B7"/>
    <w:rsid w:val="00AC53CE"/>
    <w:rsid w:val="00AC55F0"/>
    <w:rsid w:val="00AC56C2"/>
    <w:rsid w:val="00AC5C1E"/>
    <w:rsid w:val="00AC6491"/>
    <w:rsid w:val="00AC6ACE"/>
    <w:rsid w:val="00AC6AD8"/>
    <w:rsid w:val="00AC7572"/>
    <w:rsid w:val="00AC7945"/>
    <w:rsid w:val="00AD00BC"/>
    <w:rsid w:val="00AD08AE"/>
    <w:rsid w:val="00AD0B22"/>
    <w:rsid w:val="00AD0E88"/>
    <w:rsid w:val="00AD11A1"/>
    <w:rsid w:val="00AD183C"/>
    <w:rsid w:val="00AD1871"/>
    <w:rsid w:val="00AD1DC7"/>
    <w:rsid w:val="00AD1F12"/>
    <w:rsid w:val="00AD379B"/>
    <w:rsid w:val="00AD416A"/>
    <w:rsid w:val="00AD418D"/>
    <w:rsid w:val="00AD4682"/>
    <w:rsid w:val="00AD5106"/>
    <w:rsid w:val="00AD5B57"/>
    <w:rsid w:val="00AD61B9"/>
    <w:rsid w:val="00AD706E"/>
    <w:rsid w:val="00AD75F3"/>
    <w:rsid w:val="00AD7A4F"/>
    <w:rsid w:val="00AD7AB2"/>
    <w:rsid w:val="00AE058E"/>
    <w:rsid w:val="00AE1222"/>
    <w:rsid w:val="00AE13E9"/>
    <w:rsid w:val="00AE141B"/>
    <w:rsid w:val="00AE14CF"/>
    <w:rsid w:val="00AE17EA"/>
    <w:rsid w:val="00AE2A38"/>
    <w:rsid w:val="00AE35EE"/>
    <w:rsid w:val="00AE364F"/>
    <w:rsid w:val="00AE3799"/>
    <w:rsid w:val="00AE3839"/>
    <w:rsid w:val="00AE3CF1"/>
    <w:rsid w:val="00AE3FEA"/>
    <w:rsid w:val="00AE470E"/>
    <w:rsid w:val="00AE4B6E"/>
    <w:rsid w:val="00AE4E68"/>
    <w:rsid w:val="00AE591E"/>
    <w:rsid w:val="00AE602A"/>
    <w:rsid w:val="00AE674E"/>
    <w:rsid w:val="00AE7610"/>
    <w:rsid w:val="00AE7B52"/>
    <w:rsid w:val="00AE7E2D"/>
    <w:rsid w:val="00AF00F0"/>
    <w:rsid w:val="00AF0516"/>
    <w:rsid w:val="00AF0BC7"/>
    <w:rsid w:val="00AF11BD"/>
    <w:rsid w:val="00AF2901"/>
    <w:rsid w:val="00AF298D"/>
    <w:rsid w:val="00AF2B0E"/>
    <w:rsid w:val="00AF2B9E"/>
    <w:rsid w:val="00AF2C49"/>
    <w:rsid w:val="00AF2CC2"/>
    <w:rsid w:val="00AF304C"/>
    <w:rsid w:val="00AF3302"/>
    <w:rsid w:val="00AF3B16"/>
    <w:rsid w:val="00AF4AFB"/>
    <w:rsid w:val="00AF4ED6"/>
    <w:rsid w:val="00AF5317"/>
    <w:rsid w:val="00AF558D"/>
    <w:rsid w:val="00AF5A9D"/>
    <w:rsid w:val="00AF6B61"/>
    <w:rsid w:val="00AF6DA0"/>
    <w:rsid w:val="00AF747F"/>
    <w:rsid w:val="00AF789B"/>
    <w:rsid w:val="00AF78F2"/>
    <w:rsid w:val="00AF7A61"/>
    <w:rsid w:val="00B0034E"/>
    <w:rsid w:val="00B003D5"/>
    <w:rsid w:val="00B0053C"/>
    <w:rsid w:val="00B01BFB"/>
    <w:rsid w:val="00B01C75"/>
    <w:rsid w:val="00B022E3"/>
    <w:rsid w:val="00B02789"/>
    <w:rsid w:val="00B034A5"/>
    <w:rsid w:val="00B03569"/>
    <w:rsid w:val="00B039DD"/>
    <w:rsid w:val="00B041DE"/>
    <w:rsid w:val="00B04AB6"/>
    <w:rsid w:val="00B04BE9"/>
    <w:rsid w:val="00B05050"/>
    <w:rsid w:val="00B055E6"/>
    <w:rsid w:val="00B05B37"/>
    <w:rsid w:val="00B05CFA"/>
    <w:rsid w:val="00B05EA4"/>
    <w:rsid w:val="00B05EAF"/>
    <w:rsid w:val="00B0612C"/>
    <w:rsid w:val="00B0671E"/>
    <w:rsid w:val="00B06AEF"/>
    <w:rsid w:val="00B07267"/>
    <w:rsid w:val="00B07F87"/>
    <w:rsid w:val="00B1013A"/>
    <w:rsid w:val="00B102BB"/>
    <w:rsid w:val="00B10487"/>
    <w:rsid w:val="00B11632"/>
    <w:rsid w:val="00B1185B"/>
    <w:rsid w:val="00B1186E"/>
    <w:rsid w:val="00B1190B"/>
    <w:rsid w:val="00B11F8F"/>
    <w:rsid w:val="00B120BE"/>
    <w:rsid w:val="00B12F54"/>
    <w:rsid w:val="00B12FC9"/>
    <w:rsid w:val="00B13BC8"/>
    <w:rsid w:val="00B13F69"/>
    <w:rsid w:val="00B1411D"/>
    <w:rsid w:val="00B1415F"/>
    <w:rsid w:val="00B14DA8"/>
    <w:rsid w:val="00B14F11"/>
    <w:rsid w:val="00B15168"/>
    <w:rsid w:val="00B153E2"/>
    <w:rsid w:val="00B1547D"/>
    <w:rsid w:val="00B15572"/>
    <w:rsid w:val="00B156A2"/>
    <w:rsid w:val="00B156C0"/>
    <w:rsid w:val="00B16250"/>
    <w:rsid w:val="00B163FE"/>
    <w:rsid w:val="00B1655A"/>
    <w:rsid w:val="00B167FC"/>
    <w:rsid w:val="00B2015A"/>
    <w:rsid w:val="00B20BF1"/>
    <w:rsid w:val="00B20F0E"/>
    <w:rsid w:val="00B21175"/>
    <w:rsid w:val="00B2143A"/>
    <w:rsid w:val="00B220E2"/>
    <w:rsid w:val="00B225AB"/>
    <w:rsid w:val="00B22D27"/>
    <w:rsid w:val="00B22E08"/>
    <w:rsid w:val="00B22F9C"/>
    <w:rsid w:val="00B2307F"/>
    <w:rsid w:val="00B231AF"/>
    <w:rsid w:val="00B234C0"/>
    <w:rsid w:val="00B23A46"/>
    <w:rsid w:val="00B23BCE"/>
    <w:rsid w:val="00B23E6F"/>
    <w:rsid w:val="00B24824"/>
    <w:rsid w:val="00B24BB5"/>
    <w:rsid w:val="00B24F1D"/>
    <w:rsid w:val="00B25448"/>
    <w:rsid w:val="00B257AA"/>
    <w:rsid w:val="00B266C7"/>
    <w:rsid w:val="00B279D5"/>
    <w:rsid w:val="00B303E6"/>
    <w:rsid w:val="00B30FC1"/>
    <w:rsid w:val="00B3143D"/>
    <w:rsid w:val="00B31641"/>
    <w:rsid w:val="00B318FF"/>
    <w:rsid w:val="00B3192F"/>
    <w:rsid w:val="00B31AC5"/>
    <w:rsid w:val="00B333E7"/>
    <w:rsid w:val="00B33E3C"/>
    <w:rsid w:val="00B342D8"/>
    <w:rsid w:val="00B34509"/>
    <w:rsid w:val="00B3489E"/>
    <w:rsid w:val="00B353D1"/>
    <w:rsid w:val="00B35A84"/>
    <w:rsid w:val="00B35CDB"/>
    <w:rsid w:val="00B363E7"/>
    <w:rsid w:val="00B36D50"/>
    <w:rsid w:val="00B36D5D"/>
    <w:rsid w:val="00B371A2"/>
    <w:rsid w:val="00B374B8"/>
    <w:rsid w:val="00B377DF"/>
    <w:rsid w:val="00B3799D"/>
    <w:rsid w:val="00B403E8"/>
    <w:rsid w:val="00B4073C"/>
    <w:rsid w:val="00B40799"/>
    <w:rsid w:val="00B40DC8"/>
    <w:rsid w:val="00B413F1"/>
    <w:rsid w:val="00B41BA7"/>
    <w:rsid w:val="00B41BFA"/>
    <w:rsid w:val="00B4236D"/>
    <w:rsid w:val="00B428E6"/>
    <w:rsid w:val="00B42F07"/>
    <w:rsid w:val="00B43965"/>
    <w:rsid w:val="00B440CA"/>
    <w:rsid w:val="00B440F4"/>
    <w:rsid w:val="00B441B2"/>
    <w:rsid w:val="00B4495A"/>
    <w:rsid w:val="00B44C73"/>
    <w:rsid w:val="00B44EFD"/>
    <w:rsid w:val="00B44FEA"/>
    <w:rsid w:val="00B45065"/>
    <w:rsid w:val="00B45819"/>
    <w:rsid w:val="00B4626D"/>
    <w:rsid w:val="00B467B3"/>
    <w:rsid w:val="00B47459"/>
    <w:rsid w:val="00B47C79"/>
    <w:rsid w:val="00B47C95"/>
    <w:rsid w:val="00B5048A"/>
    <w:rsid w:val="00B505BB"/>
    <w:rsid w:val="00B5065D"/>
    <w:rsid w:val="00B506F6"/>
    <w:rsid w:val="00B50F78"/>
    <w:rsid w:val="00B512D5"/>
    <w:rsid w:val="00B51AF6"/>
    <w:rsid w:val="00B51C5C"/>
    <w:rsid w:val="00B51E2C"/>
    <w:rsid w:val="00B52124"/>
    <w:rsid w:val="00B523F2"/>
    <w:rsid w:val="00B52A43"/>
    <w:rsid w:val="00B52D00"/>
    <w:rsid w:val="00B52F4C"/>
    <w:rsid w:val="00B5307B"/>
    <w:rsid w:val="00B530F0"/>
    <w:rsid w:val="00B5310F"/>
    <w:rsid w:val="00B53598"/>
    <w:rsid w:val="00B53B7E"/>
    <w:rsid w:val="00B54B87"/>
    <w:rsid w:val="00B54E04"/>
    <w:rsid w:val="00B550F5"/>
    <w:rsid w:val="00B55281"/>
    <w:rsid w:val="00B55C00"/>
    <w:rsid w:val="00B56038"/>
    <w:rsid w:val="00B56179"/>
    <w:rsid w:val="00B561A9"/>
    <w:rsid w:val="00B573D4"/>
    <w:rsid w:val="00B57A83"/>
    <w:rsid w:val="00B610A1"/>
    <w:rsid w:val="00B61E6F"/>
    <w:rsid w:val="00B621F3"/>
    <w:rsid w:val="00B627FE"/>
    <w:rsid w:val="00B62A91"/>
    <w:rsid w:val="00B62BDD"/>
    <w:rsid w:val="00B62D44"/>
    <w:rsid w:val="00B631B4"/>
    <w:rsid w:val="00B63CED"/>
    <w:rsid w:val="00B643A9"/>
    <w:rsid w:val="00B644B9"/>
    <w:rsid w:val="00B64BE6"/>
    <w:rsid w:val="00B64EDE"/>
    <w:rsid w:val="00B650F0"/>
    <w:rsid w:val="00B6557A"/>
    <w:rsid w:val="00B65609"/>
    <w:rsid w:val="00B6571B"/>
    <w:rsid w:val="00B65F44"/>
    <w:rsid w:val="00B65FC9"/>
    <w:rsid w:val="00B66584"/>
    <w:rsid w:val="00B66F4A"/>
    <w:rsid w:val="00B677C3"/>
    <w:rsid w:val="00B70144"/>
    <w:rsid w:val="00B707B4"/>
    <w:rsid w:val="00B70D7C"/>
    <w:rsid w:val="00B7121B"/>
    <w:rsid w:val="00B7171E"/>
    <w:rsid w:val="00B728EA"/>
    <w:rsid w:val="00B733FA"/>
    <w:rsid w:val="00B73798"/>
    <w:rsid w:val="00B7476B"/>
    <w:rsid w:val="00B748DF"/>
    <w:rsid w:val="00B750D8"/>
    <w:rsid w:val="00B75890"/>
    <w:rsid w:val="00B75C60"/>
    <w:rsid w:val="00B76156"/>
    <w:rsid w:val="00B762C6"/>
    <w:rsid w:val="00B766CD"/>
    <w:rsid w:val="00B767FF"/>
    <w:rsid w:val="00B76DDA"/>
    <w:rsid w:val="00B77537"/>
    <w:rsid w:val="00B7756F"/>
    <w:rsid w:val="00B777A7"/>
    <w:rsid w:val="00B77AAD"/>
    <w:rsid w:val="00B77DD1"/>
    <w:rsid w:val="00B8021D"/>
    <w:rsid w:val="00B8031B"/>
    <w:rsid w:val="00B807DA"/>
    <w:rsid w:val="00B80EB4"/>
    <w:rsid w:val="00B81323"/>
    <w:rsid w:val="00B814E8"/>
    <w:rsid w:val="00B81905"/>
    <w:rsid w:val="00B820A4"/>
    <w:rsid w:val="00B82392"/>
    <w:rsid w:val="00B8286B"/>
    <w:rsid w:val="00B83060"/>
    <w:rsid w:val="00B83327"/>
    <w:rsid w:val="00B8339D"/>
    <w:rsid w:val="00B83507"/>
    <w:rsid w:val="00B83651"/>
    <w:rsid w:val="00B84468"/>
    <w:rsid w:val="00B84F8A"/>
    <w:rsid w:val="00B85EB8"/>
    <w:rsid w:val="00B8683C"/>
    <w:rsid w:val="00B87003"/>
    <w:rsid w:val="00B87408"/>
    <w:rsid w:val="00B90A96"/>
    <w:rsid w:val="00B90D0C"/>
    <w:rsid w:val="00B90D17"/>
    <w:rsid w:val="00B90F3B"/>
    <w:rsid w:val="00B91010"/>
    <w:rsid w:val="00B91148"/>
    <w:rsid w:val="00B91277"/>
    <w:rsid w:val="00B91970"/>
    <w:rsid w:val="00B920CF"/>
    <w:rsid w:val="00B92104"/>
    <w:rsid w:val="00B92AE6"/>
    <w:rsid w:val="00B92B1B"/>
    <w:rsid w:val="00B93E95"/>
    <w:rsid w:val="00B94578"/>
    <w:rsid w:val="00B946E2"/>
    <w:rsid w:val="00B95F89"/>
    <w:rsid w:val="00B96CA1"/>
    <w:rsid w:val="00B9721D"/>
    <w:rsid w:val="00B974E1"/>
    <w:rsid w:val="00B97585"/>
    <w:rsid w:val="00B97596"/>
    <w:rsid w:val="00B97D13"/>
    <w:rsid w:val="00B97D68"/>
    <w:rsid w:val="00BA018B"/>
    <w:rsid w:val="00BA07FD"/>
    <w:rsid w:val="00BA0A58"/>
    <w:rsid w:val="00BA0BA1"/>
    <w:rsid w:val="00BA0C96"/>
    <w:rsid w:val="00BA0F02"/>
    <w:rsid w:val="00BA13B8"/>
    <w:rsid w:val="00BA1500"/>
    <w:rsid w:val="00BA1571"/>
    <w:rsid w:val="00BA162D"/>
    <w:rsid w:val="00BA18D8"/>
    <w:rsid w:val="00BA1C48"/>
    <w:rsid w:val="00BA2A2E"/>
    <w:rsid w:val="00BA2D8D"/>
    <w:rsid w:val="00BA399D"/>
    <w:rsid w:val="00BA4168"/>
    <w:rsid w:val="00BA44CD"/>
    <w:rsid w:val="00BA4DE3"/>
    <w:rsid w:val="00BA51A0"/>
    <w:rsid w:val="00BA521A"/>
    <w:rsid w:val="00BA67BB"/>
    <w:rsid w:val="00BA7920"/>
    <w:rsid w:val="00BA7B03"/>
    <w:rsid w:val="00BA7B4D"/>
    <w:rsid w:val="00BB05B4"/>
    <w:rsid w:val="00BB0BB2"/>
    <w:rsid w:val="00BB19A9"/>
    <w:rsid w:val="00BB19EE"/>
    <w:rsid w:val="00BB1F77"/>
    <w:rsid w:val="00BB253E"/>
    <w:rsid w:val="00BB329D"/>
    <w:rsid w:val="00BB33DE"/>
    <w:rsid w:val="00BB379E"/>
    <w:rsid w:val="00BB3C1B"/>
    <w:rsid w:val="00BB3D4A"/>
    <w:rsid w:val="00BB3EF5"/>
    <w:rsid w:val="00BB4233"/>
    <w:rsid w:val="00BB52F2"/>
    <w:rsid w:val="00BB6B7A"/>
    <w:rsid w:val="00BB6D87"/>
    <w:rsid w:val="00BB6E94"/>
    <w:rsid w:val="00BB7660"/>
    <w:rsid w:val="00BC000E"/>
    <w:rsid w:val="00BC0505"/>
    <w:rsid w:val="00BC0569"/>
    <w:rsid w:val="00BC0601"/>
    <w:rsid w:val="00BC08A7"/>
    <w:rsid w:val="00BC0FAF"/>
    <w:rsid w:val="00BC16B7"/>
    <w:rsid w:val="00BC1791"/>
    <w:rsid w:val="00BC18B5"/>
    <w:rsid w:val="00BC19BB"/>
    <w:rsid w:val="00BC23FA"/>
    <w:rsid w:val="00BC249B"/>
    <w:rsid w:val="00BC267C"/>
    <w:rsid w:val="00BC34A8"/>
    <w:rsid w:val="00BC3D9D"/>
    <w:rsid w:val="00BC3E17"/>
    <w:rsid w:val="00BC4048"/>
    <w:rsid w:val="00BC47BB"/>
    <w:rsid w:val="00BC4848"/>
    <w:rsid w:val="00BC4FB7"/>
    <w:rsid w:val="00BC5074"/>
    <w:rsid w:val="00BC595F"/>
    <w:rsid w:val="00BC5B76"/>
    <w:rsid w:val="00BC5E1C"/>
    <w:rsid w:val="00BC5E56"/>
    <w:rsid w:val="00BC632F"/>
    <w:rsid w:val="00BC6DC6"/>
    <w:rsid w:val="00BC6F5F"/>
    <w:rsid w:val="00BC7DD7"/>
    <w:rsid w:val="00BD061B"/>
    <w:rsid w:val="00BD062F"/>
    <w:rsid w:val="00BD0712"/>
    <w:rsid w:val="00BD0936"/>
    <w:rsid w:val="00BD17A3"/>
    <w:rsid w:val="00BD19E3"/>
    <w:rsid w:val="00BD1CC3"/>
    <w:rsid w:val="00BD200C"/>
    <w:rsid w:val="00BD2C53"/>
    <w:rsid w:val="00BD2F59"/>
    <w:rsid w:val="00BD3856"/>
    <w:rsid w:val="00BD3B57"/>
    <w:rsid w:val="00BD3BE6"/>
    <w:rsid w:val="00BD4C69"/>
    <w:rsid w:val="00BD4D1E"/>
    <w:rsid w:val="00BD5368"/>
    <w:rsid w:val="00BD59B3"/>
    <w:rsid w:val="00BD6164"/>
    <w:rsid w:val="00BD632B"/>
    <w:rsid w:val="00BD634C"/>
    <w:rsid w:val="00BD68CA"/>
    <w:rsid w:val="00BD7245"/>
    <w:rsid w:val="00BD73A6"/>
    <w:rsid w:val="00BD7C95"/>
    <w:rsid w:val="00BE0209"/>
    <w:rsid w:val="00BE13B7"/>
    <w:rsid w:val="00BE1F85"/>
    <w:rsid w:val="00BE224F"/>
    <w:rsid w:val="00BE2CDC"/>
    <w:rsid w:val="00BE38BC"/>
    <w:rsid w:val="00BE39A0"/>
    <w:rsid w:val="00BE3AC4"/>
    <w:rsid w:val="00BE437F"/>
    <w:rsid w:val="00BE4980"/>
    <w:rsid w:val="00BE5109"/>
    <w:rsid w:val="00BE5654"/>
    <w:rsid w:val="00BE5B9A"/>
    <w:rsid w:val="00BE6028"/>
    <w:rsid w:val="00BE6061"/>
    <w:rsid w:val="00BE60F1"/>
    <w:rsid w:val="00BE68A9"/>
    <w:rsid w:val="00BE6A51"/>
    <w:rsid w:val="00BE6C1B"/>
    <w:rsid w:val="00BE71B7"/>
    <w:rsid w:val="00BE75EE"/>
    <w:rsid w:val="00BE7F0B"/>
    <w:rsid w:val="00BF139C"/>
    <w:rsid w:val="00BF1CD0"/>
    <w:rsid w:val="00BF2122"/>
    <w:rsid w:val="00BF24B6"/>
    <w:rsid w:val="00BF2B12"/>
    <w:rsid w:val="00BF2B5A"/>
    <w:rsid w:val="00BF3617"/>
    <w:rsid w:val="00BF3734"/>
    <w:rsid w:val="00BF446E"/>
    <w:rsid w:val="00BF45CF"/>
    <w:rsid w:val="00BF48EC"/>
    <w:rsid w:val="00BF5F61"/>
    <w:rsid w:val="00BF666D"/>
    <w:rsid w:val="00BF684B"/>
    <w:rsid w:val="00BF6948"/>
    <w:rsid w:val="00BF6DC2"/>
    <w:rsid w:val="00BF6F66"/>
    <w:rsid w:val="00BF7136"/>
    <w:rsid w:val="00BF7637"/>
    <w:rsid w:val="00BF7C23"/>
    <w:rsid w:val="00C00111"/>
    <w:rsid w:val="00C001AA"/>
    <w:rsid w:val="00C00C7F"/>
    <w:rsid w:val="00C01205"/>
    <w:rsid w:val="00C0128B"/>
    <w:rsid w:val="00C017BD"/>
    <w:rsid w:val="00C01BAC"/>
    <w:rsid w:val="00C01D14"/>
    <w:rsid w:val="00C02227"/>
    <w:rsid w:val="00C02450"/>
    <w:rsid w:val="00C025F6"/>
    <w:rsid w:val="00C02A1D"/>
    <w:rsid w:val="00C02DF2"/>
    <w:rsid w:val="00C02F64"/>
    <w:rsid w:val="00C030D6"/>
    <w:rsid w:val="00C03477"/>
    <w:rsid w:val="00C0357E"/>
    <w:rsid w:val="00C03600"/>
    <w:rsid w:val="00C03823"/>
    <w:rsid w:val="00C03B86"/>
    <w:rsid w:val="00C03BF0"/>
    <w:rsid w:val="00C04134"/>
    <w:rsid w:val="00C0414B"/>
    <w:rsid w:val="00C041EE"/>
    <w:rsid w:val="00C04479"/>
    <w:rsid w:val="00C0488B"/>
    <w:rsid w:val="00C04891"/>
    <w:rsid w:val="00C04976"/>
    <w:rsid w:val="00C04E17"/>
    <w:rsid w:val="00C04F33"/>
    <w:rsid w:val="00C052DE"/>
    <w:rsid w:val="00C055BC"/>
    <w:rsid w:val="00C05680"/>
    <w:rsid w:val="00C05EB1"/>
    <w:rsid w:val="00C06597"/>
    <w:rsid w:val="00C066D6"/>
    <w:rsid w:val="00C07950"/>
    <w:rsid w:val="00C10276"/>
    <w:rsid w:val="00C10691"/>
    <w:rsid w:val="00C10A23"/>
    <w:rsid w:val="00C11790"/>
    <w:rsid w:val="00C11BE6"/>
    <w:rsid w:val="00C12A0A"/>
    <w:rsid w:val="00C12ECC"/>
    <w:rsid w:val="00C1305C"/>
    <w:rsid w:val="00C13DC0"/>
    <w:rsid w:val="00C14A27"/>
    <w:rsid w:val="00C14D27"/>
    <w:rsid w:val="00C15A7B"/>
    <w:rsid w:val="00C15E56"/>
    <w:rsid w:val="00C16001"/>
    <w:rsid w:val="00C16313"/>
    <w:rsid w:val="00C16A56"/>
    <w:rsid w:val="00C171D3"/>
    <w:rsid w:val="00C20080"/>
    <w:rsid w:val="00C20230"/>
    <w:rsid w:val="00C205DE"/>
    <w:rsid w:val="00C20F96"/>
    <w:rsid w:val="00C2107C"/>
    <w:rsid w:val="00C21341"/>
    <w:rsid w:val="00C214B2"/>
    <w:rsid w:val="00C221DD"/>
    <w:rsid w:val="00C22CA3"/>
    <w:rsid w:val="00C2332E"/>
    <w:rsid w:val="00C2394F"/>
    <w:rsid w:val="00C2443E"/>
    <w:rsid w:val="00C24CA0"/>
    <w:rsid w:val="00C25382"/>
    <w:rsid w:val="00C253DB"/>
    <w:rsid w:val="00C25503"/>
    <w:rsid w:val="00C2576C"/>
    <w:rsid w:val="00C25911"/>
    <w:rsid w:val="00C25915"/>
    <w:rsid w:val="00C27917"/>
    <w:rsid w:val="00C27C56"/>
    <w:rsid w:val="00C302F0"/>
    <w:rsid w:val="00C307A4"/>
    <w:rsid w:val="00C319A4"/>
    <w:rsid w:val="00C31C2F"/>
    <w:rsid w:val="00C32717"/>
    <w:rsid w:val="00C32E39"/>
    <w:rsid w:val="00C33EC5"/>
    <w:rsid w:val="00C33F83"/>
    <w:rsid w:val="00C34298"/>
    <w:rsid w:val="00C34B2E"/>
    <w:rsid w:val="00C34DF2"/>
    <w:rsid w:val="00C34F77"/>
    <w:rsid w:val="00C357C9"/>
    <w:rsid w:val="00C35A0C"/>
    <w:rsid w:val="00C35F9F"/>
    <w:rsid w:val="00C36243"/>
    <w:rsid w:val="00C36590"/>
    <w:rsid w:val="00C36B6F"/>
    <w:rsid w:val="00C37478"/>
    <w:rsid w:val="00C378B2"/>
    <w:rsid w:val="00C4020B"/>
    <w:rsid w:val="00C40BE1"/>
    <w:rsid w:val="00C40DC1"/>
    <w:rsid w:val="00C41977"/>
    <w:rsid w:val="00C425F8"/>
    <w:rsid w:val="00C42D1C"/>
    <w:rsid w:val="00C43630"/>
    <w:rsid w:val="00C437EC"/>
    <w:rsid w:val="00C43F42"/>
    <w:rsid w:val="00C4477F"/>
    <w:rsid w:val="00C455AE"/>
    <w:rsid w:val="00C45807"/>
    <w:rsid w:val="00C463B9"/>
    <w:rsid w:val="00C46649"/>
    <w:rsid w:val="00C466AD"/>
    <w:rsid w:val="00C46928"/>
    <w:rsid w:val="00C46B5C"/>
    <w:rsid w:val="00C46F0B"/>
    <w:rsid w:val="00C471F1"/>
    <w:rsid w:val="00C47445"/>
    <w:rsid w:val="00C47A27"/>
    <w:rsid w:val="00C47FAF"/>
    <w:rsid w:val="00C50443"/>
    <w:rsid w:val="00C508AF"/>
    <w:rsid w:val="00C50D91"/>
    <w:rsid w:val="00C51037"/>
    <w:rsid w:val="00C51263"/>
    <w:rsid w:val="00C513C3"/>
    <w:rsid w:val="00C5140A"/>
    <w:rsid w:val="00C51465"/>
    <w:rsid w:val="00C51974"/>
    <w:rsid w:val="00C519EA"/>
    <w:rsid w:val="00C52005"/>
    <w:rsid w:val="00C52E17"/>
    <w:rsid w:val="00C533D2"/>
    <w:rsid w:val="00C5362F"/>
    <w:rsid w:val="00C53F13"/>
    <w:rsid w:val="00C54225"/>
    <w:rsid w:val="00C54D48"/>
    <w:rsid w:val="00C55299"/>
    <w:rsid w:val="00C552A3"/>
    <w:rsid w:val="00C55F03"/>
    <w:rsid w:val="00C56A1E"/>
    <w:rsid w:val="00C572A1"/>
    <w:rsid w:val="00C5731B"/>
    <w:rsid w:val="00C574F4"/>
    <w:rsid w:val="00C57513"/>
    <w:rsid w:val="00C57AA7"/>
    <w:rsid w:val="00C60910"/>
    <w:rsid w:val="00C61EBA"/>
    <w:rsid w:val="00C621E0"/>
    <w:rsid w:val="00C6257D"/>
    <w:rsid w:val="00C626D7"/>
    <w:rsid w:val="00C631EE"/>
    <w:rsid w:val="00C63E34"/>
    <w:rsid w:val="00C64025"/>
    <w:rsid w:val="00C656B0"/>
    <w:rsid w:val="00C66137"/>
    <w:rsid w:val="00C664D3"/>
    <w:rsid w:val="00C66F70"/>
    <w:rsid w:val="00C674FE"/>
    <w:rsid w:val="00C6750B"/>
    <w:rsid w:val="00C67775"/>
    <w:rsid w:val="00C67FD7"/>
    <w:rsid w:val="00C702D8"/>
    <w:rsid w:val="00C70586"/>
    <w:rsid w:val="00C708A7"/>
    <w:rsid w:val="00C70A5A"/>
    <w:rsid w:val="00C71F69"/>
    <w:rsid w:val="00C73358"/>
    <w:rsid w:val="00C743A4"/>
    <w:rsid w:val="00C74473"/>
    <w:rsid w:val="00C746F0"/>
    <w:rsid w:val="00C74D67"/>
    <w:rsid w:val="00C74EAC"/>
    <w:rsid w:val="00C752BF"/>
    <w:rsid w:val="00C75D26"/>
    <w:rsid w:val="00C760D7"/>
    <w:rsid w:val="00C760FB"/>
    <w:rsid w:val="00C7656D"/>
    <w:rsid w:val="00C76E85"/>
    <w:rsid w:val="00C77311"/>
    <w:rsid w:val="00C77373"/>
    <w:rsid w:val="00C776E7"/>
    <w:rsid w:val="00C7792D"/>
    <w:rsid w:val="00C80056"/>
    <w:rsid w:val="00C80560"/>
    <w:rsid w:val="00C80A97"/>
    <w:rsid w:val="00C813AD"/>
    <w:rsid w:val="00C816AB"/>
    <w:rsid w:val="00C81B20"/>
    <w:rsid w:val="00C81B75"/>
    <w:rsid w:val="00C81C2D"/>
    <w:rsid w:val="00C81C34"/>
    <w:rsid w:val="00C81D49"/>
    <w:rsid w:val="00C82850"/>
    <w:rsid w:val="00C82992"/>
    <w:rsid w:val="00C83583"/>
    <w:rsid w:val="00C83BD0"/>
    <w:rsid w:val="00C841C9"/>
    <w:rsid w:val="00C841D5"/>
    <w:rsid w:val="00C8592D"/>
    <w:rsid w:val="00C85A2D"/>
    <w:rsid w:val="00C86807"/>
    <w:rsid w:val="00C869D6"/>
    <w:rsid w:val="00C86DA8"/>
    <w:rsid w:val="00C8738B"/>
    <w:rsid w:val="00C87B14"/>
    <w:rsid w:val="00C9031C"/>
    <w:rsid w:val="00C90581"/>
    <w:rsid w:val="00C9081E"/>
    <w:rsid w:val="00C910AF"/>
    <w:rsid w:val="00C91429"/>
    <w:rsid w:val="00C91747"/>
    <w:rsid w:val="00C917C1"/>
    <w:rsid w:val="00C91874"/>
    <w:rsid w:val="00C91A9B"/>
    <w:rsid w:val="00C9279E"/>
    <w:rsid w:val="00C92E02"/>
    <w:rsid w:val="00C9393F"/>
    <w:rsid w:val="00C939B2"/>
    <w:rsid w:val="00C939C2"/>
    <w:rsid w:val="00C9400E"/>
    <w:rsid w:val="00C94432"/>
    <w:rsid w:val="00C94555"/>
    <w:rsid w:val="00C94804"/>
    <w:rsid w:val="00C95478"/>
    <w:rsid w:val="00C954B5"/>
    <w:rsid w:val="00C95821"/>
    <w:rsid w:val="00C95F27"/>
    <w:rsid w:val="00C96300"/>
    <w:rsid w:val="00C97001"/>
    <w:rsid w:val="00C971AE"/>
    <w:rsid w:val="00C975D4"/>
    <w:rsid w:val="00CA0073"/>
    <w:rsid w:val="00CA0077"/>
    <w:rsid w:val="00CA0A56"/>
    <w:rsid w:val="00CA0FEB"/>
    <w:rsid w:val="00CA12E1"/>
    <w:rsid w:val="00CA1389"/>
    <w:rsid w:val="00CA1513"/>
    <w:rsid w:val="00CA1E47"/>
    <w:rsid w:val="00CA21AF"/>
    <w:rsid w:val="00CA236F"/>
    <w:rsid w:val="00CA2A10"/>
    <w:rsid w:val="00CA2CAA"/>
    <w:rsid w:val="00CA3896"/>
    <w:rsid w:val="00CA3D84"/>
    <w:rsid w:val="00CA3F17"/>
    <w:rsid w:val="00CA4500"/>
    <w:rsid w:val="00CA4A69"/>
    <w:rsid w:val="00CA4CDF"/>
    <w:rsid w:val="00CA4EA3"/>
    <w:rsid w:val="00CA55B2"/>
    <w:rsid w:val="00CA5B6F"/>
    <w:rsid w:val="00CA5CBB"/>
    <w:rsid w:val="00CA5E88"/>
    <w:rsid w:val="00CA622B"/>
    <w:rsid w:val="00CA64A0"/>
    <w:rsid w:val="00CA6DF4"/>
    <w:rsid w:val="00CA6E1A"/>
    <w:rsid w:val="00CA6FCA"/>
    <w:rsid w:val="00CA7055"/>
    <w:rsid w:val="00CA7354"/>
    <w:rsid w:val="00CA7D5C"/>
    <w:rsid w:val="00CB0F55"/>
    <w:rsid w:val="00CB1117"/>
    <w:rsid w:val="00CB1213"/>
    <w:rsid w:val="00CB17E8"/>
    <w:rsid w:val="00CB18FB"/>
    <w:rsid w:val="00CB1F58"/>
    <w:rsid w:val="00CB1F68"/>
    <w:rsid w:val="00CB2455"/>
    <w:rsid w:val="00CB24C0"/>
    <w:rsid w:val="00CB24EF"/>
    <w:rsid w:val="00CB29F4"/>
    <w:rsid w:val="00CB2DC8"/>
    <w:rsid w:val="00CB2FAE"/>
    <w:rsid w:val="00CB318C"/>
    <w:rsid w:val="00CB33EF"/>
    <w:rsid w:val="00CB37AD"/>
    <w:rsid w:val="00CB41E6"/>
    <w:rsid w:val="00CB52B4"/>
    <w:rsid w:val="00CB53D3"/>
    <w:rsid w:val="00CB566A"/>
    <w:rsid w:val="00CB5A54"/>
    <w:rsid w:val="00CB60F4"/>
    <w:rsid w:val="00CB6373"/>
    <w:rsid w:val="00CB6486"/>
    <w:rsid w:val="00CB6893"/>
    <w:rsid w:val="00CB7519"/>
    <w:rsid w:val="00CB754E"/>
    <w:rsid w:val="00CB75AA"/>
    <w:rsid w:val="00CB7842"/>
    <w:rsid w:val="00CB7BE8"/>
    <w:rsid w:val="00CC01DF"/>
    <w:rsid w:val="00CC02CC"/>
    <w:rsid w:val="00CC0691"/>
    <w:rsid w:val="00CC0797"/>
    <w:rsid w:val="00CC1D24"/>
    <w:rsid w:val="00CC23CA"/>
    <w:rsid w:val="00CC26E8"/>
    <w:rsid w:val="00CC2948"/>
    <w:rsid w:val="00CC2B12"/>
    <w:rsid w:val="00CC3111"/>
    <w:rsid w:val="00CC4810"/>
    <w:rsid w:val="00CC501D"/>
    <w:rsid w:val="00CC5197"/>
    <w:rsid w:val="00CC541B"/>
    <w:rsid w:val="00CC5E33"/>
    <w:rsid w:val="00CC6404"/>
    <w:rsid w:val="00CC653D"/>
    <w:rsid w:val="00CC7318"/>
    <w:rsid w:val="00CC7335"/>
    <w:rsid w:val="00CC7366"/>
    <w:rsid w:val="00CC7D37"/>
    <w:rsid w:val="00CC7E8A"/>
    <w:rsid w:val="00CD077D"/>
    <w:rsid w:val="00CD08E4"/>
    <w:rsid w:val="00CD114E"/>
    <w:rsid w:val="00CD18B7"/>
    <w:rsid w:val="00CD1A00"/>
    <w:rsid w:val="00CD2807"/>
    <w:rsid w:val="00CD2CE2"/>
    <w:rsid w:val="00CD33BC"/>
    <w:rsid w:val="00CD3784"/>
    <w:rsid w:val="00CD37C3"/>
    <w:rsid w:val="00CD3C32"/>
    <w:rsid w:val="00CD3D77"/>
    <w:rsid w:val="00CD4A84"/>
    <w:rsid w:val="00CD4C66"/>
    <w:rsid w:val="00CD4C9F"/>
    <w:rsid w:val="00CD552A"/>
    <w:rsid w:val="00CD55DE"/>
    <w:rsid w:val="00CD5E45"/>
    <w:rsid w:val="00CD5FB2"/>
    <w:rsid w:val="00CD6261"/>
    <w:rsid w:val="00CD6542"/>
    <w:rsid w:val="00CD6BD7"/>
    <w:rsid w:val="00CD719C"/>
    <w:rsid w:val="00CD7489"/>
    <w:rsid w:val="00CD74F4"/>
    <w:rsid w:val="00CD7CEA"/>
    <w:rsid w:val="00CE0C36"/>
    <w:rsid w:val="00CE12DE"/>
    <w:rsid w:val="00CE1D9D"/>
    <w:rsid w:val="00CE1DFA"/>
    <w:rsid w:val="00CE2157"/>
    <w:rsid w:val="00CE24BD"/>
    <w:rsid w:val="00CE33D8"/>
    <w:rsid w:val="00CE3597"/>
    <w:rsid w:val="00CE3648"/>
    <w:rsid w:val="00CE400E"/>
    <w:rsid w:val="00CE4052"/>
    <w:rsid w:val="00CE437F"/>
    <w:rsid w:val="00CE4562"/>
    <w:rsid w:val="00CE472E"/>
    <w:rsid w:val="00CE4A71"/>
    <w:rsid w:val="00CE50FC"/>
    <w:rsid w:val="00CE598D"/>
    <w:rsid w:val="00CE5AE5"/>
    <w:rsid w:val="00CE675E"/>
    <w:rsid w:val="00CE6760"/>
    <w:rsid w:val="00CE694D"/>
    <w:rsid w:val="00CE7133"/>
    <w:rsid w:val="00CF0242"/>
    <w:rsid w:val="00CF088A"/>
    <w:rsid w:val="00CF1048"/>
    <w:rsid w:val="00CF19AB"/>
    <w:rsid w:val="00CF1FC0"/>
    <w:rsid w:val="00CF2821"/>
    <w:rsid w:val="00CF3543"/>
    <w:rsid w:val="00CF3CAC"/>
    <w:rsid w:val="00CF41F5"/>
    <w:rsid w:val="00CF424D"/>
    <w:rsid w:val="00CF49FF"/>
    <w:rsid w:val="00CF4AC2"/>
    <w:rsid w:val="00CF4E1C"/>
    <w:rsid w:val="00CF4EFF"/>
    <w:rsid w:val="00CF5422"/>
    <w:rsid w:val="00CF5491"/>
    <w:rsid w:val="00CF57A0"/>
    <w:rsid w:val="00CF57F5"/>
    <w:rsid w:val="00CF5AB5"/>
    <w:rsid w:val="00CF5CB1"/>
    <w:rsid w:val="00CF5D27"/>
    <w:rsid w:val="00CF5F54"/>
    <w:rsid w:val="00CF64ED"/>
    <w:rsid w:val="00CF6BFE"/>
    <w:rsid w:val="00CF7603"/>
    <w:rsid w:val="00CF7AD4"/>
    <w:rsid w:val="00CF7BE6"/>
    <w:rsid w:val="00CF7C85"/>
    <w:rsid w:val="00D000B3"/>
    <w:rsid w:val="00D00161"/>
    <w:rsid w:val="00D005B7"/>
    <w:rsid w:val="00D005B9"/>
    <w:rsid w:val="00D00743"/>
    <w:rsid w:val="00D0080E"/>
    <w:rsid w:val="00D008F7"/>
    <w:rsid w:val="00D00E50"/>
    <w:rsid w:val="00D0104A"/>
    <w:rsid w:val="00D019DD"/>
    <w:rsid w:val="00D01EC4"/>
    <w:rsid w:val="00D0230C"/>
    <w:rsid w:val="00D02450"/>
    <w:rsid w:val="00D02EE1"/>
    <w:rsid w:val="00D02F34"/>
    <w:rsid w:val="00D03068"/>
    <w:rsid w:val="00D032DA"/>
    <w:rsid w:val="00D03A94"/>
    <w:rsid w:val="00D044D3"/>
    <w:rsid w:val="00D04A89"/>
    <w:rsid w:val="00D04C41"/>
    <w:rsid w:val="00D04D4A"/>
    <w:rsid w:val="00D051E2"/>
    <w:rsid w:val="00D0618E"/>
    <w:rsid w:val="00D06215"/>
    <w:rsid w:val="00D06511"/>
    <w:rsid w:val="00D06905"/>
    <w:rsid w:val="00D06B73"/>
    <w:rsid w:val="00D06E5B"/>
    <w:rsid w:val="00D06FA4"/>
    <w:rsid w:val="00D0705F"/>
    <w:rsid w:val="00D07332"/>
    <w:rsid w:val="00D105B1"/>
    <w:rsid w:val="00D1096D"/>
    <w:rsid w:val="00D111BE"/>
    <w:rsid w:val="00D11289"/>
    <w:rsid w:val="00D11375"/>
    <w:rsid w:val="00D119C7"/>
    <w:rsid w:val="00D11F7A"/>
    <w:rsid w:val="00D1291F"/>
    <w:rsid w:val="00D12E7E"/>
    <w:rsid w:val="00D1315A"/>
    <w:rsid w:val="00D136C4"/>
    <w:rsid w:val="00D140CB"/>
    <w:rsid w:val="00D1443A"/>
    <w:rsid w:val="00D14492"/>
    <w:rsid w:val="00D1468A"/>
    <w:rsid w:val="00D1478C"/>
    <w:rsid w:val="00D14833"/>
    <w:rsid w:val="00D14DA5"/>
    <w:rsid w:val="00D14DD3"/>
    <w:rsid w:val="00D15138"/>
    <w:rsid w:val="00D152F5"/>
    <w:rsid w:val="00D1580E"/>
    <w:rsid w:val="00D16CF6"/>
    <w:rsid w:val="00D16DBB"/>
    <w:rsid w:val="00D1720B"/>
    <w:rsid w:val="00D173CB"/>
    <w:rsid w:val="00D176F4"/>
    <w:rsid w:val="00D204F6"/>
    <w:rsid w:val="00D20AFA"/>
    <w:rsid w:val="00D20AFC"/>
    <w:rsid w:val="00D20CED"/>
    <w:rsid w:val="00D20EB2"/>
    <w:rsid w:val="00D21A43"/>
    <w:rsid w:val="00D21D42"/>
    <w:rsid w:val="00D21F45"/>
    <w:rsid w:val="00D22040"/>
    <w:rsid w:val="00D22214"/>
    <w:rsid w:val="00D22FB0"/>
    <w:rsid w:val="00D230EF"/>
    <w:rsid w:val="00D230FF"/>
    <w:rsid w:val="00D242CF"/>
    <w:rsid w:val="00D244F2"/>
    <w:rsid w:val="00D246CA"/>
    <w:rsid w:val="00D249A5"/>
    <w:rsid w:val="00D24C7D"/>
    <w:rsid w:val="00D260EF"/>
    <w:rsid w:val="00D26EC2"/>
    <w:rsid w:val="00D271BC"/>
    <w:rsid w:val="00D278D6"/>
    <w:rsid w:val="00D27B1E"/>
    <w:rsid w:val="00D30CAE"/>
    <w:rsid w:val="00D30D32"/>
    <w:rsid w:val="00D31377"/>
    <w:rsid w:val="00D31FF8"/>
    <w:rsid w:val="00D32C3C"/>
    <w:rsid w:val="00D33139"/>
    <w:rsid w:val="00D33B25"/>
    <w:rsid w:val="00D34338"/>
    <w:rsid w:val="00D3441C"/>
    <w:rsid w:val="00D34CC9"/>
    <w:rsid w:val="00D3599B"/>
    <w:rsid w:val="00D35B49"/>
    <w:rsid w:val="00D372BC"/>
    <w:rsid w:val="00D41A89"/>
    <w:rsid w:val="00D41E24"/>
    <w:rsid w:val="00D42DCE"/>
    <w:rsid w:val="00D43CBB"/>
    <w:rsid w:val="00D4412D"/>
    <w:rsid w:val="00D44AAB"/>
    <w:rsid w:val="00D44AB8"/>
    <w:rsid w:val="00D44DEB"/>
    <w:rsid w:val="00D44E9A"/>
    <w:rsid w:val="00D45080"/>
    <w:rsid w:val="00D4560F"/>
    <w:rsid w:val="00D456FB"/>
    <w:rsid w:val="00D45769"/>
    <w:rsid w:val="00D45BC3"/>
    <w:rsid w:val="00D46689"/>
    <w:rsid w:val="00D46D2D"/>
    <w:rsid w:val="00D47180"/>
    <w:rsid w:val="00D47457"/>
    <w:rsid w:val="00D47DF3"/>
    <w:rsid w:val="00D50177"/>
    <w:rsid w:val="00D5019B"/>
    <w:rsid w:val="00D50321"/>
    <w:rsid w:val="00D509CA"/>
    <w:rsid w:val="00D511C5"/>
    <w:rsid w:val="00D51404"/>
    <w:rsid w:val="00D5179E"/>
    <w:rsid w:val="00D51995"/>
    <w:rsid w:val="00D52039"/>
    <w:rsid w:val="00D52394"/>
    <w:rsid w:val="00D53E40"/>
    <w:rsid w:val="00D53FE2"/>
    <w:rsid w:val="00D54141"/>
    <w:rsid w:val="00D549F9"/>
    <w:rsid w:val="00D552F6"/>
    <w:rsid w:val="00D55B5F"/>
    <w:rsid w:val="00D55DA6"/>
    <w:rsid w:val="00D5717B"/>
    <w:rsid w:val="00D577C4"/>
    <w:rsid w:val="00D577F2"/>
    <w:rsid w:val="00D6030D"/>
    <w:rsid w:val="00D607AB"/>
    <w:rsid w:val="00D60816"/>
    <w:rsid w:val="00D609A8"/>
    <w:rsid w:val="00D61040"/>
    <w:rsid w:val="00D6120D"/>
    <w:rsid w:val="00D61788"/>
    <w:rsid w:val="00D61A5F"/>
    <w:rsid w:val="00D62027"/>
    <w:rsid w:val="00D631B6"/>
    <w:rsid w:val="00D63CC7"/>
    <w:rsid w:val="00D64475"/>
    <w:rsid w:val="00D648A2"/>
    <w:rsid w:val="00D64DEC"/>
    <w:rsid w:val="00D65000"/>
    <w:rsid w:val="00D6555F"/>
    <w:rsid w:val="00D65731"/>
    <w:rsid w:val="00D65A91"/>
    <w:rsid w:val="00D65FB9"/>
    <w:rsid w:val="00D66387"/>
    <w:rsid w:val="00D66561"/>
    <w:rsid w:val="00D66833"/>
    <w:rsid w:val="00D66AB4"/>
    <w:rsid w:val="00D66F1F"/>
    <w:rsid w:val="00D67B5C"/>
    <w:rsid w:val="00D67FE6"/>
    <w:rsid w:val="00D70575"/>
    <w:rsid w:val="00D70675"/>
    <w:rsid w:val="00D72018"/>
    <w:rsid w:val="00D72401"/>
    <w:rsid w:val="00D72BF2"/>
    <w:rsid w:val="00D731C0"/>
    <w:rsid w:val="00D7365B"/>
    <w:rsid w:val="00D73F87"/>
    <w:rsid w:val="00D742CC"/>
    <w:rsid w:val="00D745DF"/>
    <w:rsid w:val="00D745E4"/>
    <w:rsid w:val="00D757CE"/>
    <w:rsid w:val="00D75BA5"/>
    <w:rsid w:val="00D75D60"/>
    <w:rsid w:val="00D75EF5"/>
    <w:rsid w:val="00D76BFB"/>
    <w:rsid w:val="00D76F9A"/>
    <w:rsid w:val="00D80FC3"/>
    <w:rsid w:val="00D814EF"/>
    <w:rsid w:val="00D81D15"/>
    <w:rsid w:val="00D81E5C"/>
    <w:rsid w:val="00D81EA7"/>
    <w:rsid w:val="00D8251A"/>
    <w:rsid w:val="00D82587"/>
    <w:rsid w:val="00D830AD"/>
    <w:rsid w:val="00D831C1"/>
    <w:rsid w:val="00D834D5"/>
    <w:rsid w:val="00D8354F"/>
    <w:rsid w:val="00D83E24"/>
    <w:rsid w:val="00D8469A"/>
    <w:rsid w:val="00D84DCB"/>
    <w:rsid w:val="00D84EC4"/>
    <w:rsid w:val="00D8642B"/>
    <w:rsid w:val="00D86758"/>
    <w:rsid w:val="00D86BA2"/>
    <w:rsid w:val="00D86C43"/>
    <w:rsid w:val="00D8759A"/>
    <w:rsid w:val="00D87DC6"/>
    <w:rsid w:val="00D87FD6"/>
    <w:rsid w:val="00D90547"/>
    <w:rsid w:val="00D91B6E"/>
    <w:rsid w:val="00D92082"/>
    <w:rsid w:val="00D922E6"/>
    <w:rsid w:val="00D92465"/>
    <w:rsid w:val="00D92968"/>
    <w:rsid w:val="00D92988"/>
    <w:rsid w:val="00D932D5"/>
    <w:rsid w:val="00D93499"/>
    <w:rsid w:val="00D93AB6"/>
    <w:rsid w:val="00D93FED"/>
    <w:rsid w:val="00D9484D"/>
    <w:rsid w:val="00D94C5A"/>
    <w:rsid w:val="00D95087"/>
    <w:rsid w:val="00D952CE"/>
    <w:rsid w:val="00D95443"/>
    <w:rsid w:val="00D9574C"/>
    <w:rsid w:val="00D95817"/>
    <w:rsid w:val="00D95A7D"/>
    <w:rsid w:val="00D96216"/>
    <w:rsid w:val="00D96449"/>
    <w:rsid w:val="00D96D9D"/>
    <w:rsid w:val="00D97202"/>
    <w:rsid w:val="00D97436"/>
    <w:rsid w:val="00D97718"/>
    <w:rsid w:val="00D97916"/>
    <w:rsid w:val="00DA0628"/>
    <w:rsid w:val="00DA0A5E"/>
    <w:rsid w:val="00DA1995"/>
    <w:rsid w:val="00DA2FF5"/>
    <w:rsid w:val="00DA3053"/>
    <w:rsid w:val="00DA36CF"/>
    <w:rsid w:val="00DA3FE3"/>
    <w:rsid w:val="00DA4353"/>
    <w:rsid w:val="00DA4B26"/>
    <w:rsid w:val="00DA4CF3"/>
    <w:rsid w:val="00DA4F74"/>
    <w:rsid w:val="00DA515E"/>
    <w:rsid w:val="00DA530B"/>
    <w:rsid w:val="00DA549F"/>
    <w:rsid w:val="00DA61BF"/>
    <w:rsid w:val="00DA676F"/>
    <w:rsid w:val="00DA7ED3"/>
    <w:rsid w:val="00DA7EFF"/>
    <w:rsid w:val="00DB13B3"/>
    <w:rsid w:val="00DB1569"/>
    <w:rsid w:val="00DB286A"/>
    <w:rsid w:val="00DB29FA"/>
    <w:rsid w:val="00DB4A4B"/>
    <w:rsid w:val="00DB4C6F"/>
    <w:rsid w:val="00DB4E0F"/>
    <w:rsid w:val="00DB514A"/>
    <w:rsid w:val="00DB53A1"/>
    <w:rsid w:val="00DB591F"/>
    <w:rsid w:val="00DB59C5"/>
    <w:rsid w:val="00DB5B3E"/>
    <w:rsid w:val="00DB5BF9"/>
    <w:rsid w:val="00DB5F0E"/>
    <w:rsid w:val="00DB6982"/>
    <w:rsid w:val="00DB69A6"/>
    <w:rsid w:val="00DB6ADF"/>
    <w:rsid w:val="00DB7174"/>
    <w:rsid w:val="00DB73E3"/>
    <w:rsid w:val="00DB76FC"/>
    <w:rsid w:val="00DB78A0"/>
    <w:rsid w:val="00DB7F91"/>
    <w:rsid w:val="00DC0052"/>
    <w:rsid w:val="00DC0427"/>
    <w:rsid w:val="00DC055F"/>
    <w:rsid w:val="00DC16E6"/>
    <w:rsid w:val="00DC195C"/>
    <w:rsid w:val="00DC1C1E"/>
    <w:rsid w:val="00DC1D33"/>
    <w:rsid w:val="00DC228F"/>
    <w:rsid w:val="00DC23F6"/>
    <w:rsid w:val="00DC3A99"/>
    <w:rsid w:val="00DC40BF"/>
    <w:rsid w:val="00DC4670"/>
    <w:rsid w:val="00DC5BCC"/>
    <w:rsid w:val="00DC5CA4"/>
    <w:rsid w:val="00DC5D9F"/>
    <w:rsid w:val="00DC6551"/>
    <w:rsid w:val="00DC65CF"/>
    <w:rsid w:val="00DC6C33"/>
    <w:rsid w:val="00DC7400"/>
    <w:rsid w:val="00DC7D27"/>
    <w:rsid w:val="00DC7FB5"/>
    <w:rsid w:val="00DD0173"/>
    <w:rsid w:val="00DD03B8"/>
    <w:rsid w:val="00DD0ADC"/>
    <w:rsid w:val="00DD115E"/>
    <w:rsid w:val="00DD12E5"/>
    <w:rsid w:val="00DD150F"/>
    <w:rsid w:val="00DD1EC3"/>
    <w:rsid w:val="00DD1F09"/>
    <w:rsid w:val="00DD224C"/>
    <w:rsid w:val="00DD24CD"/>
    <w:rsid w:val="00DD2728"/>
    <w:rsid w:val="00DD295A"/>
    <w:rsid w:val="00DD2ED8"/>
    <w:rsid w:val="00DD467D"/>
    <w:rsid w:val="00DD48A9"/>
    <w:rsid w:val="00DD531E"/>
    <w:rsid w:val="00DD5AD7"/>
    <w:rsid w:val="00DD5B48"/>
    <w:rsid w:val="00DD5BFB"/>
    <w:rsid w:val="00DD5EF6"/>
    <w:rsid w:val="00DD6338"/>
    <w:rsid w:val="00DD650A"/>
    <w:rsid w:val="00DD6F7D"/>
    <w:rsid w:val="00DD7F68"/>
    <w:rsid w:val="00DE04E4"/>
    <w:rsid w:val="00DE0566"/>
    <w:rsid w:val="00DE0811"/>
    <w:rsid w:val="00DE0933"/>
    <w:rsid w:val="00DE1177"/>
    <w:rsid w:val="00DE157D"/>
    <w:rsid w:val="00DE1B2A"/>
    <w:rsid w:val="00DE2023"/>
    <w:rsid w:val="00DE26DF"/>
    <w:rsid w:val="00DE27E8"/>
    <w:rsid w:val="00DE27F2"/>
    <w:rsid w:val="00DE287A"/>
    <w:rsid w:val="00DE30B2"/>
    <w:rsid w:val="00DE30E4"/>
    <w:rsid w:val="00DE35D9"/>
    <w:rsid w:val="00DE3964"/>
    <w:rsid w:val="00DE3EB9"/>
    <w:rsid w:val="00DE445E"/>
    <w:rsid w:val="00DE482C"/>
    <w:rsid w:val="00DE515F"/>
    <w:rsid w:val="00DE5735"/>
    <w:rsid w:val="00DE5798"/>
    <w:rsid w:val="00DE57D7"/>
    <w:rsid w:val="00DE62D3"/>
    <w:rsid w:val="00DE66AA"/>
    <w:rsid w:val="00DE68BA"/>
    <w:rsid w:val="00DE68BF"/>
    <w:rsid w:val="00DE6DCB"/>
    <w:rsid w:val="00DE735C"/>
    <w:rsid w:val="00DE7697"/>
    <w:rsid w:val="00DE7A6C"/>
    <w:rsid w:val="00DF062F"/>
    <w:rsid w:val="00DF0A1F"/>
    <w:rsid w:val="00DF1123"/>
    <w:rsid w:val="00DF11C6"/>
    <w:rsid w:val="00DF1656"/>
    <w:rsid w:val="00DF20BD"/>
    <w:rsid w:val="00DF2666"/>
    <w:rsid w:val="00DF29FC"/>
    <w:rsid w:val="00DF3448"/>
    <w:rsid w:val="00DF483A"/>
    <w:rsid w:val="00DF4E5D"/>
    <w:rsid w:val="00DF5FE9"/>
    <w:rsid w:val="00DF6BC6"/>
    <w:rsid w:val="00DF70A0"/>
    <w:rsid w:val="00DF7101"/>
    <w:rsid w:val="00E004C0"/>
    <w:rsid w:val="00E0076A"/>
    <w:rsid w:val="00E018A0"/>
    <w:rsid w:val="00E01E32"/>
    <w:rsid w:val="00E01FF5"/>
    <w:rsid w:val="00E02628"/>
    <w:rsid w:val="00E0271B"/>
    <w:rsid w:val="00E02C3D"/>
    <w:rsid w:val="00E02DB6"/>
    <w:rsid w:val="00E02FA6"/>
    <w:rsid w:val="00E0364D"/>
    <w:rsid w:val="00E03AA8"/>
    <w:rsid w:val="00E04892"/>
    <w:rsid w:val="00E05085"/>
    <w:rsid w:val="00E05183"/>
    <w:rsid w:val="00E061BE"/>
    <w:rsid w:val="00E063E3"/>
    <w:rsid w:val="00E07534"/>
    <w:rsid w:val="00E10297"/>
    <w:rsid w:val="00E105D4"/>
    <w:rsid w:val="00E107F9"/>
    <w:rsid w:val="00E10DE5"/>
    <w:rsid w:val="00E116F4"/>
    <w:rsid w:val="00E11E72"/>
    <w:rsid w:val="00E126C3"/>
    <w:rsid w:val="00E13498"/>
    <w:rsid w:val="00E13871"/>
    <w:rsid w:val="00E14777"/>
    <w:rsid w:val="00E149C5"/>
    <w:rsid w:val="00E14C30"/>
    <w:rsid w:val="00E14E03"/>
    <w:rsid w:val="00E15242"/>
    <w:rsid w:val="00E15260"/>
    <w:rsid w:val="00E15261"/>
    <w:rsid w:val="00E159DD"/>
    <w:rsid w:val="00E15A14"/>
    <w:rsid w:val="00E15DDE"/>
    <w:rsid w:val="00E15FB7"/>
    <w:rsid w:val="00E169A7"/>
    <w:rsid w:val="00E16A86"/>
    <w:rsid w:val="00E170EC"/>
    <w:rsid w:val="00E174A8"/>
    <w:rsid w:val="00E17AA5"/>
    <w:rsid w:val="00E20428"/>
    <w:rsid w:val="00E205A1"/>
    <w:rsid w:val="00E20C69"/>
    <w:rsid w:val="00E210A6"/>
    <w:rsid w:val="00E21306"/>
    <w:rsid w:val="00E21328"/>
    <w:rsid w:val="00E215CD"/>
    <w:rsid w:val="00E21884"/>
    <w:rsid w:val="00E2210A"/>
    <w:rsid w:val="00E22524"/>
    <w:rsid w:val="00E22E3D"/>
    <w:rsid w:val="00E23180"/>
    <w:rsid w:val="00E235D1"/>
    <w:rsid w:val="00E240A3"/>
    <w:rsid w:val="00E24483"/>
    <w:rsid w:val="00E24CD1"/>
    <w:rsid w:val="00E251AF"/>
    <w:rsid w:val="00E2584F"/>
    <w:rsid w:val="00E25C87"/>
    <w:rsid w:val="00E25CA4"/>
    <w:rsid w:val="00E25EED"/>
    <w:rsid w:val="00E27737"/>
    <w:rsid w:val="00E277C4"/>
    <w:rsid w:val="00E278DE"/>
    <w:rsid w:val="00E27D8C"/>
    <w:rsid w:val="00E31532"/>
    <w:rsid w:val="00E3168C"/>
    <w:rsid w:val="00E319F4"/>
    <w:rsid w:val="00E32487"/>
    <w:rsid w:val="00E324A8"/>
    <w:rsid w:val="00E326CA"/>
    <w:rsid w:val="00E32706"/>
    <w:rsid w:val="00E32902"/>
    <w:rsid w:val="00E32B89"/>
    <w:rsid w:val="00E32D9C"/>
    <w:rsid w:val="00E339D2"/>
    <w:rsid w:val="00E339F4"/>
    <w:rsid w:val="00E340E6"/>
    <w:rsid w:val="00E343D7"/>
    <w:rsid w:val="00E35C3D"/>
    <w:rsid w:val="00E3634F"/>
    <w:rsid w:val="00E36658"/>
    <w:rsid w:val="00E367E7"/>
    <w:rsid w:val="00E36B04"/>
    <w:rsid w:val="00E378E5"/>
    <w:rsid w:val="00E37A82"/>
    <w:rsid w:val="00E37F93"/>
    <w:rsid w:val="00E402F5"/>
    <w:rsid w:val="00E403AD"/>
    <w:rsid w:val="00E40897"/>
    <w:rsid w:val="00E42701"/>
    <w:rsid w:val="00E42F1B"/>
    <w:rsid w:val="00E4310A"/>
    <w:rsid w:val="00E43AF2"/>
    <w:rsid w:val="00E43C81"/>
    <w:rsid w:val="00E442B0"/>
    <w:rsid w:val="00E444D1"/>
    <w:rsid w:val="00E44DBF"/>
    <w:rsid w:val="00E44F2B"/>
    <w:rsid w:val="00E450AD"/>
    <w:rsid w:val="00E4569E"/>
    <w:rsid w:val="00E459B9"/>
    <w:rsid w:val="00E463C0"/>
    <w:rsid w:val="00E467C5"/>
    <w:rsid w:val="00E46AA1"/>
    <w:rsid w:val="00E46CD9"/>
    <w:rsid w:val="00E470DB"/>
    <w:rsid w:val="00E4728A"/>
    <w:rsid w:val="00E50164"/>
    <w:rsid w:val="00E508DE"/>
    <w:rsid w:val="00E512DE"/>
    <w:rsid w:val="00E51401"/>
    <w:rsid w:val="00E52302"/>
    <w:rsid w:val="00E5248B"/>
    <w:rsid w:val="00E52C40"/>
    <w:rsid w:val="00E532AC"/>
    <w:rsid w:val="00E533D7"/>
    <w:rsid w:val="00E534DC"/>
    <w:rsid w:val="00E53CE4"/>
    <w:rsid w:val="00E5461A"/>
    <w:rsid w:val="00E549AF"/>
    <w:rsid w:val="00E55315"/>
    <w:rsid w:val="00E55D2C"/>
    <w:rsid w:val="00E55E13"/>
    <w:rsid w:val="00E564A0"/>
    <w:rsid w:val="00E609AF"/>
    <w:rsid w:val="00E61FB1"/>
    <w:rsid w:val="00E620E3"/>
    <w:rsid w:val="00E627BA"/>
    <w:rsid w:val="00E62D40"/>
    <w:rsid w:val="00E63031"/>
    <w:rsid w:val="00E63715"/>
    <w:rsid w:val="00E63B53"/>
    <w:rsid w:val="00E63CBF"/>
    <w:rsid w:val="00E63DE5"/>
    <w:rsid w:val="00E63E5F"/>
    <w:rsid w:val="00E63FA2"/>
    <w:rsid w:val="00E64188"/>
    <w:rsid w:val="00E646CE"/>
    <w:rsid w:val="00E648AD"/>
    <w:rsid w:val="00E648CA"/>
    <w:rsid w:val="00E64DDD"/>
    <w:rsid w:val="00E64E0E"/>
    <w:rsid w:val="00E6514B"/>
    <w:rsid w:val="00E657D2"/>
    <w:rsid w:val="00E65870"/>
    <w:rsid w:val="00E65C01"/>
    <w:rsid w:val="00E65C93"/>
    <w:rsid w:val="00E66435"/>
    <w:rsid w:val="00E66526"/>
    <w:rsid w:val="00E66F20"/>
    <w:rsid w:val="00E66F52"/>
    <w:rsid w:val="00E67427"/>
    <w:rsid w:val="00E679FB"/>
    <w:rsid w:val="00E70824"/>
    <w:rsid w:val="00E70F8D"/>
    <w:rsid w:val="00E7117D"/>
    <w:rsid w:val="00E7130A"/>
    <w:rsid w:val="00E7143F"/>
    <w:rsid w:val="00E71AB0"/>
    <w:rsid w:val="00E71B66"/>
    <w:rsid w:val="00E720B9"/>
    <w:rsid w:val="00E7239C"/>
    <w:rsid w:val="00E726B1"/>
    <w:rsid w:val="00E72E57"/>
    <w:rsid w:val="00E733ED"/>
    <w:rsid w:val="00E73858"/>
    <w:rsid w:val="00E73FEB"/>
    <w:rsid w:val="00E741CC"/>
    <w:rsid w:val="00E74FA0"/>
    <w:rsid w:val="00E75878"/>
    <w:rsid w:val="00E758F7"/>
    <w:rsid w:val="00E75DD2"/>
    <w:rsid w:val="00E760A6"/>
    <w:rsid w:val="00E7629E"/>
    <w:rsid w:val="00E7667A"/>
    <w:rsid w:val="00E767C4"/>
    <w:rsid w:val="00E76C41"/>
    <w:rsid w:val="00E76F62"/>
    <w:rsid w:val="00E76F82"/>
    <w:rsid w:val="00E77603"/>
    <w:rsid w:val="00E77E7F"/>
    <w:rsid w:val="00E805E4"/>
    <w:rsid w:val="00E80E3C"/>
    <w:rsid w:val="00E81998"/>
    <w:rsid w:val="00E81D09"/>
    <w:rsid w:val="00E81FC7"/>
    <w:rsid w:val="00E827DE"/>
    <w:rsid w:val="00E8323A"/>
    <w:rsid w:val="00E84C24"/>
    <w:rsid w:val="00E84D6A"/>
    <w:rsid w:val="00E86335"/>
    <w:rsid w:val="00E8634B"/>
    <w:rsid w:val="00E86583"/>
    <w:rsid w:val="00E86F9F"/>
    <w:rsid w:val="00E87D38"/>
    <w:rsid w:val="00E90EE6"/>
    <w:rsid w:val="00E90FF5"/>
    <w:rsid w:val="00E91BD2"/>
    <w:rsid w:val="00E92D35"/>
    <w:rsid w:val="00E93F40"/>
    <w:rsid w:val="00E9422B"/>
    <w:rsid w:val="00E94329"/>
    <w:rsid w:val="00E9443D"/>
    <w:rsid w:val="00E94CC1"/>
    <w:rsid w:val="00E94EA4"/>
    <w:rsid w:val="00E94EE6"/>
    <w:rsid w:val="00E94F8B"/>
    <w:rsid w:val="00E95A27"/>
    <w:rsid w:val="00E964DF"/>
    <w:rsid w:val="00E96785"/>
    <w:rsid w:val="00E975E4"/>
    <w:rsid w:val="00EA0C9C"/>
    <w:rsid w:val="00EA0F3E"/>
    <w:rsid w:val="00EA12AA"/>
    <w:rsid w:val="00EA1327"/>
    <w:rsid w:val="00EA1453"/>
    <w:rsid w:val="00EA1627"/>
    <w:rsid w:val="00EA1861"/>
    <w:rsid w:val="00EA18FD"/>
    <w:rsid w:val="00EA1CA3"/>
    <w:rsid w:val="00EA22D2"/>
    <w:rsid w:val="00EA2621"/>
    <w:rsid w:val="00EA2C67"/>
    <w:rsid w:val="00EA3185"/>
    <w:rsid w:val="00EA330A"/>
    <w:rsid w:val="00EA35FB"/>
    <w:rsid w:val="00EA36DA"/>
    <w:rsid w:val="00EA39ED"/>
    <w:rsid w:val="00EA3FFC"/>
    <w:rsid w:val="00EA4A2B"/>
    <w:rsid w:val="00EA5E3A"/>
    <w:rsid w:val="00EA5F5C"/>
    <w:rsid w:val="00EA60B2"/>
    <w:rsid w:val="00EA6490"/>
    <w:rsid w:val="00EA6D44"/>
    <w:rsid w:val="00EA71B9"/>
    <w:rsid w:val="00EA7723"/>
    <w:rsid w:val="00EA77D6"/>
    <w:rsid w:val="00EA786C"/>
    <w:rsid w:val="00EA7A71"/>
    <w:rsid w:val="00EB023E"/>
    <w:rsid w:val="00EB0297"/>
    <w:rsid w:val="00EB182F"/>
    <w:rsid w:val="00EB1897"/>
    <w:rsid w:val="00EB20D8"/>
    <w:rsid w:val="00EB2574"/>
    <w:rsid w:val="00EB31D0"/>
    <w:rsid w:val="00EB352B"/>
    <w:rsid w:val="00EB38E3"/>
    <w:rsid w:val="00EB441B"/>
    <w:rsid w:val="00EB4744"/>
    <w:rsid w:val="00EB4914"/>
    <w:rsid w:val="00EB60CA"/>
    <w:rsid w:val="00EB6296"/>
    <w:rsid w:val="00EB6A08"/>
    <w:rsid w:val="00EB6CC2"/>
    <w:rsid w:val="00EB7E41"/>
    <w:rsid w:val="00EC1614"/>
    <w:rsid w:val="00EC16BA"/>
    <w:rsid w:val="00EC1D7F"/>
    <w:rsid w:val="00EC1F3B"/>
    <w:rsid w:val="00EC1FB9"/>
    <w:rsid w:val="00EC23A7"/>
    <w:rsid w:val="00EC256C"/>
    <w:rsid w:val="00EC258F"/>
    <w:rsid w:val="00EC2635"/>
    <w:rsid w:val="00EC2A04"/>
    <w:rsid w:val="00EC349F"/>
    <w:rsid w:val="00EC399C"/>
    <w:rsid w:val="00EC438A"/>
    <w:rsid w:val="00EC4B4E"/>
    <w:rsid w:val="00EC5090"/>
    <w:rsid w:val="00EC50A8"/>
    <w:rsid w:val="00EC51D7"/>
    <w:rsid w:val="00EC5A7C"/>
    <w:rsid w:val="00EC5F50"/>
    <w:rsid w:val="00EC5F6A"/>
    <w:rsid w:val="00EC61FA"/>
    <w:rsid w:val="00EC658E"/>
    <w:rsid w:val="00EC770B"/>
    <w:rsid w:val="00EC7AE0"/>
    <w:rsid w:val="00ED0249"/>
    <w:rsid w:val="00ED03E3"/>
    <w:rsid w:val="00ED0D88"/>
    <w:rsid w:val="00ED1585"/>
    <w:rsid w:val="00ED1DF9"/>
    <w:rsid w:val="00ED1E05"/>
    <w:rsid w:val="00ED2107"/>
    <w:rsid w:val="00ED2B6D"/>
    <w:rsid w:val="00ED2D24"/>
    <w:rsid w:val="00ED2D7E"/>
    <w:rsid w:val="00ED2EB9"/>
    <w:rsid w:val="00ED30F9"/>
    <w:rsid w:val="00ED329B"/>
    <w:rsid w:val="00ED34AD"/>
    <w:rsid w:val="00ED3814"/>
    <w:rsid w:val="00ED3A96"/>
    <w:rsid w:val="00ED3E57"/>
    <w:rsid w:val="00ED4864"/>
    <w:rsid w:val="00ED577A"/>
    <w:rsid w:val="00ED59CC"/>
    <w:rsid w:val="00ED5EC5"/>
    <w:rsid w:val="00ED61A1"/>
    <w:rsid w:val="00ED6786"/>
    <w:rsid w:val="00ED6805"/>
    <w:rsid w:val="00ED6D83"/>
    <w:rsid w:val="00ED6F74"/>
    <w:rsid w:val="00ED719D"/>
    <w:rsid w:val="00ED7226"/>
    <w:rsid w:val="00ED72DB"/>
    <w:rsid w:val="00ED774A"/>
    <w:rsid w:val="00ED7D33"/>
    <w:rsid w:val="00ED7D6E"/>
    <w:rsid w:val="00ED7EEC"/>
    <w:rsid w:val="00ED7F51"/>
    <w:rsid w:val="00EE0758"/>
    <w:rsid w:val="00EE1005"/>
    <w:rsid w:val="00EE185A"/>
    <w:rsid w:val="00EE223E"/>
    <w:rsid w:val="00EE24FE"/>
    <w:rsid w:val="00EE2A2D"/>
    <w:rsid w:val="00EE301B"/>
    <w:rsid w:val="00EE336E"/>
    <w:rsid w:val="00EE3CA8"/>
    <w:rsid w:val="00EE3EE1"/>
    <w:rsid w:val="00EE547F"/>
    <w:rsid w:val="00EE55A7"/>
    <w:rsid w:val="00EE5708"/>
    <w:rsid w:val="00EE575B"/>
    <w:rsid w:val="00EE5ADF"/>
    <w:rsid w:val="00EE5F32"/>
    <w:rsid w:val="00EE6279"/>
    <w:rsid w:val="00EE62D2"/>
    <w:rsid w:val="00EE742F"/>
    <w:rsid w:val="00EE7655"/>
    <w:rsid w:val="00EE7759"/>
    <w:rsid w:val="00EF0C1C"/>
    <w:rsid w:val="00EF1106"/>
    <w:rsid w:val="00EF177D"/>
    <w:rsid w:val="00EF17A3"/>
    <w:rsid w:val="00EF27F6"/>
    <w:rsid w:val="00EF351D"/>
    <w:rsid w:val="00EF39B1"/>
    <w:rsid w:val="00EF3BF6"/>
    <w:rsid w:val="00EF56B1"/>
    <w:rsid w:val="00EF59F2"/>
    <w:rsid w:val="00EF5DF9"/>
    <w:rsid w:val="00EF60AA"/>
    <w:rsid w:val="00EF674D"/>
    <w:rsid w:val="00EF6CE0"/>
    <w:rsid w:val="00EF6FD3"/>
    <w:rsid w:val="00EF6FEA"/>
    <w:rsid w:val="00EF7821"/>
    <w:rsid w:val="00EF78D4"/>
    <w:rsid w:val="00EF7A87"/>
    <w:rsid w:val="00EF7AC5"/>
    <w:rsid w:val="00F00DD7"/>
    <w:rsid w:val="00F013C3"/>
    <w:rsid w:val="00F0191A"/>
    <w:rsid w:val="00F01975"/>
    <w:rsid w:val="00F02773"/>
    <w:rsid w:val="00F02C41"/>
    <w:rsid w:val="00F032D3"/>
    <w:rsid w:val="00F0331B"/>
    <w:rsid w:val="00F03635"/>
    <w:rsid w:val="00F03DB5"/>
    <w:rsid w:val="00F03E54"/>
    <w:rsid w:val="00F04511"/>
    <w:rsid w:val="00F04D4F"/>
    <w:rsid w:val="00F05174"/>
    <w:rsid w:val="00F0540C"/>
    <w:rsid w:val="00F05D37"/>
    <w:rsid w:val="00F0619C"/>
    <w:rsid w:val="00F069E0"/>
    <w:rsid w:val="00F1039F"/>
    <w:rsid w:val="00F10D7B"/>
    <w:rsid w:val="00F10FFA"/>
    <w:rsid w:val="00F114F4"/>
    <w:rsid w:val="00F116D2"/>
    <w:rsid w:val="00F11704"/>
    <w:rsid w:val="00F11E6E"/>
    <w:rsid w:val="00F11F17"/>
    <w:rsid w:val="00F128CB"/>
    <w:rsid w:val="00F12AB7"/>
    <w:rsid w:val="00F13AF3"/>
    <w:rsid w:val="00F14DE0"/>
    <w:rsid w:val="00F1678B"/>
    <w:rsid w:val="00F169B1"/>
    <w:rsid w:val="00F16A97"/>
    <w:rsid w:val="00F2023C"/>
    <w:rsid w:val="00F203D9"/>
    <w:rsid w:val="00F2045B"/>
    <w:rsid w:val="00F20698"/>
    <w:rsid w:val="00F2096E"/>
    <w:rsid w:val="00F21916"/>
    <w:rsid w:val="00F22051"/>
    <w:rsid w:val="00F22EA5"/>
    <w:rsid w:val="00F22FB4"/>
    <w:rsid w:val="00F23002"/>
    <w:rsid w:val="00F23931"/>
    <w:rsid w:val="00F24493"/>
    <w:rsid w:val="00F244BE"/>
    <w:rsid w:val="00F24551"/>
    <w:rsid w:val="00F24CD7"/>
    <w:rsid w:val="00F2558D"/>
    <w:rsid w:val="00F25ED5"/>
    <w:rsid w:val="00F26165"/>
    <w:rsid w:val="00F26223"/>
    <w:rsid w:val="00F26423"/>
    <w:rsid w:val="00F26983"/>
    <w:rsid w:val="00F26996"/>
    <w:rsid w:val="00F26BA0"/>
    <w:rsid w:val="00F2706A"/>
    <w:rsid w:val="00F27323"/>
    <w:rsid w:val="00F27703"/>
    <w:rsid w:val="00F277E5"/>
    <w:rsid w:val="00F30E85"/>
    <w:rsid w:val="00F30FF2"/>
    <w:rsid w:val="00F3260E"/>
    <w:rsid w:val="00F3293A"/>
    <w:rsid w:val="00F32A87"/>
    <w:rsid w:val="00F33A49"/>
    <w:rsid w:val="00F34592"/>
    <w:rsid w:val="00F34C73"/>
    <w:rsid w:val="00F353D4"/>
    <w:rsid w:val="00F354FD"/>
    <w:rsid w:val="00F3551C"/>
    <w:rsid w:val="00F359EB"/>
    <w:rsid w:val="00F35F39"/>
    <w:rsid w:val="00F36718"/>
    <w:rsid w:val="00F372D0"/>
    <w:rsid w:val="00F37DC8"/>
    <w:rsid w:val="00F4112A"/>
    <w:rsid w:val="00F411FB"/>
    <w:rsid w:val="00F412AE"/>
    <w:rsid w:val="00F412CA"/>
    <w:rsid w:val="00F415F4"/>
    <w:rsid w:val="00F41604"/>
    <w:rsid w:val="00F4173B"/>
    <w:rsid w:val="00F41AC4"/>
    <w:rsid w:val="00F41E17"/>
    <w:rsid w:val="00F41E49"/>
    <w:rsid w:val="00F41F43"/>
    <w:rsid w:val="00F4208E"/>
    <w:rsid w:val="00F429BB"/>
    <w:rsid w:val="00F43B76"/>
    <w:rsid w:val="00F43CBF"/>
    <w:rsid w:val="00F43E4B"/>
    <w:rsid w:val="00F451F7"/>
    <w:rsid w:val="00F4687F"/>
    <w:rsid w:val="00F4688E"/>
    <w:rsid w:val="00F46B40"/>
    <w:rsid w:val="00F47841"/>
    <w:rsid w:val="00F50102"/>
    <w:rsid w:val="00F501B8"/>
    <w:rsid w:val="00F50237"/>
    <w:rsid w:val="00F50754"/>
    <w:rsid w:val="00F5137B"/>
    <w:rsid w:val="00F5181E"/>
    <w:rsid w:val="00F51C12"/>
    <w:rsid w:val="00F51C32"/>
    <w:rsid w:val="00F51DCE"/>
    <w:rsid w:val="00F51E85"/>
    <w:rsid w:val="00F51EE4"/>
    <w:rsid w:val="00F51FFF"/>
    <w:rsid w:val="00F5217B"/>
    <w:rsid w:val="00F529F2"/>
    <w:rsid w:val="00F52A21"/>
    <w:rsid w:val="00F534DB"/>
    <w:rsid w:val="00F53A09"/>
    <w:rsid w:val="00F53CD8"/>
    <w:rsid w:val="00F53CF9"/>
    <w:rsid w:val="00F53F2A"/>
    <w:rsid w:val="00F55728"/>
    <w:rsid w:val="00F55EE5"/>
    <w:rsid w:val="00F55F6B"/>
    <w:rsid w:val="00F55FD0"/>
    <w:rsid w:val="00F565A8"/>
    <w:rsid w:val="00F57B6F"/>
    <w:rsid w:val="00F6013A"/>
    <w:rsid w:val="00F60143"/>
    <w:rsid w:val="00F601EE"/>
    <w:rsid w:val="00F604B3"/>
    <w:rsid w:val="00F6053E"/>
    <w:rsid w:val="00F613C6"/>
    <w:rsid w:val="00F62405"/>
    <w:rsid w:val="00F625E2"/>
    <w:rsid w:val="00F62753"/>
    <w:rsid w:val="00F63358"/>
    <w:rsid w:val="00F634BC"/>
    <w:rsid w:val="00F635DA"/>
    <w:rsid w:val="00F6470B"/>
    <w:rsid w:val="00F65714"/>
    <w:rsid w:val="00F65A12"/>
    <w:rsid w:val="00F65E67"/>
    <w:rsid w:val="00F66288"/>
    <w:rsid w:val="00F66F9B"/>
    <w:rsid w:val="00F66FD9"/>
    <w:rsid w:val="00F67113"/>
    <w:rsid w:val="00F673E6"/>
    <w:rsid w:val="00F70F60"/>
    <w:rsid w:val="00F719CE"/>
    <w:rsid w:val="00F71FE2"/>
    <w:rsid w:val="00F723F9"/>
    <w:rsid w:val="00F725EF"/>
    <w:rsid w:val="00F72921"/>
    <w:rsid w:val="00F73A88"/>
    <w:rsid w:val="00F73E03"/>
    <w:rsid w:val="00F7450D"/>
    <w:rsid w:val="00F74D63"/>
    <w:rsid w:val="00F766AD"/>
    <w:rsid w:val="00F76C04"/>
    <w:rsid w:val="00F779B6"/>
    <w:rsid w:val="00F81201"/>
    <w:rsid w:val="00F8168E"/>
    <w:rsid w:val="00F81EE0"/>
    <w:rsid w:val="00F821D2"/>
    <w:rsid w:val="00F83D7C"/>
    <w:rsid w:val="00F84B7F"/>
    <w:rsid w:val="00F84BEF"/>
    <w:rsid w:val="00F85B06"/>
    <w:rsid w:val="00F85D1E"/>
    <w:rsid w:val="00F85D9C"/>
    <w:rsid w:val="00F8624A"/>
    <w:rsid w:val="00F86C44"/>
    <w:rsid w:val="00F87B61"/>
    <w:rsid w:val="00F87CC1"/>
    <w:rsid w:val="00F90534"/>
    <w:rsid w:val="00F90573"/>
    <w:rsid w:val="00F91623"/>
    <w:rsid w:val="00F9179B"/>
    <w:rsid w:val="00F919AE"/>
    <w:rsid w:val="00F91CEA"/>
    <w:rsid w:val="00F91DCD"/>
    <w:rsid w:val="00F92F47"/>
    <w:rsid w:val="00F93223"/>
    <w:rsid w:val="00F933D6"/>
    <w:rsid w:val="00F94268"/>
    <w:rsid w:val="00F946E1"/>
    <w:rsid w:val="00F94895"/>
    <w:rsid w:val="00F94977"/>
    <w:rsid w:val="00F94D0A"/>
    <w:rsid w:val="00F94DAF"/>
    <w:rsid w:val="00F95845"/>
    <w:rsid w:val="00F95DC0"/>
    <w:rsid w:val="00F95F6A"/>
    <w:rsid w:val="00F963AE"/>
    <w:rsid w:val="00F96E4A"/>
    <w:rsid w:val="00F974FC"/>
    <w:rsid w:val="00F97BA3"/>
    <w:rsid w:val="00F97BD5"/>
    <w:rsid w:val="00F97CBC"/>
    <w:rsid w:val="00F97DA5"/>
    <w:rsid w:val="00FA021C"/>
    <w:rsid w:val="00FA02ED"/>
    <w:rsid w:val="00FA04C8"/>
    <w:rsid w:val="00FA13DB"/>
    <w:rsid w:val="00FA1A07"/>
    <w:rsid w:val="00FA1DE3"/>
    <w:rsid w:val="00FA2AE4"/>
    <w:rsid w:val="00FA316E"/>
    <w:rsid w:val="00FA339B"/>
    <w:rsid w:val="00FA36A0"/>
    <w:rsid w:val="00FA414D"/>
    <w:rsid w:val="00FA4413"/>
    <w:rsid w:val="00FA4F20"/>
    <w:rsid w:val="00FA51B3"/>
    <w:rsid w:val="00FA562B"/>
    <w:rsid w:val="00FA5810"/>
    <w:rsid w:val="00FA5E3E"/>
    <w:rsid w:val="00FA680A"/>
    <w:rsid w:val="00FA7B9A"/>
    <w:rsid w:val="00FB0371"/>
    <w:rsid w:val="00FB0772"/>
    <w:rsid w:val="00FB0B5C"/>
    <w:rsid w:val="00FB1434"/>
    <w:rsid w:val="00FB15F3"/>
    <w:rsid w:val="00FB16A4"/>
    <w:rsid w:val="00FB23BF"/>
    <w:rsid w:val="00FB26AD"/>
    <w:rsid w:val="00FB326E"/>
    <w:rsid w:val="00FB3C40"/>
    <w:rsid w:val="00FB4617"/>
    <w:rsid w:val="00FB46E6"/>
    <w:rsid w:val="00FB4CFE"/>
    <w:rsid w:val="00FB4F96"/>
    <w:rsid w:val="00FB602F"/>
    <w:rsid w:val="00FB7491"/>
    <w:rsid w:val="00FB7547"/>
    <w:rsid w:val="00FC09D1"/>
    <w:rsid w:val="00FC103B"/>
    <w:rsid w:val="00FC19D5"/>
    <w:rsid w:val="00FC2814"/>
    <w:rsid w:val="00FC2866"/>
    <w:rsid w:val="00FC2E9D"/>
    <w:rsid w:val="00FC3264"/>
    <w:rsid w:val="00FC32D3"/>
    <w:rsid w:val="00FC3810"/>
    <w:rsid w:val="00FC4147"/>
    <w:rsid w:val="00FC488D"/>
    <w:rsid w:val="00FC496F"/>
    <w:rsid w:val="00FC5405"/>
    <w:rsid w:val="00FC5744"/>
    <w:rsid w:val="00FC5D56"/>
    <w:rsid w:val="00FC6083"/>
    <w:rsid w:val="00FC6199"/>
    <w:rsid w:val="00FC63F7"/>
    <w:rsid w:val="00FC65BB"/>
    <w:rsid w:val="00FC72BB"/>
    <w:rsid w:val="00FC7428"/>
    <w:rsid w:val="00FC7C61"/>
    <w:rsid w:val="00FD0410"/>
    <w:rsid w:val="00FD06C7"/>
    <w:rsid w:val="00FD08E0"/>
    <w:rsid w:val="00FD0981"/>
    <w:rsid w:val="00FD0AB5"/>
    <w:rsid w:val="00FD14D4"/>
    <w:rsid w:val="00FD14DF"/>
    <w:rsid w:val="00FD165B"/>
    <w:rsid w:val="00FD1BB9"/>
    <w:rsid w:val="00FD2AEF"/>
    <w:rsid w:val="00FD3215"/>
    <w:rsid w:val="00FD35EC"/>
    <w:rsid w:val="00FD411A"/>
    <w:rsid w:val="00FD4B35"/>
    <w:rsid w:val="00FD4F9D"/>
    <w:rsid w:val="00FD571A"/>
    <w:rsid w:val="00FD5AE2"/>
    <w:rsid w:val="00FD5C58"/>
    <w:rsid w:val="00FD6070"/>
    <w:rsid w:val="00FD6B1A"/>
    <w:rsid w:val="00FD7E91"/>
    <w:rsid w:val="00FE02CC"/>
    <w:rsid w:val="00FE0BBA"/>
    <w:rsid w:val="00FE14E8"/>
    <w:rsid w:val="00FE19B3"/>
    <w:rsid w:val="00FE1CEF"/>
    <w:rsid w:val="00FE1FE8"/>
    <w:rsid w:val="00FE28D8"/>
    <w:rsid w:val="00FE3B08"/>
    <w:rsid w:val="00FE417F"/>
    <w:rsid w:val="00FE41B1"/>
    <w:rsid w:val="00FE4A48"/>
    <w:rsid w:val="00FE4C08"/>
    <w:rsid w:val="00FE55A5"/>
    <w:rsid w:val="00FE62EC"/>
    <w:rsid w:val="00FE728D"/>
    <w:rsid w:val="00FE76FE"/>
    <w:rsid w:val="00FE7729"/>
    <w:rsid w:val="00FE78B4"/>
    <w:rsid w:val="00FF07F0"/>
    <w:rsid w:val="00FF0C60"/>
    <w:rsid w:val="00FF1022"/>
    <w:rsid w:val="00FF2282"/>
    <w:rsid w:val="00FF256A"/>
    <w:rsid w:val="00FF2AC6"/>
    <w:rsid w:val="00FF2EC0"/>
    <w:rsid w:val="00FF3B94"/>
    <w:rsid w:val="00FF3CC6"/>
    <w:rsid w:val="00FF43D5"/>
    <w:rsid w:val="00FF4619"/>
    <w:rsid w:val="00FF48DB"/>
    <w:rsid w:val="00FF4919"/>
    <w:rsid w:val="00FF5246"/>
    <w:rsid w:val="00FF59AC"/>
    <w:rsid w:val="00FF5DB1"/>
    <w:rsid w:val="00FF6187"/>
    <w:rsid w:val="00FF664C"/>
    <w:rsid w:val="00FF6762"/>
    <w:rsid w:val="00FF7414"/>
    <w:rsid w:val="00FF7B7C"/>
    <w:rsid w:val="00FF7BD3"/>
    <w:rsid w:val="00FF7C01"/>
    <w:rsid w:val="013F9ADF"/>
    <w:rsid w:val="071F13E6"/>
    <w:rsid w:val="0C62D6CD"/>
    <w:rsid w:val="0DE0682D"/>
    <w:rsid w:val="0EAF4C8A"/>
    <w:rsid w:val="249DA121"/>
    <w:rsid w:val="26241CEB"/>
    <w:rsid w:val="30C5677D"/>
    <w:rsid w:val="398003FA"/>
    <w:rsid w:val="772EBA66"/>
  </w:rsids>
  <m:mathPr>
    <m:mathFont m:val="Cambria Math"/>
    <m:brkBin m:val="before"/>
    <m:brkBinSub m:val="--"/>
    <m:smallFrac m:val="0"/>
    <m:dispDef/>
    <m:lMargin m:val="0"/>
    <m:rMargin m:val="0"/>
    <m:defJc m:val="left"/>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5B920F"/>
  <w14:defaultImageDpi w14:val="96"/>
  <w15:docId w15:val="{98E9D336-AF49-4F2E-A3B8-4B8A817F2E33}"/>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663"/>
    <w:pPr>
      <w:spacing w:after="120" w:line="240" w:lineRule="auto"/>
    </w:pPr>
    <w:rPr>
      <w:rFonts w:ascii="Palatino Linotype" w:hAnsi="Palatino Linotype" w:cs="Times New Roman"/>
      <w:sz w:val="24"/>
    </w:rPr>
  </w:style>
  <w:style w:type="paragraph" w:styleId="Heading1">
    <w:name w:val="heading 1"/>
    <w:basedOn w:val="Normal"/>
    <w:next w:val="Normal"/>
    <w:link w:val="Heading1Char"/>
    <w:uiPriority w:val="9"/>
    <w:qFormat/>
    <w:rsid w:val="00BF684B"/>
    <w:pPr>
      <w:keepNext/>
      <w:keepLines/>
      <w:spacing w:before="360" w:after="240"/>
      <w:outlineLvl w:val="0"/>
    </w:pPr>
    <w:rPr>
      <w:rFonts w:ascii="Century Gothic" w:eastAsiaTheme="majorEastAsia" w:hAnsi="Century Gothic" w:cs="Helvetica"/>
      <w:b/>
      <w:bCs/>
      <w:szCs w:val="26"/>
    </w:rPr>
  </w:style>
  <w:style w:type="paragraph" w:styleId="Heading2">
    <w:name w:val="heading 2"/>
    <w:basedOn w:val="Heading1"/>
    <w:next w:val="Normal"/>
    <w:link w:val="Heading2Char"/>
    <w:uiPriority w:val="9"/>
    <w:unhideWhenUsed/>
    <w:qFormat/>
    <w:rsid w:val="00BF684B"/>
    <w:pPr>
      <w:tabs>
        <w:tab w:val="left" w:pos="360"/>
      </w:tabs>
      <w:spacing w:before="120" w:after="120"/>
      <w:outlineLvl w:val="1"/>
    </w:pPr>
    <w:rPr>
      <w:rFonts w:cs="Times New Roman"/>
      <w:b w:val="0"/>
      <w:bCs w:val="0"/>
    </w:rPr>
  </w:style>
  <w:style w:type="paragraph" w:styleId="Heading3">
    <w:name w:val="heading 3"/>
    <w:basedOn w:val="Heading2"/>
    <w:next w:val="Normal"/>
    <w:link w:val="Heading3Char"/>
    <w:uiPriority w:val="9"/>
    <w:unhideWhenUsed/>
    <w:qFormat/>
    <w:rsid w:val="00FD0981"/>
    <w:pPr>
      <w:numPr>
        <w:numId w:val="6"/>
      </w:numPr>
      <w:tabs>
        <w:tab w:val="clear" w:pos="360"/>
      </w:tabs>
      <w:spacing w:before="240"/>
      <w:outlineLvl w:val="2"/>
    </w:pPr>
    <w:rPr>
      <w:rFonts w:ascii="Palatino Linotype" w:hAnsi="Palatino Linotype"/>
      <w:bCs/>
    </w:rPr>
  </w:style>
  <w:style w:type="paragraph" w:styleId="Heading4">
    <w:name w:val="heading 4"/>
    <w:basedOn w:val="Heading3b"/>
    <w:next w:val="Normal"/>
    <w:link w:val="Heading4Char"/>
    <w:uiPriority w:val="9"/>
    <w:unhideWhenUsed/>
    <w:qFormat/>
    <w:rsid w:val="00E04892"/>
    <w:pPr>
      <w:outlineLvl w:val="3"/>
    </w:pPr>
    <w:rPr>
      <w:i/>
      <w:iCs/>
    </w:rPr>
  </w:style>
  <w:style w:type="paragraph" w:styleId="Heading5">
    <w:name w:val="heading 5"/>
    <w:basedOn w:val="Normal"/>
    <w:next w:val="Normal"/>
    <w:link w:val="Heading5Char"/>
    <w:uiPriority w:val="9"/>
    <w:qFormat/>
    <w:rsid w:val="008F01E1"/>
    <w:pPr>
      <w:numPr>
        <w:ilvl w:val="4"/>
        <w:numId w:val="1"/>
      </w:numPr>
      <w:outlineLvl w:val="4"/>
    </w:pPr>
    <w:rPr>
      <w:rFonts w:ascii="Times New Roman" w:hAnsi="Times New Roman"/>
      <w:szCs w:val="24"/>
    </w:rPr>
  </w:style>
  <w:style w:type="paragraph" w:styleId="Heading6">
    <w:name w:val="heading 6"/>
    <w:basedOn w:val="Heading5"/>
    <w:next w:val="Normal"/>
    <w:link w:val="Heading6Char"/>
    <w:uiPriority w:val="9"/>
    <w:qFormat/>
    <w:rsid w:val="008F01E1"/>
    <w:pPr>
      <w:numPr>
        <w:ilvl w:val="5"/>
      </w:numPr>
      <w:outlineLvl w:val="5"/>
    </w:pPr>
  </w:style>
  <w:style w:type="paragraph" w:styleId="Heading7">
    <w:name w:val="heading 7"/>
    <w:basedOn w:val="Heading6"/>
    <w:next w:val="Normal"/>
    <w:link w:val="Heading7Char"/>
    <w:uiPriority w:val="9"/>
    <w:qFormat/>
    <w:rsid w:val="008F01E1"/>
    <w:pPr>
      <w:numPr>
        <w:ilvl w:val="6"/>
      </w:numPr>
      <w:outlineLvl w:val="6"/>
    </w:pPr>
  </w:style>
  <w:style w:type="paragraph" w:styleId="Heading8">
    <w:name w:val="heading 8"/>
    <w:basedOn w:val="Heading7"/>
    <w:next w:val="Normal"/>
    <w:link w:val="Heading8Char"/>
    <w:uiPriority w:val="9"/>
    <w:qFormat/>
    <w:rsid w:val="008F01E1"/>
    <w:pPr>
      <w:numPr>
        <w:ilvl w:val="7"/>
      </w:numPr>
      <w:outlineLvl w:val="7"/>
    </w:pPr>
  </w:style>
  <w:style w:type="paragraph" w:styleId="Heading9">
    <w:name w:val="heading 9"/>
    <w:basedOn w:val="Heading8"/>
    <w:next w:val="Normal"/>
    <w:link w:val="Heading9Char"/>
    <w:uiPriority w:val="9"/>
    <w:qFormat/>
    <w:rsid w:val="008F01E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F684B"/>
    <w:rPr>
      <w:rFonts w:ascii="Century Gothic" w:eastAsiaTheme="majorEastAsia" w:hAnsi="Century Gothic" w:cs="Helvetica"/>
      <w:b/>
      <w:bCs/>
      <w:sz w:val="24"/>
      <w:szCs w:val="26"/>
    </w:rPr>
  </w:style>
  <w:style w:type="character" w:customStyle="1" w:styleId="Heading2Char">
    <w:name w:val="Heading 2 Char"/>
    <w:basedOn w:val="DefaultParagraphFont"/>
    <w:link w:val="Heading2"/>
    <w:uiPriority w:val="9"/>
    <w:locked/>
    <w:rsid w:val="00BF684B"/>
    <w:rPr>
      <w:rFonts w:ascii="Century Gothic" w:eastAsiaTheme="majorEastAsia" w:hAnsi="Century Gothic" w:cs="Times New Roman"/>
      <w:sz w:val="24"/>
      <w:szCs w:val="26"/>
    </w:rPr>
  </w:style>
  <w:style w:type="character" w:customStyle="1" w:styleId="Heading3Char">
    <w:name w:val="Heading 3 Char"/>
    <w:basedOn w:val="DefaultParagraphFont"/>
    <w:link w:val="Heading3"/>
    <w:uiPriority w:val="9"/>
    <w:locked/>
    <w:rsid w:val="00FD0981"/>
    <w:rPr>
      <w:rFonts w:ascii="Palatino Linotype" w:eastAsiaTheme="majorEastAsia" w:hAnsi="Palatino Linotype" w:cs="Times New Roman"/>
      <w:bCs/>
      <w:sz w:val="24"/>
      <w:szCs w:val="26"/>
    </w:rPr>
  </w:style>
  <w:style w:type="paragraph" w:customStyle="1" w:styleId="Heading3b">
    <w:name w:val="Heading 3b"/>
    <w:basedOn w:val="Heading3"/>
    <w:next w:val="Normal"/>
    <w:qFormat/>
    <w:rsid w:val="002359E6"/>
    <w:pPr>
      <w:numPr>
        <w:numId w:val="0"/>
      </w:numPr>
    </w:pPr>
  </w:style>
  <w:style w:type="character" w:customStyle="1" w:styleId="Heading4Char">
    <w:name w:val="Heading 4 Char"/>
    <w:basedOn w:val="DefaultParagraphFont"/>
    <w:link w:val="Heading4"/>
    <w:uiPriority w:val="9"/>
    <w:locked/>
    <w:rsid w:val="00E04892"/>
    <w:rPr>
      <w:rFonts w:ascii="Century Gothic" w:eastAsiaTheme="majorEastAsia" w:hAnsi="Century Gothic" w:cs="Times New Roman"/>
      <w:bCs/>
      <w:i/>
      <w:iCs/>
      <w:sz w:val="24"/>
      <w:szCs w:val="26"/>
    </w:rPr>
  </w:style>
  <w:style w:type="character" w:customStyle="1" w:styleId="Heading5Char">
    <w:name w:val="Heading 5 Char"/>
    <w:basedOn w:val="DefaultParagraphFont"/>
    <w:link w:val="Heading5"/>
    <w:uiPriority w:val="9"/>
    <w:locked/>
    <w:rsid w:val="008F01E1"/>
    <w:rPr>
      <w:rFonts w:ascii="Times New Roman" w:hAnsi="Times New Roman" w:cs="Times New Roman"/>
      <w:sz w:val="24"/>
      <w:szCs w:val="24"/>
    </w:rPr>
  </w:style>
  <w:style w:type="character" w:customStyle="1" w:styleId="Heading6Char">
    <w:name w:val="Heading 6 Char"/>
    <w:basedOn w:val="DefaultParagraphFont"/>
    <w:link w:val="Heading6"/>
    <w:uiPriority w:val="9"/>
    <w:locked/>
    <w:rsid w:val="008F01E1"/>
    <w:rPr>
      <w:rFonts w:ascii="Times New Roman" w:hAnsi="Times New Roman" w:cs="Times New Roman"/>
      <w:sz w:val="24"/>
      <w:szCs w:val="24"/>
    </w:rPr>
  </w:style>
  <w:style w:type="character" w:customStyle="1" w:styleId="Heading7Char">
    <w:name w:val="Heading 7 Char"/>
    <w:basedOn w:val="DefaultParagraphFont"/>
    <w:link w:val="Heading7"/>
    <w:uiPriority w:val="9"/>
    <w:locked/>
    <w:rsid w:val="008F01E1"/>
    <w:rPr>
      <w:rFonts w:ascii="Times New Roman" w:hAnsi="Times New Roman" w:cs="Times New Roman"/>
      <w:sz w:val="24"/>
      <w:szCs w:val="24"/>
    </w:rPr>
  </w:style>
  <w:style w:type="character" w:customStyle="1" w:styleId="Heading8Char">
    <w:name w:val="Heading 8 Char"/>
    <w:basedOn w:val="DefaultParagraphFont"/>
    <w:link w:val="Heading8"/>
    <w:uiPriority w:val="9"/>
    <w:locked/>
    <w:rsid w:val="008F01E1"/>
    <w:rPr>
      <w:rFonts w:ascii="Times New Roman" w:hAnsi="Times New Roman" w:cs="Times New Roman"/>
      <w:sz w:val="24"/>
      <w:szCs w:val="24"/>
    </w:rPr>
  </w:style>
  <w:style w:type="character" w:customStyle="1" w:styleId="Heading9Char">
    <w:name w:val="Heading 9 Char"/>
    <w:basedOn w:val="DefaultParagraphFont"/>
    <w:link w:val="Heading9"/>
    <w:uiPriority w:val="9"/>
    <w:locked/>
    <w:rsid w:val="008F01E1"/>
    <w:rPr>
      <w:rFonts w:ascii="Times New Roman" w:hAnsi="Times New Roman" w:cs="Times New Roman"/>
      <w:sz w:val="24"/>
      <w:szCs w:val="24"/>
    </w:rPr>
  </w:style>
  <w:style w:type="table" w:styleId="TableGrid">
    <w:name w:val="Table Grid"/>
    <w:basedOn w:val="TableNormal"/>
    <w:uiPriority w:val="39"/>
    <w:rsid w:val="00301E5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67990"/>
    <w:pPr>
      <w:spacing w:after="0" w:line="240" w:lineRule="auto"/>
    </w:pPr>
    <w:rPr>
      <w:rFonts w:cs="Times New Roman"/>
    </w:rPr>
  </w:style>
  <w:style w:type="paragraph" w:styleId="Title">
    <w:name w:val="Title"/>
    <w:basedOn w:val="Normal"/>
    <w:next w:val="Normal"/>
    <w:link w:val="TitleChar"/>
    <w:uiPriority w:val="10"/>
    <w:qFormat/>
    <w:rsid w:val="00BD4D1E"/>
    <w:pPr>
      <w:keepNext/>
      <w:contextualSpacing/>
    </w:pPr>
    <w:rPr>
      <w:rFonts w:ascii="Century Gothic" w:eastAsiaTheme="majorEastAsia" w:hAnsi="Century Gothic"/>
      <w:b/>
      <w:spacing w:val="5"/>
      <w:kern w:val="28"/>
      <w:szCs w:val="52"/>
    </w:rPr>
  </w:style>
  <w:style w:type="character" w:customStyle="1" w:styleId="TitleChar">
    <w:name w:val="Title Char"/>
    <w:basedOn w:val="DefaultParagraphFont"/>
    <w:link w:val="Title"/>
    <w:uiPriority w:val="10"/>
    <w:locked/>
    <w:rsid w:val="00BD4D1E"/>
    <w:rPr>
      <w:rFonts w:ascii="Century Gothic" w:eastAsiaTheme="majorEastAsia" w:hAnsi="Century Gothic" w:cs="Times New Roman"/>
      <w:b/>
      <w:spacing w:val="5"/>
      <w:kern w:val="28"/>
      <w:sz w:val="24"/>
      <w:szCs w:val="52"/>
    </w:rPr>
  </w:style>
  <w:style w:type="paragraph" w:customStyle="1" w:styleId="TblText">
    <w:name w:val="TblText"/>
    <w:basedOn w:val="Normal"/>
    <w:next w:val="Normal"/>
    <w:rsid w:val="00967990"/>
  </w:style>
  <w:style w:type="paragraph" w:styleId="BalloonText">
    <w:name w:val="Balloon Text"/>
    <w:basedOn w:val="Normal"/>
    <w:link w:val="BalloonTextChar"/>
    <w:uiPriority w:val="99"/>
    <w:semiHidden/>
    <w:unhideWhenUsed/>
    <w:rsid w:val="00D65A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5A91"/>
    <w:rPr>
      <w:rFonts w:ascii="Tahoma" w:hAnsi="Tahoma" w:cs="Tahoma"/>
      <w:sz w:val="16"/>
      <w:szCs w:val="16"/>
    </w:rPr>
  </w:style>
  <w:style w:type="paragraph" w:styleId="ListParagraph">
    <w:name w:val="List Paragraph"/>
    <w:basedOn w:val="Normal"/>
    <w:link w:val="ListParagraphChar"/>
    <w:uiPriority w:val="34"/>
    <w:qFormat/>
    <w:rsid w:val="00951B93"/>
    <w:pPr>
      <w:numPr>
        <w:numId w:val="5"/>
      </w:numPr>
      <w:spacing w:before="60" w:after="60"/>
    </w:pPr>
  </w:style>
  <w:style w:type="paragraph" w:styleId="Header">
    <w:name w:val="header"/>
    <w:basedOn w:val="Normal"/>
    <w:link w:val="HeaderChar"/>
    <w:uiPriority w:val="99"/>
    <w:unhideWhenUsed/>
    <w:rsid w:val="001175AC"/>
    <w:pPr>
      <w:tabs>
        <w:tab w:val="center" w:pos="4680"/>
        <w:tab w:val="right" w:pos="9360"/>
      </w:tabs>
    </w:pPr>
    <w:rPr>
      <w:rFonts w:ascii="Century Gothic" w:hAnsi="Century Gothic"/>
    </w:rPr>
  </w:style>
  <w:style w:type="character" w:customStyle="1" w:styleId="HeaderChar">
    <w:name w:val="Header Char"/>
    <w:basedOn w:val="DefaultParagraphFont"/>
    <w:link w:val="Header"/>
    <w:uiPriority w:val="99"/>
    <w:locked/>
    <w:rsid w:val="001175AC"/>
    <w:rPr>
      <w:rFonts w:ascii="Century Gothic" w:hAnsi="Century Gothic" w:cs="Times New Roman"/>
      <w:sz w:val="24"/>
    </w:rPr>
  </w:style>
  <w:style w:type="paragraph" w:styleId="Footer">
    <w:name w:val="footer"/>
    <w:basedOn w:val="Normal"/>
    <w:link w:val="FooterChar"/>
    <w:uiPriority w:val="99"/>
    <w:unhideWhenUsed/>
    <w:rsid w:val="000D7389"/>
    <w:pPr>
      <w:tabs>
        <w:tab w:val="center" w:pos="4680"/>
        <w:tab w:val="right" w:pos="9360"/>
      </w:tabs>
    </w:pPr>
    <w:rPr>
      <w:rFonts w:ascii="Century Gothic" w:hAnsi="Century Gothic"/>
    </w:rPr>
  </w:style>
  <w:style w:type="character" w:customStyle="1" w:styleId="FooterChar">
    <w:name w:val="Footer Char"/>
    <w:basedOn w:val="DefaultParagraphFont"/>
    <w:link w:val="Footer"/>
    <w:uiPriority w:val="99"/>
    <w:locked/>
    <w:rsid w:val="000D7389"/>
    <w:rPr>
      <w:rFonts w:ascii="Century Gothic" w:hAnsi="Century Gothic" w:cs="Times New Roman"/>
      <w:sz w:val="24"/>
    </w:rPr>
  </w:style>
  <w:style w:type="character" w:styleId="CommentReference">
    <w:name w:val="annotation reference"/>
    <w:basedOn w:val="DefaultParagraphFont"/>
    <w:uiPriority w:val="99"/>
    <w:semiHidden/>
    <w:unhideWhenUsed/>
    <w:rsid w:val="001B0A0A"/>
    <w:rPr>
      <w:rFonts w:cs="Times New Roman"/>
      <w:sz w:val="16"/>
      <w:szCs w:val="16"/>
    </w:rPr>
  </w:style>
  <w:style w:type="paragraph" w:styleId="CommentText">
    <w:name w:val="annotation text"/>
    <w:basedOn w:val="Normal"/>
    <w:link w:val="CommentTextChar"/>
    <w:uiPriority w:val="99"/>
    <w:unhideWhenUsed/>
    <w:rsid w:val="001B0A0A"/>
    <w:rPr>
      <w:sz w:val="20"/>
      <w:szCs w:val="20"/>
    </w:rPr>
  </w:style>
  <w:style w:type="character" w:customStyle="1" w:styleId="CommentTextChar">
    <w:name w:val="Comment Text Char"/>
    <w:basedOn w:val="DefaultParagraphFont"/>
    <w:link w:val="CommentText"/>
    <w:uiPriority w:val="99"/>
    <w:locked/>
    <w:rsid w:val="001B0A0A"/>
    <w:rPr>
      <w:rFonts w:cs="Times New Roman"/>
      <w:sz w:val="20"/>
      <w:szCs w:val="20"/>
    </w:rPr>
  </w:style>
  <w:style w:type="paragraph" w:styleId="CommentSubject">
    <w:name w:val="annotation subject"/>
    <w:basedOn w:val="CommentText"/>
    <w:next w:val="CommentText"/>
    <w:link w:val="CommentSubjectChar"/>
    <w:uiPriority w:val="99"/>
    <w:semiHidden/>
    <w:unhideWhenUsed/>
    <w:rsid w:val="001B0A0A"/>
    <w:rPr>
      <w:b/>
      <w:bCs/>
    </w:rPr>
  </w:style>
  <w:style w:type="character" w:customStyle="1" w:styleId="CommentSubjectChar">
    <w:name w:val="Comment Subject Char"/>
    <w:basedOn w:val="CommentTextChar"/>
    <w:link w:val="CommentSubject"/>
    <w:uiPriority w:val="99"/>
    <w:semiHidden/>
    <w:locked/>
    <w:rsid w:val="001B0A0A"/>
    <w:rPr>
      <w:rFonts w:cs="Times New Roman"/>
      <w:b/>
      <w:bCs/>
      <w:sz w:val="20"/>
      <w:szCs w:val="20"/>
    </w:rPr>
  </w:style>
  <w:style w:type="character" w:styleId="Hyperlink">
    <w:name w:val="Hyperlink"/>
    <w:basedOn w:val="DefaultParagraphFont"/>
    <w:uiPriority w:val="99"/>
    <w:unhideWhenUsed/>
    <w:rsid w:val="00731546"/>
    <w:rPr>
      <w:rFonts w:ascii="Century Gothic" w:hAnsi="Century Gothic" w:cs="Times New Roman"/>
      <w:color w:val="0000FF" w:themeColor="hyperlink"/>
      <w:sz w:val="24"/>
      <w:u w:val="single"/>
    </w:rPr>
  </w:style>
  <w:style w:type="character" w:styleId="PlaceholderText">
    <w:name w:val="Placeholder Text"/>
    <w:basedOn w:val="DefaultParagraphFont"/>
    <w:uiPriority w:val="99"/>
    <w:semiHidden/>
    <w:rsid w:val="00810DFF"/>
    <w:rPr>
      <w:rFonts w:cs="Times New Roman"/>
      <w:color w:val="808080"/>
    </w:rPr>
  </w:style>
  <w:style w:type="paragraph" w:customStyle="1" w:styleId="Shape">
    <w:name w:val="Shape"/>
    <w:basedOn w:val="Normal"/>
    <w:qFormat/>
    <w:rsid w:val="006E2C89"/>
    <w:pPr>
      <w:jc w:val="center"/>
    </w:pPr>
  </w:style>
  <w:style w:type="paragraph" w:styleId="Caption">
    <w:name w:val="caption"/>
    <w:basedOn w:val="Normal"/>
    <w:next w:val="Normal"/>
    <w:link w:val="CaptionChar"/>
    <w:uiPriority w:val="35"/>
    <w:unhideWhenUsed/>
    <w:qFormat/>
    <w:rsid w:val="009D1269"/>
    <w:pPr>
      <w:spacing w:before="100" w:after="40"/>
    </w:pPr>
    <w:rPr>
      <w:b/>
      <w:bCs/>
      <w:szCs w:val="18"/>
    </w:rPr>
  </w:style>
  <w:style w:type="character" w:customStyle="1" w:styleId="CaptionChar">
    <w:name w:val="Caption Char"/>
    <w:basedOn w:val="DefaultParagraphFont"/>
    <w:link w:val="Caption"/>
    <w:uiPriority w:val="35"/>
    <w:locked/>
    <w:rsid w:val="009D1269"/>
    <w:rPr>
      <w:rFonts w:ascii="Garamond" w:hAnsi="Garamond" w:cs="Times New Roman"/>
      <w:b/>
      <w:bCs/>
      <w:sz w:val="24"/>
      <w:szCs w:val="18"/>
    </w:rPr>
  </w:style>
  <w:style w:type="paragraph" w:styleId="TOCHeading">
    <w:name w:val="TOC Heading"/>
    <w:basedOn w:val="Heading1"/>
    <w:next w:val="Normal"/>
    <w:uiPriority w:val="39"/>
    <w:unhideWhenUsed/>
    <w:qFormat/>
    <w:rsid w:val="000C0644"/>
    <w:pPr>
      <w:spacing w:before="480" w:line="276" w:lineRule="auto"/>
      <w:outlineLvl w:val="9"/>
    </w:pPr>
    <w:rPr>
      <w:b w:val="0"/>
      <w:color w:val="365F91" w:themeColor="accent1" w:themeShade="BF"/>
      <w:lang w:eastAsia="ja-JP"/>
    </w:rPr>
  </w:style>
  <w:style w:type="paragraph" w:styleId="TOC1">
    <w:name w:val="toc 1"/>
    <w:basedOn w:val="Normal"/>
    <w:next w:val="Normal"/>
    <w:autoRedefine/>
    <w:uiPriority w:val="39"/>
    <w:unhideWhenUsed/>
    <w:rsid w:val="003E6105"/>
    <w:pPr>
      <w:tabs>
        <w:tab w:val="left" w:pos="446"/>
        <w:tab w:val="right" w:leader="dot" w:pos="9350"/>
      </w:tabs>
      <w:spacing w:after="100"/>
    </w:pPr>
  </w:style>
  <w:style w:type="paragraph" w:styleId="TOC2">
    <w:name w:val="toc 2"/>
    <w:basedOn w:val="Normal"/>
    <w:next w:val="Normal"/>
    <w:autoRedefine/>
    <w:uiPriority w:val="39"/>
    <w:unhideWhenUsed/>
    <w:rsid w:val="0072258A"/>
    <w:pPr>
      <w:tabs>
        <w:tab w:val="left" w:pos="880"/>
        <w:tab w:val="right" w:leader="dot" w:pos="9350"/>
      </w:tabs>
      <w:spacing w:before="60" w:after="60"/>
      <w:ind w:left="180"/>
    </w:pPr>
  </w:style>
  <w:style w:type="paragraph" w:styleId="TOC3">
    <w:name w:val="toc 3"/>
    <w:basedOn w:val="TOC2"/>
    <w:next w:val="Normal"/>
    <w:autoRedefine/>
    <w:uiPriority w:val="39"/>
    <w:unhideWhenUsed/>
    <w:rsid w:val="009A6C8F"/>
    <w:pPr>
      <w:tabs>
        <w:tab w:val="clear" w:pos="9350"/>
        <w:tab w:val="left" w:pos="990"/>
        <w:tab w:val="right" w:leader="dot" w:pos="9360"/>
      </w:tabs>
      <w:ind w:left="1260" w:right="540" w:hanging="630"/>
    </w:pPr>
  </w:style>
  <w:style w:type="paragraph" w:styleId="FootnoteText">
    <w:name w:val="footnote text"/>
    <w:aliases w:val="Footnote Text Char Char Char Char,Footnote Text Char Char,Footnote Text Char Char Char,Footnote Text Char Char Char Char Char Char Char Char Char Char Char Char Char Char Char"/>
    <w:basedOn w:val="Normal"/>
    <w:link w:val="FootnoteTextChar"/>
    <w:uiPriority w:val="99"/>
    <w:unhideWhenUsed/>
    <w:rsid w:val="00663EBD"/>
    <w:pPr>
      <w:spacing w:after="0"/>
      <w:ind w:left="187" w:hanging="187"/>
    </w:pPr>
    <w:rPr>
      <w:sz w:val="20"/>
      <w:szCs w:val="20"/>
    </w:rPr>
  </w:style>
  <w:style w:type="character" w:customStyle="1" w:styleId="FootnoteTextChar">
    <w:name w:val="Footnote Text Char"/>
    <w:aliases w:val="Footnote Text Char Char Char Char Char,Footnote Text Char Char Char1,Footnote Text Char Char Char Char1,Footnote Text Char Char Char Char Char Char Char Char Char Char Char Char Char Char Char Char"/>
    <w:basedOn w:val="DefaultParagraphFont"/>
    <w:link w:val="FootnoteText"/>
    <w:uiPriority w:val="99"/>
    <w:locked/>
    <w:rsid w:val="00663EBD"/>
    <w:rPr>
      <w:rFonts w:ascii="Garamond" w:hAnsi="Garamond" w:cs="Times New Roman"/>
      <w:sz w:val="20"/>
      <w:szCs w:val="20"/>
    </w:rPr>
  </w:style>
  <w:style w:type="character" w:styleId="FootnoteReference">
    <w:name w:val="footnote reference"/>
    <w:basedOn w:val="DefaultParagraphFont"/>
    <w:uiPriority w:val="99"/>
    <w:unhideWhenUsed/>
    <w:rsid w:val="00C971AE"/>
    <w:rPr>
      <w:rFonts w:ascii="Garamond" w:hAnsi="Garamond" w:cs="Times New Roman"/>
      <w:sz w:val="24"/>
      <w:vertAlign w:val="superscript"/>
    </w:rPr>
  </w:style>
  <w:style w:type="paragraph" w:styleId="ListBullet">
    <w:name w:val="List Bullet"/>
    <w:basedOn w:val="Normal"/>
    <w:uiPriority w:val="99"/>
    <w:rsid w:val="00546156"/>
    <w:pPr>
      <w:tabs>
        <w:tab w:val="num" w:pos="720"/>
      </w:tabs>
      <w:spacing w:after="0"/>
      <w:ind w:left="720" w:hanging="360"/>
    </w:pPr>
    <w:rPr>
      <w:rFonts w:ascii="Times New Roman" w:hAnsi="Times New Roman"/>
      <w:szCs w:val="20"/>
    </w:rPr>
  </w:style>
  <w:style w:type="paragraph" w:styleId="TableofFigures">
    <w:name w:val="table of figures"/>
    <w:basedOn w:val="Normal"/>
    <w:next w:val="Normal"/>
    <w:link w:val="TableofFiguresChar"/>
    <w:uiPriority w:val="99"/>
    <w:unhideWhenUsed/>
    <w:rsid w:val="00B07267"/>
  </w:style>
  <w:style w:type="character" w:customStyle="1" w:styleId="TableofFiguresChar">
    <w:name w:val="Table of Figures Char"/>
    <w:basedOn w:val="DefaultParagraphFont"/>
    <w:link w:val="TableofFigures"/>
    <w:locked/>
    <w:rsid w:val="008F01E1"/>
    <w:rPr>
      <w:rFonts w:cs="Times New Roman"/>
    </w:rPr>
  </w:style>
  <w:style w:type="paragraph" w:styleId="Revision">
    <w:name w:val="Revision"/>
    <w:hidden/>
    <w:uiPriority w:val="99"/>
    <w:semiHidden/>
    <w:rsid w:val="00554707"/>
    <w:pPr>
      <w:spacing w:after="0" w:line="240" w:lineRule="auto"/>
    </w:pPr>
    <w:rPr>
      <w:rFonts w:cs="Times New Roman"/>
    </w:rPr>
  </w:style>
  <w:style w:type="character" w:customStyle="1" w:styleId="FootnoteTextChar2">
    <w:name w:val="Footnote Text Char2"/>
    <w:aliases w:val="Footnote Text Char Char Char Char Char1,Footnote Text Char Char Char2,Footnote Text Char Char1,Footnote Text Char Char Char Char2,Footnote Text Char Char Char Char Char Char Char Char Char Char Char Char Char Char Char Char1"/>
    <w:basedOn w:val="DefaultParagraphFont"/>
    <w:semiHidden/>
    <w:locked/>
    <w:rsid w:val="00DA36CF"/>
    <w:rPr>
      <w:rFonts w:cs="Times New Roman"/>
      <w:sz w:val="24"/>
      <w:szCs w:val="24"/>
    </w:rPr>
  </w:style>
  <w:style w:type="character" w:customStyle="1" w:styleId="FootnoteChar">
    <w:name w:val="Footnote Char"/>
    <w:basedOn w:val="DefaultParagraphFont"/>
    <w:link w:val="Footnote"/>
    <w:locked/>
    <w:rsid w:val="002B6A92"/>
    <w:rPr>
      <w:rFonts w:ascii="Palatino Linotype" w:hAnsi="Palatino Linotype" w:cs="Times New Roman"/>
      <w:sz w:val="24"/>
      <w:szCs w:val="24"/>
    </w:rPr>
  </w:style>
  <w:style w:type="paragraph" w:customStyle="1" w:styleId="Footnote">
    <w:name w:val="Footnote"/>
    <w:basedOn w:val="Normal"/>
    <w:link w:val="FootnoteChar"/>
    <w:rsid w:val="002B6A92"/>
    <w:pPr>
      <w:ind w:left="360" w:hanging="360"/>
    </w:pPr>
    <w:rPr>
      <w:sz w:val="20"/>
      <w:szCs w:val="24"/>
    </w:rPr>
  </w:style>
  <w:style w:type="character" w:customStyle="1" w:styleId="StrikeoutChar">
    <w:name w:val="Strikeout Char"/>
    <w:link w:val="Strikeout"/>
    <w:locked/>
    <w:rsid w:val="001A3E87"/>
    <w:rPr>
      <w:strike/>
      <w:color w:val="FF0000"/>
      <w:sz w:val="24"/>
    </w:rPr>
  </w:style>
  <w:style w:type="paragraph" w:customStyle="1" w:styleId="Strikeout">
    <w:name w:val="Strikeout"/>
    <w:basedOn w:val="Normal"/>
    <w:link w:val="StrikeoutChar"/>
    <w:rsid w:val="001A3E87"/>
    <w:rPr>
      <w:strike/>
      <w:color w:val="FF0000"/>
      <w:szCs w:val="24"/>
    </w:rPr>
  </w:style>
  <w:style w:type="character" w:customStyle="1" w:styleId="UnderlinedChar">
    <w:name w:val="Underlined Char"/>
    <w:link w:val="Underlined"/>
    <w:locked/>
    <w:rsid w:val="001A3E87"/>
    <w:rPr>
      <w:color w:val="4F81BD"/>
      <w:sz w:val="24"/>
      <w:u w:val="single"/>
    </w:rPr>
  </w:style>
  <w:style w:type="paragraph" w:customStyle="1" w:styleId="Underlined">
    <w:name w:val="Underlined"/>
    <w:basedOn w:val="Normal"/>
    <w:link w:val="UnderlinedChar"/>
    <w:rsid w:val="001A3E87"/>
    <w:rPr>
      <w:color w:val="4F81BD"/>
      <w:szCs w:val="24"/>
      <w:u w:val="single"/>
    </w:rPr>
  </w:style>
  <w:style w:type="character" w:styleId="FollowedHyperlink">
    <w:name w:val="FollowedHyperlink"/>
    <w:basedOn w:val="DefaultParagraphFont"/>
    <w:uiPriority w:val="99"/>
    <w:rsid w:val="008F01E1"/>
    <w:rPr>
      <w:rFonts w:cs="Times New Roman"/>
      <w:color w:val="800080"/>
      <w:u w:val="single"/>
    </w:rPr>
  </w:style>
  <w:style w:type="paragraph" w:styleId="NormalWeb">
    <w:name w:val="Normal (Web)"/>
    <w:basedOn w:val="Normal"/>
    <w:uiPriority w:val="99"/>
    <w:rsid w:val="008F01E1"/>
    <w:pPr>
      <w:spacing w:after="63"/>
    </w:pPr>
    <w:rPr>
      <w:rFonts w:ascii="Times New Roman" w:hAnsi="Times New Roman"/>
      <w:szCs w:val="24"/>
    </w:rPr>
  </w:style>
  <w:style w:type="paragraph" w:styleId="ListNumber">
    <w:name w:val="List Number"/>
    <w:basedOn w:val="Normal"/>
    <w:uiPriority w:val="99"/>
    <w:rsid w:val="008F01E1"/>
    <w:pPr>
      <w:tabs>
        <w:tab w:val="num" w:pos="1080"/>
      </w:tabs>
      <w:ind w:left="1080" w:hanging="360"/>
    </w:pPr>
    <w:rPr>
      <w:rFonts w:ascii="Times New Roman" w:hAnsi="Times New Roman"/>
      <w:szCs w:val="20"/>
    </w:rPr>
  </w:style>
  <w:style w:type="character" w:customStyle="1" w:styleId="DocumentMapChar">
    <w:name w:val="Document Map Char"/>
    <w:basedOn w:val="DefaultParagraphFont"/>
    <w:link w:val="DocumentMap"/>
    <w:semiHidden/>
    <w:locked/>
    <w:rsid w:val="008F01E1"/>
    <w:rPr>
      <w:rFonts w:ascii="Tahoma" w:hAnsi="Tahoma" w:cs="Tahoma"/>
      <w:sz w:val="24"/>
      <w:szCs w:val="24"/>
      <w:shd w:val="clear" w:color="auto" w:fill="000080"/>
    </w:rPr>
  </w:style>
  <w:style w:type="paragraph" w:styleId="DocumentMap">
    <w:name w:val="Document Map"/>
    <w:basedOn w:val="Normal"/>
    <w:link w:val="DocumentMapChar"/>
    <w:uiPriority w:val="99"/>
    <w:semiHidden/>
    <w:rsid w:val="008F01E1"/>
    <w:pPr>
      <w:shd w:val="clear" w:color="auto" w:fill="000080"/>
    </w:pPr>
    <w:rPr>
      <w:rFonts w:ascii="Tahoma" w:hAnsi="Tahoma" w:cs="Tahoma"/>
      <w:szCs w:val="24"/>
    </w:rPr>
  </w:style>
  <w:style w:type="character" w:customStyle="1" w:styleId="DocumentMapChar1">
    <w:name w:val="Document Map Char1"/>
    <w:basedOn w:val="DefaultParagraphFont"/>
    <w:uiPriority w:val="99"/>
    <w:semiHidden/>
    <w:rPr>
      <w:rFonts w:ascii="Segoe UI" w:hAnsi="Segoe UI" w:cs="Segoe UI"/>
      <w:sz w:val="16"/>
      <w:szCs w:val="16"/>
    </w:rPr>
  </w:style>
  <w:style w:type="paragraph" w:styleId="PlainText">
    <w:name w:val="Plain Text"/>
    <w:basedOn w:val="Normal"/>
    <w:link w:val="PlainTextChar"/>
    <w:uiPriority w:val="99"/>
    <w:rsid w:val="008F01E1"/>
    <w:rPr>
      <w:rFonts w:ascii="Courier New" w:hAnsi="Courier New" w:cs="Courier New"/>
      <w:sz w:val="20"/>
      <w:szCs w:val="20"/>
    </w:rPr>
  </w:style>
  <w:style w:type="character" w:customStyle="1" w:styleId="PlainTextChar">
    <w:name w:val="Plain Text Char"/>
    <w:basedOn w:val="DefaultParagraphFont"/>
    <w:link w:val="PlainText"/>
    <w:uiPriority w:val="99"/>
    <w:locked/>
    <w:rsid w:val="008F01E1"/>
    <w:rPr>
      <w:rFonts w:ascii="Courier New" w:hAnsi="Courier New" w:cs="Courier New"/>
      <w:sz w:val="20"/>
      <w:szCs w:val="20"/>
    </w:rPr>
  </w:style>
  <w:style w:type="paragraph" w:customStyle="1" w:styleId="Tableleft">
    <w:name w:val="Table left"/>
    <w:basedOn w:val="Normal"/>
    <w:rsid w:val="008F01E1"/>
    <w:pPr>
      <w:keepNext/>
      <w:keepLines/>
      <w:spacing w:before="60" w:after="60"/>
      <w:ind w:left="72" w:right="72"/>
    </w:pPr>
    <w:rPr>
      <w:rFonts w:ascii="Times New Roman" w:hAnsi="Times New Roman"/>
      <w:sz w:val="20"/>
      <w:szCs w:val="20"/>
    </w:rPr>
  </w:style>
  <w:style w:type="paragraph" w:customStyle="1" w:styleId="CoverBar">
    <w:name w:val="Cover Bar"/>
    <w:basedOn w:val="Normal"/>
    <w:rsid w:val="008F01E1"/>
    <w:pPr>
      <w:shd w:val="clear" w:color="auto" w:fill="000000"/>
    </w:pPr>
    <w:rPr>
      <w:rFonts w:ascii="Times New Roman" w:hAnsi="Times New Roman"/>
      <w:i/>
      <w:iCs/>
      <w:color w:val="FFFFFF"/>
      <w:sz w:val="36"/>
      <w:szCs w:val="24"/>
    </w:rPr>
  </w:style>
  <w:style w:type="paragraph" w:customStyle="1" w:styleId="CoverTitle">
    <w:name w:val="Cover Title"/>
    <w:basedOn w:val="Normal"/>
    <w:rsid w:val="008F01E1"/>
    <w:rPr>
      <w:rFonts w:ascii="Times New Roman" w:hAnsi="Times New Roman"/>
      <w:b/>
      <w:sz w:val="48"/>
      <w:szCs w:val="24"/>
    </w:rPr>
  </w:style>
  <w:style w:type="paragraph" w:customStyle="1" w:styleId="EquationNumber">
    <w:name w:val="Equation Number"/>
    <w:basedOn w:val="Normal"/>
    <w:rsid w:val="008F01E1"/>
    <w:pPr>
      <w:jc w:val="right"/>
    </w:pPr>
    <w:rPr>
      <w:rFonts w:ascii="Times New Roman" w:hAnsi="Times New Roman"/>
      <w:szCs w:val="24"/>
    </w:rPr>
  </w:style>
  <w:style w:type="paragraph" w:customStyle="1" w:styleId="FigureCaption">
    <w:name w:val="Figure Caption"/>
    <w:basedOn w:val="Normal"/>
    <w:rsid w:val="008F01E1"/>
    <w:pPr>
      <w:spacing w:after="100" w:afterAutospacing="1"/>
      <w:jc w:val="center"/>
    </w:pPr>
    <w:rPr>
      <w:rFonts w:ascii="Times New Roman" w:hAnsi="Times New Roman"/>
      <w:i/>
      <w:sz w:val="16"/>
      <w:szCs w:val="24"/>
    </w:rPr>
  </w:style>
  <w:style w:type="paragraph" w:customStyle="1" w:styleId="Tablecentered">
    <w:name w:val="Table centered"/>
    <w:basedOn w:val="Tableleft"/>
    <w:rsid w:val="008F01E1"/>
    <w:pPr>
      <w:spacing w:before="0" w:after="0"/>
      <w:ind w:left="0" w:right="0"/>
      <w:jc w:val="center"/>
    </w:pPr>
  </w:style>
  <w:style w:type="paragraph" w:customStyle="1" w:styleId="Tableleftbold">
    <w:name w:val="Table left bold"/>
    <w:basedOn w:val="Tableleft"/>
    <w:rsid w:val="008F01E1"/>
    <w:rPr>
      <w:b/>
    </w:rPr>
  </w:style>
  <w:style w:type="paragraph" w:customStyle="1" w:styleId="NotesforCEC">
    <w:name w:val="Notes for CEC"/>
    <w:basedOn w:val="Normal"/>
    <w:rsid w:val="008F01E1"/>
    <w:rPr>
      <w:rFonts w:ascii="Times New Roman" w:hAnsi="Times New Roman"/>
      <w:color w:val="FF0000"/>
      <w:szCs w:val="24"/>
    </w:rPr>
  </w:style>
  <w:style w:type="paragraph" w:customStyle="1" w:styleId="Notes">
    <w:name w:val="Notes"/>
    <w:basedOn w:val="Normal"/>
    <w:rsid w:val="008F01E1"/>
    <w:rPr>
      <w:rFonts w:ascii="Times New Roman" w:hAnsi="Times New Roman"/>
      <w:color w:val="FF6600"/>
      <w:szCs w:val="24"/>
    </w:rPr>
  </w:style>
  <w:style w:type="paragraph" w:customStyle="1" w:styleId="Picture">
    <w:name w:val="Picture"/>
    <w:basedOn w:val="Normal"/>
    <w:next w:val="Caption"/>
    <w:rsid w:val="008F01E1"/>
    <w:pPr>
      <w:keepNext/>
      <w:spacing w:before="240"/>
      <w:jc w:val="center"/>
    </w:pPr>
    <w:rPr>
      <w:rFonts w:ascii="Times New Roman" w:hAnsi="Times New Roman"/>
      <w:szCs w:val="20"/>
    </w:rPr>
  </w:style>
  <w:style w:type="paragraph" w:customStyle="1" w:styleId="CoverProposerandDate">
    <w:name w:val="Cover Proposer and Date"/>
    <w:basedOn w:val="Normal"/>
    <w:rsid w:val="008F01E1"/>
    <w:pPr>
      <w:widowControl w:val="0"/>
      <w:autoSpaceDE w:val="0"/>
      <w:autoSpaceDN w:val="0"/>
      <w:adjustRightInd w:val="0"/>
    </w:pPr>
    <w:rPr>
      <w:rFonts w:ascii="ArialMT" w:hAnsi="ArialMT" w:cs="ArialMT"/>
      <w:color w:val="000000"/>
      <w:szCs w:val="24"/>
    </w:rPr>
  </w:style>
  <w:style w:type="paragraph" w:customStyle="1" w:styleId="CoverContents">
    <w:name w:val="Cover Contents"/>
    <w:basedOn w:val="Normal"/>
    <w:rsid w:val="008F01E1"/>
    <w:pPr>
      <w:widowControl w:val="0"/>
      <w:autoSpaceDE w:val="0"/>
      <w:autoSpaceDN w:val="0"/>
      <w:adjustRightInd w:val="0"/>
    </w:pPr>
    <w:rPr>
      <w:rFonts w:ascii="ArialMT" w:hAnsi="ArialMT" w:cs="ArialMT"/>
      <w:b/>
      <w:color w:val="000000"/>
      <w:szCs w:val="24"/>
    </w:rPr>
  </w:style>
  <w:style w:type="paragraph" w:customStyle="1" w:styleId="References">
    <w:name w:val="References"/>
    <w:basedOn w:val="Normal"/>
    <w:rsid w:val="008F01E1"/>
    <w:pPr>
      <w:spacing w:after="200"/>
      <w:ind w:left="567" w:hanging="567"/>
      <w:jc w:val="both"/>
    </w:pPr>
    <w:rPr>
      <w:rFonts w:ascii="Arial" w:hAnsi="Arial"/>
      <w:sz w:val="20"/>
      <w:szCs w:val="20"/>
      <w:lang w:eastAsia="en-GB"/>
    </w:rPr>
  </w:style>
  <w:style w:type="character" w:styleId="PageNumber">
    <w:name w:val="page number"/>
    <w:basedOn w:val="DefaultParagraphFont"/>
    <w:uiPriority w:val="99"/>
    <w:rsid w:val="008F01E1"/>
    <w:rPr>
      <w:rFonts w:ascii="Times New Roman" w:hAnsi="Times New Roman" w:cs="Times New Roman"/>
    </w:rPr>
  </w:style>
  <w:style w:type="character" w:customStyle="1" w:styleId="CharBold">
    <w:name w:val="Char Bold"/>
    <w:rsid w:val="008F01E1"/>
    <w:rPr>
      <w:b/>
    </w:rPr>
  </w:style>
  <w:style w:type="character" w:customStyle="1" w:styleId="CharItalic">
    <w:name w:val="Char Italic"/>
    <w:rsid w:val="008F01E1"/>
    <w:rPr>
      <w:i/>
    </w:rPr>
  </w:style>
  <w:style w:type="paragraph" w:customStyle="1" w:styleId="Tablecenteredbold">
    <w:name w:val="Table centered bold"/>
    <w:basedOn w:val="Tablecentered"/>
    <w:rsid w:val="008F01E1"/>
    <w:rPr>
      <w:b/>
    </w:rPr>
  </w:style>
  <w:style w:type="paragraph" w:customStyle="1" w:styleId="Text">
    <w:name w:val="Text"/>
    <w:basedOn w:val="Normal"/>
    <w:rsid w:val="00680E85"/>
    <w:pPr>
      <w:tabs>
        <w:tab w:val="left" w:pos="5300"/>
      </w:tabs>
      <w:spacing w:line="360" w:lineRule="atLeast"/>
      <w:jc w:val="center"/>
    </w:pPr>
    <w:rPr>
      <w:rFonts w:ascii="Times New Roman" w:hAnsi="Times New Roman"/>
      <w:szCs w:val="20"/>
    </w:rPr>
  </w:style>
  <w:style w:type="paragraph" w:customStyle="1" w:styleId="PIERCoverTitle">
    <w:name w:val="PIER Cover Title"/>
    <w:rsid w:val="007E4CA7"/>
    <w:pPr>
      <w:spacing w:after="0" w:line="240" w:lineRule="auto"/>
      <w:jc w:val="right"/>
    </w:pPr>
    <w:rPr>
      <w:rFonts w:ascii="Arial" w:hAnsi="Arial" w:cs="Times New Roman"/>
      <w:b/>
      <w:sz w:val="36"/>
      <w:szCs w:val="24"/>
    </w:rPr>
  </w:style>
  <w:style w:type="paragraph" w:customStyle="1" w:styleId="PIERCoverVerticalTitle">
    <w:name w:val="PIER Cover Vertical Title"/>
    <w:rsid w:val="007E4CA7"/>
    <w:pPr>
      <w:spacing w:after="0" w:line="240" w:lineRule="auto"/>
      <w:jc w:val="center"/>
    </w:pPr>
    <w:rPr>
      <w:rFonts w:ascii="Arial Narrow" w:hAnsi="Arial Narrow" w:cs="Arial"/>
      <w:b/>
      <w:bCs/>
      <w:smallCaps/>
      <w:sz w:val="48"/>
      <w:szCs w:val="48"/>
    </w:rPr>
  </w:style>
  <w:style w:type="paragraph" w:customStyle="1" w:styleId="PIERCoverArial10">
    <w:name w:val="PIER Cover Arial 10"/>
    <w:basedOn w:val="Normal"/>
    <w:rsid w:val="007E4CA7"/>
    <w:rPr>
      <w:rFonts w:ascii="Arial" w:hAnsi="Arial" w:cs="Arial"/>
      <w:sz w:val="20"/>
      <w:szCs w:val="20"/>
    </w:rPr>
  </w:style>
  <w:style w:type="paragraph" w:customStyle="1" w:styleId="PIERCoverArial12">
    <w:name w:val="PIER Cover Arial 12"/>
    <w:rsid w:val="007E4CA7"/>
    <w:pPr>
      <w:spacing w:after="0" w:line="240" w:lineRule="auto"/>
      <w:ind w:left="2700"/>
    </w:pPr>
    <w:rPr>
      <w:rFonts w:ascii="Arial" w:hAnsi="Arial" w:cs="Times New Roman"/>
      <w:sz w:val="24"/>
      <w:szCs w:val="24"/>
    </w:rPr>
  </w:style>
  <w:style w:type="paragraph" w:customStyle="1" w:styleId="AppendixBHeading1">
    <w:name w:val="Appendix B Heading 1"/>
    <w:basedOn w:val="Heading1"/>
    <w:link w:val="AppendixBHeading1Char"/>
    <w:qFormat/>
    <w:rsid w:val="00FD2AEF"/>
    <w:pPr>
      <w:ind w:left="360" w:hanging="360"/>
    </w:pPr>
  </w:style>
  <w:style w:type="character" w:customStyle="1" w:styleId="AppendixBHeading1Char">
    <w:name w:val="Appendix B Heading 1 Char"/>
    <w:basedOn w:val="Heading1Char"/>
    <w:link w:val="AppendixBHeading1"/>
    <w:locked/>
    <w:rsid w:val="00E508DE"/>
    <w:rPr>
      <w:rFonts w:asciiTheme="majorHAnsi" w:eastAsiaTheme="majorEastAsia" w:hAnsiTheme="majorHAnsi" w:cs="Times New Roman"/>
      <w:b/>
      <w:bCs/>
      <w:sz w:val="28"/>
      <w:szCs w:val="28"/>
      <w:u w:val="single"/>
    </w:rPr>
  </w:style>
  <w:style w:type="paragraph" w:customStyle="1" w:styleId="AppendixBHeading2">
    <w:name w:val="Appendix B Heading 2"/>
    <w:basedOn w:val="Heading2"/>
    <w:link w:val="AppendixBHeading2Char"/>
    <w:qFormat/>
    <w:rsid w:val="00E508DE"/>
    <w:pPr>
      <w:ind w:left="792" w:hanging="432"/>
    </w:pPr>
  </w:style>
  <w:style w:type="character" w:customStyle="1" w:styleId="AppendixBHeading2Char">
    <w:name w:val="Appendix B Heading 2 Char"/>
    <w:basedOn w:val="Heading2Char"/>
    <w:link w:val="AppendixBHeading2"/>
    <w:locked/>
    <w:rsid w:val="00E508DE"/>
    <w:rPr>
      <w:rFonts w:asciiTheme="majorHAnsi" w:eastAsiaTheme="majorEastAsia" w:hAnsiTheme="majorHAnsi" w:cs="Times New Roman"/>
      <w:i w:val="0"/>
      <w:sz w:val="26"/>
      <w:szCs w:val="26"/>
    </w:rPr>
  </w:style>
  <w:style w:type="paragraph" w:customStyle="1" w:styleId="Appx1">
    <w:name w:val="Appx 1"/>
    <w:basedOn w:val="Heading2"/>
    <w:qFormat/>
    <w:rsid w:val="002359E6"/>
  </w:style>
  <w:style w:type="paragraph" w:customStyle="1" w:styleId="AppxBSub1">
    <w:name w:val="Appx B Sub1"/>
    <w:basedOn w:val="Heading2"/>
    <w:next w:val="Normal"/>
    <w:qFormat/>
    <w:rsid w:val="00464C65"/>
  </w:style>
  <w:style w:type="paragraph" w:styleId="EndnoteText">
    <w:name w:val="endnote text"/>
    <w:basedOn w:val="Normal"/>
    <w:link w:val="EndnoteTextChar"/>
    <w:uiPriority w:val="99"/>
    <w:semiHidden/>
    <w:unhideWhenUsed/>
    <w:rsid w:val="003C5490"/>
    <w:pPr>
      <w:spacing w:after="0"/>
    </w:pPr>
    <w:rPr>
      <w:sz w:val="20"/>
      <w:szCs w:val="20"/>
    </w:rPr>
  </w:style>
  <w:style w:type="character" w:customStyle="1" w:styleId="EndnoteTextChar">
    <w:name w:val="Endnote Text Char"/>
    <w:basedOn w:val="DefaultParagraphFont"/>
    <w:link w:val="EndnoteText"/>
    <w:uiPriority w:val="99"/>
    <w:semiHidden/>
    <w:locked/>
    <w:rsid w:val="003C5490"/>
    <w:rPr>
      <w:rFonts w:cs="Times New Roman"/>
      <w:sz w:val="20"/>
      <w:szCs w:val="20"/>
    </w:rPr>
  </w:style>
  <w:style w:type="character" w:styleId="EndnoteReference">
    <w:name w:val="endnote reference"/>
    <w:basedOn w:val="DefaultParagraphFont"/>
    <w:uiPriority w:val="99"/>
    <w:semiHidden/>
    <w:unhideWhenUsed/>
    <w:rsid w:val="003C5490"/>
    <w:rPr>
      <w:rFonts w:cs="Times New Roman"/>
      <w:vertAlign w:val="superscript"/>
    </w:rPr>
  </w:style>
  <w:style w:type="table" w:customStyle="1" w:styleId="TableGridLight1">
    <w:name w:val="Table Grid Light1"/>
    <w:basedOn w:val="TableNormal"/>
    <w:uiPriority w:val="40"/>
    <w:rsid w:val="00C32717"/>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EF6CE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367844"/>
    <w:rPr>
      <w:rFonts w:cs="Times New Roman"/>
      <w:i/>
      <w:iCs/>
      <w:color w:val="404040" w:themeColor="text1" w:themeTint="BF"/>
    </w:rPr>
  </w:style>
  <w:style w:type="paragraph" w:customStyle="1" w:styleId="FrontHdg1">
    <w:name w:val="FrontHdg1"/>
    <w:basedOn w:val="Heading1"/>
    <w:qFormat/>
    <w:rsid w:val="00AC2EC7"/>
    <w:pPr>
      <w:spacing w:before="240" w:after="120"/>
      <w:outlineLvl w:val="9"/>
    </w:pPr>
    <w:rPr>
      <w:rFonts w:eastAsia="Times New Roman"/>
      <w:b w:val="0"/>
    </w:rPr>
  </w:style>
  <w:style w:type="paragraph" w:customStyle="1" w:styleId="Default">
    <w:name w:val="Default"/>
    <w:rsid w:val="009A4E3E"/>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FC63F7"/>
    <w:rPr>
      <w:rFonts w:cs="Times New Roman"/>
      <w:color w:val="808080"/>
      <w:shd w:val="clear" w:color="auto" w:fill="E6E6E6"/>
    </w:rPr>
  </w:style>
  <w:style w:type="paragraph" w:styleId="Index1">
    <w:name w:val="index 1"/>
    <w:basedOn w:val="Normal"/>
    <w:next w:val="Normal"/>
    <w:autoRedefine/>
    <w:uiPriority w:val="99"/>
    <w:semiHidden/>
    <w:unhideWhenUsed/>
    <w:rsid w:val="00DB53A1"/>
    <w:pPr>
      <w:spacing w:after="0"/>
      <w:ind w:left="220" w:hanging="220"/>
    </w:pPr>
  </w:style>
  <w:style w:type="paragraph" w:customStyle="1" w:styleId="CommentText0">
    <w:name w:val="CommentText"/>
    <w:basedOn w:val="Normal"/>
    <w:qFormat/>
    <w:rsid w:val="00914070"/>
    <w:pPr>
      <w:spacing w:after="200" w:line="276" w:lineRule="auto"/>
      <w:ind w:left="288"/>
    </w:pPr>
    <w:rPr>
      <w:rFonts w:asciiTheme="minorHAnsi" w:hAnsiTheme="minorHAnsi" w:cs="Calibri"/>
      <w:szCs w:val="26"/>
    </w:rPr>
  </w:style>
  <w:style w:type="paragraph" w:customStyle="1" w:styleId="CommentTitle">
    <w:name w:val="CommentTitle"/>
    <w:basedOn w:val="Normal"/>
    <w:qFormat/>
    <w:rsid w:val="00914070"/>
    <w:pPr>
      <w:keepNext/>
      <w:spacing w:before="80" w:after="40" w:line="276" w:lineRule="auto"/>
    </w:pPr>
    <w:rPr>
      <w:rFonts w:asciiTheme="minorHAnsi" w:hAnsiTheme="minorHAnsi"/>
    </w:rPr>
  </w:style>
  <w:style w:type="paragraph" w:customStyle="1" w:styleId="CommentHeader">
    <w:name w:val="CommentHeader"/>
    <w:basedOn w:val="Heading2"/>
    <w:qFormat/>
    <w:rsid w:val="00914070"/>
    <w:rPr>
      <w:rFonts w:ascii="Cambria" w:hAnsi="Cambria"/>
    </w:rPr>
  </w:style>
  <w:style w:type="character" w:customStyle="1" w:styleId="UnresolvedMention2">
    <w:name w:val="Unresolved Mention2"/>
    <w:basedOn w:val="DefaultParagraphFont"/>
    <w:uiPriority w:val="99"/>
    <w:semiHidden/>
    <w:unhideWhenUsed/>
    <w:rsid w:val="001C413D"/>
    <w:rPr>
      <w:rFonts w:cs="Times New Roman"/>
      <w:color w:val="605E5C"/>
      <w:shd w:val="clear" w:color="auto" w:fill="E1DFDD"/>
    </w:rPr>
  </w:style>
  <w:style w:type="paragraph" w:customStyle="1" w:styleId="AttachmentHeading2">
    <w:name w:val="Attachment Heading 2"/>
    <w:basedOn w:val="Heading2"/>
    <w:next w:val="AttachmentNormal"/>
    <w:qFormat/>
    <w:rsid w:val="00951B93"/>
    <w:pPr>
      <w:numPr>
        <w:ilvl w:val="1"/>
        <w:numId w:val="8"/>
      </w:numPr>
      <w:tabs>
        <w:tab w:val="clear" w:pos="360"/>
      </w:tabs>
      <w:spacing w:before="300"/>
    </w:pPr>
    <w:rPr>
      <w:i/>
    </w:rPr>
  </w:style>
  <w:style w:type="paragraph" w:customStyle="1" w:styleId="AttachmentNormal">
    <w:name w:val="Attachment Normal"/>
    <w:basedOn w:val="Normal"/>
    <w:qFormat/>
    <w:rsid w:val="001604C8"/>
    <w:rPr>
      <w:sz w:val="22"/>
    </w:rPr>
  </w:style>
  <w:style w:type="paragraph" w:customStyle="1" w:styleId="AttachmentHeading1">
    <w:name w:val="Attachment Heading 1"/>
    <w:basedOn w:val="Heading1"/>
    <w:qFormat/>
    <w:rsid w:val="00951B93"/>
    <w:pPr>
      <w:numPr>
        <w:numId w:val="8"/>
      </w:numPr>
      <w:spacing w:after="120"/>
    </w:pPr>
  </w:style>
  <w:style w:type="paragraph" w:customStyle="1" w:styleId="StyleListParagraphAfter12pt">
    <w:name w:val="Style List Paragraph + After:  12 pt"/>
    <w:basedOn w:val="ListParagraph"/>
    <w:rsid w:val="009B49EE"/>
    <w:pPr>
      <w:numPr>
        <w:numId w:val="0"/>
      </w:numPr>
      <w:spacing w:after="240"/>
      <w:ind w:left="720"/>
      <w:contextualSpacing/>
    </w:pPr>
    <w:rPr>
      <w:szCs w:val="20"/>
    </w:rPr>
  </w:style>
  <w:style w:type="character" w:customStyle="1" w:styleId="UnresolvedMention21">
    <w:name w:val="Unresolved Mention21"/>
    <w:basedOn w:val="DefaultParagraphFont"/>
    <w:uiPriority w:val="99"/>
    <w:semiHidden/>
    <w:unhideWhenUsed/>
    <w:rsid w:val="006B1419"/>
    <w:rPr>
      <w:rFonts w:cs="Times New Roman"/>
      <w:color w:val="605E5C"/>
      <w:shd w:val="clear" w:color="auto" w:fill="E1DFDD"/>
    </w:rPr>
  </w:style>
  <w:style w:type="paragraph" w:customStyle="1" w:styleId="AttachmentListParagraph">
    <w:name w:val="Attachment List Paragraph"/>
    <w:basedOn w:val="ListParagraph"/>
    <w:qFormat/>
    <w:rsid w:val="001604C8"/>
    <w:pPr>
      <w:ind w:left="720"/>
    </w:pPr>
    <w:rPr>
      <w:rFonts w:cs="Arial"/>
      <w:color w:val="000000"/>
      <w:sz w:val="22"/>
      <w:szCs w:val="26"/>
    </w:rPr>
  </w:style>
  <w:style w:type="character" w:customStyle="1" w:styleId="UnresolvedMention3">
    <w:name w:val="Unresolved Mention3"/>
    <w:basedOn w:val="DefaultParagraphFont"/>
    <w:uiPriority w:val="99"/>
    <w:semiHidden/>
    <w:unhideWhenUsed/>
    <w:rsid w:val="00DE1B2A"/>
    <w:rPr>
      <w:rFonts w:cs="Times New Roman"/>
      <w:color w:val="605E5C"/>
      <w:shd w:val="clear" w:color="auto" w:fill="E1DFDD"/>
    </w:rPr>
  </w:style>
  <w:style w:type="character" w:customStyle="1" w:styleId="UnresolvedMention4">
    <w:name w:val="Unresolved Mention4"/>
    <w:basedOn w:val="DefaultParagraphFont"/>
    <w:uiPriority w:val="99"/>
    <w:semiHidden/>
    <w:unhideWhenUsed/>
    <w:rsid w:val="008975C4"/>
    <w:rPr>
      <w:color w:val="605E5C"/>
      <w:shd w:val="clear" w:color="auto" w:fill="E1DFDD"/>
    </w:rPr>
  </w:style>
  <w:style w:type="character" w:customStyle="1" w:styleId="UnresolvedMention5">
    <w:name w:val="Unresolved Mention5"/>
    <w:basedOn w:val="DefaultParagraphFont"/>
    <w:uiPriority w:val="99"/>
    <w:semiHidden/>
    <w:unhideWhenUsed/>
    <w:rsid w:val="006F4A19"/>
    <w:rPr>
      <w:color w:val="605E5C"/>
      <w:shd w:val="clear" w:color="auto" w:fill="E1DFDD"/>
    </w:rPr>
  </w:style>
  <w:style w:type="paragraph" w:customStyle="1" w:styleId="AttachmentTitle">
    <w:name w:val="Attachment Title"/>
    <w:basedOn w:val="Heading1"/>
    <w:qFormat/>
    <w:rsid w:val="0009690C"/>
    <w:pPr>
      <w:jc w:val="center"/>
    </w:pPr>
  </w:style>
  <w:style w:type="paragraph" w:customStyle="1" w:styleId="attachmentnormal0">
    <w:name w:val="attachmentnormal"/>
    <w:basedOn w:val="Normal"/>
    <w:rsid w:val="001D15BE"/>
    <w:rPr>
      <w:rFonts w:eastAsiaTheme="minorHAnsi" w:cs="Calibri"/>
      <w:sz w:val="22"/>
    </w:rPr>
  </w:style>
  <w:style w:type="paragraph" w:customStyle="1" w:styleId="attachmentheading20">
    <w:name w:val="attachmentheading2"/>
    <w:basedOn w:val="Normal"/>
    <w:rsid w:val="001D15BE"/>
    <w:pPr>
      <w:keepNext/>
      <w:spacing w:before="180"/>
      <w:ind w:left="432"/>
    </w:pPr>
    <w:rPr>
      <w:rFonts w:ascii="Calibri" w:eastAsiaTheme="minorHAnsi" w:hAnsi="Calibri" w:cs="Calibri"/>
      <w:szCs w:val="26"/>
    </w:rPr>
  </w:style>
  <w:style w:type="paragraph" w:customStyle="1" w:styleId="AttachmentHeading3">
    <w:name w:val="Attachment Heading 3"/>
    <w:basedOn w:val="AttachmentHeading2"/>
    <w:next w:val="AttachmentNormal"/>
    <w:qFormat/>
    <w:rsid w:val="00CD552A"/>
    <w:pPr>
      <w:numPr>
        <w:ilvl w:val="2"/>
        <w:numId w:val="4"/>
      </w:numPr>
      <w:ind w:left="504"/>
      <w:outlineLvl w:val="2"/>
    </w:pPr>
  </w:style>
  <w:style w:type="character" w:customStyle="1" w:styleId="UnresolvedMention6">
    <w:name w:val="Unresolved Mention6"/>
    <w:basedOn w:val="DefaultParagraphFont"/>
    <w:uiPriority w:val="99"/>
    <w:semiHidden/>
    <w:unhideWhenUsed/>
    <w:rsid w:val="00312F0F"/>
    <w:rPr>
      <w:color w:val="605E5C"/>
      <w:shd w:val="clear" w:color="auto" w:fill="E1DFDD"/>
    </w:rPr>
  </w:style>
  <w:style w:type="character" w:customStyle="1" w:styleId="Mention1">
    <w:name w:val="Mention1"/>
    <w:basedOn w:val="DefaultParagraphFont"/>
    <w:uiPriority w:val="99"/>
    <w:semiHidden/>
    <w:unhideWhenUsed/>
    <w:rsid w:val="00284EC9"/>
    <w:rPr>
      <w:color w:val="2B579A"/>
      <w:shd w:val="clear" w:color="auto" w:fill="E6E6E6"/>
    </w:rPr>
  </w:style>
  <w:style w:type="character" w:customStyle="1" w:styleId="Mention2">
    <w:name w:val="Mention2"/>
    <w:basedOn w:val="DefaultParagraphFont"/>
    <w:uiPriority w:val="99"/>
    <w:semiHidden/>
    <w:unhideWhenUsed/>
    <w:rsid w:val="00C574F4"/>
    <w:rPr>
      <w:color w:val="2B579A"/>
      <w:shd w:val="clear" w:color="auto" w:fill="E6E6E6"/>
    </w:rPr>
  </w:style>
  <w:style w:type="character" w:styleId="Strong">
    <w:name w:val="Strong"/>
    <w:basedOn w:val="DefaultParagraphFont"/>
    <w:uiPriority w:val="22"/>
    <w:qFormat/>
    <w:rsid w:val="00B156A2"/>
    <w:rPr>
      <w:b/>
      <w:bCs/>
    </w:rPr>
  </w:style>
  <w:style w:type="character" w:customStyle="1" w:styleId="UnresolvedMention7">
    <w:name w:val="Unresolved Mention7"/>
    <w:basedOn w:val="DefaultParagraphFont"/>
    <w:uiPriority w:val="99"/>
    <w:semiHidden/>
    <w:unhideWhenUsed/>
    <w:rsid w:val="00F97CBC"/>
    <w:rPr>
      <w:color w:val="605E5C"/>
      <w:shd w:val="clear" w:color="auto" w:fill="E1DFDD"/>
    </w:rPr>
  </w:style>
  <w:style w:type="character" w:customStyle="1" w:styleId="UnresolvedMention8">
    <w:name w:val="Unresolved Mention8"/>
    <w:basedOn w:val="DefaultParagraphFont"/>
    <w:uiPriority w:val="99"/>
    <w:semiHidden/>
    <w:unhideWhenUsed/>
    <w:rsid w:val="00826DBB"/>
    <w:rPr>
      <w:color w:val="605E5C"/>
      <w:shd w:val="clear" w:color="auto" w:fill="E1DFDD"/>
    </w:rPr>
  </w:style>
  <w:style w:type="character" w:customStyle="1" w:styleId="UnresolvedMention9">
    <w:name w:val="Unresolved Mention9"/>
    <w:basedOn w:val="DefaultParagraphFont"/>
    <w:uiPriority w:val="99"/>
    <w:semiHidden/>
    <w:unhideWhenUsed/>
    <w:rsid w:val="00936614"/>
    <w:rPr>
      <w:color w:val="605E5C"/>
      <w:shd w:val="clear" w:color="auto" w:fill="E1DFDD"/>
    </w:rPr>
  </w:style>
  <w:style w:type="character" w:customStyle="1" w:styleId="UnresolvedMention10">
    <w:name w:val="Unresolved Mention10"/>
    <w:basedOn w:val="DefaultParagraphFont"/>
    <w:uiPriority w:val="99"/>
    <w:semiHidden/>
    <w:unhideWhenUsed/>
    <w:rsid w:val="00927A50"/>
    <w:rPr>
      <w:color w:val="605E5C"/>
      <w:shd w:val="clear" w:color="auto" w:fill="E1DFDD"/>
    </w:rPr>
  </w:style>
  <w:style w:type="character" w:customStyle="1" w:styleId="UnresolvedMention11">
    <w:name w:val="Unresolved Mention11"/>
    <w:basedOn w:val="DefaultParagraphFont"/>
    <w:uiPriority w:val="99"/>
    <w:semiHidden/>
    <w:unhideWhenUsed/>
    <w:rsid w:val="003D4FDB"/>
    <w:rPr>
      <w:color w:val="605E5C"/>
      <w:shd w:val="clear" w:color="auto" w:fill="E1DFDD"/>
    </w:rPr>
  </w:style>
  <w:style w:type="paragraph" w:customStyle="1" w:styleId="DNVGLBulletLevel1">
    <w:name w:val="DNV GL Bullet Level 1"/>
    <w:basedOn w:val="Normal"/>
    <w:link w:val="DNVGLBulletLevel1Char"/>
    <w:qFormat/>
    <w:rsid w:val="00951B93"/>
    <w:pPr>
      <w:numPr>
        <w:numId w:val="9"/>
      </w:numPr>
      <w:spacing w:before="40" w:after="140" w:line="280" w:lineRule="atLeast"/>
      <w:contextualSpacing/>
    </w:pPr>
    <w:rPr>
      <w:rFonts w:eastAsiaTheme="minorHAnsi" w:cstheme="minorBidi"/>
      <w:szCs w:val="18"/>
    </w:rPr>
  </w:style>
  <w:style w:type="character" w:customStyle="1" w:styleId="DNVGLBulletLevel1Char">
    <w:name w:val="DNV GL Bullet Level 1 Char"/>
    <w:basedOn w:val="DefaultParagraphFont"/>
    <w:link w:val="DNVGLBulletLevel1"/>
    <w:rsid w:val="00951B93"/>
    <w:rPr>
      <w:rFonts w:ascii="Garamond" w:eastAsiaTheme="minorHAnsi" w:hAnsi="Garamond" w:cstheme="minorBidi"/>
      <w:sz w:val="24"/>
      <w:szCs w:val="18"/>
    </w:rPr>
  </w:style>
  <w:style w:type="paragraph" w:customStyle="1" w:styleId="DNVGLfootnote">
    <w:name w:val="DNV GL footnote"/>
    <w:basedOn w:val="FootnoteText"/>
    <w:link w:val="DNVGLfootnoteChar"/>
    <w:qFormat/>
    <w:rsid w:val="00373CE4"/>
    <w:pPr>
      <w:keepNext/>
      <w:keepLines/>
      <w:widowControl w:val="0"/>
      <w:ind w:left="0" w:firstLine="0"/>
    </w:pPr>
    <w:rPr>
      <w:rFonts w:ascii="Verdana" w:eastAsiaTheme="minorHAnsi" w:hAnsi="Verdana" w:cstheme="minorBidi"/>
      <w:sz w:val="16"/>
      <w:szCs w:val="16"/>
    </w:rPr>
  </w:style>
  <w:style w:type="character" w:customStyle="1" w:styleId="DNVGLfootnoteChar">
    <w:name w:val="DNV GL footnote Char"/>
    <w:basedOn w:val="FootnoteTextChar"/>
    <w:link w:val="DNVGLfootnote"/>
    <w:rsid w:val="00373CE4"/>
    <w:rPr>
      <w:rFonts w:ascii="Verdana" w:eastAsiaTheme="minorHAnsi" w:hAnsi="Verdana" w:cstheme="minorBidi"/>
      <w:sz w:val="16"/>
      <w:szCs w:val="16"/>
    </w:rPr>
  </w:style>
  <w:style w:type="paragraph" w:customStyle="1" w:styleId="TableHeader">
    <w:name w:val="Table Header"/>
    <w:basedOn w:val="Normal"/>
    <w:qFormat/>
    <w:rsid w:val="00D97718"/>
    <w:pPr>
      <w:spacing w:after="0"/>
    </w:pPr>
    <w:rPr>
      <w:rFonts w:ascii="Verdana" w:eastAsiaTheme="minorHAnsi" w:hAnsi="Verdana" w:cstheme="minorBidi"/>
      <w:b/>
      <w:bCs/>
      <w:color w:val="FFFFFF" w:themeColor="background1"/>
      <w:sz w:val="18"/>
      <w:szCs w:val="18"/>
    </w:rPr>
  </w:style>
  <w:style w:type="paragraph" w:styleId="Quote">
    <w:name w:val="Quote"/>
    <w:basedOn w:val="Normal"/>
    <w:next w:val="Normal"/>
    <w:link w:val="QuoteChar"/>
    <w:uiPriority w:val="29"/>
    <w:qFormat/>
    <w:rsid w:val="00D97718"/>
    <w:pPr>
      <w:spacing w:before="200" w:after="160" w:line="276" w:lineRule="auto"/>
      <w:ind w:left="864" w:right="864"/>
      <w:jc w:val="center"/>
    </w:pPr>
    <w:rPr>
      <w:rFonts w:eastAsiaTheme="minorHAnsi" w:cstheme="minorBidi"/>
      <w:i/>
      <w:iCs/>
      <w:color w:val="404040" w:themeColor="text1" w:themeTint="BF"/>
    </w:rPr>
  </w:style>
  <w:style w:type="character" w:customStyle="1" w:styleId="QuoteChar">
    <w:name w:val="Quote Char"/>
    <w:basedOn w:val="DefaultParagraphFont"/>
    <w:link w:val="Quote"/>
    <w:uiPriority w:val="29"/>
    <w:rsid w:val="00D97718"/>
    <w:rPr>
      <w:rFonts w:ascii="Garamond" w:eastAsiaTheme="minorHAnsi" w:hAnsi="Garamond" w:cstheme="minorBidi"/>
      <w:i/>
      <w:iCs/>
      <w:color w:val="404040" w:themeColor="text1" w:themeTint="BF"/>
      <w:sz w:val="24"/>
    </w:rPr>
  </w:style>
  <w:style w:type="paragraph" w:customStyle="1" w:styleId="Table">
    <w:name w:val="Table"/>
    <w:aliases w:val="left"/>
    <w:basedOn w:val="Normal"/>
    <w:qFormat/>
    <w:rsid w:val="001A30A5"/>
    <w:pPr>
      <w:spacing w:after="0"/>
    </w:pPr>
    <w:rPr>
      <w:rFonts w:ascii="Verdana" w:eastAsiaTheme="minorHAnsi" w:hAnsi="Verdana" w:cstheme="minorBidi"/>
      <w:sz w:val="18"/>
      <w:szCs w:val="18"/>
    </w:rPr>
  </w:style>
  <w:style w:type="paragraph" w:customStyle="1" w:styleId="Tablenote">
    <w:name w:val="Table note"/>
    <w:basedOn w:val="DNVGLfootnote"/>
    <w:qFormat/>
    <w:rsid w:val="0069223B"/>
    <w:rPr>
      <w:rFonts w:eastAsia="Times New Roman" w:cstheme="minorHAnsi"/>
    </w:rPr>
  </w:style>
  <w:style w:type="paragraph" w:customStyle="1" w:styleId="TableList">
    <w:name w:val="Table List"/>
    <w:basedOn w:val="TableofFigures"/>
    <w:qFormat/>
    <w:rsid w:val="0069223B"/>
    <w:pPr>
      <w:tabs>
        <w:tab w:val="right" w:leader="dot" w:pos="9350"/>
      </w:tabs>
      <w:spacing w:after="0" w:line="276" w:lineRule="auto"/>
      <w:ind w:left="432" w:hanging="432"/>
    </w:pPr>
    <w:rPr>
      <w:rFonts w:ascii="Verdana" w:eastAsiaTheme="minorHAnsi" w:hAnsi="Verdana" w:cstheme="minorHAnsi"/>
      <w:noProof/>
      <w:sz w:val="18"/>
      <w:szCs w:val="18"/>
    </w:rPr>
  </w:style>
  <w:style w:type="character" w:styleId="UnresolvedMention">
    <w:name w:val="Unresolved Mention"/>
    <w:basedOn w:val="DefaultParagraphFont"/>
    <w:uiPriority w:val="99"/>
    <w:semiHidden/>
    <w:unhideWhenUsed/>
    <w:rsid w:val="001A493D"/>
    <w:rPr>
      <w:color w:val="605E5C"/>
      <w:shd w:val="clear" w:color="auto" w:fill="E1DFDD"/>
    </w:rPr>
  </w:style>
  <w:style w:type="paragraph" w:customStyle="1" w:styleId="CommentHeading">
    <w:name w:val="Comment Heading"/>
    <w:basedOn w:val="Normal"/>
    <w:next w:val="Normal"/>
    <w:qFormat/>
    <w:rsid w:val="00A4355B"/>
    <w:pPr>
      <w:keepNext/>
      <w:spacing w:before="240"/>
    </w:pPr>
    <w:rPr>
      <w:i/>
      <w:iCs/>
    </w:rPr>
  </w:style>
  <w:style w:type="numbering" w:customStyle="1" w:styleId="NoList1">
    <w:name w:val="No List1"/>
    <w:next w:val="NoList"/>
    <w:uiPriority w:val="99"/>
    <w:semiHidden/>
    <w:unhideWhenUsed/>
    <w:rsid w:val="000B380A"/>
  </w:style>
  <w:style w:type="paragraph" w:customStyle="1" w:styleId="msonormal0">
    <w:name w:val="msonormal"/>
    <w:basedOn w:val="Normal"/>
    <w:rsid w:val="000B380A"/>
    <w:pPr>
      <w:spacing w:before="100" w:beforeAutospacing="1" w:after="100" w:afterAutospacing="1"/>
    </w:pPr>
    <w:rPr>
      <w:rFonts w:ascii="Times New Roman" w:hAnsi="Times New Roman"/>
      <w:szCs w:val="24"/>
    </w:rPr>
  </w:style>
  <w:style w:type="paragraph" w:customStyle="1" w:styleId="xl71">
    <w:name w:val="xl71"/>
    <w:basedOn w:val="Normal"/>
    <w:rsid w:val="000B380A"/>
    <w:pPr>
      <w:spacing w:before="100" w:beforeAutospacing="1" w:after="100" w:afterAutospacing="1"/>
      <w:textAlignment w:val="top"/>
    </w:pPr>
    <w:rPr>
      <w:rFonts w:ascii="Times New Roman" w:hAnsi="Times New Roman"/>
      <w:sz w:val="18"/>
      <w:szCs w:val="18"/>
    </w:rPr>
  </w:style>
  <w:style w:type="paragraph" w:customStyle="1" w:styleId="xl72">
    <w:name w:val="xl72"/>
    <w:basedOn w:val="Normal"/>
    <w:rsid w:val="000B380A"/>
    <w:pPr>
      <w:spacing w:before="100" w:beforeAutospacing="1" w:after="100" w:afterAutospacing="1"/>
      <w:jc w:val="center"/>
      <w:textAlignment w:val="top"/>
    </w:pPr>
    <w:rPr>
      <w:rFonts w:ascii="Times New Roman" w:hAnsi="Times New Roman"/>
      <w:sz w:val="18"/>
      <w:szCs w:val="18"/>
    </w:rPr>
  </w:style>
  <w:style w:type="paragraph" w:customStyle="1" w:styleId="xl73">
    <w:name w:val="xl73"/>
    <w:basedOn w:val="Normal"/>
    <w:rsid w:val="000B380A"/>
    <w:pPr>
      <w:spacing w:before="100" w:beforeAutospacing="1" w:after="100" w:afterAutospacing="1"/>
      <w:textAlignment w:val="top"/>
    </w:pPr>
    <w:rPr>
      <w:rFonts w:ascii="Times New Roman" w:hAnsi="Times New Roman"/>
      <w:i/>
      <w:iCs/>
      <w:sz w:val="18"/>
      <w:szCs w:val="18"/>
    </w:rPr>
  </w:style>
  <w:style w:type="paragraph" w:customStyle="1" w:styleId="xl74">
    <w:name w:val="xl74"/>
    <w:basedOn w:val="Normal"/>
    <w:rsid w:val="000B380A"/>
    <w:pPr>
      <w:spacing w:before="100" w:beforeAutospacing="1" w:after="100" w:afterAutospacing="1"/>
      <w:textAlignment w:val="top"/>
    </w:pPr>
    <w:rPr>
      <w:rFonts w:ascii="Times New Roman" w:hAnsi="Times New Roman"/>
      <w:sz w:val="18"/>
      <w:szCs w:val="18"/>
    </w:rPr>
  </w:style>
  <w:style w:type="paragraph" w:customStyle="1" w:styleId="xl75">
    <w:name w:val="xl75"/>
    <w:basedOn w:val="Normal"/>
    <w:rsid w:val="000B380A"/>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Times New Roman" w:hAnsi="Times New Roman"/>
      <w:sz w:val="18"/>
      <w:szCs w:val="18"/>
    </w:rPr>
  </w:style>
  <w:style w:type="paragraph" w:customStyle="1" w:styleId="xl76">
    <w:name w:val="xl76"/>
    <w:basedOn w:val="Normal"/>
    <w:rsid w:val="000B380A"/>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top"/>
    </w:pPr>
    <w:rPr>
      <w:rFonts w:ascii="Times New Roman" w:hAnsi="Times New Roman"/>
      <w:sz w:val="18"/>
      <w:szCs w:val="18"/>
    </w:rPr>
  </w:style>
  <w:style w:type="paragraph" w:customStyle="1" w:styleId="xl77">
    <w:name w:val="xl77"/>
    <w:basedOn w:val="Normal"/>
    <w:rsid w:val="000B380A"/>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Times New Roman" w:hAnsi="Times New Roman"/>
      <w:i/>
      <w:iCs/>
      <w:sz w:val="18"/>
      <w:szCs w:val="18"/>
    </w:rPr>
  </w:style>
  <w:style w:type="paragraph" w:customStyle="1" w:styleId="xl78">
    <w:name w:val="xl78"/>
    <w:basedOn w:val="Normal"/>
    <w:rsid w:val="000B380A"/>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Times New Roman" w:hAnsi="Times New Roman"/>
      <w:sz w:val="18"/>
      <w:szCs w:val="18"/>
    </w:rPr>
  </w:style>
  <w:style w:type="paragraph" w:customStyle="1" w:styleId="xl79">
    <w:name w:val="xl79"/>
    <w:basedOn w:val="Normal"/>
    <w:rsid w:val="000B380A"/>
    <w:pPr>
      <w:pBdr>
        <w:top w:val="single" w:sz="4" w:space="0" w:color="BFBFBF"/>
        <w:left w:val="single" w:sz="4" w:space="0" w:color="BFBFBF"/>
        <w:bottom w:val="single" w:sz="4" w:space="0" w:color="BFBFBF"/>
        <w:right w:val="single" w:sz="4" w:space="0" w:color="BFBFBF"/>
      </w:pBdr>
      <w:shd w:val="clear" w:color="000000" w:fill="BCD3B7"/>
      <w:spacing w:before="100" w:beforeAutospacing="1" w:after="100" w:afterAutospacing="1"/>
      <w:textAlignment w:val="top"/>
    </w:pPr>
    <w:rPr>
      <w:rFonts w:ascii="Times New Roman" w:hAnsi="Times New Roman"/>
      <w:sz w:val="18"/>
      <w:szCs w:val="18"/>
    </w:rPr>
  </w:style>
  <w:style w:type="paragraph" w:customStyle="1" w:styleId="xl80">
    <w:name w:val="xl80"/>
    <w:basedOn w:val="Normal"/>
    <w:rsid w:val="000B380A"/>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top"/>
    </w:pPr>
    <w:rPr>
      <w:rFonts w:ascii="Times New Roman" w:hAnsi="Times New Roman"/>
      <w:sz w:val="18"/>
      <w:szCs w:val="18"/>
    </w:rPr>
  </w:style>
  <w:style w:type="paragraph" w:customStyle="1" w:styleId="xl81">
    <w:name w:val="xl81"/>
    <w:basedOn w:val="Normal"/>
    <w:rsid w:val="000B380A"/>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top"/>
    </w:pPr>
    <w:rPr>
      <w:rFonts w:ascii="Times New Roman" w:hAnsi="Times New Roman"/>
      <w:sz w:val="18"/>
      <w:szCs w:val="18"/>
    </w:rPr>
  </w:style>
  <w:style w:type="paragraph" w:customStyle="1" w:styleId="xl82">
    <w:name w:val="xl82"/>
    <w:basedOn w:val="Normal"/>
    <w:rsid w:val="000B380A"/>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top"/>
    </w:pPr>
    <w:rPr>
      <w:rFonts w:ascii="Times New Roman" w:hAnsi="Times New Roman"/>
      <w:sz w:val="18"/>
      <w:szCs w:val="18"/>
    </w:rPr>
  </w:style>
  <w:style w:type="paragraph" w:customStyle="1" w:styleId="xl83">
    <w:name w:val="xl83"/>
    <w:basedOn w:val="Normal"/>
    <w:rsid w:val="000B380A"/>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top"/>
    </w:pPr>
    <w:rPr>
      <w:rFonts w:ascii="Times New Roman" w:hAnsi="Times New Roman"/>
      <w:i/>
      <w:iCs/>
      <w:sz w:val="18"/>
      <w:szCs w:val="18"/>
    </w:rPr>
  </w:style>
  <w:style w:type="paragraph" w:customStyle="1" w:styleId="xl84">
    <w:name w:val="xl84"/>
    <w:basedOn w:val="Normal"/>
    <w:rsid w:val="000B380A"/>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top"/>
    </w:pPr>
    <w:rPr>
      <w:rFonts w:ascii="Times New Roman" w:hAnsi="Times New Roman"/>
      <w:sz w:val="18"/>
      <w:szCs w:val="18"/>
    </w:rPr>
  </w:style>
  <w:style w:type="paragraph" w:customStyle="1" w:styleId="AttachmentStyle">
    <w:name w:val="Attachment Style"/>
    <w:basedOn w:val="Normal"/>
    <w:link w:val="AttachmentStyleChar"/>
    <w:qFormat/>
    <w:rsid w:val="000D0F3D"/>
    <w:rPr>
      <w:rFonts w:ascii="Century Gothic" w:hAnsi="Century Gothic"/>
    </w:rPr>
  </w:style>
  <w:style w:type="paragraph" w:customStyle="1" w:styleId="CenturyGothicHeader">
    <w:name w:val="CenturyGothicHeader"/>
    <w:basedOn w:val="Normal"/>
    <w:link w:val="CenturyGothicHeaderChar"/>
    <w:qFormat/>
    <w:rsid w:val="00EB1897"/>
    <w:pPr>
      <w:jc w:val="center"/>
    </w:pPr>
    <w:rPr>
      <w:rFonts w:ascii="Century Gothic" w:hAnsi="Century Gothic"/>
    </w:rPr>
  </w:style>
  <w:style w:type="character" w:customStyle="1" w:styleId="AttachmentStyleChar">
    <w:name w:val="Attachment Style Char"/>
    <w:basedOn w:val="DefaultParagraphFont"/>
    <w:link w:val="AttachmentStyle"/>
    <w:rsid w:val="000D0F3D"/>
    <w:rPr>
      <w:rFonts w:ascii="Century Gothic" w:hAnsi="Century Gothic" w:cs="Times New Roman"/>
      <w:sz w:val="24"/>
    </w:rPr>
  </w:style>
  <w:style w:type="paragraph" w:customStyle="1" w:styleId="GaramondNormal">
    <w:name w:val="Garamond Normal"/>
    <w:basedOn w:val="Normal"/>
    <w:link w:val="GaramondNormalChar"/>
    <w:qFormat/>
    <w:rsid w:val="006D5CB8"/>
    <w:pPr>
      <w:spacing w:before="40" w:line="280" w:lineRule="atLeast"/>
    </w:pPr>
    <w:rPr>
      <w:rFonts w:ascii="Garamond" w:hAnsi="Garamond"/>
    </w:rPr>
  </w:style>
  <w:style w:type="character" w:customStyle="1" w:styleId="CenturyGothicHeaderChar">
    <w:name w:val="CenturyGothicHeader Char"/>
    <w:basedOn w:val="DefaultParagraphFont"/>
    <w:link w:val="CenturyGothicHeader"/>
    <w:rsid w:val="00EB1897"/>
    <w:rPr>
      <w:rFonts w:ascii="Century Gothic" w:hAnsi="Century Gothic" w:cs="Times New Roman"/>
      <w:sz w:val="24"/>
    </w:rPr>
  </w:style>
  <w:style w:type="paragraph" w:customStyle="1" w:styleId="CenturyGothicTOCHeader">
    <w:name w:val="CenturyGothicTOCHeader"/>
    <w:basedOn w:val="GaramondNormal"/>
    <w:link w:val="CenturyGothicTOCHeaderChar"/>
    <w:qFormat/>
    <w:rsid w:val="00731546"/>
    <w:rPr>
      <w:rFonts w:ascii="Century Gothic" w:hAnsi="Century Gothic"/>
    </w:rPr>
  </w:style>
  <w:style w:type="character" w:customStyle="1" w:styleId="GaramondNormalChar">
    <w:name w:val="Garamond Normal Char"/>
    <w:basedOn w:val="DefaultParagraphFont"/>
    <w:link w:val="GaramondNormal"/>
    <w:rsid w:val="006D5CB8"/>
    <w:rPr>
      <w:rFonts w:ascii="Garamond" w:hAnsi="Garamond" w:cs="Times New Roman"/>
      <w:sz w:val="24"/>
    </w:rPr>
  </w:style>
  <w:style w:type="paragraph" w:customStyle="1" w:styleId="CenturyGothicTableHeader">
    <w:name w:val="CenturyGothicTableHeader"/>
    <w:basedOn w:val="Caption"/>
    <w:link w:val="CenturyGothicTableHeaderChar"/>
    <w:qFormat/>
    <w:rsid w:val="004944F5"/>
    <w:rPr>
      <w:rFonts w:ascii="Century Gothic" w:hAnsi="Century Gothic"/>
      <w:szCs w:val="24"/>
    </w:rPr>
  </w:style>
  <w:style w:type="character" w:customStyle="1" w:styleId="CenturyGothicTOCHeaderChar">
    <w:name w:val="CenturyGothicTOCHeader Char"/>
    <w:basedOn w:val="GaramondNormalChar"/>
    <w:link w:val="CenturyGothicTOCHeader"/>
    <w:rsid w:val="00731546"/>
    <w:rPr>
      <w:rFonts w:ascii="Century Gothic" w:hAnsi="Century Gothic" w:cs="Times New Roman"/>
      <w:sz w:val="24"/>
    </w:rPr>
  </w:style>
  <w:style w:type="paragraph" w:customStyle="1" w:styleId="GaramondBullets">
    <w:name w:val="GaramondBullets"/>
    <w:basedOn w:val="ListParagraph"/>
    <w:link w:val="GaramondBulletsChar"/>
    <w:qFormat/>
    <w:rsid w:val="00C508AF"/>
    <w:pPr>
      <w:spacing w:after="120"/>
    </w:pPr>
    <w:rPr>
      <w:rFonts w:ascii="Garamond" w:hAnsi="Garamond"/>
    </w:rPr>
  </w:style>
  <w:style w:type="character" w:customStyle="1" w:styleId="CenturyGothicTableHeaderChar">
    <w:name w:val="CenturyGothicTableHeader Char"/>
    <w:basedOn w:val="CaptionChar"/>
    <w:link w:val="CenturyGothicTableHeader"/>
    <w:rsid w:val="004944F5"/>
    <w:rPr>
      <w:rFonts w:ascii="Century Gothic" w:hAnsi="Century Gothic" w:cs="Times New Roman"/>
      <w:b/>
      <w:bCs/>
      <w:sz w:val="24"/>
      <w:szCs w:val="24"/>
    </w:rPr>
  </w:style>
  <w:style w:type="character" w:customStyle="1" w:styleId="ListParagraphChar">
    <w:name w:val="List Paragraph Char"/>
    <w:basedOn w:val="DefaultParagraphFont"/>
    <w:link w:val="ListParagraph"/>
    <w:uiPriority w:val="34"/>
    <w:rsid w:val="00C508AF"/>
    <w:rPr>
      <w:rFonts w:ascii="Palatino Linotype" w:hAnsi="Palatino Linotype" w:cs="Times New Roman"/>
      <w:sz w:val="24"/>
    </w:rPr>
  </w:style>
  <w:style w:type="character" w:customStyle="1" w:styleId="GaramondBulletsChar">
    <w:name w:val="GaramondBullets Char"/>
    <w:basedOn w:val="ListParagraphChar"/>
    <w:link w:val="GaramondBullets"/>
    <w:rsid w:val="00C508AF"/>
    <w:rPr>
      <w:rFonts w:ascii="Garamond" w:hAnsi="Garamond" w:cs="Times New Roman"/>
      <w:sz w:val="24"/>
    </w:rPr>
  </w:style>
  <w:style w:type="character" w:customStyle="1" w:styleId="wordphrase">
    <w:name w:val="wordphrase"/>
    <w:basedOn w:val="DefaultParagraphFont"/>
    <w:rsid w:val="00456DDF"/>
  </w:style>
  <w:style w:type="paragraph" w:customStyle="1" w:styleId="xl85">
    <w:name w:val="xl85"/>
    <w:basedOn w:val="Normal"/>
    <w:rsid w:val="00B04AB6"/>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top"/>
    </w:pPr>
    <w:rPr>
      <w:rFonts w:ascii="Times New Roman" w:hAnsi="Times New Roman"/>
      <w:sz w:val="18"/>
      <w:szCs w:val="18"/>
    </w:rPr>
  </w:style>
  <w:style w:type="paragraph" w:customStyle="1" w:styleId="xl86">
    <w:name w:val="xl86"/>
    <w:basedOn w:val="Normal"/>
    <w:rsid w:val="00B04AB6"/>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Times New Roman" w:hAnsi="Times New Roman"/>
      <w:b/>
      <w:bCs/>
      <w:sz w:val="18"/>
      <w:szCs w:val="18"/>
    </w:rPr>
  </w:style>
  <w:style w:type="paragraph" w:customStyle="1" w:styleId="xl87">
    <w:name w:val="xl87"/>
    <w:basedOn w:val="Normal"/>
    <w:rsid w:val="00B04AB6"/>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Times New Roman" w:hAnsi="Times New Roman"/>
      <w:b/>
      <w:bCs/>
      <w:sz w:val="18"/>
      <w:szCs w:val="18"/>
    </w:rPr>
  </w:style>
  <w:style w:type="paragraph" w:customStyle="1" w:styleId="xl88">
    <w:name w:val="xl88"/>
    <w:basedOn w:val="Normal"/>
    <w:rsid w:val="00B04AB6"/>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Times New Roman" w:hAnsi="Times New Roman"/>
      <w:sz w:val="18"/>
      <w:szCs w:val="18"/>
    </w:rPr>
  </w:style>
  <w:style w:type="paragraph" w:customStyle="1" w:styleId="xl89">
    <w:name w:val="xl89"/>
    <w:basedOn w:val="Normal"/>
    <w:rsid w:val="00B04AB6"/>
    <w:pPr>
      <w:spacing w:before="100" w:beforeAutospacing="1" w:after="100" w:afterAutospacing="1"/>
      <w:textAlignment w:val="top"/>
    </w:pPr>
    <w:rPr>
      <w:rFonts w:ascii="Times New Roman" w:hAnsi="Times New Roman"/>
      <w:sz w:val="18"/>
      <w:szCs w:val="18"/>
    </w:rPr>
  </w:style>
  <w:style w:type="paragraph" w:customStyle="1" w:styleId="xl90">
    <w:name w:val="xl90"/>
    <w:basedOn w:val="Normal"/>
    <w:rsid w:val="00B04AB6"/>
    <w:pPr>
      <w:pBdr>
        <w:top w:val="single" w:sz="4" w:space="0" w:color="BFBFBF"/>
        <w:left w:val="single" w:sz="4" w:space="0" w:color="BFBFBF"/>
        <w:bottom w:val="single" w:sz="4" w:space="0" w:color="BFBFBF"/>
        <w:right w:val="single" w:sz="4" w:space="0" w:color="BFBFBF"/>
      </w:pBdr>
      <w:shd w:val="clear" w:color="000000" w:fill="BCD3B7"/>
      <w:spacing w:before="100" w:beforeAutospacing="1" w:after="100" w:afterAutospacing="1"/>
      <w:textAlignment w:val="top"/>
    </w:pPr>
    <w:rPr>
      <w:rFonts w:ascii="Times New Roman" w:hAnsi="Times New Roman"/>
      <w:sz w:val="18"/>
      <w:szCs w:val="18"/>
    </w:rPr>
  </w:style>
  <w:style w:type="paragraph" w:customStyle="1" w:styleId="xl91">
    <w:name w:val="xl91"/>
    <w:basedOn w:val="Normal"/>
    <w:rsid w:val="00B04AB6"/>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Times New Roman" w:hAnsi="Times New Roman"/>
      <w:sz w:val="18"/>
      <w:szCs w:val="18"/>
    </w:rPr>
  </w:style>
  <w:style w:type="paragraph" w:customStyle="1" w:styleId="xl92">
    <w:name w:val="xl92"/>
    <w:basedOn w:val="Normal"/>
    <w:rsid w:val="00B04AB6"/>
    <w:pPr>
      <w:spacing w:before="100" w:beforeAutospacing="1" w:after="100" w:afterAutospacing="1"/>
      <w:textAlignment w:val="top"/>
    </w:pPr>
    <w:rPr>
      <w:rFonts w:ascii="Times New Roman" w:hAnsi="Times New Roman"/>
      <w:sz w:val="18"/>
      <w:szCs w:val="18"/>
    </w:rPr>
  </w:style>
  <w:style w:type="paragraph" w:customStyle="1" w:styleId="xl93">
    <w:name w:val="xl93"/>
    <w:basedOn w:val="Normal"/>
    <w:rsid w:val="00B04AB6"/>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top"/>
    </w:pPr>
    <w:rPr>
      <w:rFonts w:ascii="Times New Roman" w:hAnsi="Times New Roman"/>
      <w:sz w:val="18"/>
      <w:szCs w:val="18"/>
    </w:rPr>
  </w:style>
  <w:style w:type="paragraph" w:customStyle="1" w:styleId="xl94">
    <w:name w:val="xl94"/>
    <w:basedOn w:val="Normal"/>
    <w:rsid w:val="00B04AB6"/>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top"/>
    </w:pPr>
    <w:rPr>
      <w:rFonts w:ascii="Times New Roman" w:hAnsi="Times New Roman"/>
      <w:sz w:val="18"/>
      <w:szCs w:val="18"/>
    </w:rPr>
  </w:style>
  <w:style w:type="paragraph" w:customStyle="1" w:styleId="xl95">
    <w:name w:val="xl95"/>
    <w:basedOn w:val="Normal"/>
    <w:rsid w:val="00B04AB6"/>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top"/>
    </w:pPr>
    <w:rPr>
      <w:rFonts w:ascii="Times New Roman" w:hAnsi="Times New Roman"/>
      <w:sz w:val="18"/>
      <w:szCs w:val="18"/>
    </w:rPr>
  </w:style>
  <w:style w:type="paragraph" w:customStyle="1" w:styleId="xl96">
    <w:name w:val="xl96"/>
    <w:basedOn w:val="Normal"/>
    <w:rsid w:val="00B04AB6"/>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top"/>
    </w:pPr>
    <w:rPr>
      <w:rFonts w:ascii="Times New Roman" w:hAnsi="Times New Roman"/>
      <w:i/>
      <w:iCs/>
      <w:sz w:val="18"/>
      <w:szCs w:val="18"/>
    </w:rPr>
  </w:style>
  <w:style w:type="paragraph" w:customStyle="1" w:styleId="xl97">
    <w:name w:val="xl97"/>
    <w:basedOn w:val="Normal"/>
    <w:rsid w:val="00B04AB6"/>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top"/>
    </w:pPr>
    <w:rPr>
      <w:rFonts w:ascii="Times New Roman" w:hAnsi="Times New Roman"/>
      <w:sz w:val="18"/>
      <w:szCs w:val="18"/>
    </w:rPr>
  </w:style>
  <w:style w:type="paragraph" w:customStyle="1" w:styleId="xl98">
    <w:name w:val="xl98"/>
    <w:basedOn w:val="Normal"/>
    <w:rsid w:val="00B04AB6"/>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top"/>
    </w:pPr>
    <w:rPr>
      <w:rFonts w:ascii="Times New Roman" w:hAnsi="Times New Roman"/>
      <w:sz w:val="18"/>
      <w:szCs w:val="18"/>
    </w:rPr>
  </w:style>
  <w:style w:type="paragraph" w:customStyle="1" w:styleId="xl99">
    <w:name w:val="xl99"/>
    <w:basedOn w:val="Normal"/>
    <w:rsid w:val="00B04AB6"/>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top"/>
    </w:pPr>
    <w:rPr>
      <w:rFonts w:ascii="Times New Roman" w:hAnsi="Times New Roman"/>
      <w:sz w:val="18"/>
      <w:szCs w:val="18"/>
    </w:rPr>
  </w:style>
  <w:style w:type="paragraph" w:customStyle="1" w:styleId="xl100">
    <w:name w:val="xl100"/>
    <w:basedOn w:val="Normal"/>
    <w:rsid w:val="00B04AB6"/>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top"/>
    </w:pPr>
    <w:rPr>
      <w:rFonts w:ascii="Times New Roman" w:hAnsi="Times New Roman"/>
      <w:sz w:val="18"/>
      <w:szCs w:val="18"/>
    </w:rPr>
  </w:style>
  <w:style w:type="paragraph" w:customStyle="1" w:styleId="xl101">
    <w:name w:val="xl101"/>
    <w:basedOn w:val="Normal"/>
    <w:rsid w:val="00B04AB6"/>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top"/>
    </w:pPr>
    <w:rPr>
      <w:rFonts w:ascii="Times New Roman" w:hAnsi="Times New Roman"/>
      <w:sz w:val="18"/>
      <w:szCs w:val="18"/>
    </w:rPr>
  </w:style>
  <w:style w:type="paragraph" w:customStyle="1" w:styleId="xl102">
    <w:name w:val="xl102"/>
    <w:basedOn w:val="Normal"/>
    <w:rsid w:val="00B04AB6"/>
    <w:pPr>
      <w:spacing w:before="100" w:beforeAutospacing="1" w:after="100" w:afterAutospacing="1"/>
      <w:textAlignment w:val="top"/>
    </w:pPr>
    <w:rPr>
      <w:rFonts w:ascii="Times New Roman" w:hAnsi="Times New Roman"/>
      <w:b/>
      <w:bCs/>
      <w:sz w:val="18"/>
      <w:szCs w:val="18"/>
    </w:rPr>
  </w:style>
  <w:style w:type="paragraph" w:customStyle="1" w:styleId="xl103">
    <w:name w:val="xl103"/>
    <w:basedOn w:val="Normal"/>
    <w:rsid w:val="00B04AB6"/>
    <w:pPr>
      <w:shd w:val="clear" w:color="000000" w:fill="D9D9D9"/>
      <w:spacing w:before="100" w:beforeAutospacing="1" w:after="100" w:afterAutospacing="1"/>
      <w:jc w:val="center"/>
      <w:textAlignment w:val="top"/>
    </w:pPr>
    <w:rPr>
      <w:rFonts w:ascii="Times New Roman" w:hAnsi="Times New Roman"/>
      <w:sz w:val="18"/>
      <w:szCs w:val="18"/>
    </w:rPr>
  </w:style>
  <w:style w:type="paragraph" w:customStyle="1" w:styleId="xl104">
    <w:name w:val="xl104"/>
    <w:basedOn w:val="Normal"/>
    <w:rsid w:val="00B04AB6"/>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top"/>
    </w:pPr>
    <w:rPr>
      <w:rFonts w:ascii="Times New Roman" w:hAnsi="Times New Roman"/>
      <w:sz w:val="18"/>
      <w:szCs w:val="18"/>
    </w:rPr>
  </w:style>
  <w:style w:type="paragraph" w:customStyle="1" w:styleId="xl105">
    <w:name w:val="xl105"/>
    <w:basedOn w:val="Normal"/>
    <w:rsid w:val="00B04AB6"/>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jc w:val="center"/>
      <w:textAlignment w:val="top"/>
    </w:pPr>
    <w:rPr>
      <w:rFonts w:ascii="Times New Roman" w:hAnsi="Times New Roman"/>
      <w:sz w:val="18"/>
      <w:szCs w:val="18"/>
    </w:rPr>
  </w:style>
  <w:style w:type="paragraph" w:customStyle="1" w:styleId="xl106">
    <w:name w:val="xl106"/>
    <w:basedOn w:val="Normal"/>
    <w:rsid w:val="00B04AB6"/>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top"/>
    </w:pPr>
    <w:rPr>
      <w:rFonts w:ascii="Times New Roman" w:hAnsi="Times New Roman"/>
      <w:sz w:val="18"/>
      <w:szCs w:val="18"/>
    </w:rPr>
  </w:style>
  <w:style w:type="paragraph" w:customStyle="1" w:styleId="xl107">
    <w:name w:val="xl107"/>
    <w:basedOn w:val="Normal"/>
    <w:rsid w:val="00B04AB6"/>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top"/>
    </w:pPr>
    <w:rPr>
      <w:rFonts w:ascii="Times New Roman" w:hAnsi="Times New Roman"/>
      <w:i/>
      <w:iCs/>
      <w:sz w:val="18"/>
      <w:szCs w:val="18"/>
    </w:rPr>
  </w:style>
  <w:style w:type="paragraph" w:customStyle="1" w:styleId="xl108">
    <w:name w:val="xl108"/>
    <w:basedOn w:val="Normal"/>
    <w:rsid w:val="00B04AB6"/>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top"/>
    </w:pPr>
    <w:rPr>
      <w:rFonts w:ascii="Times New Roman" w:hAnsi="Times New Roman"/>
      <w:sz w:val="18"/>
      <w:szCs w:val="18"/>
    </w:rPr>
  </w:style>
  <w:style w:type="paragraph" w:customStyle="1" w:styleId="xl109">
    <w:name w:val="xl109"/>
    <w:basedOn w:val="Normal"/>
    <w:rsid w:val="00B04AB6"/>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top"/>
    </w:pPr>
    <w:rPr>
      <w:rFonts w:ascii="Times New Roman" w:hAnsi="Times New Roman"/>
      <w:sz w:val="18"/>
      <w:szCs w:val="18"/>
    </w:rPr>
  </w:style>
  <w:style w:type="paragraph" w:customStyle="1" w:styleId="xl110">
    <w:name w:val="xl110"/>
    <w:basedOn w:val="Normal"/>
    <w:rsid w:val="00B04AB6"/>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top"/>
    </w:pPr>
    <w:rPr>
      <w:rFonts w:ascii="Times New Roman" w:hAnsi="Times New Roman"/>
      <w:sz w:val="18"/>
      <w:szCs w:val="18"/>
    </w:rPr>
  </w:style>
  <w:style w:type="paragraph" w:customStyle="1" w:styleId="xl111">
    <w:name w:val="xl111"/>
    <w:basedOn w:val="Normal"/>
    <w:rsid w:val="00B04AB6"/>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top"/>
    </w:pPr>
    <w:rPr>
      <w:rFonts w:ascii="Times New Roman" w:hAnsi="Times New Roman"/>
      <w:sz w:val="18"/>
      <w:szCs w:val="18"/>
    </w:rPr>
  </w:style>
  <w:style w:type="paragraph" w:customStyle="1" w:styleId="xl112">
    <w:name w:val="xl112"/>
    <w:basedOn w:val="Normal"/>
    <w:rsid w:val="00B04AB6"/>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textAlignment w:val="top"/>
    </w:pPr>
    <w:rPr>
      <w:rFonts w:ascii="Times New Roman" w:hAnsi="Times New Roman"/>
      <w:sz w:val="18"/>
      <w:szCs w:val="18"/>
    </w:rPr>
  </w:style>
  <w:style w:type="paragraph" w:customStyle="1" w:styleId="xl113">
    <w:name w:val="xl113"/>
    <w:basedOn w:val="Normal"/>
    <w:rsid w:val="00B04AB6"/>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jc w:val="center"/>
      <w:textAlignment w:val="top"/>
    </w:pPr>
    <w:rPr>
      <w:rFonts w:ascii="Times New Roman" w:hAnsi="Times New Roman"/>
      <w:sz w:val="18"/>
      <w:szCs w:val="18"/>
    </w:rPr>
  </w:style>
  <w:style w:type="paragraph" w:customStyle="1" w:styleId="xl114">
    <w:name w:val="xl114"/>
    <w:basedOn w:val="Normal"/>
    <w:rsid w:val="00B04AB6"/>
    <w:pPr>
      <w:shd w:val="clear" w:color="000000" w:fill="FFFFFF"/>
      <w:spacing w:before="100" w:beforeAutospacing="1" w:after="100" w:afterAutospacing="1"/>
      <w:textAlignment w:val="top"/>
    </w:pPr>
    <w:rPr>
      <w:rFonts w:ascii="Times New Roman" w:hAnsi="Times New Roman"/>
      <w:sz w:val="18"/>
      <w:szCs w:val="18"/>
    </w:rPr>
  </w:style>
  <w:style w:type="paragraph" w:customStyle="1" w:styleId="Tabletext">
    <w:name w:val="Table text"/>
    <w:basedOn w:val="Normal"/>
    <w:qFormat/>
    <w:rsid w:val="00B04AB6"/>
    <w:pPr>
      <w:spacing w:before="40" w:after="0" w:line="276" w:lineRule="auto"/>
    </w:pPr>
    <w:rPr>
      <w:rFonts w:ascii="Garamond" w:hAnsi="Garamond"/>
    </w:rPr>
  </w:style>
  <w:style w:type="paragraph" w:customStyle="1" w:styleId="Tableheader0">
    <w:name w:val="Table header"/>
    <w:basedOn w:val="Tabletext"/>
    <w:next w:val="Tabletext"/>
    <w:qFormat/>
    <w:rsid w:val="00B04AB6"/>
    <w:pPr>
      <w:spacing w:line="240" w:lineRule="auto"/>
    </w:pPr>
    <w:rPr>
      <w:b/>
      <w:bCs/>
    </w:rPr>
  </w:style>
  <w:style w:type="paragraph" w:customStyle="1" w:styleId="TableHeader1">
    <w:name w:val="TableHeader"/>
    <w:basedOn w:val="Caption"/>
    <w:link w:val="TableHeaderChar"/>
    <w:qFormat/>
    <w:rsid w:val="00B04AB6"/>
    <w:pPr>
      <w:keepNext/>
    </w:pPr>
    <w:rPr>
      <w:rFonts w:ascii="Century Gothic" w:hAnsi="Century Gothic"/>
      <w:szCs w:val="24"/>
    </w:rPr>
  </w:style>
  <w:style w:type="character" w:customStyle="1" w:styleId="TableHeaderChar">
    <w:name w:val="TableHeader Char"/>
    <w:basedOn w:val="DefaultParagraphFont"/>
    <w:link w:val="TableHeader1"/>
    <w:rsid w:val="00B04AB6"/>
    <w:rPr>
      <w:rFonts w:ascii="Century Gothic" w:hAnsi="Century Gothic"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95404">
      <w:bodyDiv w:val="1"/>
      <w:marLeft w:val="0"/>
      <w:marRight w:val="0"/>
      <w:marTop w:val="0"/>
      <w:marBottom w:val="0"/>
      <w:divBdr>
        <w:top w:val="none" w:sz="0" w:space="0" w:color="auto"/>
        <w:left w:val="none" w:sz="0" w:space="0" w:color="auto"/>
        <w:bottom w:val="none" w:sz="0" w:space="0" w:color="auto"/>
        <w:right w:val="none" w:sz="0" w:space="0" w:color="auto"/>
      </w:divBdr>
    </w:div>
    <w:div w:id="43795640">
      <w:bodyDiv w:val="1"/>
      <w:marLeft w:val="0"/>
      <w:marRight w:val="0"/>
      <w:marTop w:val="0"/>
      <w:marBottom w:val="0"/>
      <w:divBdr>
        <w:top w:val="none" w:sz="0" w:space="0" w:color="auto"/>
        <w:left w:val="none" w:sz="0" w:space="0" w:color="auto"/>
        <w:bottom w:val="none" w:sz="0" w:space="0" w:color="auto"/>
        <w:right w:val="none" w:sz="0" w:space="0" w:color="auto"/>
      </w:divBdr>
    </w:div>
    <w:div w:id="69080199">
      <w:bodyDiv w:val="1"/>
      <w:marLeft w:val="0"/>
      <w:marRight w:val="0"/>
      <w:marTop w:val="0"/>
      <w:marBottom w:val="0"/>
      <w:divBdr>
        <w:top w:val="none" w:sz="0" w:space="0" w:color="auto"/>
        <w:left w:val="none" w:sz="0" w:space="0" w:color="auto"/>
        <w:bottom w:val="none" w:sz="0" w:space="0" w:color="auto"/>
        <w:right w:val="none" w:sz="0" w:space="0" w:color="auto"/>
      </w:divBdr>
    </w:div>
    <w:div w:id="95833517">
      <w:bodyDiv w:val="1"/>
      <w:marLeft w:val="0"/>
      <w:marRight w:val="0"/>
      <w:marTop w:val="0"/>
      <w:marBottom w:val="0"/>
      <w:divBdr>
        <w:top w:val="none" w:sz="0" w:space="0" w:color="auto"/>
        <w:left w:val="none" w:sz="0" w:space="0" w:color="auto"/>
        <w:bottom w:val="none" w:sz="0" w:space="0" w:color="auto"/>
        <w:right w:val="none" w:sz="0" w:space="0" w:color="auto"/>
      </w:divBdr>
    </w:div>
    <w:div w:id="153381177">
      <w:bodyDiv w:val="1"/>
      <w:marLeft w:val="0"/>
      <w:marRight w:val="0"/>
      <w:marTop w:val="0"/>
      <w:marBottom w:val="0"/>
      <w:divBdr>
        <w:top w:val="none" w:sz="0" w:space="0" w:color="auto"/>
        <w:left w:val="none" w:sz="0" w:space="0" w:color="auto"/>
        <w:bottom w:val="none" w:sz="0" w:space="0" w:color="auto"/>
        <w:right w:val="none" w:sz="0" w:space="0" w:color="auto"/>
      </w:divBdr>
    </w:div>
    <w:div w:id="253822464">
      <w:bodyDiv w:val="1"/>
      <w:marLeft w:val="0"/>
      <w:marRight w:val="0"/>
      <w:marTop w:val="0"/>
      <w:marBottom w:val="0"/>
      <w:divBdr>
        <w:top w:val="none" w:sz="0" w:space="0" w:color="auto"/>
        <w:left w:val="none" w:sz="0" w:space="0" w:color="auto"/>
        <w:bottom w:val="none" w:sz="0" w:space="0" w:color="auto"/>
        <w:right w:val="none" w:sz="0" w:space="0" w:color="auto"/>
      </w:divBdr>
    </w:div>
    <w:div w:id="257715730">
      <w:bodyDiv w:val="1"/>
      <w:marLeft w:val="0"/>
      <w:marRight w:val="0"/>
      <w:marTop w:val="0"/>
      <w:marBottom w:val="0"/>
      <w:divBdr>
        <w:top w:val="none" w:sz="0" w:space="0" w:color="auto"/>
        <w:left w:val="none" w:sz="0" w:space="0" w:color="auto"/>
        <w:bottom w:val="none" w:sz="0" w:space="0" w:color="auto"/>
        <w:right w:val="none" w:sz="0" w:space="0" w:color="auto"/>
      </w:divBdr>
    </w:div>
    <w:div w:id="286863304">
      <w:bodyDiv w:val="1"/>
      <w:marLeft w:val="0"/>
      <w:marRight w:val="0"/>
      <w:marTop w:val="0"/>
      <w:marBottom w:val="0"/>
      <w:divBdr>
        <w:top w:val="none" w:sz="0" w:space="0" w:color="auto"/>
        <w:left w:val="none" w:sz="0" w:space="0" w:color="auto"/>
        <w:bottom w:val="none" w:sz="0" w:space="0" w:color="auto"/>
        <w:right w:val="none" w:sz="0" w:space="0" w:color="auto"/>
      </w:divBdr>
    </w:div>
    <w:div w:id="304042172">
      <w:bodyDiv w:val="1"/>
      <w:marLeft w:val="0"/>
      <w:marRight w:val="0"/>
      <w:marTop w:val="0"/>
      <w:marBottom w:val="0"/>
      <w:divBdr>
        <w:top w:val="none" w:sz="0" w:space="0" w:color="auto"/>
        <w:left w:val="none" w:sz="0" w:space="0" w:color="auto"/>
        <w:bottom w:val="none" w:sz="0" w:space="0" w:color="auto"/>
        <w:right w:val="none" w:sz="0" w:space="0" w:color="auto"/>
      </w:divBdr>
    </w:div>
    <w:div w:id="324549969">
      <w:bodyDiv w:val="1"/>
      <w:marLeft w:val="0"/>
      <w:marRight w:val="0"/>
      <w:marTop w:val="0"/>
      <w:marBottom w:val="0"/>
      <w:divBdr>
        <w:top w:val="none" w:sz="0" w:space="0" w:color="auto"/>
        <w:left w:val="none" w:sz="0" w:space="0" w:color="auto"/>
        <w:bottom w:val="none" w:sz="0" w:space="0" w:color="auto"/>
        <w:right w:val="none" w:sz="0" w:space="0" w:color="auto"/>
      </w:divBdr>
    </w:div>
    <w:div w:id="440730904">
      <w:bodyDiv w:val="1"/>
      <w:marLeft w:val="0"/>
      <w:marRight w:val="0"/>
      <w:marTop w:val="0"/>
      <w:marBottom w:val="0"/>
      <w:divBdr>
        <w:top w:val="none" w:sz="0" w:space="0" w:color="auto"/>
        <w:left w:val="none" w:sz="0" w:space="0" w:color="auto"/>
        <w:bottom w:val="none" w:sz="0" w:space="0" w:color="auto"/>
        <w:right w:val="none" w:sz="0" w:space="0" w:color="auto"/>
      </w:divBdr>
    </w:div>
    <w:div w:id="569773299">
      <w:bodyDiv w:val="1"/>
      <w:marLeft w:val="0"/>
      <w:marRight w:val="0"/>
      <w:marTop w:val="0"/>
      <w:marBottom w:val="0"/>
      <w:divBdr>
        <w:top w:val="none" w:sz="0" w:space="0" w:color="auto"/>
        <w:left w:val="none" w:sz="0" w:space="0" w:color="auto"/>
        <w:bottom w:val="none" w:sz="0" w:space="0" w:color="auto"/>
        <w:right w:val="none" w:sz="0" w:space="0" w:color="auto"/>
      </w:divBdr>
    </w:div>
    <w:div w:id="596059413">
      <w:bodyDiv w:val="1"/>
      <w:marLeft w:val="0"/>
      <w:marRight w:val="0"/>
      <w:marTop w:val="0"/>
      <w:marBottom w:val="0"/>
      <w:divBdr>
        <w:top w:val="none" w:sz="0" w:space="0" w:color="auto"/>
        <w:left w:val="none" w:sz="0" w:space="0" w:color="auto"/>
        <w:bottom w:val="none" w:sz="0" w:space="0" w:color="auto"/>
        <w:right w:val="none" w:sz="0" w:space="0" w:color="auto"/>
      </w:divBdr>
    </w:div>
    <w:div w:id="601691189">
      <w:bodyDiv w:val="1"/>
      <w:marLeft w:val="0"/>
      <w:marRight w:val="0"/>
      <w:marTop w:val="0"/>
      <w:marBottom w:val="0"/>
      <w:divBdr>
        <w:top w:val="none" w:sz="0" w:space="0" w:color="auto"/>
        <w:left w:val="none" w:sz="0" w:space="0" w:color="auto"/>
        <w:bottom w:val="none" w:sz="0" w:space="0" w:color="auto"/>
        <w:right w:val="none" w:sz="0" w:space="0" w:color="auto"/>
      </w:divBdr>
    </w:div>
    <w:div w:id="617416607">
      <w:bodyDiv w:val="1"/>
      <w:marLeft w:val="0"/>
      <w:marRight w:val="0"/>
      <w:marTop w:val="0"/>
      <w:marBottom w:val="0"/>
      <w:divBdr>
        <w:top w:val="none" w:sz="0" w:space="0" w:color="auto"/>
        <w:left w:val="none" w:sz="0" w:space="0" w:color="auto"/>
        <w:bottom w:val="none" w:sz="0" w:space="0" w:color="auto"/>
        <w:right w:val="none" w:sz="0" w:space="0" w:color="auto"/>
      </w:divBdr>
    </w:div>
    <w:div w:id="620915875">
      <w:bodyDiv w:val="1"/>
      <w:marLeft w:val="0"/>
      <w:marRight w:val="0"/>
      <w:marTop w:val="0"/>
      <w:marBottom w:val="0"/>
      <w:divBdr>
        <w:top w:val="none" w:sz="0" w:space="0" w:color="auto"/>
        <w:left w:val="none" w:sz="0" w:space="0" w:color="auto"/>
        <w:bottom w:val="none" w:sz="0" w:space="0" w:color="auto"/>
        <w:right w:val="none" w:sz="0" w:space="0" w:color="auto"/>
      </w:divBdr>
      <w:divsChild>
        <w:div w:id="2002662918">
          <w:marLeft w:val="0"/>
          <w:marRight w:val="0"/>
          <w:marTop w:val="0"/>
          <w:marBottom w:val="0"/>
          <w:divBdr>
            <w:top w:val="none" w:sz="0" w:space="0" w:color="auto"/>
            <w:left w:val="none" w:sz="0" w:space="0" w:color="auto"/>
            <w:bottom w:val="none" w:sz="0" w:space="0" w:color="auto"/>
            <w:right w:val="none" w:sz="0" w:space="0" w:color="auto"/>
          </w:divBdr>
        </w:div>
      </w:divsChild>
    </w:div>
    <w:div w:id="652494028">
      <w:bodyDiv w:val="1"/>
      <w:marLeft w:val="0"/>
      <w:marRight w:val="0"/>
      <w:marTop w:val="0"/>
      <w:marBottom w:val="0"/>
      <w:divBdr>
        <w:top w:val="none" w:sz="0" w:space="0" w:color="auto"/>
        <w:left w:val="none" w:sz="0" w:space="0" w:color="auto"/>
        <w:bottom w:val="none" w:sz="0" w:space="0" w:color="auto"/>
        <w:right w:val="none" w:sz="0" w:space="0" w:color="auto"/>
      </w:divBdr>
    </w:div>
    <w:div w:id="758596758">
      <w:bodyDiv w:val="1"/>
      <w:marLeft w:val="0"/>
      <w:marRight w:val="0"/>
      <w:marTop w:val="0"/>
      <w:marBottom w:val="0"/>
      <w:divBdr>
        <w:top w:val="none" w:sz="0" w:space="0" w:color="auto"/>
        <w:left w:val="none" w:sz="0" w:space="0" w:color="auto"/>
        <w:bottom w:val="none" w:sz="0" w:space="0" w:color="auto"/>
        <w:right w:val="none" w:sz="0" w:space="0" w:color="auto"/>
      </w:divBdr>
    </w:div>
    <w:div w:id="769201923">
      <w:bodyDiv w:val="1"/>
      <w:marLeft w:val="0"/>
      <w:marRight w:val="0"/>
      <w:marTop w:val="0"/>
      <w:marBottom w:val="0"/>
      <w:divBdr>
        <w:top w:val="none" w:sz="0" w:space="0" w:color="auto"/>
        <w:left w:val="none" w:sz="0" w:space="0" w:color="auto"/>
        <w:bottom w:val="none" w:sz="0" w:space="0" w:color="auto"/>
        <w:right w:val="none" w:sz="0" w:space="0" w:color="auto"/>
      </w:divBdr>
      <w:divsChild>
        <w:div w:id="122231317">
          <w:marLeft w:val="0"/>
          <w:marRight w:val="0"/>
          <w:marTop w:val="0"/>
          <w:marBottom w:val="0"/>
          <w:divBdr>
            <w:top w:val="none" w:sz="0" w:space="0" w:color="auto"/>
            <w:left w:val="none" w:sz="0" w:space="0" w:color="auto"/>
            <w:bottom w:val="none" w:sz="0" w:space="0" w:color="auto"/>
            <w:right w:val="none" w:sz="0" w:space="0" w:color="auto"/>
          </w:divBdr>
        </w:div>
      </w:divsChild>
    </w:div>
    <w:div w:id="795559609">
      <w:bodyDiv w:val="1"/>
      <w:marLeft w:val="0"/>
      <w:marRight w:val="0"/>
      <w:marTop w:val="0"/>
      <w:marBottom w:val="0"/>
      <w:divBdr>
        <w:top w:val="none" w:sz="0" w:space="0" w:color="auto"/>
        <w:left w:val="none" w:sz="0" w:space="0" w:color="auto"/>
        <w:bottom w:val="none" w:sz="0" w:space="0" w:color="auto"/>
        <w:right w:val="none" w:sz="0" w:space="0" w:color="auto"/>
      </w:divBdr>
    </w:div>
    <w:div w:id="796948843">
      <w:bodyDiv w:val="1"/>
      <w:marLeft w:val="0"/>
      <w:marRight w:val="0"/>
      <w:marTop w:val="0"/>
      <w:marBottom w:val="0"/>
      <w:divBdr>
        <w:top w:val="none" w:sz="0" w:space="0" w:color="auto"/>
        <w:left w:val="none" w:sz="0" w:space="0" w:color="auto"/>
        <w:bottom w:val="none" w:sz="0" w:space="0" w:color="auto"/>
        <w:right w:val="none" w:sz="0" w:space="0" w:color="auto"/>
      </w:divBdr>
    </w:div>
    <w:div w:id="806892806">
      <w:bodyDiv w:val="1"/>
      <w:marLeft w:val="0"/>
      <w:marRight w:val="0"/>
      <w:marTop w:val="0"/>
      <w:marBottom w:val="0"/>
      <w:divBdr>
        <w:top w:val="none" w:sz="0" w:space="0" w:color="auto"/>
        <w:left w:val="none" w:sz="0" w:space="0" w:color="auto"/>
        <w:bottom w:val="none" w:sz="0" w:space="0" w:color="auto"/>
        <w:right w:val="none" w:sz="0" w:space="0" w:color="auto"/>
      </w:divBdr>
    </w:div>
    <w:div w:id="828327726">
      <w:bodyDiv w:val="1"/>
      <w:marLeft w:val="0"/>
      <w:marRight w:val="0"/>
      <w:marTop w:val="0"/>
      <w:marBottom w:val="0"/>
      <w:divBdr>
        <w:top w:val="none" w:sz="0" w:space="0" w:color="auto"/>
        <w:left w:val="none" w:sz="0" w:space="0" w:color="auto"/>
        <w:bottom w:val="none" w:sz="0" w:space="0" w:color="auto"/>
        <w:right w:val="none" w:sz="0" w:space="0" w:color="auto"/>
      </w:divBdr>
    </w:div>
    <w:div w:id="858811830">
      <w:bodyDiv w:val="1"/>
      <w:marLeft w:val="0"/>
      <w:marRight w:val="0"/>
      <w:marTop w:val="0"/>
      <w:marBottom w:val="0"/>
      <w:divBdr>
        <w:top w:val="none" w:sz="0" w:space="0" w:color="auto"/>
        <w:left w:val="none" w:sz="0" w:space="0" w:color="auto"/>
        <w:bottom w:val="none" w:sz="0" w:space="0" w:color="auto"/>
        <w:right w:val="none" w:sz="0" w:space="0" w:color="auto"/>
      </w:divBdr>
    </w:div>
    <w:div w:id="982269163">
      <w:bodyDiv w:val="1"/>
      <w:marLeft w:val="0"/>
      <w:marRight w:val="0"/>
      <w:marTop w:val="0"/>
      <w:marBottom w:val="0"/>
      <w:divBdr>
        <w:top w:val="none" w:sz="0" w:space="0" w:color="auto"/>
        <w:left w:val="none" w:sz="0" w:space="0" w:color="auto"/>
        <w:bottom w:val="none" w:sz="0" w:space="0" w:color="auto"/>
        <w:right w:val="none" w:sz="0" w:space="0" w:color="auto"/>
      </w:divBdr>
    </w:div>
    <w:div w:id="994991349">
      <w:bodyDiv w:val="1"/>
      <w:marLeft w:val="0"/>
      <w:marRight w:val="0"/>
      <w:marTop w:val="0"/>
      <w:marBottom w:val="0"/>
      <w:divBdr>
        <w:top w:val="none" w:sz="0" w:space="0" w:color="auto"/>
        <w:left w:val="none" w:sz="0" w:space="0" w:color="auto"/>
        <w:bottom w:val="none" w:sz="0" w:space="0" w:color="auto"/>
        <w:right w:val="none" w:sz="0" w:space="0" w:color="auto"/>
      </w:divBdr>
    </w:div>
    <w:div w:id="1003775821">
      <w:bodyDiv w:val="1"/>
      <w:marLeft w:val="0"/>
      <w:marRight w:val="0"/>
      <w:marTop w:val="0"/>
      <w:marBottom w:val="0"/>
      <w:divBdr>
        <w:top w:val="none" w:sz="0" w:space="0" w:color="auto"/>
        <w:left w:val="none" w:sz="0" w:space="0" w:color="auto"/>
        <w:bottom w:val="none" w:sz="0" w:space="0" w:color="auto"/>
        <w:right w:val="none" w:sz="0" w:space="0" w:color="auto"/>
      </w:divBdr>
    </w:div>
    <w:div w:id="1010985160">
      <w:bodyDiv w:val="1"/>
      <w:marLeft w:val="0"/>
      <w:marRight w:val="0"/>
      <w:marTop w:val="0"/>
      <w:marBottom w:val="0"/>
      <w:divBdr>
        <w:top w:val="none" w:sz="0" w:space="0" w:color="auto"/>
        <w:left w:val="none" w:sz="0" w:space="0" w:color="auto"/>
        <w:bottom w:val="none" w:sz="0" w:space="0" w:color="auto"/>
        <w:right w:val="none" w:sz="0" w:space="0" w:color="auto"/>
      </w:divBdr>
    </w:div>
    <w:div w:id="1086684885">
      <w:bodyDiv w:val="1"/>
      <w:marLeft w:val="0"/>
      <w:marRight w:val="0"/>
      <w:marTop w:val="0"/>
      <w:marBottom w:val="0"/>
      <w:divBdr>
        <w:top w:val="none" w:sz="0" w:space="0" w:color="auto"/>
        <w:left w:val="none" w:sz="0" w:space="0" w:color="auto"/>
        <w:bottom w:val="none" w:sz="0" w:space="0" w:color="auto"/>
        <w:right w:val="none" w:sz="0" w:space="0" w:color="auto"/>
      </w:divBdr>
    </w:div>
    <w:div w:id="1194687114">
      <w:bodyDiv w:val="1"/>
      <w:marLeft w:val="0"/>
      <w:marRight w:val="0"/>
      <w:marTop w:val="0"/>
      <w:marBottom w:val="0"/>
      <w:divBdr>
        <w:top w:val="none" w:sz="0" w:space="0" w:color="auto"/>
        <w:left w:val="none" w:sz="0" w:space="0" w:color="auto"/>
        <w:bottom w:val="none" w:sz="0" w:space="0" w:color="auto"/>
        <w:right w:val="none" w:sz="0" w:space="0" w:color="auto"/>
      </w:divBdr>
    </w:div>
    <w:div w:id="1198274750">
      <w:bodyDiv w:val="1"/>
      <w:marLeft w:val="0"/>
      <w:marRight w:val="0"/>
      <w:marTop w:val="0"/>
      <w:marBottom w:val="0"/>
      <w:divBdr>
        <w:top w:val="none" w:sz="0" w:space="0" w:color="auto"/>
        <w:left w:val="none" w:sz="0" w:space="0" w:color="auto"/>
        <w:bottom w:val="none" w:sz="0" w:space="0" w:color="auto"/>
        <w:right w:val="none" w:sz="0" w:space="0" w:color="auto"/>
      </w:divBdr>
    </w:div>
    <w:div w:id="1212695085">
      <w:bodyDiv w:val="1"/>
      <w:marLeft w:val="0"/>
      <w:marRight w:val="0"/>
      <w:marTop w:val="0"/>
      <w:marBottom w:val="0"/>
      <w:divBdr>
        <w:top w:val="none" w:sz="0" w:space="0" w:color="auto"/>
        <w:left w:val="none" w:sz="0" w:space="0" w:color="auto"/>
        <w:bottom w:val="none" w:sz="0" w:space="0" w:color="auto"/>
        <w:right w:val="none" w:sz="0" w:space="0" w:color="auto"/>
      </w:divBdr>
    </w:div>
    <w:div w:id="1296444338">
      <w:marLeft w:val="0"/>
      <w:marRight w:val="0"/>
      <w:marTop w:val="0"/>
      <w:marBottom w:val="0"/>
      <w:divBdr>
        <w:top w:val="none" w:sz="0" w:space="0" w:color="auto"/>
        <w:left w:val="none" w:sz="0" w:space="0" w:color="auto"/>
        <w:bottom w:val="none" w:sz="0" w:space="0" w:color="auto"/>
        <w:right w:val="none" w:sz="0" w:space="0" w:color="auto"/>
      </w:divBdr>
    </w:div>
    <w:div w:id="1296444339">
      <w:marLeft w:val="0"/>
      <w:marRight w:val="0"/>
      <w:marTop w:val="0"/>
      <w:marBottom w:val="0"/>
      <w:divBdr>
        <w:top w:val="none" w:sz="0" w:space="0" w:color="auto"/>
        <w:left w:val="none" w:sz="0" w:space="0" w:color="auto"/>
        <w:bottom w:val="none" w:sz="0" w:space="0" w:color="auto"/>
        <w:right w:val="none" w:sz="0" w:space="0" w:color="auto"/>
      </w:divBdr>
    </w:div>
    <w:div w:id="1296444340">
      <w:marLeft w:val="0"/>
      <w:marRight w:val="0"/>
      <w:marTop w:val="0"/>
      <w:marBottom w:val="0"/>
      <w:divBdr>
        <w:top w:val="none" w:sz="0" w:space="0" w:color="auto"/>
        <w:left w:val="none" w:sz="0" w:space="0" w:color="auto"/>
        <w:bottom w:val="none" w:sz="0" w:space="0" w:color="auto"/>
        <w:right w:val="none" w:sz="0" w:space="0" w:color="auto"/>
      </w:divBdr>
    </w:div>
    <w:div w:id="1296444341">
      <w:marLeft w:val="0"/>
      <w:marRight w:val="0"/>
      <w:marTop w:val="0"/>
      <w:marBottom w:val="0"/>
      <w:divBdr>
        <w:top w:val="none" w:sz="0" w:space="0" w:color="auto"/>
        <w:left w:val="none" w:sz="0" w:space="0" w:color="auto"/>
        <w:bottom w:val="none" w:sz="0" w:space="0" w:color="auto"/>
        <w:right w:val="none" w:sz="0" w:space="0" w:color="auto"/>
      </w:divBdr>
    </w:div>
    <w:div w:id="1296444342">
      <w:marLeft w:val="0"/>
      <w:marRight w:val="0"/>
      <w:marTop w:val="0"/>
      <w:marBottom w:val="0"/>
      <w:divBdr>
        <w:top w:val="none" w:sz="0" w:space="0" w:color="auto"/>
        <w:left w:val="none" w:sz="0" w:space="0" w:color="auto"/>
        <w:bottom w:val="none" w:sz="0" w:space="0" w:color="auto"/>
        <w:right w:val="none" w:sz="0" w:space="0" w:color="auto"/>
      </w:divBdr>
    </w:div>
    <w:div w:id="1296444343">
      <w:marLeft w:val="0"/>
      <w:marRight w:val="0"/>
      <w:marTop w:val="0"/>
      <w:marBottom w:val="0"/>
      <w:divBdr>
        <w:top w:val="none" w:sz="0" w:space="0" w:color="auto"/>
        <w:left w:val="none" w:sz="0" w:space="0" w:color="auto"/>
        <w:bottom w:val="none" w:sz="0" w:space="0" w:color="auto"/>
        <w:right w:val="none" w:sz="0" w:space="0" w:color="auto"/>
      </w:divBdr>
    </w:div>
    <w:div w:id="1296444344">
      <w:marLeft w:val="0"/>
      <w:marRight w:val="0"/>
      <w:marTop w:val="0"/>
      <w:marBottom w:val="0"/>
      <w:divBdr>
        <w:top w:val="none" w:sz="0" w:space="0" w:color="auto"/>
        <w:left w:val="none" w:sz="0" w:space="0" w:color="auto"/>
        <w:bottom w:val="none" w:sz="0" w:space="0" w:color="auto"/>
        <w:right w:val="none" w:sz="0" w:space="0" w:color="auto"/>
      </w:divBdr>
    </w:div>
    <w:div w:id="1296444345">
      <w:marLeft w:val="0"/>
      <w:marRight w:val="0"/>
      <w:marTop w:val="0"/>
      <w:marBottom w:val="0"/>
      <w:divBdr>
        <w:top w:val="none" w:sz="0" w:space="0" w:color="auto"/>
        <w:left w:val="none" w:sz="0" w:space="0" w:color="auto"/>
        <w:bottom w:val="none" w:sz="0" w:space="0" w:color="auto"/>
        <w:right w:val="none" w:sz="0" w:space="0" w:color="auto"/>
      </w:divBdr>
    </w:div>
    <w:div w:id="1296444346">
      <w:marLeft w:val="0"/>
      <w:marRight w:val="0"/>
      <w:marTop w:val="0"/>
      <w:marBottom w:val="0"/>
      <w:divBdr>
        <w:top w:val="none" w:sz="0" w:space="0" w:color="auto"/>
        <w:left w:val="none" w:sz="0" w:space="0" w:color="auto"/>
        <w:bottom w:val="none" w:sz="0" w:space="0" w:color="auto"/>
        <w:right w:val="none" w:sz="0" w:space="0" w:color="auto"/>
      </w:divBdr>
    </w:div>
    <w:div w:id="1296444347">
      <w:marLeft w:val="0"/>
      <w:marRight w:val="0"/>
      <w:marTop w:val="0"/>
      <w:marBottom w:val="0"/>
      <w:divBdr>
        <w:top w:val="none" w:sz="0" w:space="0" w:color="auto"/>
        <w:left w:val="none" w:sz="0" w:space="0" w:color="auto"/>
        <w:bottom w:val="none" w:sz="0" w:space="0" w:color="auto"/>
        <w:right w:val="none" w:sz="0" w:space="0" w:color="auto"/>
      </w:divBdr>
    </w:div>
    <w:div w:id="1296444348">
      <w:marLeft w:val="0"/>
      <w:marRight w:val="0"/>
      <w:marTop w:val="0"/>
      <w:marBottom w:val="0"/>
      <w:divBdr>
        <w:top w:val="none" w:sz="0" w:space="0" w:color="auto"/>
        <w:left w:val="none" w:sz="0" w:space="0" w:color="auto"/>
        <w:bottom w:val="none" w:sz="0" w:space="0" w:color="auto"/>
        <w:right w:val="none" w:sz="0" w:space="0" w:color="auto"/>
      </w:divBdr>
    </w:div>
    <w:div w:id="1296444349">
      <w:marLeft w:val="0"/>
      <w:marRight w:val="0"/>
      <w:marTop w:val="0"/>
      <w:marBottom w:val="0"/>
      <w:divBdr>
        <w:top w:val="none" w:sz="0" w:space="0" w:color="auto"/>
        <w:left w:val="none" w:sz="0" w:space="0" w:color="auto"/>
        <w:bottom w:val="none" w:sz="0" w:space="0" w:color="auto"/>
        <w:right w:val="none" w:sz="0" w:space="0" w:color="auto"/>
      </w:divBdr>
    </w:div>
    <w:div w:id="1296444350">
      <w:marLeft w:val="0"/>
      <w:marRight w:val="0"/>
      <w:marTop w:val="0"/>
      <w:marBottom w:val="0"/>
      <w:divBdr>
        <w:top w:val="none" w:sz="0" w:space="0" w:color="auto"/>
        <w:left w:val="none" w:sz="0" w:space="0" w:color="auto"/>
        <w:bottom w:val="none" w:sz="0" w:space="0" w:color="auto"/>
        <w:right w:val="none" w:sz="0" w:space="0" w:color="auto"/>
      </w:divBdr>
    </w:div>
    <w:div w:id="1296444351">
      <w:marLeft w:val="0"/>
      <w:marRight w:val="0"/>
      <w:marTop w:val="0"/>
      <w:marBottom w:val="0"/>
      <w:divBdr>
        <w:top w:val="none" w:sz="0" w:space="0" w:color="auto"/>
        <w:left w:val="none" w:sz="0" w:space="0" w:color="auto"/>
        <w:bottom w:val="none" w:sz="0" w:space="0" w:color="auto"/>
        <w:right w:val="none" w:sz="0" w:space="0" w:color="auto"/>
      </w:divBdr>
    </w:div>
    <w:div w:id="1296444352">
      <w:marLeft w:val="0"/>
      <w:marRight w:val="0"/>
      <w:marTop w:val="0"/>
      <w:marBottom w:val="0"/>
      <w:divBdr>
        <w:top w:val="none" w:sz="0" w:space="0" w:color="auto"/>
        <w:left w:val="none" w:sz="0" w:space="0" w:color="auto"/>
        <w:bottom w:val="none" w:sz="0" w:space="0" w:color="auto"/>
        <w:right w:val="none" w:sz="0" w:space="0" w:color="auto"/>
      </w:divBdr>
    </w:div>
    <w:div w:id="1296444353">
      <w:marLeft w:val="0"/>
      <w:marRight w:val="0"/>
      <w:marTop w:val="0"/>
      <w:marBottom w:val="0"/>
      <w:divBdr>
        <w:top w:val="none" w:sz="0" w:space="0" w:color="auto"/>
        <w:left w:val="none" w:sz="0" w:space="0" w:color="auto"/>
        <w:bottom w:val="none" w:sz="0" w:space="0" w:color="auto"/>
        <w:right w:val="none" w:sz="0" w:space="0" w:color="auto"/>
      </w:divBdr>
    </w:div>
    <w:div w:id="1296444354">
      <w:marLeft w:val="0"/>
      <w:marRight w:val="0"/>
      <w:marTop w:val="0"/>
      <w:marBottom w:val="0"/>
      <w:divBdr>
        <w:top w:val="none" w:sz="0" w:space="0" w:color="auto"/>
        <w:left w:val="none" w:sz="0" w:space="0" w:color="auto"/>
        <w:bottom w:val="none" w:sz="0" w:space="0" w:color="auto"/>
        <w:right w:val="none" w:sz="0" w:space="0" w:color="auto"/>
      </w:divBdr>
    </w:div>
    <w:div w:id="1296444355">
      <w:marLeft w:val="0"/>
      <w:marRight w:val="0"/>
      <w:marTop w:val="0"/>
      <w:marBottom w:val="0"/>
      <w:divBdr>
        <w:top w:val="none" w:sz="0" w:space="0" w:color="auto"/>
        <w:left w:val="none" w:sz="0" w:space="0" w:color="auto"/>
        <w:bottom w:val="none" w:sz="0" w:space="0" w:color="auto"/>
        <w:right w:val="none" w:sz="0" w:space="0" w:color="auto"/>
      </w:divBdr>
    </w:div>
    <w:div w:id="1296444356">
      <w:marLeft w:val="0"/>
      <w:marRight w:val="0"/>
      <w:marTop w:val="0"/>
      <w:marBottom w:val="0"/>
      <w:divBdr>
        <w:top w:val="none" w:sz="0" w:space="0" w:color="auto"/>
        <w:left w:val="none" w:sz="0" w:space="0" w:color="auto"/>
        <w:bottom w:val="none" w:sz="0" w:space="0" w:color="auto"/>
        <w:right w:val="none" w:sz="0" w:space="0" w:color="auto"/>
      </w:divBdr>
    </w:div>
    <w:div w:id="1296444357">
      <w:marLeft w:val="0"/>
      <w:marRight w:val="0"/>
      <w:marTop w:val="0"/>
      <w:marBottom w:val="0"/>
      <w:divBdr>
        <w:top w:val="none" w:sz="0" w:space="0" w:color="auto"/>
        <w:left w:val="none" w:sz="0" w:space="0" w:color="auto"/>
        <w:bottom w:val="none" w:sz="0" w:space="0" w:color="auto"/>
        <w:right w:val="none" w:sz="0" w:space="0" w:color="auto"/>
      </w:divBdr>
    </w:div>
    <w:div w:id="1296444358">
      <w:marLeft w:val="0"/>
      <w:marRight w:val="0"/>
      <w:marTop w:val="0"/>
      <w:marBottom w:val="0"/>
      <w:divBdr>
        <w:top w:val="none" w:sz="0" w:space="0" w:color="auto"/>
        <w:left w:val="none" w:sz="0" w:space="0" w:color="auto"/>
        <w:bottom w:val="none" w:sz="0" w:space="0" w:color="auto"/>
        <w:right w:val="none" w:sz="0" w:space="0" w:color="auto"/>
      </w:divBdr>
    </w:div>
    <w:div w:id="1296444359">
      <w:marLeft w:val="0"/>
      <w:marRight w:val="0"/>
      <w:marTop w:val="0"/>
      <w:marBottom w:val="0"/>
      <w:divBdr>
        <w:top w:val="none" w:sz="0" w:space="0" w:color="auto"/>
        <w:left w:val="none" w:sz="0" w:space="0" w:color="auto"/>
        <w:bottom w:val="none" w:sz="0" w:space="0" w:color="auto"/>
        <w:right w:val="none" w:sz="0" w:space="0" w:color="auto"/>
      </w:divBdr>
    </w:div>
    <w:div w:id="1296444360">
      <w:marLeft w:val="0"/>
      <w:marRight w:val="0"/>
      <w:marTop w:val="0"/>
      <w:marBottom w:val="0"/>
      <w:divBdr>
        <w:top w:val="none" w:sz="0" w:space="0" w:color="auto"/>
        <w:left w:val="none" w:sz="0" w:space="0" w:color="auto"/>
        <w:bottom w:val="none" w:sz="0" w:space="0" w:color="auto"/>
        <w:right w:val="none" w:sz="0" w:space="0" w:color="auto"/>
      </w:divBdr>
    </w:div>
    <w:div w:id="1296444361">
      <w:marLeft w:val="0"/>
      <w:marRight w:val="0"/>
      <w:marTop w:val="0"/>
      <w:marBottom w:val="0"/>
      <w:divBdr>
        <w:top w:val="none" w:sz="0" w:space="0" w:color="auto"/>
        <w:left w:val="none" w:sz="0" w:space="0" w:color="auto"/>
        <w:bottom w:val="none" w:sz="0" w:space="0" w:color="auto"/>
        <w:right w:val="none" w:sz="0" w:space="0" w:color="auto"/>
      </w:divBdr>
    </w:div>
    <w:div w:id="1296444362">
      <w:marLeft w:val="0"/>
      <w:marRight w:val="0"/>
      <w:marTop w:val="0"/>
      <w:marBottom w:val="0"/>
      <w:divBdr>
        <w:top w:val="none" w:sz="0" w:space="0" w:color="auto"/>
        <w:left w:val="none" w:sz="0" w:space="0" w:color="auto"/>
        <w:bottom w:val="none" w:sz="0" w:space="0" w:color="auto"/>
        <w:right w:val="none" w:sz="0" w:space="0" w:color="auto"/>
      </w:divBdr>
    </w:div>
    <w:div w:id="1296444363">
      <w:marLeft w:val="0"/>
      <w:marRight w:val="0"/>
      <w:marTop w:val="0"/>
      <w:marBottom w:val="0"/>
      <w:divBdr>
        <w:top w:val="none" w:sz="0" w:space="0" w:color="auto"/>
        <w:left w:val="none" w:sz="0" w:space="0" w:color="auto"/>
        <w:bottom w:val="none" w:sz="0" w:space="0" w:color="auto"/>
        <w:right w:val="none" w:sz="0" w:space="0" w:color="auto"/>
      </w:divBdr>
    </w:div>
    <w:div w:id="1296444364">
      <w:marLeft w:val="0"/>
      <w:marRight w:val="0"/>
      <w:marTop w:val="0"/>
      <w:marBottom w:val="0"/>
      <w:divBdr>
        <w:top w:val="none" w:sz="0" w:space="0" w:color="auto"/>
        <w:left w:val="none" w:sz="0" w:space="0" w:color="auto"/>
        <w:bottom w:val="none" w:sz="0" w:space="0" w:color="auto"/>
        <w:right w:val="none" w:sz="0" w:space="0" w:color="auto"/>
      </w:divBdr>
    </w:div>
    <w:div w:id="1296444365">
      <w:marLeft w:val="0"/>
      <w:marRight w:val="0"/>
      <w:marTop w:val="0"/>
      <w:marBottom w:val="0"/>
      <w:divBdr>
        <w:top w:val="none" w:sz="0" w:space="0" w:color="auto"/>
        <w:left w:val="none" w:sz="0" w:space="0" w:color="auto"/>
        <w:bottom w:val="none" w:sz="0" w:space="0" w:color="auto"/>
        <w:right w:val="none" w:sz="0" w:space="0" w:color="auto"/>
      </w:divBdr>
    </w:div>
    <w:div w:id="1296444366">
      <w:marLeft w:val="0"/>
      <w:marRight w:val="0"/>
      <w:marTop w:val="0"/>
      <w:marBottom w:val="0"/>
      <w:divBdr>
        <w:top w:val="none" w:sz="0" w:space="0" w:color="auto"/>
        <w:left w:val="none" w:sz="0" w:space="0" w:color="auto"/>
        <w:bottom w:val="none" w:sz="0" w:space="0" w:color="auto"/>
        <w:right w:val="none" w:sz="0" w:space="0" w:color="auto"/>
      </w:divBdr>
    </w:div>
    <w:div w:id="1296444367">
      <w:marLeft w:val="0"/>
      <w:marRight w:val="0"/>
      <w:marTop w:val="0"/>
      <w:marBottom w:val="0"/>
      <w:divBdr>
        <w:top w:val="none" w:sz="0" w:space="0" w:color="auto"/>
        <w:left w:val="none" w:sz="0" w:space="0" w:color="auto"/>
        <w:bottom w:val="none" w:sz="0" w:space="0" w:color="auto"/>
        <w:right w:val="none" w:sz="0" w:space="0" w:color="auto"/>
      </w:divBdr>
    </w:div>
    <w:div w:id="1296444368">
      <w:marLeft w:val="0"/>
      <w:marRight w:val="0"/>
      <w:marTop w:val="0"/>
      <w:marBottom w:val="0"/>
      <w:divBdr>
        <w:top w:val="none" w:sz="0" w:space="0" w:color="auto"/>
        <w:left w:val="none" w:sz="0" w:space="0" w:color="auto"/>
        <w:bottom w:val="none" w:sz="0" w:space="0" w:color="auto"/>
        <w:right w:val="none" w:sz="0" w:space="0" w:color="auto"/>
      </w:divBdr>
    </w:div>
    <w:div w:id="1296444369">
      <w:marLeft w:val="0"/>
      <w:marRight w:val="0"/>
      <w:marTop w:val="0"/>
      <w:marBottom w:val="0"/>
      <w:divBdr>
        <w:top w:val="none" w:sz="0" w:space="0" w:color="auto"/>
        <w:left w:val="none" w:sz="0" w:space="0" w:color="auto"/>
        <w:bottom w:val="none" w:sz="0" w:space="0" w:color="auto"/>
        <w:right w:val="none" w:sz="0" w:space="0" w:color="auto"/>
      </w:divBdr>
    </w:div>
    <w:div w:id="1296444370">
      <w:marLeft w:val="0"/>
      <w:marRight w:val="0"/>
      <w:marTop w:val="0"/>
      <w:marBottom w:val="0"/>
      <w:divBdr>
        <w:top w:val="none" w:sz="0" w:space="0" w:color="auto"/>
        <w:left w:val="none" w:sz="0" w:space="0" w:color="auto"/>
        <w:bottom w:val="none" w:sz="0" w:space="0" w:color="auto"/>
        <w:right w:val="none" w:sz="0" w:space="0" w:color="auto"/>
      </w:divBdr>
    </w:div>
    <w:div w:id="1296444371">
      <w:marLeft w:val="0"/>
      <w:marRight w:val="0"/>
      <w:marTop w:val="0"/>
      <w:marBottom w:val="0"/>
      <w:divBdr>
        <w:top w:val="none" w:sz="0" w:space="0" w:color="auto"/>
        <w:left w:val="none" w:sz="0" w:space="0" w:color="auto"/>
        <w:bottom w:val="none" w:sz="0" w:space="0" w:color="auto"/>
        <w:right w:val="none" w:sz="0" w:space="0" w:color="auto"/>
      </w:divBdr>
    </w:div>
    <w:div w:id="1296444372">
      <w:marLeft w:val="0"/>
      <w:marRight w:val="0"/>
      <w:marTop w:val="0"/>
      <w:marBottom w:val="0"/>
      <w:divBdr>
        <w:top w:val="none" w:sz="0" w:space="0" w:color="auto"/>
        <w:left w:val="none" w:sz="0" w:space="0" w:color="auto"/>
        <w:bottom w:val="none" w:sz="0" w:space="0" w:color="auto"/>
        <w:right w:val="none" w:sz="0" w:space="0" w:color="auto"/>
      </w:divBdr>
    </w:div>
    <w:div w:id="1296444373">
      <w:marLeft w:val="0"/>
      <w:marRight w:val="0"/>
      <w:marTop w:val="0"/>
      <w:marBottom w:val="0"/>
      <w:divBdr>
        <w:top w:val="none" w:sz="0" w:space="0" w:color="auto"/>
        <w:left w:val="none" w:sz="0" w:space="0" w:color="auto"/>
        <w:bottom w:val="none" w:sz="0" w:space="0" w:color="auto"/>
        <w:right w:val="none" w:sz="0" w:space="0" w:color="auto"/>
      </w:divBdr>
    </w:div>
    <w:div w:id="1296444374">
      <w:marLeft w:val="0"/>
      <w:marRight w:val="0"/>
      <w:marTop w:val="0"/>
      <w:marBottom w:val="0"/>
      <w:divBdr>
        <w:top w:val="none" w:sz="0" w:space="0" w:color="auto"/>
        <w:left w:val="none" w:sz="0" w:space="0" w:color="auto"/>
        <w:bottom w:val="none" w:sz="0" w:space="0" w:color="auto"/>
        <w:right w:val="none" w:sz="0" w:space="0" w:color="auto"/>
      </w:divBdr>
    </w:div>
    <w:div w:id="1296444375">
      <w:marLeft w:val="0"/>
      <w:marRight w:val="0"/>
      <w:marTop w:val="0"/>
      <w:marBottom w:val="0"/>
      <w:divBdr>
        <w:top w:val="none" w:sz="0" w:space="0" w:color="auto"/>
        <w:left w:val="none" w:sz="0" w:space="0" w:color="auto"/>
        <w:bottom w:val="none" w:sz="0" w:space="0" w:color="auto"/>
        <w:right w:val="none" w:sz="0" w:space="0" w:color="auto"/>
      </w:divBdr>
    </w:div>
    <w:div w:id="1296444376">
      <w:marLeft w:val="0"/>
      <w:marRight w:val="0"/>
      <w:marTop w:val="0"/>
      <w:marBottom w:val="0"/>
      <w:divBdr>
        <w:top w:val="none" w:sz="0" w:space="0" w:color="auto"/>
        <w:left w:val="none" w:sz="0" w:space="0" w:color="auto"/>
        <w:bottom w:val="none" w:sz="0" w:space="0" w:color="auto"/>
        <w:right w:val="none" w:sz="0" w:space="0" w:color="auto"/>
      </w:divBdr>
    </w:div>
    <w:div w:id="1296444377">
      <w:marLeft w:val="0"/>
      <w:marRight w:val="0"/>
      <w:marTop w:val="0"/>
      <w:marBottom w:val="0"/>
      <w:divBdr>
        <w:top w:val="none" w:sz="0" w:space="0" w:color="auto"/>
        <w:left w:val="none" w:sz="0" w:space="0" w:color="auto"/>
        <w:bottom w:val="none" w:sz="0" w:space="0" w:color="auto"/>
        <w:right w:val="none" w:sz="0" w:space="0" w:color="auto"/>
      </w:divBdr>
    </w:div>
    <w:div w:id="1296444378">
      <w:marLeft w:val="0"/>
      <w:marRight w:val="0"/>
      <w:marTop w:val="0"/>
      <w:marBottom w:val="0"/>
      <w:divBdr>
        <w:top w:val="none" w:sz="0" w:space="0" w:color="auto"/>
        <w:left w:val="none" w:sz="0" w:space="0" w:color="auto"/>
        <w:bottom w:val="none" w:sz="0" w:space="0" w:color="auto"/>
        <w:right w:val="none" w:sz="0" w:space="0" w:color="auto"/>
      </w:divBdr>
    </w:div>
    <w:div w:id="1296444379">
      <w:marLeft w:val="0"/>
      <w:marRight w:val="0"/>
      <w:marTop w:val="0"/>
      <w:marBottom w:val="0"/>
      <w:divBdr>
        <w:top w:val="none" w:sz="0" w:space="0" w:color="auto"/>
        <w:left w:val="none" w:sz="0" w:space="0" w:color="auto"/>
        <w:bottom w:val="none" w:sz="0" w:space="0" w:color="auto"/>
        <w:right w:val="none" w:sz="0" w:space="0" w:color="auto"/>
      </w:divBdr>
    </w:div>
    <w:div w:id="1296444380">
      <w:marLeft w:val="0"/>
      <w:marRight w:val="0"/>
      <w:marTop w:val="0"/>
      <w:marBottom w:val="0"/>
      <w:divBdr>
        <w:top w:val="none" w:sz="0" w:space="0" w:color="auto"/>
        <w:left w:val="none" w:sz="0" w:space="0" w:color="auto"/>
        <w:bottom w:val="none" w:sz="0" w:space="0" w:color="auto"/>
        <w:right w:val="none" w:sz="0" w:space="0" w:color="auto"/>
      </w:divBdr>
    </w:div>
    <w:div w:id="1296444381">
      <w:marLeft w:val="0"/>
      <w:marRight w:val="0"/>
      <w:marTop w:val="0"/>
      <w:marBottom w:val="0"/>
      <w:divBdr>
        <w:top w:val="none" w:sz="0" w:space="0" w:color="auto"/>
        <w:left w:val="none" w:sz="0" w:space="0" w:color="auto"/>
        <w:bottom w:val="none" w:sz="0" w:space="0" w:color="auto"/>
        <w:right w:val="none" w:sz="0" w:space="0" w:color="auto"/>
      </w:divBdr>
    </w:div>
    <w:div w:id="1296444382">
      <w:marLeft w:val="0"/>
      <w:marRight w:val="0"/>
      <w:marTop w:val="0"/>
      <w:marBottom w:val="0"/>
      <w:divBdr>
        <w:top w:val="none" w:sz="0" w:space="0" w:color="auto"/>
        <w:left w:val="none" w:sz="0" w:space="0" w:color="auto"/>
        <w:bottom w:val="none" w:sz="0" w:space="0" w:color="auto"/>
        <w:right w:val="none" w:sz="0" w:space="0" w:color="auto"/>
      </w:divBdr>
    </w:div>
    <w:div w:id="1296444383">
      <w:marLeft w:val="0"/>
      <w:marRight w:val="0"/>
      <w:marTop w:val="0"/>
      <w:marBottom w:val="0"/>
      <w:divBdr>
        <w:top w:val="none" w:sz="0" w:space="0" w:color="auto"/>
        <w:left w:val="none" w:sz="0" w:space="0" w:color="auto"/>
        <w:bottom w:val="none" w:sz="0" w:space="0" w:color="auto"/>
        <w:right w:val="none" w:sz="0" w:space="0" w:color="auto"/>
      </w:divBdr>
    </w:div>
    <w:div w:id="1296444384">
      <w:marLeft w:val="0"/>
      <w:marRight w:val="0"/>
      <w:marTop w:val="0"/>
      <w:marBottom w:val="0"/>
      <w:divBdr>
        <w:top w:val="none" w:sz="0" w:space="0" w:color="auto"/>
        <w:left w:val="none" w:sz="0" w:space="0" w:color="auto"/>
        <w:bottom w:val="none" w:sz="0" w:space="0" w:color="auto"/>
        <w:right w:val="none" w:sz="0" w:space="0" w:color="auto"/>
      </w:divBdr>
    </w:div>
    <w:div w:id="1296444385">
      <w:marLeft w:val="0"/>
      <w:marRight w:val="0"/>
      <w:marTop w:val="0"/>
      <w:marBottom w:val="0"/>
      <w:divBdr>
        <w:top w:val="none" w:sz="0" w:space="0" w:color="auto"/>
        <w:left w:val="none" w:sz="0" w:space="0" w:color="auto"/>
        <w:bottom w:val="none" w:sz="0" w:space="0" w:color="auto"/>
        <w:right w:val="none" w:sz="0" w:space="0" w:color="auto"/>
      </w:divBdr>
    </w:div>
    <w:div w:id="1296444386">
      <w:marLeft w:val="0"/>
      <w:marRight w:val="0"/>
      <w:marTop w:val="0"/>
      <w:marBottom w:val="0"/>
      <w:divBdr>
        <w:top w:val="none" w:sz="0" w:space="0" w:color="auto"/>
        <w:left w:val="none" w:sz="0" w:space="0" w:color="auto"/>
        <w:bottom w:val="none" w:sz="0" w:space="0" w:color="auto"/>
        <w:right w:val="none" w:sz="0" w:space="0" w:color="auto"/>
      </w:divBdr>
    </w:div>
    <w:div w:id="1296444387">
      <w:marLeft w:val="0"/>
      <w:marRight w:val="0"/>
      <w:marTop w:val="0"/>
      <w:marBottom w:val="0"/>
      <w:divBdr>
        <w:top w:val="none" w:sz="0" w:space="0" w:color="auto"/>
        <w:left w:val="none" w:sz="0" w:space="0" w:color="auto"/>
        <w:bottom w:val="none" w:sz="0" w:space="0" w:color="auto"/>
        <w:right w:val="none" w:sz="0" w:space="0" w:color="auto"/>
      </w:divBdr>
    </w:div>
    <w:div w:id="1296444388">
      <w:marLeft w:val="0"/>
      <w:marRight w:val="0"/>
      <w:marTop w:val="0"/>
      <w:marBottom w:val="0"/>
      <w:divBdr>
        <w:top w:val="none" w:sz="0" w:space="0" w:color="auto"/>
        <w:left w:val="none" w:sz="0" w:space="0" w:color="auto"/>
        <w:bottom w:val="none" w:sz="0" w:space="0" w:color="auto"/>
        <w:right w:val="none" w:sz="0" w:space="0" w:color="auto"/>
      </w:divBdr>
    </w:div>
    <w:div w:id="1296444389">
      <w:marLeft w:val="0"/>
      <w:marRight w:val="0"/>
      <w:marTop w:val="0"/>
      <w:marBottom w:val="0"/>
      <w:divBdr>
        <w:top w:val="none" w:sz="0" w:space="0" w:color="auto"/>
        <w:left w:val="none" w:sz="0" w:space="0" w:color="auto"/>
        <w:bottom w:val="none" w:sz="0" w:space="0" w:color="auto"/>
        <w:right w:val="none" w:sz="0" w:space="0" w:color="auto"/>
      </w:divBdr>
    </w:div>
    <w:div w:id="1296444390">
      <w:marLeft w:val="0"/>
      <w:marRight w:val="0"/>
      <w:marTop w:val="0"/>
      <w:marBottom w:val="0"/>
      <w:divBdr>
        <w:top w:val="none" w:sz="0" w:space="0" w:color="auto"/>
        <w:left w:val="none" w:sz="0" w:space="0" w:color="auto"/>
        <w:bottom w:val="none" w:sz="0" w:space="0" w:color="auto"/>
        <w:right w:val="none" w:sz="0" w:space="0" w:color="auto"/>
      </w:divBdr>
    </w:div>
    <w:div w:id="1296444391">
      <w:marLeft w:val="0"/>
      <w:marRight w:val="0"/>
      <w:marTop w:val="0"/>
      <w:marBottom w:val="0"/>
      <w:divBdr>
        <w:top w:val="none" w:sz="0" w:space="0" w:color="auto"/>
        <w:left w:val="none" w:sz="0" w:space="0" w:color="auto"/>
        <w:bottom w:val="none" w:sz="0" w:space="0" w:color="auto"/>
        <w:right w:val="none" w:sz="0" w:space="0" w:color="auto"/>
      </w:divBdr>
    </w:div>
    <w:div w:id="1296444392">
      <w:marLeft w:val="0"/>
      <w:marRight w:val="0"/>
      <w:marTop w:val="0"/>
      <w:marBottom w:val="0"/>
      <w:divBdr>
        <w:top w:val="none" w:sz="0" w:space="0" w:color="auto"/>
        <w:left w:val="none" w:sz="0" w:space="0" w:color="auto"/>
        <w:bottom w:val="none" w:sz="0" w:space="0" w:color="auto"/>
        <w:right w:val="none" w:sz="0" w:space="0" w:color="auto"/>
      </w:divBdr>
    </w:div>
    <w:div w:id="1296444393">
      <w:marLeft w:val="0"/>
      <w:marRight w:val="0"/>
      <w:marTop w:val="0"/>
      <w:marBottom w:val="0"/>
      <w:divBdr>
        <w:top w:val="none" w:sz="0" w:space="0" w:color="auto"/>
        <w:left w:val="none" w:sz="0" w:space="0" w:color="auto"/>
        <w:bottom w:val="none" w:sz="0" w:space="0" w:color="auto"/>
        <w:right w:val="none" w:sz="0" w:space="0" w:color="auto"/>
      </w:divBdr>
    </w:div>
    <w:div w:id="1296444394">
      <w:marLeft w:val="0"/>
      <w:marRight w:val="0"/>
      <w:marTop w:val="0"/>
      <w:marBottom w:val="0"/>
      <w:divBdr>
        <w:top w:val="none" w:sz="0" w:space="0" w:color="auto"/>
        <w:left w:val="none" w:sz="0" w:space="0" w:color="auto"/>
        <w:bottom w:val="none" w:sz="0" w:space="0" w:color="auto"/>
        <w:right w:val="none" w:sz="0" w:space="0" w:color="auto"/>
      </w:divBdr>
    </w:div>
    <w:div w:id="1296444395">
      <w:marLeft w:val="0"/>
      <w:marRight w:val="0"/>
      <w:marTop w:val="0"/>
      <w:marBottom w:val="0"/>
      <w:divBdr>
        <w:top w:val="none" w:sz="0" w:space="0" w:color="auto"/>
        <w:left w:val="none" w:sz="0" w:space="0" w:color="auto"/>
        <w:bottom w:val="none" w:sz="0" w:space="0" w:color="auto"/>
        <w:right w:val="none" w:sz="0" w:space="0" w:color="auto"/>
      </w:divBdr>
    </w:div>
    <w:div w:id="1296444396">
      <w:marLeft w:val="0"/>
      <w:marRight w:val="0"/>
      <w:marTop w:val="0"/>
      <w:marBottom w:val="0"/>
      <w:divBdr>
        <w:top w:val="none" w:sz="0" w:space="0" w:color="auto"/>
        <w:left w:val="none" w:sz="0" w:space="0" w:color="auto"/>
        <w:bottom w:val="none" w:sz="0" w:space="0" w:color="auto"/>
        <w:right w:val="none" w:sz="0" w:space="0" w:color="auto"/>
      </w:divBdr>
    </w:div>
    <w:div w:id="1296444397">
      <w:marLeft w:val="0"/>
      <w:marRight w:val="0"/>
      <w:marTop w:val="0"/>
      <w:marBottom w:val="0"/>
      <w:divBdr>
        <w:top w:val="none" w:sz="0" w:space="0" w:color="auto"/>
        <w:left w:val="none" w:sz="0" w:space="0" w:color="auto"/>
        <w:bottom w:val="none" w:sz="0" w:space="0" w:color="auto"/>
        <w:right w:val="none" w:sz="0" w:space="0" w:color="auto"/>
      </w:divBdr>
    </w:div>
    <w:div w:id="1296444398">
      <w:marLeft w:val="0"/>
      <w:marRight w:val="0"/>
      <w:marTop w:val="0"/>
      <w:marBottom w:val="0"/>
      <w:divBdr>
        <w:top w:val="none" w:sz="0" w:space="0" w:color="auto"/>
        <w:left w:val="none" w:sz="0" w:space="0" w:color="auto"/>
        <w:bottom w:val="none" w:sz="0" w:space="0" w:color="auto"/>
        <w:right w:val="none" w:sz="0" w:space="0" w:color="auto"/>
      </w:divBdr>
    </w:div>
    <w:div w:id="1296444399">
      <w:marLeft w:val="0"/>
      <w:marRight w:val="0"/>
      <w:marTop w:val="0"/>
      <w:marBottom w:val="0"/>
      <w:divBdr>
        <w:top w:val="none" w:sz="0" w:space="0" w:color="auto"/>
        <w:left w:val="none" w:sz="0" w:space="0" w:color="auto"/>
        <w:bottom w:val="none" w:sz="0" w:space="0" w:color="auto"/>
        <w:right w:val="none" w:sz="0" w:space="0" w:color="auto"/>
      </w:divBdr>
    </w:div>
    <w:div w:id="1296444400">
      <w:marLeft w:val="0"/>
      <w:marRight w:val="0"/>
      <w:marTop w:val="0"/>
      <w:marBottom w:val="0"/>
      <w:divBdr>
        <w:top w:val="none" w:sz="0" w:space="0" w:color="auto"/>
        <w:left w:val="none" w:sz="0" w:space="0" w:color="auto"/>
        <w:bottom w:val="none" w:sz="0" w:space="0" w:color="auto"/>
        <w:right w:val="none" w:sz="0" w:space="0" w:color="auto"/>
      </w:divBdr>
    </w:div>
    <w:div w:id="1296444401">
      <w:marLeft w:val="0"/>
      <w:marRight w:val="0"/>
      <w:marTop w:val="0"/>
      <w:marBottom w:val="0"/>
      <w:divBdr>
        <w:top w:val="none" w:sz="0" w:space="0" w:color="auto"/>
        <w:left w:val="none" w:sz="0" w:space="0" w:color="auto"/>
        <w:bottom w:val="none" w:sz="0" w:space="0" w:color="auto"/>
        <w:right w:val="none" w:sz="0" w:space="0" w:color="auto"/>
      </w:divBdr>
    </w:div>
    <w:div w:id="1296444402">
      <w:marLeft w:val="0"/>
      <w:marRight w:val="0"/>
      <w:marTop w:val="0"/>
      <w:marBottom w:val="0"/>
      <w:divBdr>
        <w:top w:val="none" w:sz="0" w:space="0" w:color="auto"/>
        <w:left w:val="none" w:sz="0" w:space="0" w:color="auto"/>
        <w:bottom w:val="none" w:sz="0" w:space="0" w:color="auto"/>
        <w:right w:val="none" w:sz="0" w:space="0" w:color="auto"/>
      </w:divBdr>
    </w:div>
    <w:div w:id="1296444403">
      <w:marLeft w:val="0"/>
      <w:marRight w:val="0"/>
      <w:marTop w:val="0"/>
      <w:marBottom w:val="0"/>
      <w:divBdr>
        <w:top w:val="none" w:sz="0" w:space="0" w:color="auto"/>
        <w:left w:val="none" w:sz="0" w:space="0" w:color="auto"/>
        <w:bottom w:val="none" w:sz="0" w:space="0" w:color="auto"/>
        <w:right w:val="none" w:sz="0" w:space="0" w:color="auto"/>
      </w:divBdr>
    </w:div>
    <w:div w:id="1296444404">
      <w:marLeft w:val="0"/>
      <w:marRight w:val="0"/>
      <w:marTop w:val="0"/>
      <w:marBottom w:val="0"/>
      <w:divBdr>
        <w:top w:val="none" w:sz="0" w:space="0" w:color="auto"/>
        <w:left w:val="none" w:sz="0" w:space="0" w:color="auto"/>
        <w:bottom w:val="none" w:sz="0" w:space="0" w:color="auto"/>
        <w:right w:val="none" w:sz="0" w:space="0" w:color="auto"/>
      </w:divBdr>
    </w:div>
    <w:div w:id="1296444405">
      <w:marLeft w:val="0"/>
      <w:marRight w:val="0"/>
      <w:marTop w:val="0"/>
      <w:marBottom w:val="0"/>
      <w:divBdr>
        <w:top w:val="none" w:sz="0" w:space="0" w:color="auto"/>
        <w:left w:val="none" w:sz="0" w:space="0" w:color="auto"/>
        <w:bottom w:val="none" w:sz="0" w:space="0" w:color="auto"/>
        <w:right w:val="none" w:sz="0" w:space="0" w:color="auto"/>
      </w:divBdr>
    </w:div>
    <w:div w:id="1296444406">
      <w:marLeft w:val="0"/>
      <w:marRight w:val="0"/>
      <w:marTop w:val="0"/>
      <w:marBottom w:val="0"/>
      <w:divBdr>
        <w:top w:val="none" w:sz="0" w:space="0" w:color="auto"/>
        <w:left w:val="none" w:sz="0" w:space="0" w:color="auto"/>
        <w:bottom w:val="none" w:sz="0" w:space="0" w:color="auto"/>
        <w:right w:val="none" w:sz="0" w:space="0" w:color="auto"/>
      </w:divBdr>
    </w:div>
    <w:div w:id="1296444407">
      <w:marLeft w:val="0"/>
      <w:marRight w:val="0"/>
      <w:marTop w:val="0"/>
      <w:marBottom w:val="0"/>
      <w:divBdr>
        <w:top w:val="none" w:sz="0" w:space="0" w:color="auto"/>
        <w:left w:val="none" w:sz="0" w:space="0" w:color="auto"/>
        <w:bottom w:val="none" w:sz="0" w:space="0" w:color="auto"/>
        <w:right w:val="none" w:sz="0" w:space="0" w:color="auto"/>
      </w:divBdr>
    </w:div>
    <w:div w:id="1296444408">
      <w:marLeft w:val="0"/>
      <w:marRight w:val="0"/>
      <w:marTop w:val="0"/>
      <w:marBottom w:val="0"/>
      <w:divBdr>
        <w:top w:val="none" w:sz="0" w:space="0" w:color="auto"/>
        <w:left w:val="none" w:sz="0" w:space="0" w:color="auto"/>
        <w:bottom w:val="none" w:sz="0" w:space="0" w:color="auto"/>
        <w:right w:val="none" w:sz="0" w:space="0" w:color="auto"/>
      </w:divBdr>
    </w:div>
    <w:div w:id="1296444409">
      <w:marLeft w:val="0"/>
      <w:marRight w:val="0"/>
      <w:marTop w:val="0"/>
      <w:marBottom w:val="0"/>
      <w:divBdr>
        <w:top w:val="none" w:sz="0" w:space="0" w:color="auto"/>
        <w:left w:val="none" w:sz="0" w:space="0" w:color="auto"/>
        <w:bottom w:val="none" w:sz="0" w:space="0" w:color="auto"/>
        <w:right w:val="none" w:sz="0" w:space="0" w:color="auto"/>
      </w:divBdr>
    </w:div>
    <w:div w:id="1296444410">
      <w:marLeft w:val="0"/>
      <w:marRight w:val="0"/>
      <w:marTop w:val="0"/>
      <w:marBottom w:val="0"/>
      <w:divBdr>
        <w:top w:val="none" w:sz="0" w:space="0" w:color="auto"/>
        <w:left w:val="none" w:sz="0" w:space="0" w:color="auto"/>
        <w:bottom w:val="none" w:sz="0" w:space="0" w:color="auto"/>
        <w:right w:val="none" w:sz="0" w:space="0" w:color="auto"/>
      </w:divBdr>
    </w:div>
    <w:div w:id="1296444411">
      <w:marLeft w:val="0"/>
      <w:marRight w:val="0"/>
      <w:marTop w:val="0"/>
      <w:marBottom w:val="0"/>
      <w:divBdr>
        <w:top w:val="none" w:sz="0" w:space="0" w:color="auto"/>
        <w:left w:val="none" w:sz="0" w:space="0" w:color="auto"/>
        <w:bottom w:val="none" w:sz="0" w:space="0" w:color="auto"/>
        <w:right w:val="none" w:sz="0" w:space="0" w:color="auto"/>
      </w:divBdr>
    </w:div>
    <w:div w:id="1296444412">
      <w:marLeft w:val="0"/>
      <w:marRight w:val="0"/>
      <w:marTop w:val="0"/>
      <w:marBottom w:val="0"/>
      <w:divBdr>
        <w:top w:val="none" w:sz="0" w:space="0" w:color="auto"/>
        <w:left w:val="none" w:sz="0" w:space="0" w:color="auto"/>
        <w:bottom w:val="none" w:sz="0" w:space="0" w:color="auto"/>
        <w:right w:val="none" w:sz="0" w:space="0" w:color="auto"/>
      </w:divBdr>
    </w:div>
    <w:div w:id="1296444413">
      <w:marLeft w:val="0"/>
      <w:marRight w:val="0"/>
      <w:marTop w:val="0"/>
      <w:marBottom w:val="0"/>
      <w:divBdr>
        <w:top w:val="none" w:sz="0" w:space="0" w:color="auto"/>
        <w:left w:val="none" w:sz="0" w:space="0" w:color="auto"/>
        <w:bottom w:val="none" w:sz="0" w:space="0" w:color="auto"/>
        <w:right w:val="none" w:sz="0" w:space="0" w:color="auto"/>
      </w:divBdr>
    </w:div>
    <w:div w:id="1296444414">
      <w:marLeft w:val="0"/>
      <w:marRight w:val="0"/>
      <w:marTop w:val="0"/>
      <w:marBottom w:val="0"/>
      <w:divBdr>
        <w:top w:val="none" w:sz="0" w:space="0" w:color="auto"/>
        <w:left w:val="none" w:sz="0" w:space="0" w:color="auto"/>
        <w:bottom w:val="none" w:sz="0" w:space="0" w:color="auto"/>
        <w:right w:val="none" w:sz="0" w:space="0" w:color="auto"/>
      </w:divBdr>
    </w:div>
    <w:div w:id="1296444415">
      <w:marLeft w:val="0"/>
      <w:marRight w:val="0"/>
      <w:marTop w:val="0"/>
      <w:marBottom w:val="0"/>
      <w:divBdr>
        <w:top w:val="none" w:sz="0" w:space="0" w:color="auto"/>
        <w:left w:val="none" w:sz="0" w:space="0" w:color="auto"/>
        <w:bottom w:val="none" w:sz="0" w:space="0" w:color="auto"/>
        <w:right w:val="none" w:sz="0" w:space="0" w:color="auto"/>
      </w:divBdr>
    </w:div>
    <w:div w:id="1296444416">
      <w:marLeft w:val="0"/>
      <w:marRight w:val="0"/>
      <w:marTop w:val="0"/>
      <w:marBottom w:val="0"/>
      <w:divBdr>
        <w:top w:val="none" w:sz="0" w:space="0" w:color="auto"/>
        <w:left w:val="none" w:sz="0" w:space="0" w:color="auto"/>
        <w:bottom w:val="none" w:sz="0" w:space="0" w:color="auto"/>
        <w:right w:val="none" w:sz="0" w:space="0" w:color="auto"/>
      </w:divBdr>
    </w:div>
    <w:div w:id="1296444417">
      <w:marLeft w:val="0"/>
      <w:marRight w:val="0"/>
      <w:marTop w:val="0"/>
      <w:marBottom w:val="0"/>
      <w:divBdr>
        <w:top w:val="none" w:sz="0" w:space="0" w:color="auto"/>
        <w:left w:val="none" w:sz="0" w:space="0" w:color="auto"/>
        <w:bottom w:val="none" w:sz="0" w:space="0" w:color="auto"/>
        <w:right w:val="none" w:sz="0" w:space="0" w:color="auto"/>
      </w:divBdr>
    </w:div>
    <w:div w:id="1296444418">
      <w:marLeft w:val="0"/>
      <w:marRight w:val="0"/>
      <w:marTop w:val="0"/>
      <w:marBottom w:val="0"/>
      <w:divBdr>
        <w:top w:val="none" w:sz="0" w:space="0" w:color="auto"/>
        <w:left w:val="none" w:sz="0" w:space="0" w:color="auto"/>
        <w:bottom w:val="none" w:sz="0" w:space="0" w:color="auto"/>
        <w:right w:val="none" w:sz="0" w:space="0" w:color="auto"/>
      </w:divBdr>
    </w:div>
    <w:div w:id="1296444419">
      <w:marLeft w:val="0"/>
      <w:marRight w:val="0"/>
      <w:marTop w:val="0"/>
      <w:marBottom w:val="0"/>
      <w:divBdr>
        <w:top w:val="none" w:sz="0" w:space="0" w:color="auto"/>
        <w:left w:val="none" w:sz="0" w:space="0" w:color="auto"/>
        <w:bottom w:val="none" w:sz="0" w:space="0" w:color="auto"/>
        <w:right w:val="none" w:sz="0" w:space="0" w:color="auto"/>
      </w:divBdr>
    </w:div>
    <w:div w:id="1296444420">
      <w:marLeft w:val="0"/>
      <w:marRight w:val="0"/>
      <w:marTop w:val="0"/>
      <w:marBottom w:val="0"/>
      <w:divBdr>
        <w:top w:val="none" w:sz="0" w:space="0" w:color="auto"/>
        <w:left w:val="none" w:sz="0" w:space="0" w:color="auto"/>
        <w:bottom w:val="none" w:sz="0" w:space="0" w:color="auto"/>
        <w:right w:val="none" w:sz="0" w:space="0" w:color="auto"/>
      </w:divBdr>
    </w:div>
    <w:div w:id="1296444421">
      <w:marLeft w:val="0"/>
      <w:marRight w:val="0"/>
      <w:marTop w:val="0"/>
      <w:marBottom w:val="0"/>
      <w:divBdr>
        <w:top w:val="none" w:sz="0" w:space="0" w:color="auto"/>
        <w:left w:val="none" w:sz="0" w:space="0" w:color="auto"/>
        <w:bottom w:val="none" w:sz="0" w:space="0" w:color="auto"/>
        <w:right w:val="none" w:sz="0" w:space="0" w:color="auto"/>
      </w:divBdr>
    </w:div>
    <w:div w:id="1296444422">
      <w:marLeft w:val="0"/>
      <w:marRight w:val="0"/>
      <w:marTop w:val="0"/>
      <w:marBottom w:val="0"/>
      <w:divBdr>
        <w:top w:val="none" w:sz="0" w:space="0" w:color="auto"/>
        <w:left w:val="none" w:sz="0" w:space="0" w:color="auto"/>
        <w:bottom w:val="none" w:sz="0" w:space="0" w:color="auto"/>
        <w:right w:val="none" w:sz="0" w:space="0" w:color="auto"/>
      </w:divBdr>
    </w:div>
    <w:div w:id="1296444423">
      <w:marLeft w:val="0"/>
      <w:marRight w:val="0"/>
      <w:marTop w:val="0"/>
      <w:marBottom w:val="0"/>
      <w:divBdr>
        <w:top w:val="none" w:sz="0" w:space="0" w:color="auto"/>
        <w:left w:val="none" w:sz="0" w:space="0" w:color="auto"/>
        <w:bottom w:val="none" w:sz="0" w:space="0" w:color="auto"/>
        <w:right w:val="none" w:sz="0" w:space="0" w:color="auto"/>
      </w:divBdr>
    </w:div>
    <w:div w:id="1296444424">
      <w:marLeft w:val="0"/>
      <w:marRight w:val="0"/>
      <w:marTop w:val="0"/>
      <w:marBottom w:val="0"/>
      <w:divBdr>
        <w:top w:val="none" w:sz="0" w:space="0" w:color="auto"/>
        <w:left w:val="none" w:sz="0" w:space="0" w:color="auto"/>
        <w:bottom w:val="none" w:sz="0" w:space="0" w:color="auto"/>
        <w:right w:val="none" w:sz="0" w:space="0" w:color="auto"/>
      </w:divBdr>
    </w:div>
    <w:div w:id="1296444425">
      <w:marLeft w:val="0"/>
      <w:marRight w:val="0"/>
      <w:marTop w:val="0"/>
      <w:marBottom w:val="0"/>
      <w:divBdr>
        <w:top w:val="none" w:sz="0" w:space="0" w:color="auto"/>
        <w:left w:val="none" w:sz="0" w:space="0" w:color="auto"/>
        <w:bottom w:val="none" w:sz="0" w:space="0" w:color="auto"/>
        <w:right w:val="none" w:sz="0" w:space="0" w:color="auto"/>
      </w:divBdr>
    </w:div>
    <w:div w:id="1296444426">
      <w:marLeft w:val="0"/>
      <w:marRight w:val="0"/>
      <w:marTop w:val="0"/>
      <w:marBottom w:val="0"/>
      <w:divBdr>
        <w:top w:val="none" w:sz="0" w:space="0" w:color="auto"/>
        <w:left w:val="none" w:sz="0" w:space="0" w:color="auto"/>
        <w:bottom w:val="none" w:sz="0" w:space="0" w:color="auto"/>
        <w:right w:val="none" w:sz="0" w:space="0" w:color="auto"/>
      </w:divBdr>
    </w:div>
    <w:div w:id="1296444427">
      <w:marLeft w:val="0"/>
      <w:marRight w:val="0"/>
      <w:marTop w:val="0"/>
      <w:marBottom w:val="0"/>
      <w:divBdr>
        <w:top w:val="none" w:sz="0" w:space="0" w:color="auto"/>
        <w:left w:val="none" w:sz="0" w:space="0" w:color="auto"/>
        <w:bottom w:val="none" w:sz="0" w:space="0" w:color="auto"/>
        <w:right w:val="none" w:sz="0" w:space="0" w:color="auto"/>
      </w:divBdr>
    </w:div>
    <w:div w:id="1296444428">
      <w:marLeft w:val="0"/>
      <w:marRight w:val="0"/>
      <w:marTop w:val="0"/>
      <w:marBottom w:val="0"/>
      <w:divBdr>
        <w:top w:val="none" w:sz="0" w:space="0" w:color="auto"/>
        <w:left w:val="none" w:sz="0" w:space="0" w:color="auto"/>
        <w:bottom w:val="none" w:sz="0" w:space="0" w:color="auto"/>
        <w:right w:val="none" w:sz="0" w:space="0" w:color="auto"/>
      </w:divBdr>
    </w:div>
    <w:div w:id="1296444429">
      <w:marLeft w:val="0"/>
      <w:marRight w:val="0"/>
      <w:marTop w:val="0"/>
      <w:marBottom w:val="0"/>
      <w:divBdr>
        <w:top w:val="none" w:sz="0" w:space="0" w:color="auto"/>
        <w:left w:val="none" w:sz="0" w:space="0" w:color="auto"/>
        <w:bottom w:val="none" w:sz="0" w:space="0" w:color="auto"/>
        <w:right w:val="none" w:sz="0" w:space="0" w:color="auto"/>
      </w:divBdr>
    </w:div>
    <w:div w:id="1296444430">
      <w:marLeft w:val="0"/>
      <w:marRight w:val="0"/>
      <w:marTop w:val="0"/>
      <w:marBottom w:val="0"/>
      <w:divBdr>
        <w:top w:val="none" w:sz="0" w:space="0" w:color="auto"/>
        <w:left w:val="none" w:sz="0" w:space="0" w:color="auto"/>
        <w:bottom w:val="none" w:sz="0" w:space="0" w:color="auto"/>
        <w:right w:val="none" w:sz="0" w:space="0" w:color="auto"/>
      </w:divBdr>
    </w:div>
    <w:div w:id="1296444431">
      <w:marLeft w:val="0"/>
      <w:marRight w:val="0"/>
      <w:marTop w:val="0"/>
      <w:marBottom w:val="0"/>
      <w:divBdr>
        <w:top w:val="none" w:sz="0" w:space="0" w:color="auto"/>
        <w:left w:val="none" w:sz="0" w:space="0" w:color="auto"/>
        <w:bottom w:val="none" w:sz="0" w:space="0" w:color="auto"/>
        <w:right w:val="none" w:sz="0" w:space="0" w:color="auto"/>
      </w:divBdr>
    </w:div>
    <w:div w:id="1296444432">
      <w:marLeft w:val="0"/>
      <w:marRight w:val="0"/>
      <w:marTop w:val="0"/>
      <w:marBottom w:val="0"/>
      <w:divBdr>
        <w:top w:val="none" w:sz="0" w:space="0" w:color="auto"/>
        <w:left w:val="none" w:sz="0" w:space="0" w:color="auto"/>
        <w:bottom w:val="none" w:sz="0" w:space="0" w:color="auto"/>
        <w:right w:val="none" w:sz="0" w:space="0" w:color="auto"/>
      </w:divBdr>
    </w:div>
    <w:div w:id="1296444433">
      <w:marLeft w:val="0"/>
      <w:marRight w:val="0"/>
      <w:marTop w:val="0"/>
      <w:marBottom w:val="0"/>
      <w:divBdr>
        <w:top w:val="none" w:sz="0" w:space="0" w:color="auto"/>
        <w:left w:val="none" w:sz="0" w:space="0" w:color="auto"/>
        <w:bottom w:val="none" w:sz="0" w:space="0" w:color="auto"/>
        <w:right w:val="none" w:sz="0" w:space="0" w:color="auto"/>
      </w:divBdr>
    </w:div>
    <w:div w:id="1296444434">
      <w:marLeft w:val="0"/>
      <w:marRight w:val="0"/>
      <w:marTop w:val="0"/>
      <w:marBottom w:val="0"/>
      <w:divBdr>
        <w:top w:val="none" w:sz="0" w:space="0" w:color="auto"/>
        <w:left w:val="none" w:sz="0" w:space="0" w:color="auto"/>
        <w:bottom w:val="none" w:sz="0" w:space="0" w:color="auto"/>
        <w:right w:val="none" w:sz="0" w:space="0" w:color="auto"/>
      </w:divBdr>
    </w:div>
    <w:div w:id="1296444435">
      <w:marLeft w:val="0"/>
      <w:marRight w:val="0"/>
      <w:marTop w:val="0"/>
      <w:marBottom w:val="0"/>
      <w:divBdr>
        <w:top w:val="none" w:sz="0" w:space="0" w:color="auto"/>
        <w:left w:val="none" w:sz="0" w:space="0" w:color="auto"/>
        <w:bottom w:val="none" w:sz="0" w:space="0" w:color="auto"/>
        <w:right w:val="none" w:sz="0" w:space="0" w:color="auto"/>
      </w:divBdr>
    </w:div>
    <w:div w:id="1296444436">
      <w:marLeft w:val="0"/>
      <w:marRight w:val="0"/>
      <w:marTop w:val="0"/>
      <w:marBottom w:val="0"/>
      <w:divBdr>
        <w:top w:val="none" w:sz="0" w:space="0" w:color="auto"/>
        <w:left w:val="none" w:sz="0" w:space="0" w:color="auto"/>
        <w:bottom w:val="none" w:sz="0" w:space="0" w:color="auto"/>
        <w:right w:val="none" w:sz="0" w:space="0" w:color="auto"/>
      </w:divBdr>
    </w:div>
    <w:div w:id="1296444437">
      <w:marLeft w:val="0"/>
      <w:marRight w:val="0"/>
      <w:marTop w:val="0"/>
      <w:marBottom w:val="0"/>
      <w:divBdr>
        <w:top w:val="none" w:sz="0" w:space="0" w:color="auto"/>
        <w:left w:val="none" w:sz="0" w:space="0" w:color="auto"/>
        <w:bottom w:val="none" w:sz="0" w:space="0" w:color="auto"/>
        <w:right w:val="none" w:sz="0" w:space="0" w:color="auto"/>
      </w:divBdr>
    </w:div>
    <w:div w:id="1296444438">
      <w:marLeft w:val="0"/>
      <w:marRight w:val="0"/>
      <w:marTop w:val="0"/>
      <w:marBottom w:val="0"/>
      <w:divBdr>
        <w:top w:val="none" w:sz="0" w:space="0" w:color="auto"/>
        <w:left w:val="none" w:sz="0" w:space="0" w:color="auto"/>
        <w:bottom w:val="none" w:sz="0" w:space="0" w:color="auto"/>
        <w:right w:val="none" w:sz="0" w:space="0" w:color="auto"/>
      </w:divBdr>
    </w:div>
    <w:div w:id="1296444439">
      <w:marLeft w:val="0"/>
      <w:marRight w:val="0"/>
      <w:marTop w:val="0"/>
      <w:marBottom w:val="0"/>
      <w:divBdr>
        <w:top w:val="none" w:sz="0" w:space="0" w:color="auto"/>
        <w:left w:val="none" w:sz="0" w:space="0" w:color="auto"/>
        <w:bottom w:val="none" w:sz="0" w:space="0" w:color="auto"/>
        <w:right w:val="none" w:sz="0" w:space="0" w:color="auto"/>
      </w:divBdr>
    </w:div>
    <w:div w:id="1296444440">
      <w:marLeft w:val="0"/>
      <w:marRight w:val="0"/>
      <w:marTop w:val="0"/>
      <w:marBottom w:val="0"/>
      <w:divBdr>
        <w:top w:val="none" w:sz="0" w:space="0" w:color="auto"/>
        <w:left w:val="none" w:sz="0" w:space="0" w:color="auto"/>
        <w:bottom w:val="none" w:sz="0" w:space="0" w:color="auto"/>
        <w:right w:val="none" w:sz="0" w:space="0" w:color="auto"/>
      </w:divBdr>
    </w:div>
    <w:div w:id="1296444441">
      <w:marLeft w:val="0"/>
      <w:marRight w:val="0"/>
      <w:marTop w:val="0"/>
      <w:marBottom w:val="0"/>
      <w:divBdr>
        <w:top w:val="none" w:sz="0" w:space="0" w:color="auto"/>
        <w:left w:val="none" w:sz="0" w:space="0" w:color="auto"/>
        <w:bottom w:val="none" w:sz="0" w:space="0" w:color="auto"/>
        <w:right w:val="none" w:sz="0" w:space="0" w:color="auto"/>
      </w:divBdr>
    </w:div>
    <w:div w:id="1296444442">
      <w:marLeft w:val="0"/>
      <w:marRight w:val="0"/>
      <w:marTop w:val="0"/>
      <w:marBottom w:val="0"/>
      <w:divBdr>
        <w:top w:val="none" w:sz="0" w:space="0" w:color="auto"/>
        <w:left w:val="none" w:sz="0" w:space="0" w:color="auto"/>
        <w:bottom w:val="none" w:sz="0" w:space="0" w:color="auto"/>
        <w:right w:val="none" w:sz="0" w:space="0" w:color="auto"/>
      </w:divBdr>
    </w:div>
    <w:div w:id="1296444443">
      <w:marLeft w:val="0"/>
      <w:marRight w:val="0"/>
      <w:marTop w:val="0"/>
      <w:marBottom w:val="0"/>
      <w:divBdr>
        <w:top w:val="none" w:sz="0" w:space="0" w:color="auto"/>
        <w:left w:val="none" w:sz="0" w:space="0" w:color="auto"/>
        <w:bottom w:val="none" w:sz="0" w:space="0" w:color="auto"/>
        <w:right w:val="none" w:sz="0" w:space="0" w:color="auto"/>
      </w:divBdr>
    </w:div>
    <w:div w:id="1296444444">
      <w:marLeft w:val="0"/>
      <w:marRight w:val="0"/>
      <w:marTop w:val="0"/>
      <w:marBottom w:val="0"/>
      <w:divBdr>
        <w:top w:val="none" w:sz="0" w:space="0" w:color="auto"/>
        <w:left w:val="none" w:sz="0" w:space="0" w:color="auto"/>
        <w:bottom w:val="none" w:sz="0" w:space="0" w:color="auto"/>
        <w:right w:val="none" w:sz="0" w:space="0" w:color="auto"/>
      </w:divBdr>
    </w:div>
    <w:div w:id="1296444445">
      <w:marLeft w:val="0"/>
      <w:marRight w:val="0"/>
      <w:marTop w:val="0"/>
      <w:marBottom w:val="0"/>
      <w:divBdr>
        <w:top w:val="none" w:sz="0" w:space="0" w:color="auto"/>
        <w:left w:val="none" w:sz="0" w:space="0" w:color="auto"/>
        <w:bottom w:val="none" w:sz="0" w:space="0" w:color="auto"/>
        <w:right w:val="none" w:sz="0" w:space="0" w:color="auto"/>
      </w:divBdr>
    </w:div>
    <w:div w:id="1296444446">
      <w:marLeft w:val="0"/>
      <w:marRight w:val="0"/>
      <w:marTop w:val="0"/>
      <w:marBottom w:val="0"/>
      <w:divBdr>
        <w:top w:val="none" w:sz="0" w:space="0" w:color="auto"/>
        <w:left w:val="none" w:sz="0" w:space="0" w:color="auto"/>
        <w:bottom w:val="none" w:sz="0" w:space="0" w:color="auto"/>
        <w:right w:val="none" w:sz="0" w:space="0" w:color="auto"/>
      </w:divBdr>
    </w:div>
    <w:div w:id="1296444447">
      <w:marLeft w:val="0"/>
      <w:marRight w:val="0"/>
      <w:marTop w:val="0"/>
      <w:marBottom w:val="0"/>
      <w:divBdr>
        <w:top w:val="none" w:sz="0" w:space="0" w:color="auto"/>
        <w:left w:val="none" w:sz="0" w:space="0" w:color="auto"/>
        <w:bottom w:val="none" w:sz="0" w:space="0" w:color="auto"/>
        <w:right w:val="none" w:sz="0" w:space="0" w:color="auto"/>
      </w:divBdr>
    </w:div>
    <w:div w:id="1296444448">
      <w:marLeft w:val="0"/>
      <w:marRight w:val="0"/>
      <w:marTop w:val="0"/>
      <w:marBottom w:val="0"/>
      <w:divBdr>
        <w:top w:val="none" w:sz="0" w:space="0" w:color="auto"/>
        <w:left w:val="none" w:sz="0" w:space="0" w:color="auto"/>
        <w:bottom w:val="none" w:sz="0" w:space="0" w:color="auto"/>
        <w:right w:val="none" w:sz="0" w:space="0" w:color="auto"/>
      </w:divBdr>
    </w:div>
    <w:div w:id="1296444449">
      <w:marLeft w:val="0"/>
      <w:marRight w:val="0"/>
      <w:marTop w:val="0"/>
      <w:marBottom w:val="0"/>
      <w:divBdr>
        <w:top w:val="none" w:sz="0" w:space="0" w:color="auto"/>
        <w:left w:val="none" w:sz="0" w:space="0" w:color="auto"/>
        <w:bottom w:val="none" w:sz="0" w:space="0" w:color="auto"/>
        <w:right w:val="none" w:sz="0" w:space="0" w:color="auto"/>
      </w:divBdr>
    </w:div>
    <w:div w:id="1296444450">
      <w:marLeft w:val="0"/>
      <w:marRight w:val="0"/>
      <w:marTop w:val="0"/>
      <w:marBottom w:val="0"/>
      <w:divBdr>
        <w:top w:val="none" w:sz="0" w:space="0" w:color="auto"/>
        <w:left w:val="none" w:sz="0" w:space="0" w:color="auto"/>
        <w:bottom w:val="none" w:sz="0" w:space="0" w:color="auto"/>
        <w:right w:val="none" w:sz="0" w:space="0" w:color="auto"/>
      </w:divBdr>
    </w:div>
    <w:div w:id="1296444451">
      <w:marLeft w:val="0"/>
      <w:marRight w:val="0"/>
      <w:marTop w:val="0"/>
      <w:marBottom w:val="0"/>
      <w:divBdr>
        <w:top w:val="none" w:sz="0" w:space="0" w:color="auto"/>
        <w:left w:val="none" w:sz="0" w:space="0" w:color="auto"/>
        <w:bottom w:val="none" w:sz="0" w:space="0" w:color="auto"/>
        <w:right w:val="none" w:sz="0" w:space="0" w:color="auto"/>
      </w:divBdr>
    </w:div>
    <w:div w:id="1296444452">
      <w:marLeft w:val="0"/>
      <w:marRight w:val="0"/>
      <w:marTop w:val="0"/>
      <w:marBottom w:val="0"/>
      <w:divBdr>
        <w:top w:val="none" w:sz="0" w:space="0" w:color="auto"/>
        <w:left w:val="none" w:sz="0" w:space="0" w:color="auto"/>
        <w:bottom w:val="none" w:sz="0" w:space="0" w:color="auto"/>
        <w:right w:val="none" w:sz="0" w:space="0" w:color="auto"/>
      </w:divBdr>
    </w:div>
    <w:div w:id="1296444453">
      <w:marLeft w:val="0"/>
      <w:marRight w:val="0"/>
      <w:marTop w:val="0"/>
      <w:marBottom w:val="0"/>
      <w:divBdr>
        <w:top w:val="none" w:sz="0" w:space="0" w:color="auto"/>
        <w:left w:val="none" w:sz="0" w:space="0" w:color="auto"/>
        <w:bottom w:val="none" w:sz="0" w:space="0" w:color="auto"/>
        <w:right w:val="none" w:sz="0" w:space="0" w:color="auto"/>
      </w:divBdr>
    </w:div>
    <w:div w:id="1296444454">
      <w:marLeft w:val="0"/>
      <w:marRight w:val="0"/>
      <w:marTop w:val="0"/>
      <w:marBottom w:val="0"/>
      <w:divBdr>
        <w:top w:val="none" w:sz="0" w:space="0" w:color="auto"/>
        <w:left w:val="none" w:sz="0" w:space="0" w:color="auto"/>
        <w:bottom w:val="none" w:sz="0" w:space="0" w:color="auto"/>
        <w:right w:val="none" w:sz="0" w:space="0" w:color="auto"/>
      </w:divBdr>
    </w:div>
    <w:div w:id="1296444455">
      <w:marLeft w:val="0"/>
      <w:marRight w:val="0"/>
      <w:marTop w:val="0"/>
      <w:marBottom w:val="0"/>
      <w:divBdr>
        <w:top w:val="none" w:sz="0" w:space="0" w:color="auto"/>
        <w:left w:val="none" w:sz="0" w:space="0" w:color="auto"/>
        <w:bottom w:val="none" w:sz="0" w:space="0" w:color="auto"/>
        <w:right w:val="none" w:sz="0" w:space="0" w:color="auto"/>
      </w:divBdr>
    </w:div>
    <w:div w:id="1296444456">
      <w:marLeft w:val="0"/>
      <w:marRight w:val="0"/>
      <w:marTop w:val="0"/>
      <w:marBottom w:val="0"/>
      <w:divBdr>
        <w:top w:val="none" w:sz="0" w:space="0" w:color="auto"/>
        <w:left w:val="none" w:sz="0" w:space="0" w:color="auto"/>
        <w:bottom w:val="none" w:sz="0" w:space="0" w:color="auto"/>
        <w:right w:val="none" w:sz="0" w:space="0" w:color="auto"/>
      </w:divBdr>
    </w:div>
    <w:div w:id="1296444457">
      <w:marLeft w:val="0"/>
      <w:marRight w:val="0"/>
      <w:marTop w:val="0"/>
      <w:marBottom w:val="0"/>
      <w:divBdr>
        <w:top w:val="none" w:sz="0" w:space="0" w:color="auto"/>
        <w:left w:val="none" w:sz="0" w:space="0" w:color="auto"/>
        <w:bottom w:val="none" w:sz="0" w:space="0" w:color="auto"/>
        <w:right w:val="none" w:sz="0" w:space="0" w:color="auto"/>
      </w:divBdr>
    </w:div>
    <w:div w:id="1296444458">
      <w:marLeft w:val="0"/>
      <w:marRight w:val="0"/>
      <w:marTop w:val="0"/>
      <w:marBottom w:val="0"/>
      <w:divBdr>
        <w:top w:val="none" w:sz="0" w:space="0" w:color="auto"/>
        <w:left w:val="none" w:sz="0" w:space="0" w:color="auto"/>
        <w:bottom w:val="none" w:sz="0" w:space="0" w:color="auto"/>
        <w:right w:val="none" w:sz="0" w:space="0" w:color="auto"/>
      </w:divBdr>
    </w:div>
    <w:div w:id="1296444459">
      <w:marLeft w:val="0"/>
      <w:marRight w:val="0"/>
      <w:marTop w:val="0"/>
      <w:marBottom w:val="0"/>
      <w:divBdr>
        <w:top w:val="none" w:sz="0" w:space="0" w:color="auto"/>
        <w:left w:val="none" w:sz="0" w:space="0" w:color="auto"/>
        <w:bottom w:val="none" w:sz="0" w:space="0" w:color="auto"/>
        <w:right w:val="none" w:sz="0" w:space="0" w:color="auto"/>
      </w:divBdr>
    </w:div>
    <w:div w:id="1296444460">
      <w:marLeft w:val="0"/>
      <w:marRight w:val="0"/>
      <w:marTop w:val="0"/>
      <w:marBottom w:val="0"/>
      <w:divBdr>
        <w:top w:val="none" w:sz="0" w:space="0" w:color="auto"/>
        <w:left w:val="none" w:sz="0" w:space="0" w:color="auto"/>
        <w:bottom w:val="none" w:sz="0" w:space="0" w:color="auto"/>
        <w:right w:val="none" w:sz="0" w:space="0" w:color="auto"/>
      </w:divBdr>
    </w:div>
    <w:div w:id="1296444461">
      <w:marLeft w:val="0"/>
      <w:marRight w:val="0"/>
      <w:marTop w:val="0"/>
      <w:marBottom w:val="0"/>
      <w:divBdr>
        <w:top w:val="none" w:sz="0" w:space="0" w:color="auto"/>
        <w:left w:val="none" w:sz="0" w:space="0" w:color="auto"/>
        <w:bottom w:val="none" w:sz="0" w:space="0" w:color="auto"/>
        <w:right w:val="none" w:sz="0" w:space="0" w:color="auto"/>
      </w:divBdr>
    </w:div>
    <w:div w:id="1296444462">
      <w:marLeft w:val="0"/>
      <w:marRight w:val="0"/>
      <w:marTop w:val="0"/>
      <w:marBottom w:val="0"/>
      <w:divBdr>
        <w:top w:val="none" w:sz="0" w:space="0" w:color="auto"/>
        <w:left w:val="none" w:sz="0" w:space="0" w:color="auto"/>
        <w:bottom w:val="none" w:sz="0" w:space="0" w:color="auto"/>
        <w:right w:val="none" w:sz="0" w:space="0" w:color="auto"/>
      </w:divBdr>
    </w:div>
    <w:div w:id="1296444463">
      <w:marLeft w:val="0"/>
      <w:marRight w:val="0"/>
      <w:marTop w:val="0"/>
      <w:marBottom w:val="0"/>
      <w:divBdr>
        <w:top w:val="none" w:sz="0" w:space="0" w:color="auto"/>
        <w:left w:val="none" w:sz="0" w:space="0" w:color="auto"/>
        <w:bottom w:val="none" w:sz="0" w:space="0" w:color="auto"/>
        <w:right w:val="none" w:sz="0" w:space="0" w:color="auto"/>
      </w:divBdr>
    </w:div>
    <w:div w:id="1296444464">
      <w:marLeft w:val="0"/>
      <w:marRight w:val="0"/>
      <w:marTop w:val="0"/>
      <w:marBottom w:val="0"/>
      <w:divBdr>
        <w:top w:val="none" w:sz="0" w:space="0" w:color="auto"/>
        <w:left w:val="none" w:sz="0" w:space="0" w:color="auto"/>
        <w:bottom w:val="none" w:sz="0" w:space="0" w:color="auto"/>
        <w:right w:val="none" w:sz="0" w:space="0" w:color="auto"/>
      </w:divBdr>
    </w:div>
    <w:div w:id="1296444465">
      <w:marLeft w:val="0"/>
      <w:marRight w:val="0"/>
      <w:marTop w:val="0"/>
      <w:marBottom w:val="0"/>
      <w:divBdr>
        <w:top w:val="none" w:sz="0" w:space="0" w:color="auto"/>
        <w:left w:val="none" w:sz="0" w:space="0" w:color="auto"/>
        <w:bottom w:val="none" w:sz="0" w:space="0" w:color="auto"/>
        <w:right w:val="none" w:sz="0" w:space="0" w:color="auto"/>
      </w:divBdr>
    </w:div>
    <w:div w:id="1296444466">
      <w:marLeft w:val="0"/>
      <w:marRight w:val="0"/>
      <w:marTop w:val="0"/>
      <w:marBottom w:val="0"/>
      <w:divBdr>
        <w:top w:val="none" w:sz="0" w:space="0" w:color="auto"/>
        <w:left w:val="none" w:sz="0" w:space="0" w:color="auto"/>
        <w:bottom w:val="none" w:sz="0" w:space="0" w:color="auto"/>
        <w:right w:val="none" w:sz="0" w:space="0" w:color="auto"/>
      </w:divBdr>
    </w:div>
    <w:div w:id="1296444467">
      <w:marLeft w:val="0"/>
      <w:marRight w:val="0"/>
      <w:marTop w:val="0"/>
      <w:marBottom w:val="0"/>
      <w:divBdr>
        <w:top w:val="none" w:sz="0" w:space="0" w:color="auto"/>
        <w:left w:val="none" w:sz="0" w:space="0" w:color="auto"/>
        <w:bottom w:val="none" w:sz="0" w:space="0" w:color="auto"/>
        <w:right w:val="none" w:sz="0" w:space="0" w:color="auto"/>
      </w:divBdr>
    </w:div>
    <w:div w:id="1296444468">
      <w:marLeft w:val="0"/>
      <w:marRight w:val="0"/>
      <w:marTop w:val="0"/>
      <w:marBottom w:val="0"/>
      <w:divBdr>
        <w:top w:val="none" w:sz="0" w:space="0" w:color="auto"/>
        <w:left w:val="none" w:sz="0" w:space="0" w:color="auto"/>
        <w:bottom w:val="none" w:sz="0" w:space="0" w:color="auto"/>
        <w:right w:val="none" w:sz="0" w:space="0" w:color="auto"/>
      </w:divBdr>
    </w:div>
    <w:div w:id="1296444469">
      <w:marLeft w:val="0"/>
      <w:marRight w:val="0"/>
      <w:marTop w:val="0"/>
      <w:marBottom w:val="0"/>
      <w:divBdr>
        <w:top w:val="none" w:sz="0" w:space="0" w:color="auto"/>
        <w:left w:val="none" w:sz="0" w:space="0" w:color="auto"/>
        <w:bottom w:val="none" w:sz="0" w:space="0" w:color="auto"/>
        <w:right w:val="none" w:sz="0" w:space="0" w:color="auto"/>
      </w:divBdr>
    </w:div>
    <w:div w:id="1296444470">
      <w:marLeft w:val="0"/>
      <w:marRight w:val="0"/>
      <w:marTop w:val="0"/>
      <w:marBottom w:val="0"/>
      <w:divBdr>
        <w:top w:val="none" w:sz="0" w:space="0" w:color="auto"/>
        <w:left w:val="none" w:sz="0" w:space="0" w:color="auto"/>
        <w:bottom w:val="none" w:sz="0" w:space="0" w:color="auto"/>
        <w:right w:val="none" w:sz="0" w:space="0" w:color="auto"/>
      </w:divBdr>
    </w:div>
    <w:div w:id="1296444471">
      <w:marLeft w:val="0"/>
      <w:marRight w:val="0"/>
      <w:marTop w:val="0"/>
      <w:marBottom w:val="0"/>
      <w:divBdr>
        <w:top w:val="none" w:sz="0" w:space="0" w:color="auto"/>
        <w:left w:val="none" w:sz="0" w:space="0" w:color="auto"/>
        <w:bottom w:val="none" w:sz="0" w:space="0" w:color="auto"/>
        <w:right w:val="none" w:sz="0" w:space="0" w:color="auto"/>
      </w:divBdr>
    </w:div>
    <w:div w:id="1296444472">
      <w:marLeft w:val="0"/>
      <w:marRight w:val="0"/>
      <w:marTop w:val="0"/>
      <w:marBottom w:val="0"/>
      <w:divBdr>
        <w:top w:val="none" w:sz="0" w:space="0" w:color="auto"/>
        <w:left w:val="none" w:sz="0" w:space="0" w:color="auto"/>
        <w:bottom w:val="none" w:sz="0" w:space="0" w:color="auto"/>
        <w:right w:val="none" w:sz="0" w:space="0" w:color="auto"/>
      </w:divBdr>
    </w:div>
    <w:div w:id="1296444473">
      <w:marLeft w:val="0"/>
      <w:marRight w:val="0"/>
      <w:marTop w:val="0"/>
      <w:marBottom w:val="0"/>
      <w:divBdr>
        <w:top w:val="none" w:sz="0" w:space="0" w:color="auto"/>
        <w:left w:val="none" w:sz="0" w:space="0" w:color="auto"/>
        <w:bottom w:val="none" w:sz="0" w:space="0" w:color="auto"/>
        <w:right w:val="none" w:sz="0" w:space="0" w:color="auto"/>
      </w:divBdr>
    </w:div>
    <w:div w:id="1296444474">
      <w:marLeft w:val="0"/>
      <w:marRight w:val="0"/>
      <w:marTop w:val="0"/>
      <w:marBottom w:val="0"/>
      <w:divBdr>
        <w:top w:val="none" w:sz="0" w:space="0" w:color="auto"/>
        <w:left w:val="none" w:sz="0" w:space="0" w:color="auto"/>
        <w:bottom w:val="none" w:sz="0" w:space="0" w:color="auto"/>
        <w:right w:val="none" w:sz="0" w:space="0" w:color="auto"/>
      </w:divBdr>
    </w:div>
    <w:div w:id="1296444475">
      <w:marLeft w:val="0"/>
      <w:marRight w:val="0"/>
      <w:marTop w:val="0"/>
      <w:marBottom w:val="0"/>
      <w:divBdr>
        <w:top w:val="none" w:sz="0" w:space="0" w:color="auto"/>
        <w:left w:val="none" w:sz="0" w:space="0" w:color="auto"/>
        <w:bottom w:val="none" w:sz="0" w:space="0" w:color="auto"/>
        <w:right w:val="none" w:sz="0" w:space="0" w:color="auto"/>
      </w:divBdr>
    </w:div>
    <w:div w:id="1296444476">
      <w:marLeft w:val="0"/>
      <w:marRight w:val="0"/>
      <w:marTop w:val="0"/>
      <w:marBottom w:val="0"/>
      <w:divBdr>
        <w:top w:val="none" w:sz="0" w:space="0" w:color="auto"/>
        <w:left w:val="none" w:sz="0" w:space="0" w:color="auto"/>
        <w:bottom w:val="none" w:sz="0" w:space="0" w:color="auto"/>
        <w:right w:val="none" w:sz="0" w:space="0" w:color="auto"/>
      </w:divBdr>
    </w:div>
    <w:div w:id="1296444477">
      <w:marLeft w:val="0"/>
      <w:marRight w:val="0"/>
      <w:marTop w:val="0"/>
      <w:marBottom w:val="0"/>
      <w:divBdr>
        <w:top w:val="none" w:sz="0" w:space="0" w:color="auto"/>
        <w:left w:val="none" w:sz="0" w:space="0" w:color="auto"/>
        <w:bottom w:val="none" w:sz="0" w:space="0" w:color="auto"/>
        <w:right w:val="none" w:sz="0" w:space="0" w:color="auto"/>
      </w:divBdr>
    </w:div>
    <w:div w:id="1296444478">
      <w:marLeft w:val="0"/>
      <w:marRight w:val="0"/>
      <w:marTop w:val="0"/>
      <w:marBottom w:val="0"/>
      <w:divBdr>
        <w:top w:val="none" w:sz="0" w:space="0" w:color="auto"/>
        <w:left w:val="none" w:sz="0" w:space="0" w:color="auto"/>
        <w:bottom w:val="none" w:sz="0" w:space="0" w:color="auto"/>
        <w:right w:val="none" w:sz="0" w:space="0" w:color="auto"/>
      </w:divBdr>
    </w:div>
    <w:div w:id="1296444479">
      <w:marLeft w:val="0"/>
      <w:marRight w:val="0"/>
      <w:marTop w:val="0"/>
      <w:marBottom w:val="0"/>
      <w:divBdr>
        <w:top w:val="none" w:sz="0" w:space="0" w:color="auto"/>
        <w:left w:val="none" w:sz="0" w:space="0" w:color="auto"/>
        <w:bottom w:val="none" w:sz="0" w:space="0" w:color="auto"/>
        <w:right w:val="none" w:sz="0" w:space="0" w:color="auto"/>
      </w:divBdr>
    </w:div>
    <w:div w:id="1296444480">
      <w:marLeft w:val="0"/>
      <w:marRight w:val="0"/>
      <w:marTop w:val="0"/>
      <w:marBottom w:val="0"/>
      <w:divBdr>
        <w:top w:val="none" w:sz="0" w:space="0" w:color="auto"/>
        <w:left w:val="none" w:sz="0" w:space="0" w:color="auto"/>
        <w:bottom w:val="none" w:sz="0" w:space="0" w:color="auto"/>
        <w:right w:val="none" w:sz="0" w:space="0" w:color="auto"/>
      </w:divBdr>
    </w:div>
    <w:div w:id="1296444481">
      <w:marLeft w:val="0"/>
      <w:marRight w:val="0"/>
      <w:marTop w:val="0"/>
      <w:marBottom w:val="0"/>
      <w:divBdr>
        <w:top w:val="none" w:sz="0" w:space="0" w:color="auto"/>
        <w:left w:val="none" w:sz="0" w:space="0" w:color="auto"/>
        <w:bottom w:val="none" w:sz="0" w:space="0" w:color="auto"/>
        <w:right w:val="none" w:sz="0" w:space="0" w:color="auto"/>
      </w:divBdr>
    </w:div>
    <w:div w:id="1296444482">
      <w:marLeft w:val="0"/>
      <w:marRight w:val="0"/>
      <w:marTop w:val="0"/>
      <w:marBottom w:val="0"/>
      <w:divBdr>
        <w:top w:val="none" w:sz="0" w:space="0" w:color="auto"/>
        <w:left w:val="none" w:sz="0" w:space="0" w:color="auto"/>
        <w:bottom w:val="none" w:sz="0" w:space="0" w:color="auto"/>
        <w:right w:val="none" w:sz="0" w:space="0" w:color="auto"/>
      </w:divBdr>
    </w:div>
    <w:div w:id="1296444483">
      <w:marLeft w:val="0"/>
      <w:marRight w:val="0"/>
      <w:marTop w:val="0"/>
      <w:marBottom w:val="0"/>
      <w:divBdr>
        <w:top w:val="none" w:sz="0" w:space="0" w:color="auto"/>
        <w:left w:val="none" w:sz="0" w:space="0" w:color="auto"/>
        <w:bottom w:val="none" w:sz="0" w:space="0" w:color="auto"/>
        <w:right w:val="none" w:sz="0" w:space="0" w:color="auto"/>
      </w:divBdr>
    </w:div>
    <w:div w:id="1296444484">
      <w:marLeft w:val="0"/>
      <w:marRight w:val="0"/>
      <w:marTop w:val="0"/>
      <w:marBottom w:val="0"/>
      <w:divBdr>
        <w:top w:val="none" w:sz="0" w:space="0" w:color="auto"/>
        <w:left w:val="none" w:sz="0" w:space="0" w:color="auto"/>
        <w:bottom w:val="none" w:sz="0" w:space="0" w:color="auto"/>
        <w:right w:val="none" w:sz="0" w:space="0" w:color="auto"/>
      </w:divBdr>
    </w:div>
    <w:div w:id="1296444485">
      <w:marLeft w:val="0"/>
      <w:marRight w:val="0"/>
      <w:marTop w:val="0"/>
      <w:marBottom w:val="0"/>
      <w:divBdr>
        <w:top w:val="none" w:sz="0" w:space="0" w:color="auto"/>
        <w:left w:val="none" w:sz="0" w:space="0" w:color="auto"/>
        <w:bottom w:val="none" w:sz="0" w:space="0" w:color="auto"/>
        <w:right w:val="none" w:sz="0" w:space="0" w:color="auto"/>
      </w:divBdr>
    </w:div>
    <w:div w:id="1296444486">
      <w:marLeft w:val="0"/>
      <w:marRight w:val="0"/>
      <w:marTop w:val="0"/>
      <w:marBottom w:val="0"/>
      <w:divBdr>
        <w:top w:val="none" w:sz="0" w:space="0" w:color="auto"/>
        <w:left w:val="none" w:sz="0" w:space="0" w:color="auto"/>
        <w:bottom w:val="none" w:sz="0" w:space="0" w:color="auto"/>
        <w:right w:val="none" w:sz="0" w:space="0" w:color="auto"/>
      </w:divBdr>
    </w:div>
    <w:div w:id="1296444487">
      <w:marLeft w:val="0"/>
      <w:marRight w:val="0"/>
      <w:marTop w:val="0"/>
      <w:marBottom w:val="0"/>
      <w:divBdr>
        <w:top w:val="none" w:sz="0" w:space="0" w:color="auto"/>
        <w:left w:val="none" w:sz="0" w:space="0" w:color="auto"/>
        <w:bottom w:val="none" w:sz="0" w:space="0" w:color="auto"/>
        <w:right w:val="none" w:sz="0" w:space="0" w:color="auto"/>
      </w:divBdr>
    </w:div>
    <w:div w:id="1296444488">
      <w:marLeft w:val="0"/>
      <w:marRight w:val="0"/>
      <w:marTop w:val="0"/>
      <w:marBottom w:val="0"/>
      <w:divBdr>
        <w:top w:val="none" w:sz="0" w:space="0" w:color="auto"/>
        <w:left w:val="none" w:sz="0" w:space="0" w:color="auto"/>
        <w:bottom w:val="none" w:sz="0" w:space="0" w:color="auto"/>
        <w:right w:val="none" w:sz="0" w:space="0" w:color="auto"/>
      </w:divBdr>
    </w:div>
    <w:div w:id="1296444489">
      <w:marLeft w:val="0"/>
      <w:marRight w:val="0"/>
      <w:marTop w:val="0"/>
      <w:marBottom w:val="0"/>
      <w:divBdr>
        <w:top w:val="none" w:sz="0" w:space="0" w:color="auto"/>
        <w:left w:val="none" w:sz="0" w:space="0" w:color="auto"/>
        <w:bottom w:val="none" w:sz="0" w:space="0" w:color="auto"/>
        <w:right w:val="none" w:sz="0" w:space="0" w:color="auto"/>
      </w:divBdr>
    </w:div>
    <w:div w:id="1296444490">
      <w:marLeft w:val="0"/>
      <w:marRight w:val="0"/>
      <w:marTop w:val="0"/>
      <w:marBottom w:val="0"/>
      <w:divBdr>
        <w:top w:val="none" w:sz="0" w:space="0" w:color="auto"/>
        <w:left w:val="none" w:sz="0" w:space="0" w:color="auto"/>
        <w:bottom w:val="none" w:sz="0" w:space="0" w:color="auto"/>
        <w:right w:val="none" w:sz="0" w:space="0" w:color="auto"/>
      </w:divBdr>
    </w:div>
    <w:div w:id="1296444491">
      <w:marLeft w:val="0"/>
      <w:marRight w:val="0"/>
      <w:marTop w:val="0"/>
      <w:marBottom w:val="0"/>
      <w:divBdr>
        <w:top w:val="none" w:sz="0" w:space="0" w:color="auto"/>
        <w:left w:val="none" w:sz="0" w:space="0" w:color="auto"/>
        <w:bottom w:val="none" w:sz="0" w:space="0" w:color="auto"/>
        <w:right w:val="none" w:sz="0" w:space="0" w:color="auto"/>
      </w:divBdr>
    </w:div>
    <w:div w:id="1296444492">
      <w:marLeft w:val="0"/>
      <w:marRight w:val="0"/>
      <w:marTop w:val="0"/>
      <w:marBottom w:val="0"/>
      <w:divBdr>
        <w:top w:val="none" w:sz="0" w:space="0" w:color="auto"/>
        <w:left w:val="none" w:sz="0" w:space="0" w:color="auto"/>
        <w:bottom w:val="none" w:sz="0" w:space="0" w:color="auto"/>
        <w:right w:val="none" w:sz="0" w:space="0" w:color="auto"/>
      </w:divBdr>
    </w:div>
    <w:div w:id="1296444493">
      <w:marLeft w:val="0"/>
      <w:marRight w:val="0"/>
      <w:marTop w:val="0"/>
      <w:marBottom w:val="0"/>
      <w:divBdr>
        <w:top w:val="none" w:sz="0" w:space="0" w:color="auto"/>
        <w:left w:val="none" w:sz="0" w:space="0" w:color="auto"/>
        <w:bottom w:val="none" w:sz="0" w:space="0" w:color="auto"/>
        <w:right w:val="none" w:sz="0" w:space="0" w:color="auto"/>
      </w:divBdr>
    </w:div>
    <w:div w:id="1296444494">
      <w:marLeft w:val="0"/>
      <w:marRight w:val="0"/>
      <w:marTop w:val="0"/>
      <w:marBottom w:val="0"/>
      <w:divBdr>
        <w:top w:val="none" w:sz="0" w:space="0" w:color="auto"/>
        <w:left w:val="none" w:sz="0" w:space="0" w:color="auto"/>
        <w:bottom w:val="none" w:sz="0" w:space="0" w:color="auto"/>
        <w:right w:val="none" w:sz="0" w:space="0" w:color="auto"/>
      </w:divBdr>
    </w:div>
    <w:div w:id="1296444495">
      <w:marLeft w:val="0"/>
      <w:marRight w:val="0"/>
      <w:marTop w:val="0"/>
      <w:marBottom w:val="0"/>
      <w:divBdr>
        <w:top w:val="none" w:sz="0" w:space="0" w:color="auto"/>
        <w:left w:val="none" w:sz="0" w:space="0" w:color="auto"/>
        <w:bottom w:val="none" w:sz="0" w:space="0" w:color="auto"/>
        <w:right w:val="none" w:sz="0" w:space="0" w:color="auto"/>
      </w:divBdr>
    </w:div>
    <w:div w:id="1296444496">
      <w:marLeft w:val="0"/>
      <w:marRight w:val="0"/>
      <w:marTop w:val="0"/>
      <w:marBottom w:val="0"/>
      <w:divBdr>
        <w:top w:val="none" w:sz="0" w:space="0" w:color="auto"/>
        <w:left w:val="none" w:sz="0" w:space="0" w:color="auto"/>
        <w:bottom w:val="none" w:sz="0" w:space="0" w:color="auto"/>
        <w:right w:val="none" w:sz="0" w:space="0" w:color="auto"/>
      </w:divBdr>
    </w:div>
    <w:div w:id="1296444497">
      <w:marLeft w:val="0"/>
      <w:marRight w:val="0"/>
      <w:marTop w:val="0"/>
      <w:marBottom w:val="0"/>
      <w:divBdr>
        <w:top w:val="none" w:sz="0" w:space="0" w:color="auto"/>
        <w:left w:val="none" w:sz="0" w:space="0" w:color="auto"/>
        <w:bottom w:val="none" w:sz="0" w:space="0" w:color="auto"/>
        <w:right w:val="none" w:sz="0" w:space="0" w:color="auto"/>
      </w:divBdr>
    </w:div>
    <w:div w:id="1296444498">
      <w:marLeft w:val="0"/>
      <w:marRight w:val="0"/>
      <w:marTop w:val="0"/>
      <w:marBottom w:val="0"/>
      <w:divBdr>
        <w:top w:val="none" w:sz="0" w:space="0" w:color="auto"/>
        <w:left w:val="none" w:sz="0" w:space="0" w:color="auto"/>
        <w:bottom w:val="none" w:sz="0" w:space="0" w:color="auto"/>
        <w:right w:val="none" w:sz="0" w:space="0" w:color="auto"/>
      </w:divBdr>
    </w:div>
    <w:div w:id="1296444499">
      <w:marLeft w:val="0"/>
      <w:marRight w:val="0"/>
      <w:marTop w:val="0"/>
      <w:marBottom w:val="0"/>
      <w:divBdr>
        <w:top w:val="none" w:sz="0" w:space="0" w:color="auto"/>
        <w:left w:val="none" w:sz="0" w:space="0" w:color="auto"/>
        <w:bottom w:val="none" w:sz="0" w:space="0" w:color="auto"/>
        <w:right w:val="none" w:sz="0" w:space="0" w:color="auto"/>
      </w:divBdr>
    </w:div>
    <w:div w:id="1296444500">
      <w:marLeft w:val="0"/>
      <w:marRight w:val="0"/>
      <w:marTop w:val="0"/>
      <w:marBottom w:val="0"/>
      <w:divBdr>
        <w:top w:val="none" w:sz="0" w:space="0" w:color="auto"/>
        <w:left w:val="none" w:sz="0" w:space="0" w:color="auto"/>
        <w:bottom w:val="none" w:sz="0" w:space="0" w:color="auto"/>
        <w:right w:val="none" w:sz="0" w:space="0" w:color="auto"/>
      </w:divBdr>
    </w:div>
    <w:div w:id="1298149290">
      <w:bodyDiv w:val="1"/>
      <w:marLeft w:val="0"/>
      <w:marRight w:val="0"/>
      <w:marTop w:val="0"/>
      <w:marBottom w:val="0"/>
      <w:divBdr>
        <w:top w:val="none" w:sz="0" w:space="0" w:color="auto"/>
        <w:left w:val="none" w:sz="0" w:space="0" w:color="auto"/>
        <w:bottom w:val="none" w:sz="0" w:space="0" w:color="auto"/>
        <w:right w:val="none" w:sz="0" w:space="0" w:color="auto"/>
      </w:divBdr>
    </w:div>
    <w:div w:id="1374770770">
      <w:bodyDiv w:val="1"/>
      <w:marLeft w:val="0"/>
      <w:marRight w:val="0"/>
      <w:marTop w:val="0"/>
      <w:marBottom w:val="0"/>
      <w:divBdr>
        <w:top w:val="none" w:sz="0" w:space="0" w:color="auto"/>
        <w:left w:val="none" w:sz="0" w:space="0" w:color="auto"/>
        <w:bottom w:val="none" w:sz="0" w:space="0" w:color="auto"/>
        <w:right w:val="none" w:sz="0" w:space="0" w:color="auto"/>
      </w:divBdr>
    </w:div>
    <w:div w:id="1379931416">
      <w:bodyDiv w:val="1"/>
      <w:marLeft w:val="0"/>
      <w:marRight w:val="0"/>
      <w:marTop w:val="0"/>
      <w:marBottom w:val="0"/>
      <w:divBdr>
        <w:top w:val="none" w:sz="0" w:space="0" w:color="auto"/>
        <w:left w:val="none" w:sz="0" w:space="0" w:color="auto"/>
        <w:bottom w:val="none" w:sz="0" w:space="0" w:color="auto"/>
        <w:right w:val="none" w:sz="0" w:space="0" w:color="auto"/>
      </w:divBdr>
    </w:div>
    <w:div w:id="1413620519">
      <w:bodyDiv w:val="1"/>
      <w:marLeft w:val="0"/>
      <w:marRight w:val="0"/>
      <w:marTop w:val="0"/>
      <w:marBottom w:val="0"/>
      <w:divBdr>
        <w:top w:val="none" w:sz="0" w:space="0" w:color="auto"/>
        <w:left w:val="none" w:sz="0" w:space="0" w:color="auto"/>
        <w:bottom w:val="none" w:sz="0" w:space="0" w:color="auto"/>
        <w:right w:val="none" w:sz="0" w:space="0" w:color="auto"/>
      </w:divBdr>
    </w:div>
    <w:div w:id="1451625281">
      <w:bodyDiv w:val="1"/>
      <w:marLeft w:val="0"/>
      <w:marRight w:val="0"/>
      <w:marTop w:val="0"/>
      <w:marBottom w:val="0"/>
      <w:divBdr>
        <w:top w:val="none" w:sz="0" w:space="0" w:color="auto"/>
        <w:left w:val="none" w:sz="0" w:space="0" w:color="auto"/>
        <w:bottom w:val="none" w:sz="0" w:space="0" w:color="auto"/>
        <w:right w:val="none" w:sz="0" w:space="0" w:color="auto"/>
      </w:divBdr>
    </w:div>
    <w:div w:id="1557082047">
      <w:bodyDiv w:val="1"/>
      <w:marLeft w:val="0"/>
      <w:marRight w:val="0"/>
      <w:marTop w:val="0"/>
      <w:marBottom w:val="0"/>
      <w:divBdr>
        <w:top w:val="none" w:sz="0" w:space="0" w:color="auto"/>
        <w:left w:val="none" w:sz="0" w:space="0" w:color="auto"/>
        <w:bottom w:val="none" w:sz="0" w:space="0" w:color="auto"/>
        <w:right w:val="none" w:sz="0" w:space="0" w:color="auto"/>
      </w:divBdr>
    </w:div>
    <w:div w:id="1582372741">
      <w:bodyDiv w:val="1"/>
      <w:marLeft w:val="0"/>
      <w:marRight w:val="0"/>
      <w:marTop w:val="0"/>
      <w:marBottom w:val="0"/>
      <w:divBdr>
        <w:top w:val="none" w:sz="0" w:space="0" w:color="auto"/>
        <w:left w:val="none" w:sz="0" w:space="0" w:color="auto"/>
        <w:bottom w:val="none" w:sz="0" w:space="0" w:color="auto"/>
        <w:right w:val="none" w:sz="0" w:space="0" w:color="auto"/>
      </w:divBdr>
    </w:div>
    <w:div w:id="1583642007">
      <w:bodyDiv w:val="1"/>
      <w:marLeft w:val="0"/>
      <w:marRight w:val="0"/>
      <w:marTop w:val="0"/>
      <w:marBottom w:val="0"/>
      <w:divBdr>
        <w:top w:val="none" w:sz="0" w:space="0" w:color="auto"/>
        <w:left w:val="none" w:sz="0" w:space="0" w:color="auto"/>
        <w:bottom w:val="none" w:sz="0" w:space="0" w:color="auto"/>
        <w:right w:val="none" w:sz="0" w:space="0" w:color="auto"/>
      </w:divBdr>
    </w:div>
    <w:div w:id="1594628047">
      <w:bodyDiv w:val="1"/>
      <w:marLeft w:val="0"/>
      <w:marRight w:val="0"/>
      <w:marTop w:val="0"/>
      <w:marBottom w:val="0"/>
      <w:divBdr>
        <w:top w:val="none" w:sz="0" w:space="0" w:color="auto"/>
        <w:left w:val="none" w:sz="0" w:space="0" w:color="auto"/>
        <w:bottom w:val="none" w:sz="0" w:space="0" w:color="auto"/>
        <w:right w:val="none" w:sz="0" w:space="0" w:color="auto"/>
      </w:divBdr>
    </w:div>
    <w:div w:id="1668169424">
      <w:bodyDiv w:val="1"/>
      <w:marLeft w:val="0"/>
      <w:marRight w:val="0"/>
      <w:marTop w:val="0"/>
      <w:marBottom w:val="0"/>
      <w:divBdr>
        <w:top w:val="none" w:sz="0" w:space="0" w:color="auto"/>
        <w:left w:val="none" w:sz="0" w:space="0" w:color="auto"/>
        <w:bottom w:val="none" w:sz="0" w:space="0" w:color="auto"/>
        <w:right w:val="none" w:sz="0" w:space="0" w:color="auto"/>
      </w:divBdr>
    </w:div>
    <w:div w:id="1687366850">
      <w:bodyDiv w:val="1"/>
      <w:marLeft w:val="0"/>
      <w:marRight w:val="0"/>
      <w:marTop w:val="0"/>
      <w:marBottom w:val="0"/>
      <w:divBdr>
        <w:top w:val="none" w:sz="0" w:space="0" w:color="auto"/>
        <w:left w:val="none" w:sz="0" w:space="0" w:color="auto"/>
        <w:bottom w:val="none" w:sz="0" w:space="0" w:color="auto"/>
        <w:right w:val="none" w:sz="0" w:space="0" w:color="auto"/>
      </w:divBdr>
    </w:div>
    <w:div w:id="1714117925">
      <w:bodyDiv w:val="1"/>
      <w:marLeft w:val="0"/>
      <w:marRight w:val="0"/>
      <w:marTop w:val="0"/>
      <w:marBottom w:val="0"/>
      <w:divBdr>
        <w:top w:val="none" w:sz="0" w:space="0" w:color="auto"/>
        <w:left w:val="none" w:sz="0" w:space="0" w:color="auto"/>
        <w:bottom w:val="none" w:sz="0" w:space="0" w:color="auto"/>
        <w:right w:val="none" w:sz="0" w:space="0" w:color="auto"/>
      </w:divBdr>
    </w:div>
    <w:div w:id="1718118516">
      <w:bodyDiv w:val="1"/>
      <w:marLeft w:val="0"/>
      <w:marRight w:val="0"/>
      <w:marTop w:val="0"/>
      <w:marBottom w:val="0"/>
      <w:divBdr>
        <w:top w:val="none" w:sz="0" w:space="0" w:color="auto"/>
        <w:left w:val="none" w:sz="0" w:space="0" w:color="auto"/>
        <w:bottom w:val="none" w:sz="0" w:space="0" w:color="auto"/>
        <w:right w:val="none" w:sz="0" w:space="0" w:color="auto"/>
      </w:divBdr>
    </w:div>
    <w:div w:id="1739546674">
      <w:bodyDiv w:val="1"/>
      <w:marLeft w:val="0"/>
      <w:marRight w:val="0"/>
      <w:marTop w:val="0"/>
      <w:marBottom w:val="0"/>
      <w:divBdr>
        <w:top w:val="none" w:sz="0" w:space="0" w:color="auto"/>
        <w:left w:val="none" w:sz="0" w:space="0" w:color="auto"/>
        <w:bottom w:val="none" w:sz="0" w:space="0" w:color="auto"/>
        <w:right w:val="none" w:sz="0" w:space="0" w:color="auto"/>
      </w:divBdr>
    </w:div>
    <w:div w:id="1768189848">
      <w:bodyDiv w:val="1"/>
      <w:marLeft w:val="0"/>
      <w:marRight w:val="0"/>
      <w:marTop w:val="0"/>
      <w:marBottom w:val="0"/>
      <w:divBdr>
        <w:top w:val="none" w:sz="0" w:space="0" w:color="auto"/>
        <w:left w:val="none" w:sz="0" w:space="0" w:color="auto"/>
        <w:bottom w:val="none" w:sz="0" w:space="0" w:color="auto"/>
        <w:right w:val="none" w:sz="0" w:space="0" w:color="auto"/>
      </w:divBdr>
    </w:div>
    <w:div w:id="1789397983">
      <w:bodyDiv w:val="1"/>
      <w:marLeft w:val="0"/>
      <w:marRight w:val="0"/>
      <w:marTop w:val="0"/>
      <w:marBottom w:val="0"/>
      <w:divBdr>
        <w:top w:val="none" w:sz="0" w:space="0" w:color="auto"/>
        <w:left w:val="none" w:sz="0" w:space="0" w:color="auto"/>
        <w:bottom w:val="none" w:sz="0" w:space="0" w:color="auto"/>
        <w:right w:val="none" w:sz="0" w:space="0" w:color="auto"/>
      </w:divBdr>
    </w:div>
    <w:div w:id="1803764173">
      <w:bodyDiv w:val="1"/>
      <w:marLeft w:val="0"/>
      <w:marRight w:val="0"/>
      <w:marTop w:val="0"/>
      <w:marBottom w:val="0"/>
      <w:divBdr>
        <w:top w:val="none" w:sz="0" w:space="0" w:color="auto"/>
        <w:left w:val="none" w:sz="0" w:space="0" w:color="auto"/>
        <w:bottom w:val="none" w:sz="0" w:space="0" w:color="auto"/>
        <w:right w:val="none" w:sz="0" w:space="0" w:color="auto"/>
      </w:divBdr>
    </w:div>
    <w:div w:id="1854876972">
      <w:bodyDiv w:val="1"/>
      <w:marLeft w:val="0"/>
      <w:marRight w:val="0"/>
      <w:marTop w:val="0"/>
      <w:marBottom w:val="0"/>
      <w:divBdr>
        <w:top w:val="none" w:sz="0" w:space="0" w:color="auto"/>
        <w:left w:val="none" w:sz="0" w:space="0" w:color="auto"/>
        <w:bottom w:val="none" w:sz="0" w:space="0" w:color="auto"/>
        <w:right w:val="none" w:sz="0" w:space="0" w:color="auto"/>
      </w:divBdr>
    </w:div>
    <w:div w:id="1864436809">
      <w:bodyDiv w:val="1"/>
      <w:marLeft w:val="0"/>
      <w:marRight w:val="0"/>
      <w:marTop w:val="0"/>
      <w:marBottom w:val="0"/>
      <w:divBdr>
        <w:top w:val="none" w:sz="0" w:space="0" w:color="auto"/>
        <w:left w:val="none" w:sz="0" w:space="0" w:color="auto"/>
        <w:bottom w:val="none" w:sz="0" w:space="0" w:color="auto"/>
        <w:right w:val="none" w:sz="0" w:space="0" w:color="auto"/>
      </w:divBdr>
    </w:div>
    <w:div w:id="1888640755">
      <w:bodyDiv w:val="1"/>
      <w:marLeft w:val="0"/>
      <w:marRight w:val="0"/>
      <w:marTop w:val="0"/>
      <w:marBottom w:val="0"/>
      <w:divBdr>
        <w:top w:val="none" w:sz="0" w:space="0" w:color="auto"/>
        <w:left w:val="none" w:sz="0" w:space="0" w:color="auto"/>
        <w:bottom w:val="none" w:sz="0" w:space="0" w:color="auto"/>
        <w:right w:val="none" w:sz="0" w:space="0" w:color="auto"/>
      </w:divBdr>
    </w:div>
    <w:div w:id="1903053343">
      <w:bodyDiv w:val="1"/>
      <w:marLeft w:val="0"/>
      <w:marRight w:val="0"/>
      <w:marTop w:val="0"/>
      <w:marBottom w:val="0"/>
      <w:divBdr>
        <w:top w:val="none" w:sz="0" w:space="0" w:color="auto"/>
        <w:left w:val="none" w:sz="0" w:space="0" w:color="auto"/>
        <w:bottom w:val="none" w:sz="0" w:space="0" w:color="auto"/>
        <w:right w:val="none" w:sz="0" w:space="0" w:color="auto"/>
      </w:divBdr>
    </w:div>
    <w:div w:id="1915702316">
      <w:bodyDiv w:val="1"/>
      <w:marLeft w:val="0"/>
      <w:marRight w:val="0"/>
      <w:marTop w:val="0"/>
      <w:marBottom w:val="0"/>
      <w:divBdr>
        <w:top w:val="none" w:sz="0" w:space="0" w:color="auto"/>
        <w:left w:val="none" w:sz="0" w:space="0" w:color="auto"/>
        <w:bottom w:val="none" w:sz="0" w:space="0" w:color="auto"/>
        <w:right w:val="none" w:sz="0" w:space="0" w:color="auto"/>
      </w:divBdr>
    </w:div>
    <w:div w:id="1951276125">
      <w:bodyDiv w:val="1"/>
      <w:marLeft w:val="0"/>
      <w:marRight w:val="0"/>
      <w:marTop w:val="0"/>
      <w:marBottom w:val="0"/>
      <w:divBdr>
        <w:top w:val="none" w:sz="0" w:space="0" w:color="auto"/>
        <w:left w:val="none" w:sz="0" w:space="0" w:color="auto"/>
        <w:bottom w:val="none" w:sz="0" w:space="0" w:color="auto"/>
        <w:right w:val="none" w:sz="0" w:space="0" w:color="auto"/>
      </w:divBdr>
    </w:div>
    <w:div w:id="2061974436">
      <w:bodyDiv w:val="1"/>
      <w:marLeft w:val="0"/>
      <w:marRight w:val="0"/>
      <w:marTop w:val="0"/>
      <w:marBottom w:val="0"/>
      <w:divBdr>
        <w:top w:val="none" w:sz="0" w:space="0" w:color="auto"/>
        <w:left w:val="none" w:sz="0" w:space="0" w:color="auto"/>
        <w:bottom w:val="none" w:sz="0" w:space="0" w:color="auto"/>
        <w:right w:val="none" w:sz="0" w:space="0" w:color="auto"/>
      </w:divBdr>
    </w:div>
    <w:div w:id="213845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EResources.com"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caetrm.com/login/?next=/" TargetMode="External"/><Relationship Id="rId13" Type="http://schemas.openxmlformats.org/officeDocument/2006/relationships/hyperlink" Target="https://pda.energydataweb.com/" TargetMode="External"/><Relationship Id="rId18" Type="http://schemas.openxmlformats.org/officeDocument/2006/relationships/hyperlink" Target="https://appliance-standards.org/products-and-links" TargetMode="External"/><Relationship Id="rId3" Type="http://schemas.openxmlformats.org/officeDocument/2006/relationships/hyperlink" Target="http://www.deeresources.com/index.php/deer-versions/deer2021" TargetMode="External"/><Relationship Id="rId7" Type="http://schemas.openxmlformats.org/officeDocument/2006/relationships/hyperlink" Target="https://cedars.sound-data.com/" TargetMode="External"/><Relationship Id="rId12" Type="http://schemas.openxmlformats.org/officeDocument/2006/relationships/hyperlink" Target="https://pda.energydataweb.com/" TargetMode="External"/><Relationship Id="rId17" Type="http://schemas.openxmlformats.org/officeDocument/2006/relationships/hyperlink" Target="https://pda.energydataweb.com/" TargetMode="External"/><Relationship Id="rId2" Type="http://schemas.openxmlformats.org/officeDocument/2006/relationships/hyperlink" Target="http://docs.cpuc.ca.gov/PublishedDocs/Published/G000/M179/K264/179264220.PDF" TargetMode="External"/><Relationship Id="rId16" Type="http://schemas.openxmlformats.org/officeDocument/2006/relationships/hyperlink" Target="https://pda.energydataweb.com/" TargetMode="External"/><Relationship Id="rId1" Type="http://schemas.openxmlformats.org/officeDocument/2006/relationships/hyperlink" Target="http://DEEResources.com" TargetMode="External"/><Relationship Id="rId6" Type="http://schemas.openxmlformats.org/officeDocument/2006/relationships/hyperlink" Target="https://www.caetrm.com" TargetMode="External"/><Relationship Id="rId11" Type="http://schemas.openxmlformats.org/officeDocument/2006/relationships/hyperlink" Target="https://pda.energydataweb.com/" TargetMode="External"/><Relationship Id="rId5" Type="http://schemas.openxmlformats.org/officeDocument/2006/relationships/hyperlink" Target="https://pda.energydataweb.com" TargetMode="External"/><Relationship Id="rId15" Type="http://schemas.openxmlformats.org/officeDocument/2006/relationships/hyperlink" Target="https://pda.energydataweb.com/" TargetMode="External"/><Relationship Id="rId10" Type="http://schemas.openxmlformats.org/officeDocument/2006/relationships/hyperlink" Target="https://pda.energydataweb.com/" TargetMode="External"/><Relationship Id="rId19" Type="http://schemas.openxmlformats.org/officeDocument/2006/relationships/hyperlink" Target="http://www.deeresources.com/files/deerchangelog/pearchangelog.html" TargetMode="External"/><Relationship Id="rId4" Type="http://schemas.openxmlformats.org/officeDocument/2006/relationships/hyperlink" Target="http://deeresources.com/index.php/deer-versions/deer2022" TargetMode="External"/><Relationship Id="rId9" Type="http://schemas.openxmlformats.org/officeDocument/2006/relationships/hyperlink" Target="https://pda.energydataweb.com/api/view/2325/2018-20_EMV_Plan_Final.pdf" TargetMode="External"/><Relationship Id="rId14" Type="http://schemas.openxmlformats.org/officeDocument/2006/relationships/hyperlink" Target="https://pda.energydatawe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E0A6807B35074D83221DBC86E3D2EA" ma:contentTypeVersion="0" ma:contentTypeDescription="Create a new document." ma:contentTypeScope="" ma:versionID="96fd03b17edf1bafb2439a555106a6c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6BEA-1671-46C9-B77D-D598DC054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6A344CE-CB62-48E7-BFD0-A3B598F8DD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337A0D-E535-4699-98E9-0D83537793A8}">
  <ds:schemaRefs>
    <ds:schemaRef ds:uri="http://schemas.microsoft.com/sharepoint/v3/contenttype/forms"/>
  </ds:schemaRefs>
</ds:datastoreItem>
</file>

<file path=customXml/itemProps4.xml><?xml version="1.0" encoding="utf-8"?>
<ds:datastoreItem xmlns:ds="http://schemas.openxmlformats.org/officeDocument/2006/customXml" ds:itemID="{D8922B59-F004-4EF6-A2F7-5F42778C0D0A}">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77</ap:Pages>
  <ap:Words>24039</ap:Words>
  <ap:Characters>137026</ap:Characters>
  <ap:Application>Microsoft Office Word</ap:Application>
  <ap:DocSecurity>0</ap:DocSecurity>
  <ap:Lines>1141</ap:Lines>
  <ap:Paragraphs>321</ap:Paragraphs>
  <ap:ScaleCrop>false</ap:ScaleCrop>
  <ap:HeadingPairs>
    <vt:vector baseType="variant" size="2">
      <vt:variant>
        <vt:lpstr>Title</vt:lpstr>
      </vt:variant>
      <vt:variant>
        <vt:i4>1</vt:i4>
      </vt:variant>
    </vt:vector>
  </ap:HeadingPairs>
  <ap:TitlesOfParts>
    <vt:vector baseType="lpstr" size="1">
      <vt:lpstr>DEER2022 Resolution</vt:lpstr>
    </vt:vector>
  </ap:TitlesOfParts>
  <ap:Company/>
  <ap:LinksUpToDate>false</ap:LinksUpToDate>
  <ap:CharactersWithSpaces>160744</ap:CharactersWithSpaces>
  <ap:SharedDoc>false</ap:SharedDoc>
  <ap:HLinks>
    <vt:vector baseType="variant" size="60">
      <vt:variant>
        <vt:i4>5832710</vt:i4>
      </vt:variant>
      <vt:variant>
        <vt:i4>0</vt:i4>
      </vt:variant>
      <vt:variant>
        <vt:i4>0</vt:i4>
      </vt:variant>
      <vt:variant>
        <vt:i4>5</vt:i4>
      </vt:variant>
      <vt:variant>
        <vt:lpwstr>http://deeresources.com/</vt:lpwstr>
      </vt:variant>
      <vt:variant>
        <vt:lpwstr/>
      </vt:variant>
      <vt:variant>
        <vt:i4>5898328</vt:i4>
      </vt:variant>
      <vt:variant>
        <vt:i4>36</vt:i4>
      </vt:variant>
      <vt:variant>
        <vt:i4>0</vt:i4>
      </vt:variant>
      <vt:variant>
        <vt:i4>5</vt:i4>
      </vt:variant>
      <vt:variant>
        <vt:lpwstr>https://www.caetrm.com/login/?next=/</vt:lpwstr>
      </vt:variant>
      <vt:variant>
        <vt:lpwstr/>
      </vt:variant>
      <vt:variant>
        <vt:i4>7995449</vt:i4>
      </vt:variant>
      <vt:variant>
        <vt:i4>33</vt:i4>
      </vt:variant>
      <vt:variant>
        <vt:i4>0</vt:i4>
      </vt:variant>
      <vt:variant>
        <vt:i4>5</vt:i4>
      </vt:variant>
      <vt:variant>
        <vt:lpwstr>https://cedars.sound-data.com/</vt:lpwstr>
      </vt:variant>
      <vt:variant>
        <vt:lpwstr/>
      </vt:variant>
      <vt:variant>
        <vt:i4>4063349</vt:i4>
      </vt:variant>
      <vt:variant>
        <vt:i4>18</vt:i4>
      </vt:variant>
      <vt:variant>
        <vt:i4>0</vt:i4>
      </vt:variant>
      <vt:variant>
        <vt:i4>5</vt:i4>
      </vt:variant>
      <vt:variant>
        <vt:lpwstr>https://www.caetrm.com/</vt:lpwstr>
      </vt:variant>
      <vt:variant>
        <vt:lpwstr/>
      </vt:variant>
      <vt:variant>
        <vt:i4>3473469</vt:i4>
      </vt:variant>
      <vt:variant>
        <vt:i4>15</vt:i4>
      </vt:variant>
      <vt:variant>
        <vt:i4>0</vt:i4>
      </vt:variant>
      <vt:variant>
        <vt:i4>5</vt:i4>
      </vt:variant>
      <vt:variant>
        <vt:lpwstr>https://pda.energydataweb.com/</vt:lpwstr>
      </vt:variant>
      <vt:variant>
        <vt:lpwstr/>
      </vt:variant>
      <vt:variant>
        <vt:i4>1376340</vt:i4>
      </vt:variant>
      <vt:variant>
        <vt:i4>12</vt:i4>
      </vt:variant>
      <vt:variant>
        <vt:i4>0</vt:i4>
      </vt:variant>
      <vt:variant>
        <vt:i4>5</vt:i4>
      </vt:variant>
      <vt:variant>
        <vt:lpwstr>http://deeresources.com/index.php/deer-versions/deer2022</vt:lpwstr>
      </vt:variant>
      <vt:variant>
        <vt:lpwstr/>
      </vt:variant>
      <vt:variant>
        <vt:i4>1441805</vt:i4>
      </vt:variant>
      <vt:variant>
        <vt:i4>9</vt:i4>
      </vt:variant>
      <vt:variant>
        <vt:i4>0</vt:i4>
      </vt:variant>
      <vt:variant>
        <vt:i4>5</vt:i4>
      </vt:variant>
      <vt:variant>
        <vt:lpwstr>http://www.deeresources.com/index.php/deer-versions/deer2021</vt:lpwstr>
      </vt:variant>
      <vt:variant>
        <vt:lpwstr/>
      </vt:variant>
      <vt:variant>
        <vt:i4>4325386</vt:i4>
      </vt:variant>
      <vt:variant>
        <vt:i4>6</vt:i4>
      </vt:variant>
      <vt:variant>
        <vt:i4>0</vt:i4>
      </vt:variant>
      <vt:variant>
        <vt:i4>5</vt:i4>
      </vt:variant>
      <vt:variant>
        <vt:lpwstr>http://docs.cpuc.ca.gov/PublishedDocs/Published/G000/M179/K264/179264220.PDF</vt:lpwstr>
      </vt:variant>
      <vt:variant>
        <vt:lpwstr/>
      </vt:variant>
      <vt:variant>
        <vt:i4>4653070</vt:i4>
      </vt:variant>
      <vt:variant>
        <vt:i4>3</vt:i4>
      </vt:variant>
      <vt:variant>
        <vt:i4>0</vt:i4>
      </vt:variant>
      <vt:variant>
        <vt:i4>5</vt:i4>
      </vt:variant>
      <vt:variant>
        <vt:lpwstr>http://docs.cpuc.ca.gov/PublishedDocs/Published/G000/M232/K459/232459122.PDF</vt:lpwstr>
      </vt:variant>
      <vt:variant>
        <vt:lpwstr/>
      </vt:variant>
      <vt:variant>
        <vt:i4>5832710</vt:i4>
      </vt:variant>
      <vt:variant>
        <vt:i4>0</vt:i4>
      </vt:variant>
      <vt:variant>
        <vt:i4>0</vt:i4>
      </vt:variant>
      <vt:variant>
        <vt:i4>5</vt:i4>
      </vt:variant>
      <vt:variant>
        <vt:lpwstr>http://deeresources.com/</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2019-07-10T20:34:00Z</cp:lastPrinted>
  <dcterms:created xsi:type="dcterms:W3CDTF">2020-07-21T11:39:13Z</dcterms:created>
  <dcterms:modified xsi:type="dcterms:W3CDTF">2020-07-21T11:39:13Z</dcterms:modified>
</cp:coreProperties>
</file>