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7B5D" w:rsidP="00D2534C" w:rsidRDefault="007D5F5F" w14:paraId="29C82B76" w14:textId="4E411D35">
      <w:pPr>
        <w:tabs>
          <w:tab w:val="center" w:pos="4320"/>
          <w:tab w:val="right" w:pos="9360"/>
        </w:tabs>
        <w:spacing w:line="240" w:lineRule="auto"/>
        <w:ind w:firstLine="0"/>
      </w:pPr>
      <w:r>
        <w:t>COM/CR6/mph</w:t>
      </w:r>
      <w:r w:rsidR="007E0FEE">
        <w:tab/>
      </w:r>
      <w:r w:rsidR="00D2534C">
        <w:tab/>
      </w:r>
      <w:r w:rsidRPr="00D2534C" w:rsidR="00D2534C">
        <w:rPr>
          <w:b/>
          <w:bCs/>
        </w:rPr>
        <w:t>Date of Issuance 7/22/2020</w:t>
      </w:r>
    </w:p>
    <w:p w:rsidR="00D2534C" w:rsidP="00D2534C" w:rsidRDefault="00D2534C" w14:paraId="47A03505" w14:textId="600BA74F">
      <w:pPr>
        <w:tabs>
          <w:tab w:val="center" w:pos="4320"/>
          <w:tab w:val="right" w:pos="9360"/>
        </w:tabs>
        <w:spacing w:line="240" w:lineRule="auto"/>
        <w:ind w:firstLine="0"/>
      </w:pPr>
    </w:p>
    <w:p w:rsidR="00D2534C" w:rsidP="00D2534C" w:rsidRDefault="00D2534C" w14:paraId="3A1E75C4" w14:textId="77777777">
      <w:pPr>
        <w:tabs>
          <w:tab w:val="center" w:pos="4320"/>
          <w:tab w:val="right" w:pos="9360"/>
        </w:tabs>
        <w:spacing w:line="240" w:lineRule="auto"/>
        <w:ind w:firstLine="0"/>
      </w:pPr>
    </w:p>
    <w:p w:rsidRPr="00EE3060" w:rsidR="00734759" w:rsidP="00734759" w:rsidRDefault="00DA7B5D" w14:paraId="0D2CFE3E" w14:textId="5BAB0563">
      <w:pPr>
        <w:spacing w:line="240" w:lineRule="auto"/>
        <w:ind w:left="1080" w:hanging="1080"/>
      </w:pPr>
      <w:r>
        <w:t xml:space="preserve">Decision </w:t>
      </w:r>
      <w:r w:rsidR="00D2534C">
        <w:t>20-07-032 July 16, 2020</w:t>
      </w:r>
    </w:p>
    <w:p w:rsidR="00DA7B5D" w:rsidP="00BB0243" w:rsidRDefault="00DA7B5D" w14:paraId="26BFEECB" w14:textId="77777777">
      <w:pPr>
        <w:spacing w:line="240" w:lineRule="auto"/>
        <w:jc w:val="center"/>
        <w:rPr>
          <w:u w:val="single"/>
        </w:rPr>
      </w:pPr>
    </w:p>
    <w:p w:rsidR="00DA7B5D" w:rsidP="00BB0243" w:rsidRDefault="00DA7B5D" w14:paraId="2C389E84"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1325ED58"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680"/>
        <w:gridCol w:w="4680"/>
      </w:tblGrid>
      <w:tr w:rsidR="00DA7B5D" w:rsidTr="00E725FC" w14:paraId="501862FD" w14:textId="77777777">
        <w:trPr>
          <w:jc w:val="center"/>
        </w:trPr>
        <w:tc>
          <w:tcPr>
            <w:tcW w:w="5040" w:type="dxa"/>
            <w:tcBorders>
              <w:top w:val="nil"/>
              <w:left w:val="nil"/>
              <w:bottom w:val="single" w:color="auto" w:sz="4" w:space="0"/>
              <w:right w:val="single" w:color="auto" w:sz="4" w:space="0"/>
            </w:tcBorders>
          </w:tcPr>
          <w:p w:rsidRPr="00DA7B5D" w:rsidR="00DA7B5D" w:rsidP="00C10B5F" w:rsidRDefault="005F7ECD" w14:paraId="310F1612" w14:textId="3E45AF5E">
            <w:pPr>
              <w:spacing w:line="240" w:lineRule="auto"/>
              <w:ind w:firstLine="0"/>
              <w:rPr>
                <w:rFonts w:cs="Arial"/>
                <w:szCs w:val="26"/>
              </w:rPr>
            </w:pPr>
            <w:r w:rsidRPr="005F7ECD">
              <w:rPr>
                <w:rFonts w:cs="Arial"/>
                <w:szCs w:val="26"/>
              </w:rPr>
              <w:t>Order Instituting Rulemaking to Establish A Framework and Processes for Assessing the Affordability of Utility Service</w:t>
            </w:r>
            <w:r w:rsidR="00FC31EA">
              <w:rPr>
                <w:rFonts w:cs="Arial"/>
                <w:szCs w:val="26"/>
              </w:rPr>
              <w:t>.</w:t>
            </w:r>
            <w:r w:rsidRPr="00DA7B5D" w:rsidR="00DA7B5D">
              <w:rPr>
                <w:rFonts w:cs="Arial"/>
                <w:szCs w:val="26"/>
              </w:rPr>
              <w:br/>
            </w:r>
          </w:p>
        </w:tc>
        <w:tc>
          <w:tcPr>
            <w:tcW w:w="5040" w:type="dxa"/>
            <w:tcBorders>
              <w:top w:val="nil"/>
              <w:left w:val="single" w:color="auto" w:sz="4" w:space="0"/>
              <w:bottom w:val="nil"/>
              <w:right w:val="nil"/>
            </w:tcBorders>
            <w:vAlign w:val="center"/>
          </w:tcPr>
          <w:p w:rsidRPr="00DA7B5D" w:rsidR="00DA7B5D" w:rsidP="00412C83" w:rsidRDefault="005F7ECD" w14:paraId="2ACE86DC" w14:textId="77777777">
            <w:pPr>
              <w:spacing w:line="240" w:lineRule="auto"/>
              <w:ind w:firstLine="0"/>
              <w:jc w:val="center"/>
              <w:rPr>
                <w:rFonts w:cs="Arial"/>
                <w:szCs w:val="26"/>
              </w:rPr>
            </w:pPr>
            <w:r>
              <w:rPr>
                <w:rFonts w:cs="Arial"/>
                <w:szCs w:val="26"/>
              </w:rPr>
              <w:t>Rulemaking 18-07-006</w:t>
            </w:r>
          </w:p>
        </w:tc>
      </w:tr>
    </w:tbl>
    <w:p w:rsidR="00DA7B5D" w:rsidP="008F0116" w:rsidRDefault="00DA7B5D" w14:paraId="529A5F2C" w14:textId="77777777">
      <w:pPr>
        <w:spacing w:line="240" w:lineRule="auto"/>
        <w:ind w:firstLine="0"/>
        <w:rPr>
          <w:rFonts w:ascii="Arial" w:hAnsi="Arial" w:cs="Arial"/>
          <w:sz w:val="24"/>
          <w:szCs w:val="24"/>
        </w:rPr>
      </w:pPr>
    </w:p>
    <w:p w:rsidR="00DA7B5D" w:rsidP="008F0116" w:rsidRDefault="00DA7B5D" w14:paraId="0741FDF8" w14:textId="77777777">
      <w:pPr>
        <w:spacing w:line="240" w:lineRule="auto"/>
        <w:ind w:firstLine="0"/>
        <w:rPr>
          <w:rFonts w:ascii="Arial" w:hAnsi="Arial" w:cs="Arial"/>
          <w:sz w:val="24"/>
          <w:szCs w:val="24"/>
        </w:rPr>
      </w:pPr>
    </w:p>
    <w:p w:rsidR="00F92385" w:rsidP="00B3087D" w:rsidRDefault="005F7ECD" w14:paraId="66F8223F" w14:textId="77777777">
      <w:pPr>
        <w:pStyle w:val="Dummy"/>
        <w:jc w:val="center"/>
      </w:pPr>
      <w:bookmarkStart w:name="_Toc40967131" w:id="0"/>
      <w:bookmarkStart w:name="_Toc46308171" w:id="1"/>
      <w:r>
        <w:t>DECISION ADOPTING METRIC</w:t>
      </w:r>
      <w:r w:rsidR="00A425C8">
        <w:t>S</w:t>
      </w:r>
      <w:r>
        <w:t xml:space="preserve"> AND METHODOLOG</w:t>
      </w:r>
      <w:r w:rsidR="00A425C8">
        <w:t>IES</w:t>
      </w:r>
      <w:r>
        <w:t xml:space="preserve"> FOR ASSESSING THE RELATIVE AFFORDABILITY OF UTILITY SERVICE</w:t>
      </w:r>
      <w:bookmarkEnd w:id="0"/>
      <w:bookmarkEnd w:id="1"/>
    </w:p>
    <w:p w:rsidR="007D5F5F" w:rsidP="007D5F5F" w:rsidRDefault="007D5F5F" w14:paraId="2AF9106C" w14:textId="77777777"/>
    <w:p w:rsidR="007D5F5F" w:rsidP="007D5F5F" w:rsidRDefault="007D5F5F" w14:paraId="11C2E07A" w14:textId="77777777">
      <w:pPr>
        <w:sectPr w:rsidR="007D5F5F" w:rsidSect="00D44DB6">
          <w:footerReference w:type="first" r:id="rId11"/>
          <w:pgSz w:w="12240" w:h="15840"/>
          <w:pgMar w:top="1440" w:right="1440" w:bottom="1440" w:left="1440" w:header="720" w:footer="720" w:gutter="0"/>
          <w:cols w:space="720"/>
          <w:titlePg/>
          <w:docGrid w:linePitch="360"/>
        </w:sectPr>
      </w:pPr>
    </w:p>
    <w:p w:rsidR="007D5F5F" w:rsidP="007D5F5F" w:rsidRDefault="007D5F5F" w14:paraId="5567C4E9" w14:textId="77777777"/>
    <w:p w:rsidRPr="001E2A62" w:rsidR="007D5F5F" w:rsidP="007D5F5F" w:rsidRDefault="007D5F5F" w14:paraId="17227A90" w14:textId="77777777">
      <w:pPr>
        <w:pStyle w:val="Main"/>
        <w:rPr>
          <w:rFonts w:ascii="Book Antiqua" w:hAnsi="Book Antiqua"/>
        </w:rPr>
      </w:pPr>
      <w:r>
        <w:tab/>
      </w:r>
      <w:r w:rsidRPr="001E2A62">
        <w:rPr>
          <w:rFonts w:ascii="Book Antiqua" w:hAnsi="Book Antiqua"/>
        </w:rPr>
        <w:t>TABLE OF CONTENTS</w:t>
      </w:r>
    </w:p>
    <w:p w:rsidRPr="00D50119" w:rsidR="007D5F5F" w:rsidP="007D5F5F" w:rsidRDefault="007D5F5F" w14:paraId="20C49FA3" w14:textId="77777777">
      <w:pPr>
        <w:tabs>
          <w:tab w:val="right" w:pos="9360"/>
        </w:tabs>
        <w:ind w:firstLine="0"/>
      </w:pPr>
      <w:r w:rsidRPr="00D50119">
        <w:rPr>
          <w:b/>
        </w:rPr>
        <w:t>Title</w:t>
      </w:r>
      <w:r>
        <w:tab/>
      </w:r>
      <w:r w:rsidRPr="00D50119">
        <w:rPr>
          <w:b/>
        </w:rPr>
        <w:t>Page</w:t>
      </w:r>
    </w:p>
    <w:p w:rsidR="005F01C2" w:rsidRDefault="001574C1" w14:paraId="0094C45A" w14:textId="13E350BF">
      <w:pPr>
        <w:pStyle w:val="TOC1"/>
        <w:tabs>
          <w:tab w:val="right" w:leader="dot" w:pos="9350"/>
        </w:tabs>
        <w:rPr>
          <w:rFonts w:asciiTheme="minorHAnsi" w:hAnsiTheme="minorHAnsi" w:cstheme="minorBidi"/>
          <w:noProof/>
          <w:sz w:val="22"/>
        </w:rPr>
      </w:pPr>
      <w:r>
        <w:fldChar w:fldCharType="begin"/>
      </w:r>
      <w:r>
        <w:instrText xml:space="preserve"> TOC \o "1-3" \h \z \u </w:instrText>
      </w:r>
      <w:r>
        <w:fldChar w:fldCharType="separate"/>
      </w:r>
      <w:hyperlink w:history="1" w:anchor="_Toc46308171">
        <w:r w:rsidRPr="00920F1D" w:rsidR="005F01C2">
          <w:rPr>
            <w:rStyle w:val="Hyperlink"/>
            <w:noProof/>
          </w:rPr>
          <w:t>DECISION ADOPTING METRICS AND METHODOLOGIES FOR ASSESSING THE RELATIVE AFFORDABILITY OF UTILITY SERVICE</w:t>
        </w:r>
        <w:r w:rsidR="005F01C2">
          <w:rPr>
            <w:noProof/>
            <w:webHidden/>
          </w:rPr>
          <w:tab/>
        </w:r>
        <w:r w:rsidR="005F01C2">
          <w:rPr>
            <w:noProof/>
            <w:webHidden/>
          </w:rPr>
          <w:fldChar w:fldCharType="begin"/>
        </w:r>
        <w:r w:rsidR="005F01C2">
          <w:rPr>
            <w:noProof/>
            <w:webHidden/>
          </w:rPr>
          <w:instrText xml:space="preserve"> PAGEREF _Toc46308171 \h </w:instrText>
        </w:r>
        <w:r w:rsidR="005F01C2">
          <w:rPr>
            <w:noProof/>
            <w:webHidden/>
          </w:rPr>
        </w:r>
        <w:r w:rsidR="005F01C2">
          <w:rPr>
            <w:noProof/>
            <w:webHidden/>
          </w:rPr>
          <w:fldChar w:fldCharType="separate"/>
        </w:r>
        <w:r w:rsidR="005F01C2">
          <w:rPr>
            <w:noProof/>
            <w:webHidden/>
          </w:rPr>
          <w:t>1</w:t>
        </w:r>
        <w:r w:rsidR="005F01C2">
          <w:rPr>
            <w:noProof/>
            <w:webHidden/>
          </w:rPr>
          <w:fldChar w:fldCharType="end"/>
        </w:r>
      </w:hyperlink>
    </w:p>
    <w:p w:rsidR="005F01C2" w:rsidRDefault="005F01C2" w14:paraId="663D50F4" w14:textId="0D3592A7">
      <w:pPr>
        <w:pStyle w:val="TOC1"/>
        <w:tabs>
          <w:tab w:val="right" w:leader="dot" w:pos="9350"/>
        </w:tabs>
        <w:rPr>
          <w:rFonts w:asciiTheme="minorHAnsi" w:hAnsiTheme="minorHAnsi" w:cstheme="minorBidi"/>
          <w:noProof/>
          <w:sz w:val="22"/>
        </w:rPr>
      </w:pPr>
      <w:hyperlink w:history="1" w:anchor="_Toc46308172">
        <w:r w:rsidRPr="00920F1D">
          <w:rPr>
            <w:rStyle w:val="Hyperlink"/>
            <w:noProof/>
          </w:rPr>
          <w:t>Summary</w:t>
        </w:r>
        <w:r>
          <w:rPr>
            <w:noProof/>
            <w:webHidden/>
          </w:rPr>
          <w:tab/>
        </w:r>
        <w:r>
          <w:rPr>
            <w:noProof/>
            <w:webHidden/>
          </w:rPr>
          <w:fldChar w:fldCharType="begin"/>
        </w:r>
        <w:r>
          <w:rPr>
            <w:noProof/>
            <w:webHidden/>
          </w:rPr>
          <w:instrText xml:space="preserve"> PAGEREF _Toc46308172 \h </w:instrText>
        </w:r>
        <w:r>
          <w:rPr>
            <w:noProof/>
            <w:webHidden/>
          </w:rPr>
        </w:r>
        <w:r>
          <w:rPr>
            <w:noProof/>
            <w:webHidden/>
          </w:rPr>
          <w:fldChar w:fldCharType="separate"/>
        </w:r>
        <w:r>
          <w:rPr>
            <w:noProof/>
            <w:webHidden/>
          </w:rPr>
          <w:t>2</w:t>
        </w:r>
        <w:r>
          <w:rPr>
            <w:noProof/>
            <w:webHidden/>
          </w:rPr>
          <w:fldChar w:fldCharType="end"/>
        </w:r>
      </w:hyperlink>
    </w:p>
    <w:p w:rsidR="005F01C2" w:rsidRDefault="005F01C2" w14:paraId="59577D33" w14:textId="41BFDEC5">
      <w:pPr>
        <w:pStyle w:val="TOC1"/>
        <w:tabs>
          <w:tab w:val="right" w:leader="dot" w:pos="9350"/>
        </w:tabs>
        <w:rPr>
          <w:rFonts w:asciiTheme="minorHAnsi" w:hAnsiTheme="minorHAnsi" w:cstheme="minorBidi"/>
          <w:noProof/>
          <w:sz w:val="22"/>
        </w:rPr>
      </w:pPr>
      <w:hyperlink w:history="1" w:anchor="_Toc46308173">
        <w:r w:rsidRPr="00920F1D">
          <w:rPr>
            <w:rStyle w:val="Hyperlink"/>
            <w:noProof/>
          </w:rPr>
          <w:t>1.</w:t>
        </w:r>
        <w:r>
          <w:rPr>
            <w:rFonts w:asciiTheme="minorHAnsi" w:hAnsiTheme="minorHAnsi" w:cstheme="minorBidi"/>
            <w:noProof/>
            <w:sz w:val="22"/>
          </w:rPr>
          <w:tab/>
        </w:r>
        <w:r w:rsidRPr="00920F1D">
          <w:rPr>
            <w:rStyle w:val="Hyperlink"/>
            <w:noProof/>
          </w:rPr>
          <w:t>Procedural and Factual Background</w:t>
        </w:r>
        <w:r>
          <w:rPr>
            <w:noProof/>
            <w:webHidden/>
          </w:rPr>
          <w:tab/>
        </w:r>
        <w:r>
          <w:rPr>
            <w:noProof/>
            <w:webHidden/>
          </w:rPr>
          <w:fldChar w:fldCharType="begin"/>
        </w:r>
        <w:r>
          <w:rPr>
            <w:noProof/>
            <w:webHidden/>
          </w:rPr>
          <w:instrText xml:space="preserve"> PAGEREF _Toc46308173 \h </w:instrText>
        </w:r>
        <w:r>
          <w:rPr>
            <w:noProof/>
            <w:webHidden/>
          </w:rPr>
        </w:r>
        <w:r>
          <w:rPr>
            <w:noProof/>
            <w:webHidden/>
          </w:rPr>
          <w:fldChar w:fldCharType="separate"/>
        </w:r>
        <w:r>
          <w:rPr>
            <w:noProof/>
            <w:webHidden/>
          </w:rPr>
          <w:t>3</w:t>
        </w:r>
        <w:r>
          <w:rPr>
            <w:noProof/>
            <w:webHidden/>
          </w:rPr>
          <w:fldChar w:fldCharType="end"/>
        </w:r>
      </w:hyperlink>
    </w:p>
    <w:p w:rsidR="005F01C2" w:rsidRDefault="005F01C2" w14:paraId="0C6AFF32" w14:textId="3EB6BE9D">
      <w:pPr>
        <w:pStyle w:val="TOC1"/>
        <w:tabs>
          <w:tab w:val="right" w:leader="dot" w:pos="9350"/>
        </w:tabs>
        <w:rPr>
          <w:rFonts w:asciiTheme="minorHAnsi" w:hAnsiTheme="minorHAnsi" w:cstheme="minorBidi"/>
          <w:noProof/>
          <w:sz w:val="22"/>
        </w:rPr>
      </w:pPr>
      <w:hyperlink w:history="1" w:anchor="_Toc46308174">
        <w:r w:rsidRPr="00920F1D">
          <w:rPr>
            <w:rStyle w:val="Hyperlink"/>
            <w:noProof/>
          </w:rPr>
          <w:t>2.</w:t>
        </w:r>
        <w:r>
          <w:rPr>
            <w:rFonts w:asciiTheme="minorHAnsi" w:hAnsiTheme="minorHAnsi" w:cstheme="minorBidi"/>
            <w:noProof/>
            <w:sz w:val="22"/>
          </w:rPr>
          <w:tab/>
        </w:r>
        <w:r w:rsidRPr="00920F1D">
          <w:rPr>
            <w:rStyle w:val="Hyperlink"/>
            <w:noProof/>
          </w:rPr>
          <w:t>Jurisdiction</w:t>
        </w:r>
        <w:r>
          <w:rPr>
            <w:noProof/>
            <w:webHidden/>
          </w:rPr>
          <w:tab/>
        </w:r>
        <w:r>
          <w:rPr>
            <w:noProof/>
            <w:webHidden/>
          </w:rPr>
          <w:fldChar w:fldCharType="begin"/>
        </w:r>
        <w:r>
          <w:rPr>
            <w:noProof/>
            <w:webHidden/>
          </w:rPr>
          <w:instrText xml:space="preserve"> PAGEREF _Toc46308174 \h </w:instrText>
        </w:r>
        <w:r>
          <w:rPr>
            <w:noProof/>
            <w:webHidden/>
          </w:rPr>
        </w:r>
        <w:r>
          <w:rPr>
            <w:noProof/>
            <w:webHidden/>
          </w:rPr>
          <w:fldChar w:fldCharType="separate"/>
        </w:r>
        <w:r>
          <w:rPr>
            <w:noProof/>
            <w:webHidden/>
          </w:rPr>
          <w:t>5</w:t>
        </w:r>
        <w:r>
          <w:rPr>
            <w:noProof/>
            <w:webHidden/>
          </w:rPr>
          <w:fldChar w:fldCharType="end"/>
        </w:r>
      </w:hyperlink>
    </w:p>
    <w:p w:rsidR="005F01C2" w:rsidRDefault="005F01C2" w14:paraId="7FCCE9B1" w14:textId="197D6718">
      <w:pPr>
        <w:pStyle w:val="TOC1"/>
        <w:tabs>
          <w:tab w:val="right" w:leader="dot" w:pos="9350"/>
        </w:tabs>
        <w:rPr>
          <w:rFonts w:asciiTheme="minorHAnsi" w:hAnsiTheme="minorHAnsi" w:cstheme="minorBidi"/>
          <w:noProof/>
          <w:sz w:val="22"/>
        </w:rPr>
      </w:pPr>
      <w:hyperlink w:history="1" w:anchor="_Toc46308175">
        <w:r w:rsidRPr="00920F1D">
          <w:rPr>
            <w:rStyle w:val="Hyperlink"/>
            <w:noProof/>
          </w:rPr>
          <w:t>3.</w:t>
        </w:r>
        <w:r>
          <w:rPr>
            <w:rFonts w:asciiTheme="minorHAnsi" w:hAnsiTheme="minorHAnsi" w:cstheme="minorBidi"/>
            <w:noProof/>
            <w:sz w:val="22"/>
          </w:rPr>
          <w:tab/>
        </w:r>
        <w:r w:rsidRPr="00920F1D">
          <w:rPr>
            <w:rStyle w:val="Hyperlink"/>
            <w:noProof/>
          </w:rPr>
          <w:t>Issues Before the Commission</w:t>
        </w:r>
        <w:r>
          <w:rPr>
            <w:noProof/>
            <w:webHidden/>
          </w:rPr>
          <w:tab/>
        </w:r>
        <w:r>
          <w:rPr>
            <w:noProof/>
            <w:webHidden/>
          </w:rPr>
          <w:fldChar w:fldCharType="begin"/>
        </w:r>
        <w:r>
          <w:rPr>
            <w:noProof/>
            <w:webHidden/>
          </w:rPr>
          <w:instrText xml:space="preserve"> PAGEREF _Toc46308175 \h </w:instrText>
        </w:r>
        <w:r>
          <w:rPr>
            <w:noProof/>
            <w:webHidden/>
          </w:rPr>
        </w:r>
        <w:r>
          <w:rPr>
            <w:noProof/>
            <w:webHidden/>
          </w:rPr>
          <w:fldChar w:fldCharType="separate"/>
        </w:r>
        <w:r>
          <w:rPr>
            <w:noProof/>
            <w:webHidden/>
          </w:rPr>
          <w:t>5</w:t>
        </w:r>
        <w:r>
          <w:rPr>
            <w:noProof/>
            <w:webHidden/>
          </w:rPr>
          <w:fldChar w:fldCharType="end"/>
        </w:r>
      </w:hyperlink>
    </w:p>
    <w:p w:rsidR="005F01C2" w:rsidRDefault="005F01C2" w14:paraId="732E24E8" w14:textId="1902ED1E">
      <w:pPr>
        <w:pStyle w:val="TOC1"/>
        <w:tabs>
          <w:tab w:val="right" w:leader="dot" w:pos="9350"/>
        </w:tabs>
        <w:rPr>
          <w:rFonts w:asciiTheme="minorHAnsi" w:hAnsiTheme="minorHAnsi" w:cstheme="minorBidi"/>
          <w:noProof/>
          <w:sz w:val="22"/>
        </w:rPr>
      </w:pPr>
      <w:hyperlink w:history="1" w:anchor="_Toc46308176">
        <w:r w:rsidRPr="00920F1D">
          <w:rPr>
            <w:rStyle w:val="Hyperlink"/>
            <w:noProof/>
          </w:rPr>
          <w:t>4.</w:t>
        </w:r>
        <w:r>
          <w:rPr>
            <w:rFonts w:asciiTheme="minorHAnsi" w:hAnsiTheme="minorHAnsi" w:cstheme="minorBidi"/>
            <w:noProof/>
            <w:sz w:val="22"/>
          </w:rPr>
          <w:tab/>
        </w:r>
        <w:r w:rsidRPr="00920F1D">
          <w:rPr>
            <w:rStyle w:val="Hyperlink"/>
            <w:noProof/>
          </w:rPr>
          <w:t>Affordability Metrics</w:t>
        </w:r>
        <w:r>
          <w:rPr>
            <w:noProof/>
            <w:webHidden/>
          </w:rPr>
          <w:tab/>
        </w:r>
        <w:r>
          <w:rPr>
            <w:noProof/>
            <w:webHidden/>
          </w:rPr>
          <w:fldChar w:fldCharType="begin"/>
        </w:r>
        <w:r>
          <w:rPr>
            <w:noProof/>
            <w:webHidden/>
          </w:rPr>
          <w:instrText xml:space="preserve"> PAGEREF _Toc46308176 \h </w:instrText>
        </w:r>
        <w:r>
          <w:rPr>
            <w:noProof/>
            <w:webHidden/>
          </w:rPr>
        </w:r>
        <w:r>
          <w:rPr>
            <w:noProof/>
            <w:webHidden/>
          </w:rPr>
          <w:fldChar w:fldCharType="separate"/>
        </w:r>
        <w:r>
          <w:rPr>
            <w:noProof/>
            <w:webHidden/>
          </w:rPr>
          <w:t>6</w:t>
        </w:r>
        <w:r>
          <w:rPr>
            <w:noProof/>
            <w:webHidden/>
          </w:rPr>
          <w:fldChar w:fldCharType="end"/>
        </w:r>
      </w:hyperlink>
    </w:p>
    <w:p w:rsidR="005F01C2" w:rsidRDefault="005F01C2" w14:paraId="4C4AD0FE" w14:textId="442C125F">
      <w:pPr>
        <w:pStyle w:val="TOC2"/>
        <w:tabs>
          <w:tab w:val="right" w:leader="dot" w:pos="9350"/>
        </w:tabs>
        <w:rPr>
          <w:rFonts w:asciiTheme="minorHAnsi" w:hAnsiTheme="minorHAnsi" w:cstheme="minorBidi"/>
          <w:noProof/>
          <w:sz w:val="22"/>
        </w:rPr>
      </w:pPr>
      <w:hyperlink w:history="1" w:anchor="_Toc46308177">
        <w:r w:rsidRPr="00920F1D">
          <w:rPr>
            <w:rStyle w:val="Hyperlink"/>
            <w:noProof/>
          </w:rPr>
          <w:t>4.1.</w:t>
        </w:r>
        <w:r>
          <w:rPr>
            <w:rFonts w:asciiTheme="minorHAnsi" w:hAnsiTheme="minorHAnsi" w:cstheme="minorBidi"/>
            <w:noProof/>
            <w:sz w:val="22"/>
          </w:rPr>
          <w:tab/>
        </w:r>
        <w:r w:rsidRPr="00920F1D">
          <w:rPr>
            <w:rStyle w:val="Hyperlink"/>
            <w:noProof/>
          </w:rPr>
          <w:t>Statutory Background</w:t>
        </w:r>
        <w:r>
          <w:rPr>
            <w:noProof/>
            <w:webHidden/>
          </w:rPr>
          <w:tab/>
        </w:r>
        <w:r>
          <w:rPr>
            <w:noProof/>
            <w:webHidden/>
          </w:rPr>
          <w:fldChar w:fldCharType="begin"/>
        </w:r>
        <w:r>
          <w:rPr>
            <w:noProof/>
            <w:webHidden/>
          </w:rPr>
          <w:instrText xml:space="preserve"> PAGEREF _Toc46308177 \h </w:instrText>
        </w:r>
        <w:r>
          <w:rPr>
            <w:noProof/>
            <w:webHidden/>
          </w:rPr>
        </w:r>
        <w:r>
          <w:rPr>
            <w:noProof/>
            <w:webHidden/>
          </w:rPr>
          <w:fldChar w:fldCharType="separate"/>
        </w:r>
        <w:r>
          <w:rPr>
            <w:noProof/>
            <w:webHidden/>
          </w:rPr>
          <w:t>7</w:t>
        </w:r>
        <w:r>
          <w:rPr>
            <w:noProof/>
            <w:webHidden/>
          </w:rPr>
          <w:fldChar w:fldCharType="end"/>
        </w:r>
      </w:hyperlink>
    </w:p>
    <w:p w:rsidR="005F01C2" w:rsidRDefault="005F01C2" w14:paraId="6D406BB9" w14:textId="1ED3D8A3">
      <w:pPr>
        <w:pStyle w:val="TOC2"/>
        <w:tabs>
          <w:tab w:val="right" w:leader="dot" w:pos="9350"/>
        </w:tabs>
        <w:rPr>
          <w:rFonts w:asciiTheme="minorHAnsi" w:hAnsiTheme="minorHAnsi" w:cstheme="minorBidi"/>
          <w:noProof/>
          <w:sz w:val="22"/>
        </w:rPr>
      </w:pPr>
      <w:hyperlink w:history="1" w:anchor="_Toc46308178">
        <w:r w:rsidRPr="00920F1D">
          <w:rPr>
            <w:rStyle w:val="Hyperlink"/>
            <w:noProof/>
          </w:rPr>
          <w:t>4.2.</w:t>
        </w:r>
        <w:r>
          <w:rPr>
            <w:rFonts w:asciiTheme="minorHAnsi" w:hAnsiTheme="minorHAnsi" w:cstheme="minorBidi"/>
            <w:noProof/>
            <w:sz w:val="22"/>
          </w:rPr>
          <w:tab/>
        </w:r>
        <w:r w:rsidRPr="00920F1D">
          <w:rPr>
            <w:rStyle w:val="Hyperlink"/>
            <w:noProof/>
          </w:rPr>
          <w:t>Defining the Nature of Affordability</w:t>
        </w:r>
        <w:r>
          <w:rPr>
            <w:noProof/>
            <w:webHidden/>
          </w:rPr>
          <w:tab/>
        </w:r>
        <w:r>
          <w:rPr>
            <w:noProof/>
            <w:webHidden/>
          </w:rPr>
          <w:fldChar w:fldCharType="begin"/>
        </w:r>
        <w:r>
          <w:rPr>
            <w:noProof/>
            <w:webHidden/>
          </w:rPr>
          <w:instrText xml:space="preserve"> PAGEREF _Toc46308178 \h </w:instrText>
        </w:r>
        <w:r>
          <w:rPr>
            <w:noProof/>
            <w:webHidden/>
          </w:rPr>
        </w:r>
        <w:r>
          <w:rPr>
            <w:noProof/>
            <w:webHidden/>
          </w:rPr>
          <w:fldChar w:fldCharType="separate"/>
        </w:r>
        <w:r>
          <w:rPr>
            <w:noProof/>
            <w:webHidden/>
          </w:rPr>
          <w:t>7</w:t>
        </w:r>
        <w:r>
          <w:rPr>
            <w:noProof/>
            <w:webHidden/>
          </w:rPr>
          <w:fldChar w:fldCharType="end"/>
        </w:r>
      </w:hyperlink>
    </w:p>
    <w:p w:rsidR="005F01C2" w:rsidRDefault="005F01C2" w14:paraId="5B719509" w14:textId="21ABAD13">
      <w:pPr>
        <w:pStyle w:val="TOC2"/>
        <w:tabs>
          <w:tab w:val="right" w:leader="dot" w:pos="9350"/>
        </w:tabs>
        <w:rPr>
          <w:rFonts w:asciiTheme="minorHAnsi" w:hAnsiTheme="minorHAnsi" w:cstheme="minorBidi"/>
          <w:noProof/>
          <w:sz w:val="22"/>
        </w:rPr>
      </w:pPr>
      <w:hyperlink w:history="1" w:anchor="_Toc46308179">
        <w:r w:rsidRPr="00920F1D">
          <w:rPr>
            <w:rStyle w:val="Hyperlink"/>
            <w:noProof/>
          </w:rPr>
          <w:t>4.3.</w:t>
        </w:r>
        <w:r>
          <w:rPr>
            <w:rFonts w:asciiTheme="minorHAnsi" w:hAnsiTheme="minorHAnsi" w:cstheme="minorBidi"/>
            <w:noProof/>
            <w:sz w:val="22"/>
          </w:rPr>
          <w:tab/>
        </w:r>
        <w:r w:rsidRPr="00920F1D">
          <w:rPr>
            <w:rStyle w:val="Hyperlink"/>
            <w:noProof/>
          </w:rPr>
          <w:t>The Three Proposed Metrics</w:t>
        </w:r>
        <w:r>
          <w:rPr>
            <w:noProof/>
            <w:webHidden/>
          </w:rPr>
          <w:tab/>
        </w:r>
        <w:r>
          <w:rPr>
            <w:noProof/>
            <w:webHidden/>
          </w:rPr>
          <w:fldChar w:fldCharType="begin"/>
        </w:r>
        <w:r>
          <w:rPr>
            <w:noProof/>
            <w:webHidden/>
          </w:rPr>
          <w:instrText xml:space="preserve"> PAGEREF _Toc46308179 \h </w:instrText>
        </w:r>
        <w:r>
          <w:rPr>
            <w:noProof/>
            <w:webHidden/>
          </w:rPr>
        </w:r>
        <w:r>
          <w:rPr>
            <w:noProof/>
            <w:webHidden/>
          </w:rPr>
          <w:fldChar w:fldCharType="separate"/>
        </w:r>
        <w:r>
          <w:rPr>
            <w:noProof/>
            <w:webHidden/>
          </w:rPr>
          <w:t>10</w:t>
        </w:r>
        <w:r>
          <w:rPr>
            <w:noProof/>
            <w:webHidden/>
          </w:rPr>
          <w:fldChar w:fldCharType="end"/>
        </w:r>
      </w:hyperlink>
    </w:p>
    <w:p w:rsidR="005F01C2" w:rsidRDefault="005F01C2" w14:paraId="2F6F6BCA" w14:textId="09099348">
      <w:pPr>
        <w:pStyle w:val="TOC3"/>
        <w:tabs>
          <w:tab w:val="left" w:pos="1296"/>
          <w:tab w:val="right" w:leader="dot" w:pos="9350"/>
        </w:tabs>
        <w:rPr>
          <w:rFonts w:asciiTheme="minorHAnsi" w:hAnsiTheme="minorHAnsi" w:cstheme="minorBidi"/>
          <w:noProof/>
          <w:sz w:val="22"/>
        </w:rPr>
      </w:pPr>
      <w:hyperlink w:history="1" w:anchor="_Toc46308180">
        <w:r w:rsidRPr="00920F1D">
          <w:rPr>
            <w:rStyle w:val="Hyperlink"/>
            <w:noProof/>
          </w:rPr>
          <w:t>4.3.1.</w:t>
        </w:r>
        <w:r>
          <w:rPr>
            <w:rFonts w:asciiTheme="minorHAnsi" w:hAnsiTheme="minorHAnsi" w:cstheme="minorBidi"/>
            <w:noProof/>
            <w:sz w:val="22"/>
          </w:rPr>
          <w:tab/>
        </w:r>
        <w:r w:rsidRPr="00920F1D">
          <w:rPr>
            <w:rStyle w:val="Hyperlink"/>
            <w:noProof/>
          </w:rPr>
          <w:t>Hours at Minimum Wage</w:t>
        </w:r>
        <w:r>
          <w:rPr>
            <w:noProof/>
            <w:webHidden/>
          </w:rPr>
          <w:tab/>
        </w:r>
        <w:r>
          <w:rPr>
            <w:noProof/>
            <w:webHidden/>
          </w:rPr>
          <w:fldChar w:fldCharType="begin"/>
        </w:r>
        <w:r>
          <w:rPr>
            <w:noProof/>
            <w:webHidden/>
          </w:rPr>
          <w:instrText xml:space="preserve"> PAGEREF _Toc46308180 \h </w:instrText>
        </w:r>
        <w:r>
          <w:rPr>
            <w:noProof/>
            <w:webHidden/>
          </w:rPr>
        </w:r>
        <w:r>
          <w:rPr>
            <w:noProof/>
            <w:webHidden/>
          </w:rPr>
          <w:fldChar w:fldCharType="separate"/>
        </w:r>
        <w:r>
          <w:rPr>
            <w:noProof/>
            <w:webHidden/>
          </w:rPr>
          <w:t>10</w:t>
        </w:r>
        <w:r>
          <w:rPr>
            <w:noProof/>
            <w:webHidden/>
          </w:rPr>
          <w:fldChar w:fldCharType="end"/>
        </w:r>
      </w:hyperlink>
    </w:p>
    <w:p w:rsidR="005F01C2" w:rsidRDefault="005F01C2" w14:paraId="6086DEFA" w14:textId="5C168B65">
      <w:pPr>
        <w:pStyle w:val="TOC3"/>
        <w:tabs>
          <w:tab w:val="left" w:pos="1296"/>
          <w:tab w:val="right" w:leader="dot" w:pos="9350"/>
        </w:tabs>
        <w:rPr>
          <w:rFonts w:asciiTheme="minorHAnsi" w:hAnsiTheme="minorHAnsi" w:cstheme="minorBidi"/>
          <w:noProof/>
          <w:sz w:val="22"/>
        </w:rPr>
      </w:pPr>
      <w:hyperlink w:history="1" w:anchor="_Toc46308181">
        <w:r w:rsidRPr="00920F1D">
          <w:rPr>
            <w:rStyle w:val="Hyperlink"/>
            <w:noProof/>
          </w:rPr>
          <w:t>4.3.2.</w:t>
        </w:r>
        <w:r>
          <w:rPr>
            <w:rFonts w:asciiTheme="minorHAnsi" w:hAnsiTheme="minorHAnsi" w:cstheme="minorBidi"/>
            <w:noProof/>
            <w:sz w:val="22"/>
          </w:rPr>
          <w:tab/>
        </w:r>
        <w:r w:rsidRPr="00920F1D">
          <w:rPr>
            <w:rStyle w:val="Hyperlink"/>
            <w:noProof/>
          </w:rPr>
          <w:t>Socioeconomic Vulnerability Index</w:t>
        </w:r>
        <w:r>
          <w:rPr>
            <w:noProof/>
            <w:webHidden/>
          </w:rPr>
          <w:tab/>
        </w:r>
        <w:r>
          <w:rPr>
            <w:noProof/>
            <w:webHidden/>
          </w:rPr>
          <w:fldChar w:fldCharType="begin"/>
        </w:r>
        <w:r>
          <w:rPr>
            <w:noProof/>
            <w:webHidden/>
          </w:rPr>
          <w:instrText xml:space="preserve"> PAGEREF _Toc46308181 \h </w:instrText>
        </w:r>
        <w:r>
          <w:rPr>
            <w:noProof/>
            <w:webHidden/>
          </w:rPr>
        </w:r>
        <w:r>
          <w:rPr>
            <w:noProof/>
            <w:webHidden/>
          </w:rPr>
          <w:fldChar w:fldCharType="separate"/>
        </w:r>
        <w:r>
          <w:rPr>
            <w:noProof/>
            <w:webHidden/>
          </w:rPr>
          <w:t>12</w:t>
        </w:r>
        <w:r>
          <w:rPr>
            <w:noProof/>
            <w:webHidden/>
          </w:rPr>
          <w:fldChar w:fldCharType="end"/>
        </w:r>
      </w:hyperlink>
    </w:p>
    <w:p w:rsidR="005F01C2" w:rsidRDefault="005F01C2" w14:paraId="3124F84F" w14:textId="2947476B">
      <w:pPr>
        <w:pStyle w:val="TOC3"/>
        <w:tabs>
          <w:tab w:val="left" w:pos="1296"/>
          <w:tab w:val="right" w:leader="dot" w:pos="9350"/>
        </w:tabs>
        <w:rPr>
          <w:rFonts w:asciiTheme="minorHAnsi" w:hAnsiTheme="minorHAnsi" w:cstheme="minorBidi"/>
          <w:noProof/>
          <w:sz w:val="22"/>
        </w:rPr>
      </w:pPr>
      <w:hyperlink w:history="1" w:anchor="_Toc46308182">
        <w:r w:rsidRPr="00920F1D">
          <w:rPr>
            <w:rStyle w:val="Hyperlink"/>
            <w:noProof/>
          </w:rPr>
          <w:t>4.3.3.</w:t>
        </w:r>
        <w:r>
          <w:rPr>
            <w:rFonts w:asciiTheme="minorHAnsi" w:hAnsiTheme="minorHAnsi" w:cstheme="minorBidi"/>
            <w:noProof/>
            <w:sz w:val="22"/>
          </w:rPr>
          <w:tab/>
        </w:r>
        <w:r w:rsidRPr="00920F1D">
          <w:rPr>
            <w:rStyle w:val="Hyperlink"/>
            <w:noProof/>
          </w:rPr>
          <w:t>The Affordability Ratio</w:t>
        </w:r>
        <w:r>
          <w:rPr>
            <w:noProof/>
            <w:webHidden/>
          </w:rPr>
          <w:tab/>
        </w:r>
        <w:r>
          <w:rPr>
            <w:noProof/>
            <w:webHidden/>
          </w:rPr>
          <w:fldChar w:fldCharType="begin"/>
        </w:r>
        <w:r>
          <w:rPr>
            <w:noProof/>
            <w:webHidden/>
          </w:rPr>
          <w:instrText xml:space="preserve"> PAGEREF _Toc46308182 \h </w:instrText>
        </w:r>
        <w:r>
          <w:rPr>
            <w:noProof/>
            <w:webHidden/>
          </w:rPr>
        </w:r>
        <w:r>
          <w:rPr>
            <w:noProof/>
            <w:webHidden/>
          </w:rPr>
          <w:fldChar w:fldCharType="separate"/>
        </w:r>
        <w:r>
          <w:rPr>
            <w:noProof/>
            <w:webHidden/>
          </w:rPr>
          <w:t>15</w:t>
        </w:r>
        <w:r>
          <w:rPr>
            <w:noProof/>
            <w:webHidden/>
          </w:rPr>
          <w:fldChar w:fldCharType="end"/>
        </w:r>
      </w:hyperlink>
    </w:p>
    <w:p w:rsidR="005F01C2" w:rsidRDefault="005F01C2" w14:paraId="7256C038" w14:textId="2004D7AD">
      <w:pPr>
        <w:pStyle w:val="TOC3"/>
        <w:tabs>
          <w:tab w:val="left" w:pos="1296"/>
          <w:tab w:val="right" w:leader="dot" w:pos="9350"/>
        </w:tabs>
        <w:rPr>
          <w:rFonts w:asciiTheme="minorHAnsi" w:hAnsiTheme="minorHAnsi" w:cstheme="minorBidi"/>
          <w:noProof/>
          <w:sz w:val="22"/>
        </w:rPr>
      </w:pPr>
      <w:hyperlink w:history="1" w:anchor="_Toc46308183">
        <w:r w:rsidRPr="00920F1D">
          <w:rPr>
            <w:rStyle w:val="Hyperlink"/>
            <w:noProof/>
          </w:rPr>
          <w:t>4.3.4.</w:t>
        </w:r>
        <w:r>
          <w:rPr>
            <w:rFonts w:asciiTheme="minorHAnsi" w:hAnsiTheme="minorHAnsi" w:cstheme="minorBidi"/>
            <w:noProof/>
            <w:sz w:val="22"/>
          </w:rPr>
          <w:tab/>
        </w:r>
        <w:r w:rsidRPr="00920F1D">
          <w:rPr>
            <w:rStyle w:val="Hyperlink"/>
            <w:noProof/>
          </w:rPr>
          <w:t>Other Potential Metrics</w:t>
        </w:r>
        <w:r>
          <w:rPr>
            <w:noProof/>
            <w:webHidden/>
          </w:rPr>
          <w:tab/>
        </w:r>
        <w:r>
          <w:rPr>
            <w:noProof/>
            <w:webHidden/>
          </w:rPr>
          <w:fldChar w:fldCharType="begin"/>
        </w:r>
        <w:r>
          <w:rPr>
            <w:noProof/>
            <w:webHidden/>
          </w:rPr>
          <w:instrText xml:space="preserve"> PAGEREF _Toc46308183 \h </w:instrText>
        </w:r>
        <w:r>
          <w:rPr>
            <w:noProof/>
            <w:webHidden/>
          </w:rPr>
        </w:r>
        <w:r>
          <w:rPr>
            <w:noProof/>
            <w:webHidden/>
          </w:rPr>
          <w:fldChar w:fldCharType="separate"/>
        </w:r>
        <w:r>
          <w:rPr>
            <w:noProof/>
            <w:webHidden/>
          </w:rPr>
          <w:t>16</w:t>
        </w:r>
        <w:r>
          <w:rPr>
            <w:noProof/>
            <w:webHidden/>
          </w:rPr>
          <w:fldChar w:fldCharType="end"/>
        </w:r>
      </w:hyperlink>
    </w:p>
    <w:p w:rsidR="005F01C2" w:rsidRDefault="005F01C2" w14:paraId="0519162A" w14:textId="4FFC6A12">
      <w:pPr>
        <w:pStyle w:val="TOC1"/>
        <w:tabs>
          <w:tab w:val="right" w:leader="dot" w:pos="9350"/>
        </w:tabs>
        <w:rPr>
          <w:rFonts w:asciiTheme="minorHAnsi" w:hAnsiTheme="minorHAnsi" w:cstheme="minorBidi"/>
          <w:noProof/>
          <w:sz w:val="22"/>
        </w:rPr>
      </w:pPr>
      <w:hyperlink w:history="1" w:anchor="_Toc46308184">
        <w:r w:rsidRPr="00920F1D">
          <w:rPr>
            <w:rStyle w:val="Hyperlink"/>
            <w:noProof/>
          </w:rPr>
          <w:t>5.</w:t>
        </w:r>
        <w:r>
          <w:rPr>
            <w:rFonts w:asciiTheme="minorHAnsi" w:hAnsiTheme="minorHAnsi" w:cstheme="minorBidi"/>
            <w:noProof/>
            <w:sz w:val="22"/>
          </w:rPr>
          <w:tab/>
        </w:r>
        <w:r w:rsidRPr="00920F1D">
          <w:rPr>
            <w:rStyle w:val="Hyperlink"/>
            <w:noProof/>
          </w:rPr>
          <w:t>Essential Utility Services</w:t>
        </w:r>
        <w:r>
          <w:rPr>
            <w:noProof/>
            <w:webHidden/>
          </w:rPr>
          <w:tab/>
        </w:r>
        <w:r>
          <w:rPr>
            <w:noProof/>
            <w:webHidden/>
          </w:rPr>
          <w:fldChar w:fldCharType="begin"/>
        </w:r>
        <w:r>
          <w:rPr>
            <w:noProof/>
            <w:webHidden/>
          </w:rPr>
          <w:instrText xml:space="preserve"> PAGEREF _Toc46308184 \h </w:instrText>
        </w:r>
        <w:r>
          <w:rPr>
            <w:noProof/>
            <w:webHidden/>
          </w:rPr>
        </w:r>
        <w:r>
          <w:rPr>
            <w:noProof/>
            <w:webHidden/>
          </w:rPr>
          <w:fldChar w:fldCharType="separate"/>
        </w:r>
        <w:r>
          <w:rPr>
            <w:noProof/>
            <w:webHidden/>
          </w:rPr>
          <w:t>17</w:t>
        </w:r>
        <w:r>
          <w:rPr>
            <w:noProof/>
            <w:webHidden/>
          </w:rPr>
          <w:fldChar w:fldCharType="end"/>
        </w:r>
      </w:hyperlink>
    </w:p>
    <w:p w:rsidR="005F01C2" w:rsidRDefault="005F01C2" w14:paraId="2E73F970" w14:textId="0BA444FB">
      <w:pPr>
        <w:pStyle w:val="TOC2"/>
        <w:tabs>
          <w:tab w:val="right" w:leader="dot" w:pos="9350"/>
        </w:tabs>
        <w:rPr>
          <w:rFonts w:asciiTheme="minorHAnsi" w:hAnsiTheme="minorHAnsi" w:cstheme="minorBidi"/>
          <w:noProof/>
          <w:sz w:val="22"/>
        </w:rPr>
      </w:pPr>
      <w:hyperlink w:history="1" w:anchor="_Toc46308185">
        <w:r w:rsidRPr="00920F1D">
          <w:rPr>
            <w:rStyle w:val="Hyperlink"/>
            <w:noProof/>
          </w:rPr>
          <w:t>5.1.</w:t>
        </w:r>
        <w:r>
          <w:rPr>
            <w:rFonts w:asciiTheme="minorHAnsi" w:hAnsiTheme="minorHAnsi" w:cstheme="minorBidi"/>
            <w:noProof/>
            <w:sz w:val="22"/>
          </w:rPr>
          <w:tab/>
        </w:r>
        <w:r w:rsidRPr="00920F1D">
          <w:rPr>
            <w:rStyle w:val="Hyperlink"/>
            <w:noProof/>
          </w:rPr>
          <w:t>Essential Electricity and Gas Service</w:t>
        </w:r>
        <w:r>
          <w:rPr>
            <w:noProof/>
            <w:webHidden/>
          </w:rPr>
          <w:tab/>
        </w:r>
        <w:r>
          <w:rPr>
            <w:noProof/>
            <w:webHidden/>
          </w:rPr>
          <w:fldChar w:fldCharType="begin"/>
        </w:r>
        <w:r>
          <w:rPr>
            <w:noProof/>
            <w:webHidden/>
          </w:rPr>
          <w:instrText xml:space="preserve"> PAGEREF _Toc46308185 \h </w:instrText>
        </w:r>
        <w:r>
          <w:rPr>
            <w:noProof/>
            <w:webHidden/>
          </w:rPr>
        </w:r>
        <w:r>
          <w:rPr>
            <w:noProof/>
            <w:webHidden/>
          </w:rPr>
          <w:fldChar w:fldCharType="separate"/>
        </w:r>
        <w:r>
          <w:rPr>
            <w:noProof/>
            <w:webHidden/>
          </w:rPr>
          <w:t>18</w:t>
        </w:r>
        <w:r>
          <w:rPr>
            <w:noProof/>
            <w:webHidden/>
          </w:rPr>
          <w:fldChar w:fldCharType="end"/>
        </w:r>
      </w:hyperlink>
    </w:p>
    <w:p w:rsidR="005F01C2" w:rsidRDefault="005F01C2" w14:paraId="32350FA9" w14:textId="5D2FB734">
      <w:pPr>
        <w:pStyle w:val="TOC2"/>
        <w:tabs>
          <w:tab w:val="right" w:leader="dot" w:pos="9350"/>
        </w:tabs>
        <w:rPr>
          <w:rFonts w:asciiTheme="minorHAnsi" w:hAnsiTheme="minorHAnsi" w:cstheme="minorBidi"/>
          <w:noProof/>
          <w:sz w:val="22"/>
        </w:rPr>
      </w:pPr>
      <w:hyperlink w:history="1" w:anchor="_Toc46308186">
        <w:r w:rsidRPr="00920F1D">
          <w:rPr>
            <w:rStyle w:val="Hyperlink"/>
            <w:noProof/>
          </w:rPr>
          <w:t>5.2.</w:t>
        </w:r>
        <w:r>
          <w:rPr>
            <w:rFonts w:asciiTheme="minorHAnsi" w:hAnsiTheme="minorHAnsi" w:cstheme="minorBidi"/>
            <w:noProof/>
            <w:sz w:val="22"/>
          </w:rPr>
          <w:tab/>
        </w:r>
        <w:r w:rsidRPr="00920F1D">
          <w:rPr>
            <w:rStyle w:val="Hyperlink"/>
            <w:noProof/>
          </w:rPr>
          <w:t>Essential Water Service</w:t>
        </w:r>
        <w:r>
          <w:rPr>
            <w:noProof/>
            <w:webHidden/>
          </w:rPr>
          <w:tab/>
        </w:r>
        <w:r>
          <w:rPr>
            <w:noProof/>
            <w:webHidden/>
          </w:rPr>
          <w:fldChar w:fldCharType="begin"/>
        </w:r>
        <w:r>
          <w:rPr>
            <w:noProof/>
            <w:webHidden/>
          </w:rPr>
          <w:instrText xml:space="preserve"> PAGEREF _Toc46308186 \h </w:instrText>
        </w:r>
        <w:r>
          <w:rPr>
            <w:noProof/>
            <w:webHidden/>
          </w:rPr>
        </w:r>
        <w:r>
          <w:rPr>
            <w:noProof/>
            <w:webHidden/>
          </w:rPr>
          <w:fldChar w:fldCharType="separate"/>
        </w:r>
        <w:r>
          <w:rPr>
            <w:noProof/>
            <w:webHidden/>
          </w:rPr>
          <w:t>19</w:t>
        </w:r>
        <w:r>
          <w:rPr>
            <w:noProof/>
            <w:webHidden/>
          </w:rPr>
          <w:fldChar w:fldCharType="end"/>
        </w:r>
      </w:hyperlink>
    </w:p>
    <w:p w:rsidR="005F01C2" w:rsidRDefault="005F01C2" w14:paraId="38A6954B" w14:textId="0F1722FB">
      <w:pPr>
        <w:pStyle w:val="TOC2"/>
        <w:tabs>
          <w:tab w:val="right" w:leader="dot" w:pos="9350"/>
        </w:tabs>
        <w:rPr>
          <w:rFonts w:asciiTheme="minorHAnsi" w:hAnsiTheme="minorHAnsi" w:cstheme="minorBidi"/>
          <w:noProof/>
          <w:sz w:val="22"/>
        </w:rPr>
      </w:pPr>
      <w:hyperlink w:history="1" w:anchor="_Toc46308187">
        <w:r w:rsidRPr="00920F1D">
          <w:rPr>
            <w:rStyle w:val="Hyperlink"/>
            <w:noProof/>
          </w:rPr>
          <w:t>5.3.</w:t>
        </w:r>
        <w:r>
          <w:rPr>
            <w:rFonts w:asciiTheme="minorHAnsi" w:hAnsiTheme="minorHAnsi" w:cstheme="minorBidi"/>
            <w:noProof/>
            <w:sz w:val="22"/>
          </w:rPr>
          <w:tab/>
        </w:r>
        <w:r w:rsidRPr="00920F1D">
          <w:rPr>
            <w:rStyle w:val="Hyperlink"/>
            <w:noProof/>
          </w:rPr>
          <w:t>Essential Communications Service</w:t>
        </w:r>
        <w:r>
          <w:rPr>
            <w:noProof/>
            <w:webHidden/>
          </w:rPr>
          <w:tab/>
        </w:r>
        <w:r>
          <w:rPr>
            <w:noProof/>
            <w:webHidden/>
          </w:rPr>
          <w:fldChar w:fldCharType="begin"/>
        </w:r>
        <w:r>
          <w:rPr>
            <w:noProof/>
            <w:webHidden/>
          </w:rPr>
          <w:instrText xml:space="preserve"> PAGEREF _Toc46308187 \h </w:instrText>
        </w:r>
        <w:r>
          <w:rPr>
            <w:noProof/>
            <w:webHidden/>
          </w:rPr>
        </w:r>
        <w:r>
          <w:rPr>
            <w:noProof/>
            <w:webHidden/>
          </w:rPr>
          <w:fldChar w:fldCharType="separate"/>
        </w:r>
        <w:r>
          <w:rPr>
            <w:noProof/>
            <w:webHidden/>
          </w:rPr>
          <w:t>22</w:t>
        </w:r>
        <w:r>
          <w:rPr>
            <w:noProof/>
            <w:webHidden/>
          </w:rPr>
          <w:fldChar w:fldCharType="end"/>
        </w:r>
      </w:hyperlink>
    </w:p>
    <w:p w:rsidR="005F01C2" w:rsidRDefault="005F01C2" w14:paraId="69BA4259" w14:textId="284B0062">
      <w:pPr>
        <w:pStyle w:val="TOC3"/>
        <w:tabs>
          <w:tab w:val="left" w:pos="1296"/>
          <w:tab w:val="right" w:leader="dot" w:pos="9350"/>
        </w:tabs>
        <w:rPr>
          <w:rFonts w:asciiTheme="minorHAnsi" w:hAnsiTheme="minorHAnsi" w:cstheme="minorBidi"/>
          <w:noProof/>
          <w:sz w:val="22"/>
        </w:rPr>
      </w:pPr>
      <w:hyperlink w:history="1" w:anchor="_Toc46308188">
        <w:r w:rsidRPr="00920F1D">
          <w:rPr>
            <w:rStyle w:val="Hyperlink"/>
            <w:noProof/>
          </w:rPr>
          <w:t>5.3.1.</w:t>
        </w:r>
        <w:r>
          <w:rPr>
            <w:rFonts w:asciiTheme="minorHAnsi" w:hAnsiTheme="minorHAnsi" w:cstheme="minorBidi"/>
            <w:noProof/>
            <w:sz w:val="22"/>
          </w:rPr>
          <w:tab/>
        </w:r>
        <w:r w:rsidRPr="00920F1D">
          <w:rPr>
            <w:rStyle w:val="Hyperlink"/>
            <w:noProof/>
          </w:rPr>
          <w:t>Essential Voice Communications Service</w:t>
        </w:r>
        <w:r>
          <w:rPr>
            <w:noProof/>
            <w:webHidden/>
          </w:rPr>
          <w:tab/>
        </w:r>
        <w:r>
          <w:rPr>
            <w:noProof/>
            <w:webHidden/>
          </w:rPr>
          <w:fldChar w:fldCharType="begin"/>
        </w:r>
        <w:r>
          <w:rPr>
            <w:noProof/>
            <w:webHidden/>
          </w:rPr>
          <w:instrText xml:space="preserve"> PAGEREF _Toc46308188 \h </w:instrText>
        </w:r>
        <w:r>
          <w:rPr>
            <w:noProof/>
            <w:webHidden/>
          </w:rPr>
        </w:r>
        <w:r>
          <w:rPr>
            <w:noProof/>
            <w:webHidden/>
          </w:rPr>
          <w:fldChar w:fldCharType="separate"/>
        </w:r>
        <w:r>
          <w:rPr>
            <w:noProof/>
            <w:webHidden/>
          </w:rPr>
          <w:t>23</w:t>
        </w:r>
        <w:r>
          <w:rPr>
            <w:noProof/>
            <w:webHidden/>
          </w:rPr>
          <w:fldChar w:fldCharType="end"/>
        </w:r>
      </w:hyperlink>
    </w:p>
    <w:p w:rsidR="005F01C2" w:rsidRDefault="005F01C2" w14:paraId="299043F3" w14:textId="713DCCD9">
      <w:pPr>
        <w:pStyle w:val="TOC3"/>
        <w:tabs>
          <w:tab w:val="left" w:pos="1296"/>
          <w:tab w:val="right" w:leader="dot" w:pos="9350"/>
        </w:tabs>
        <w:rPr>
          <w:rFonts w:asciiTheme="minorHAnsi" w:hAnsiTheme="minorHAnsi" w:cstheme="minorBidi"/>
          <w:noProof/>
          <w:sz w:val="22"/>
        </w:rPr>
      </w:pPr>
      <w:hyperlink w:history="1" w:anchor="_Toc46308189">
        <w:r w:rsidRPr="00920F1D">
          <w:rPr>
            <w:rStyle w:val="Hyperlink"/>
            <w:noProof/>
          </w:rPr>
          <w:t>5.3.2.</w:t>
        </w:r>
        <w:r>
          <w:rPr>
            <w:rFonts w:asciiTheme="minorHAnsi" w:hAnsiTheme="minorHAnsi" w:cstheme="minorBidi"/>
            <w:noProof/>
            <w:sz w:val="22"/>
          </w:rPr>
          <w:tab/>
        </w:r>
        <w:r w:rsidRPr="00920F1D">
          <w:rPr>
            <w:rStyle w:val="Hyperlink"/>
            <w:noProof/>
          </w:rPr>
          <w:t>Essential Broadband Communications Service</w:t>
        </w:r>
        <w:r>
          <w:rPr>
            <w:noProof/>
            <w:webHidden/>
          </w:rPr>
          <w:tab/>
        </w:r>
        <w:r>
          <w:rPr>
            <w:noProof/>
            <w:webHidden/>
          </w:rPr>
          <w:fldChar w:fldCharType="begin"/>
        </w:r>
        <w:r>
          <w:rPr>
            <w:noProof/>
            <w:webHidden/>
          </w:rPr>
          <w:instrText xml:space="preserve"> PAGEREF _Toc46308189 \h </w:instrText>
        </w:r>
        <w:r>
          <w:rPr>
            <w:noProof/>
            <w:webHidden/>
          </w:rPr>
        </w:r>
        <w:r>
          <w:rPr>
            <w:noProof/>
            <w:webHidden/>
          </w:rPr>
          <w:fldChar w:fldCharType="separate"/>
        </w:r>
        <w:r>
          <w:rPr>
            <w:noProof/>
            <w:webHidden/>
          </w:rPr>
          <w:t>24</w:t>
        </w:r>
        <w:r>
          <w:rPr>
            <w:noProof/>
            <w:webHidden/>
          </w:rPr>
          <w:fldChar w:fldCharType="end"/>
        </w:r>
      </w:hyperlink>
    </w:p>
    <w:p w:rsidR="005F01C2" w:rsidRDefault="005F01C2" w14:paraId="1E8B7F2C" w14:textId="6A72E06A">
      <w:pPr>
        <w:pStyle w:val="TOC3"/>
        <w:tabs>
          <w:tab w:val="left" w:pos="1296"/>
          <w:tab w:val="right" w:leader="dot" w:pos="9350"/>
        </w:tabs>
        <w:rPr>
          <w:rFonts w:asciiTheme="minorHAnsi" w:hAnsiTheme="minorHAnsi" w:cstheme="minorBidi"/>
          <w:noProof/>
          <w:sz w:val="22"/>
        </w:rPr>
      </w:pPr>
      <w:hyperlink w:history="1" w:anchor="_Toc46308190">
        <w:r w:rsidRPr="00920F1D">
          <w:rPr>
            <w:rStyle w:val="Hyperlink"/>
            <w:noProof/>
          </w:rPr>
          <w:t>5.3.3.</w:t>
        </w:r>
        <w:r>
          <w:rPr>
            <w:rFonts w:asciiTheme="minorHAnsi" w:hAnsiTheme="minorHAnsi" w:cstheme="minorBidi"/>
            <w:noProof/>
            <w:sz w:val="22"/>
          </w:rPr>
          <w:tab/>
        </w:r>
        <w:r w:rsidRPr="00920F1D">
          <w:rPr>
            <w:rStyle w:val="Hyperlink"/>
            <w:noProof/>
          </w:rPr>
          <w:t>CCTA and AT&amp;T Comments on Jurisdiction</w:t>
        </w:r>
        <w:r>
          <w:rPr>
            <w:noProof/>
            <w:webHidden/>
          </w:rPr>
          <w:tab/>
        </w:r>
        <w:r>
          <w:rPr>
            <w:noProof/>
            <w:webHidden/>
          </w:rPr>
          <w:fldChar w:fldCharType="begin"/>
        </w:r>
        <w:r>
          <w:rPr>
            <w:noProof/>
            <w:webHidden/>
          </w:rPr>
          <w:instrText xml:space="preserve"> PAGEREF _Toc46308190 \h </w:instrText>
        </w:r>
        <w:r>
          <w:rPr>
            <w:noProof/>
            <w:webHidden/>
          </w:rPr>
        </w:r>
        <w:r>
          <w:rPr>
            <w:noProof/>
            <w:webHidden/>
          </w:rPr>
          <w:fldChar w:fldCharType="separate"/>
        </w:r>
        <w:r>
          <w:rPr>
            <w:noProof/>
            <w:webHidden/>
          </w:rPr>
          <w:t>30</w:t>
        </w:r>
        <w:r>
          <w:rPr>
            <w:noProof/>
            <w:webHidden/>
          </w:rPr>
          <w:fldChar w:fldCharType="end"/>
        </w:r>
      </w:hyperlink>
    </w:p>
    <w:p w:rsidR="005F01C2" w:rsidRDefault="005F01C2" w14:paraId="689A6FCF" w14:textId="041D949C">
      <w:pPr>
        <w:pStyle w:val="TOC1"/>
        <w:tabs>
          <w:tab w:val="right" w:leader="dot" w:pos="9350"/>
        </w:tabs>
        <w:rPr>
          <w:rFonts w:asciiTheme="minorHAnsi" w:hAnsiTheme="minorHAnsi" w:cstheme="minorBidi"/>
          <w:noProof/>
          <w:sz w:val="22"/>
        </w:rPr>
      </w:pPr>
      <w:hyperlink w:history="1" w:anchor="_Toc46308191">
        <w:r w:rsidRPr="00920F1D">
          <w:rPr>
            <w:rStyle w:val="Hyperlink"/>
            <w:noProof/>
          </w:rPr>
          <w:t>6.</w:t>
        </w:r>
        <w:r>
          <w:rPr>
            <w:rFonts w:asciiTheme="minorHAnsi" w:hAnsiTheme="minorHAnsi" w:cstheme="minorBidi"/>
            <w:noProof/>
            <w:sz w:val="22"/>
          </w:rPr>
          <w:tab/>
        </w:r>
        <w:r w:rsidRPr="00920F1D">
          <w:rPr>
            <w:rStyle w:val="Hyperlink"/>
            <w:noProof/>
          </w:rPr>
          <w:t>Unavailable Data</w:t>
        </w:r>
        <w:r>
          <w:rPr>
            <w:noProof/>
            <w:webHidden/>
          </w:rPr>
          <w:tab/>
        </w:r>
        <w:r>
          <w:rPr>
            <w:noProof/>
            <w:webHidden/>
          </w:rPr>
          <w:fldChar w:fldCharType="begin"/>
        </w:r>
        <w:r>
          <w:rPr>
            <w:noProof/>
            <w:webHidden/>
          </w:rPr>
          <w:instrText xml:space="preserve"> PAGEREF _Toc46308191 \h </w:instrText>
        </w:r>
        <w:r>
          <w:rPr>
            <w:noProof/>
            <w:webHidden/>
          </w:rPr>
        </w:r>
        <w:r>
          <w:rPr>
            <w:noProof/>
            <w:webHidden/>
          </w:rPr>
          <w:fldChar w:fldCharType="separate"/>
        </w:r>
        <w:r>
          <w:rPr>
            <w:noProof/>
            <w:webHidden/>
          </w:rPr>
          <w:t>31</w:t>
        </w:r>
        <w:r>
          <w:rPr>
            <w:noProof/>
            <w:webHidden/>
          </w:rPr>
          <w:fldChar w:fldCharType="end"/>
        </w:r>
      </w:hyperlink>
    </w:p>
    <w:p w:rsidR="005F01C2" w:rsidRDefault="005F01C2" w14:paraId="07C03437" w14:textId="4D381D07">
      <w:pPr>
        <w:pStyle w:val="TOC2"/>
        <w:tabs>
          <w:tab w:val="right" w:leader="dot" w:pos="9350"/>
        </w:tabs>
        <w:rPr>
          <w:rFonts w:asciiTheme="minorHAnsi" w:hAnsiTheme="minorHAnsi" w:cstheme="minorBidi"/>
          <w:noProof/>
          <w:sz w:val="22"/>
        </w:rPr>
      </w:pPr>
      <w:hyperlink w:history="1" w:anchor="_Toc46308192">
        <w:r w:rsidRPr="00920F1D">
          <w:rPr>
            <w:rStyle w:val="Hyperlink"/>
            <w:noProof/>
          </w:rPr>
          <w:t>6.1.</w:t>
        </w:r>
        <w:r>
          <w:rPr>
            <w:rFonts w:asciiTheme="minorHAnsi" w:hAnsiTheme="minorHAnsi" w:cstheme="minorBidi"/>
            <w:noProof/>
            <w:sz w:val="22"/>
          </w:rPr>
          <w:tab/>
        </w:r>
        <w:r w:rsidRPr="00920F1D">
          <w:rPr>
            <w:rStyle w:val="Hyperlink"/>
            <w:noProof/>
          </w:rPr>
          <w:t>Unavailable Gas Service Data</w:t>
        </w:r>
        <w:r>
          <w:rPr>
            <w:noProof/>
            <w:webHidden/>
          </w:rPr>
          <w:tab/>
        </w:r>
        <w:r>
          <w:rPr>
            <w:noProof/>
            <w:webHidden/>
          </w:rPr>
          <w:fldChar w:fldCharType="begin"/>
        </w:r>
        <w:r>
          <w:rPr>
            <w:noProof/>
            <w:webHidden/>
          </w:rPr>
          <w:instrText xml:space="preserve"> PAGEREF _Toc46308192 \h </w:instrText>
        </w:r>
        <w:r>
          <w:rPr>
            <w:noProof/>
            <w:webHidden/>
          </w:rPr>
        </w:r>
        <w:r>
          <w:rPr>
            <w:noProof/>
            <w:webHidden/>
          </w:rPr>
          <w:fldChar w:fldCharType="separate"/>
        </w:r>
        <w:r>
          <w:rPr>
            <w:noProof/>
            <w:webHidden/>
          </w:rPr>
          <w:t>34</w:t>
        </w:r>
        <w:r>
          <w:rPr>
            <w:noProof/>
            <w:webHidden/>
          </w:rPr>
          <w:fldChar w:fldCharType="end"/>
        </w:r>
      </w:hyperlink>
    </w:p>
    <w:p w:rsidR="005F01C2" w:rsidRDefault="005F01C2" w14:paraId="739FD78D" w14:textId="226BCFCF">
      <w:pPr>
        <w:pStyle w:val="TOC2"/>
        <w:tabs>
          <w:tab w:val="right" w:leader="dot" w:pos="9350"/>
        </w:tabs>
        <w:rPr>
          <w:rFonts w:asciiTheme="minorHAnsi" w:hAnsiTheme="minorHAnsi" w:cstheme="minorBidi"/>
          <w:noProof/>
          <w:sz w:val="22"/>
        </w:rPr>
      </w:pPr>
      <w:hyperlink w:history="1" w:anchor="_Toc46308193">
        <w:r w:rsidRPr="00920F1D">
          <w:rPr>
            <w:rStyle w:val="Hyperlink"/>
            <w:noProof/>
          </w:rPr>
          <w:t>6.2.</w:t>
        </w:r>
        <w:r>
          <w:rPr>
            <w:rFonts w:asciiTheme="minorHAnsi" w:hAnsiTheme="minorHAnsi" w:cstheme="minorBidi"/>
            <w:noProof/>
            <w:sz w:val="22"/>
          </w:rPr>
          <w:tab/>
        </w:r>
        <w:r w:rsidRPr="00920F1D">
          <w:rPr>
            <w:rStyle w:val="Hyperlink"/>
            <w:noProof/>
          </w:rPr>
          <w:t>Unavailable Water Service Data</w:t>
        </w:r>
        <w:r>
          <w:rPr>
            <w:noProof/>
            <w:webHidden/>
          </w:rPr>
          <w:tab/>
        </w:r>
        <w:r>
          <w:rPr>
            <w:noProof/>
            <w:webHidden/>
          </w:rPr>
          <w:fldChar w:fldCharType="begin"/>
        </w:r>
        <w:r>
          <w:rPr>
            <w:noProof/>
            <w:webHidden/>
          </w:rPr>
          <w:instrText xml:space="preserve"> PAGEREF _Toc46308193 \h </w:instrText>
        </w:r>
        <w:r>
          <w:rPr>
            <w:noProof/>
            <w:webHidden/>
          </w:rPr>
        </w:r>
        <w:r>
          <w:rPr>
            <w:noProof/>
            <w:webHidden/>
          </w:rPr>
          <w:fldChar w:fldCharType="separate"/>
        </w:r>
        <w:r>
          <w:rPr>
            <w:noProof/>
            <w:webHidden/>
          </w:rPr>
          <w:t>38</w:t>
        </w:r>
        <w:r>
          <w:rPr>
            <w:noProof/>
            <w:webHidden/>
          </w:rPr>
          <w:fldChar w:fldCharType="end"/>
        </w:r>
      </w:hyperlink>
    </w:p>
    <w:p w:rsidR="005F01C2" w:rsidRDefault="005F01C2" w14:paraId="561D378E" w14:textId="3E9B027A">
      <w:pPr>
        <w:pStyle w:val="TOC2"/>
        <w:tabs>
          <w:tab w:val="right" w:leader="dot" w:pos="9350"/>
        </w:tabs>
        <w:rPr>
          <w:rFonts w:asciiTheme="minorHAnsi" w:hAnsiTheme="minorHAnsi" w:cstheme="minorBidi"/>
          <w:noProof/>
          <w:sz w:val="22"/>
        </w:rPr>
      </w:pPr>
      <w:hyperlink w:history="1" w:anchor="_Toc46308194">
        <w:r w:rsidRPr="00920F1D">
          <w:rPr>
            <w:rStyle w:val="Hyperlink"/>
            <w:noProof/>
          </w:rPr>
          <w:t>6.3.</w:t>
        </w:r>
        <w:r>
          <w:rPr>
            <w:rFonts w:asciiTheme="minorHAnsi" w:hAnsiTheme="minorHAnsi" w:cstheme="minorBidi"/>
            <w:noProof/>
            <w:sz w:val="22"/>
          </w:rPr>
          <w:tab/>
        </w:r>
        <w:r w:rsidRPr="00920F1D">
          <w:rPr>
            <w:rStyle w:val="Hyperlink"/>
            <w:noProof/>
          </w:rPr>
          <w:t>Unavailable Communications Service Data</w:t>
        </w:r>
        <w:r>
          <w:rPr>
            <w:noProof/>
            <w:webHidden/>
          </w:rPr>
          <w:tab/>
        </w:r>
        <w:r>
          <w:rPr>
            <w:noProof/>
            <w:webHidden/>
          </w:rPr>
          <w:fldChar w:fldCharType="begin"/>
        </w:r>
        <w:r>
          <w:rPr>
            <w:noProof/>
            <w:webHidden/>
          </w:rPr>
          <w:instrText xml:space="preserve"> PAGEREF _Toc46308194 \h </w:instrText>
        </w:r>
        <w:r>
          <w:rPr>
            <w:noProof/>
            <w:webHidden/>
          </w:rPr>
        </w:r>
        <w:r>
          <w:rPr>
            <w:noProof/>
            <w:webHidden/>
          </w:rPr>
          <w:fldChar w:fldCharType="separate"/>
        </w:r>
        <w:r>
          <w:rPr>
            <w:noProof/>
            <w:webHidden/>
          </w:rPr>
          <w:t>39</w:t>
        </w:r>
        <w:r>
          <w:rPr>
            <w:noProof/>
            <w:webHidden/>
          </w:rPr>
          <w:fldChar w:fldCharType="end"/>
        </w:r>
      </w:hyperlink>
    </w:p>
    <w:p w:rsidR="005F01C2" w:rsidRDefault="005F01C2" w14:paraId="39E91BD4" w14:textId="0FC339AA">
      <w:pPr>
        <w:pStyle w:val="TOC2"/>
        <w:tabs>
          <w:tab w:val="right" w:leader="dot" w:pos="9350"/>
        </w:tabs>
        <w:rPr>
          <w:rFonts w:asciiTheme="minorHAnsi" w:hAnsiTheme="minorHAnsi" w:cstheme="minorBidi"/>
          <w:noProof/>
          <w:sz w:val="22"/>
        </w:rPr>
      </w:pPr>
      <w:hyperlink w:history="1" w:anchor="_Toc46308195">
        <w:r w:rsidRPr="00920F1D">
          <w:rPr>
            <w:rStyle w:val="Hyperlink"/>
            <w:noProof/>
          </w:rPr>
          <w:t>6.4.</w:t>
        </w:r>
        <w:r>
          <w:rPr>
            <w:rFonts w:asciiTheme="minorHAnsi" w:hAnsiTheme="minorHAnsi" w:cstheme="minorBidi"/>
            <w:noProof/>
            <w:sz w:val="22"/>
          </w:rPr>
          <w:tab/>
        </w:r>
        <w:r w:rsidRPr="00920F1D">
          <w:rPr>
            <w:rStyle w:val="Hyperlink"/>
            <w:noProof/>
          </w:rPr>
          <w:t>Unavailable Electric Service Data</w:t>
        </w:r>
        <w:r>
          <w:rPr>
            <w:noProof/>
            <w:webHidden/>
          </w:rPr>
          <w:tab/>
        </w:r>
        <w:r>
          <w:rPr>
            <w:noProof/>
            <w:webHidden/>
          </w:rPr>
          <w:fldChar w:fldCharType="begin"/>
        </w:r>
        <w:r>
          <w:rPr>
            <w:noProof/>
            <w:webHidden/>
          </w:rPr>
          <w:instrText xml:space="preserve"> PAGEREF _Toc46308195 \h </w:instrText>
        </w:r>
        <w:r>
          <w:rPr>
            <w:noProof/>
            <w:webHidden/>
          </w:rPr>
        </w:r>
        <w:r>
          <w:rPr>
            <w:noProof/>
            <w:webHidden/>
          </w:rPr>
          <w:fldChar w:fldCharType="separate"/>
        </w:r>
        <w:r>
          <w:rPr>
            <w:noProof/>
            <w:webHidden/>
          </w:rPr>
          <w:t>40</w:t>
        </w:r>
        <w:r>
          <w:rPr>
            <w:noProof/>
            <w:webHidden/>
          </w:rPr>
          <w:fldChar w:fldCharType="end"/>
        </w:r>
      </w:hyperlink>
    </w:p>
    <w:p w:rsidR="005F01C2" w:rsidRDefault="005F01C2" w14:paraId="3EDD544E" w14:textId="153773B3">
      <w:pPr>
        <w:pStyle w:val="TOC2"/>
        <w:tabs>
          <w:tab w:val="right" w:leader="dot" w:pos="9350"/>
        </w:tabs>
        <w:rPr>
          <w:rFonts w:asciiTheme="minorHAnsi" w:hAnsiTheme="minorHAnsi" w:cstheme="minorBidi"/>
          <w:noProof/>
          <w:sz w:val="22"/>
        </w:rPr>
      </w:pPr>
      <w:hyperlink w:history="1" w:anchor="_Toc46308196">
        <w:r w:rsidRPr="00920F1D">
          <w:rPr>
            <w:rStyle w:val="Hyperlink"/>
            <w:noProof/>
          </w:rPr>
          <w:t>6.5.</w:t>
        </w:r>
        <w:r>
          <w:rPr>
            <w:rFonts w:asciiTheme="minorHAnsi" w:hAnsiTheme="minorHAnsi" w:cstheme="minorBidi"/>
            <w:noProof/>
            <w:sz w:val="22"/>
          </w:rPr>
          <w:tab/>
        </w:r>
        <w:r w:rsidRPr="00920F1D">
          <w:rPr>
            <w:rStyle w:val="Hyperlink"/>
            <w:noProof/>
          </w:rPr>
          <w:t>Exclusion of Low-Income Subsidy Programs</w:t>
        </w:r>
        <w:r>
          <w:rPr>
            <w:noProof/>
            <w:webHidden/>
          </w:rPr>
          <w:tab/>
        </w:r>
        <w:r>
          <w:rPr>
            <w:noProof/>
            <w:webHidden/>
          </w:rPr>
          <w:fldChar w:fldCharType="begin"/>
        </w:r>
        <w:r>
          <w:rPr>
            <w:noProof/>
            <w:webHidden/>
          </w:rPr>
          <w:instrText xml:space="preserve"> PAGEREF _Toc46308196 \h </w:instrText>
        </w:r>
        <w:r>
          <w:rPr>
            <w:noProof/>
            <w:webHidden/>
          </w:rPr>
        </w:r>
        <w:r>
          <w:rPr>
            <w:noProof/>
            <w:webHidden/>
          </w:rPr>
          <w:fldChar w:fldCharType="separate"/>
        </w:r>
        <w:r>
          <w:rPr>
            <w:noProof/>
            <w:webHidden/>
          </w:rPr>
          <w:t>41</w:t>
        </w:r>
        <w:r>
          <w:rPr>
            <w:noProof/>
            <w:webHidden/>
          </w:rPr>
          <w:fldChar w:fldCharType="end"/>
        </w:r>
      </w:hyperlink>
    </w:p>
    <w:p w:rsidR="005F01C2" w:rsidRDefault="005F01C2" w14:paraId="4BF80855" w14:textId="54DECD46">
      <w:pPr>
        <w:pStyle w:val="TOC1"/>
        <w:tabs>
          <w:tab w:val="right" w:leader="dot" w:pos="9350"/>
        </w:tabs>
        <w:rPr>
          <w:rFonts w:asciiTheme="minorHAnsi" w:hAnsiTheme="minorHAnsi" w:cstheme="minorBidi"/>
          <w:noProof/>
          <w:sz w:val="22"/>
        </w:rPr>
      </w:pPr>
      <w:hyperlink w:history="1" w:anchor="_Toc46308197">
        <w:r w:rsidRPr="00920F1D">
          <w:rPr>
            <w:rStyle w:val="Hyperlink"/>
            <w:noProof/>
          </w:rPr>
          <w:t>7.</w:t>
        </w:r>
        <w:r>
          <w:rPr>
            <w:rFonts w:asciiTheme="minorHAnsi" w:hAnsiTheme="minorHAnsi" w:cstheme="minorBidi"/>
            <w:noProof/>
            <w:sz w:val="22"/>
          </w:rPr>
          <w:tab/>
        </w:r>
        <w:r w:rsidRPr="00920F1D">
          <w:rPr>
            <w:rStyle w:val="Hyperlink"/>
            <w:noProof/>
          </w:rPr>
          <w:t>Metric Methodologies</w:t>
        </w:r>
        <w:r>
          <w:rPr>
            <w:noProof/>
            <w:webHidden/>
          </w:rPr>
          <w:tab/>
        </w:r>
        <w:r>
          <w:rPr>
            <w:noProof/>
            <w:webHidden/>
          </w:rPr>
          <w:fldChar w:fldCharType="begin"/>
        </w:r>
        <w:r>
          <w:rPr>
            <w:noProof/>
            <w:webHidden/>
          </w:rPr>
          <w:instrText xml:space="preserve"> PAGEREF _Toc46308197 \h </w:instrText>
        </w:r>
        <w:r>
          <w:rPr>
            <w:noProof/>
            <w:webHidden/>
          </w:rPr>
        </w:r>
        <w:r>
          <w:rPr>
            <w:noProof/>
            <w:webHidden/>
          </w:rPr>
          <w:fldChar w:fldCharType="separate"/>
        </w:r>
        <w:r>
          <w:rPr>
            <w:noProof/>
            <w:webHidden/>
          </w:rPr>
          <w:t>42</w:t>
        </w:r>
        <w:r>
          <w:rPr>
            <w:noProof/>
            <w:webHidden/>
          </w:rPr>
          <w:fldChar w:fldCharType="end"/>
        </w:r>
      </w:hyperlink>
    </w:p>
    <w:p w:rsidR="005F01C2" w:rsidRDefault="005F01C2" w14:paraId="0564701C" w14:textId="23346A8B">
      <w:pPr>
        <w:pStyle w:val="TOC2"/>
        <w:tabs>
          <w:tab w:val="right" w:leader="dot" w:pos="9350"/>
        </w:tabs>
        <w:rPr>
          <w:rFonts w:asciiTheme="minorHAnsi" w:hAnsiTheme="minorHAnsi" w:cstheme="minorBidi"/>
          <w:noProof/>
          <w:sz w:val="22"/>
        </w:rPr>
      </w:pPr>
      <w:hyperlink w:history="1" w:anchor="_Toc46308198">
        <w:r w:rsidRPr="00920F1D">
          <w:rPr>
            <w:rStyle w:val="Hyperlink"/>
            <w:noProof/>
          </w:rPr>
          <w:t>7.1.</w:t>
        </w:r>
        <w:r>
          <w:rPr>
            <w:rFonts w:asciiTheme="minorHAnsi" w:hAnsiTheme="minorHAnsi" w:cstheme="minorBidi"/>
            <w:noProof/>
            <w:sz w:val="22"/>
          </w:rPr>
          <w:tab/>
        </w:r>
        <w:r w:rsidRPr="00920F1D">
          <w:rPr>
            <w:rStyle w:val="Hyperlink"/>
            <w:noProof/>
          </w:rPr>
          <w:t>HM Methodology</w:t>
        </w:r>
        <w:r>
          <w:rPr>
            <w:noProof/>
            <w:webHidden/>
          </w:rPr>
          <w:tab/>
        </w:r>
        <w:r>
          <w:rPr>
            <w:noProof/>
            <w:webHidden/>
          </w:rPr>
          <w:fldChar w:fldCharType="begin"/>
        </w:r>
        <w:r>
          <w:rPr>
            <w:noProof/>
            <w:webHidden/>
          </w:rPr>
          <w:instrText xml:space="preserve"> PAGEREF _Toc46308198 \h </w:instrText>
        </w:r>
        <w:r>
          <w:rPr>
            <w:noProof/>
            <w:webHidden/>
          </w:rPr>
        </w:r>
        <w:r>
          <w:rPr>
            <w:noProof/>
            <w:webHidden/>
          </w:rPr>
          <w:fldChar w:fldCharType="separate"/>
        </w:r>
        <w:r>
          <w:rPr>
            <w:noProof/>
            <w:webHidden/>
          </w:rPr>
          <w:t>42</w:t>
        </w:r>
        <w:r>
          <w:rPr>
            <w:noProof/>
            <w:webHidden/>
          </w:rPr>
          <w:fldChar w:fldCharType="end"/>
        </w:r>
      </w:hyperlink>
    </w:p>
    <w:p w:rsidR="005F01C2" w:rsidRDefault="005F01C2" w14:paraId="792DA3BB" w14:textId="28E78212">
      <w:pPr>
        <w:pStyle w:val="TOC2"/>
        <w:tabs>
          <w:tab w:val="right" w:leader="dot" w:pos="9350"/>
        </w:tabs>
        <w:rPr>
          <w:rFonts w:asciiTheme="minorHAnsi" w:hAnsiTheme="minorHAnsi" w:cstheme="minorBidi"/>
          <w:noProof/>
          <w:sz w:val="22"/>
        </w:rPr>
      </w:pPr>
      <w:hyperlink w:history="1" w:anchor="_Toc46308199">
        <w:r w:rsidRPr="00920F1D">
          <w:rPr>
            <w:rStyle w:val="Hyperlink"/>
            <w:noProof/>
          </w:rPr>
          <w:t>7.2.</w:t>
        </w:r>
        <w:r>
          <w:rPr>
            <w:rFonts w:asciiTheme="minorHAnsi" w:hAnsiTheme="minorHAnsi" w:cstheme="minorBidi"/>
            <w:noProof/>
            <w:sz w:val="22"/>
          </w:rPr>
          <w:tab/>
        </w:r>
        <w:r w:rsidRPr="00920F1D">
          <w:rPr>
            <w:rStyle w:val="Hyperlink"/>
            <w:noProof/>
          </w:rPr>
          <w:t>SEVI Methodology</w:t>
        </w:r>
        <w:r>
          <w:rPr>
            <w:noProof/>
            <w:webHidden/>
          </w:rPr>
          <w:tab/>
        </w:r>
        <w:r>
          <w:rPr>
            <w:noProof/>
            <w:webHidden/>
          </w:rPr>
          <w:fldChar w:fldCharType="begin"/>
        </w:r>
        <w:r>
          <w:rPr>
            <w:noProof/>
            <w:webHidden/>
          </w:rPr>
          <w:instrText xml:space="preserve"> PAGEREF _Toc46308199 \h </w:instrText>
        </w:r>
        <w:r>
          <w:rPr>
            <w:noProof/>
            <w:webHidden/>
          </w:rPr>
        </w:r>
        <w:r>
          <w:rPr>
            <w:noProof/>
            <w:webHidden/>
          </w:rPr>
          <w:fldChar w:fldCharType="separate"/>
        </w:r>
        <w:r>
          <w:rPr>
            <w:noProof/>
            <w:webHidden/>
          </w:rPr>
          <w:t>44</w:t>
        </w:r>
        <w:r>
          <w:rPr>
            <w:noProof/>
            <w:webHidden/>
          </w:rPr>
          <w:fldChar w:fldCharType="end"/>
        </w:r>
      </w:hyperlink>
    </w:p>
    <w:p w:rsidR="005F01C2" w:rsidRDefault="005F01C2" w14:paraId="66EF3AA9" w14:textId="054B7386">
      <w:pPr>
        <w:pStyle w:val="TOC2"/>
        <w:tabs>
          <w:tab w:val="right" w:leader="dot" w:pos="9350"/>
        </w:tabs>
        <w:rPr>
          <w:rFonts w:asciiTheme="minorHAnsi" w:hAnsiTheme="minorHAnsi" w:cstheme="minorBidi"/>
          <w:noProof/>
          <w:sz w:val="22"/>
        </w:rPr>
      </w:pPr>
      <w:hyperlink w:history="1" w:anchor="_Toc46308200">
        <w:r w:rsidRPr="00920F1D">
          <w:rPr>
            <w:rStyle w:val="Hyperlink"/>
            <w:noProof/>
          </w:rPr>
          <w:t>7.3.</w:t>
        </w:r>
        <w:r>
          <w:rPr>
            <w:rFonts w:asciiTheme="minorHAnsi" w:hAnsiTheme="minorHAnsi" w:cstheme="minorBidi"/>
            <w:noProof/>
            <w:sz w:val="22"/>
          </w:rPr>
          <w:tab/>
        </w:r>
        <w:r w:rsidRPr="00920F1D">
          <w:rPr>
            <w:rStyle w:val="Hyperlink"/>
            <w:noProof/>
          </w:rPr>
          <w:t>AR Methodology</w:t>
        </w:r>
        <w:r>
          <w:rPr>
            <w:noProof/>
            <w:webHidden/>
          </w:rPr>
          <w:tab/>
        </w:r>
        <w:r>
          <w:rPr>
            <w:noProof/>
            <w:webHidden/>
          </w:rPr>
          <w:fldChar w:fldCharType="begin"/>
        </w:r>
        <w:r>
          <w:rPr>
            <w:noProof/>
            <w:webHidden/>
          </w:rPr>
          <w:instrText xml:space="preserve"> PAGEREF _Toc46308200 \h </w:instrText>
        </w:r>
        <w:r>
          <w:rPr>
            <w:noProof/>
            <w:webHidden/>
          </w:rPr>
        </w:r>
        <w:r>
          <w:rPr>
            <w:noProof/>
            <w:webHidden/>
          </w:rPr>
          <w:fldChar w:fldCharType="separate"/>
        </w:r>
        <w:r>
          <w:rPr>
            <w:noProof/>
            <w:webHidden/>
          </w:rPr>
          <w:t>45</w:t>
        </w:r>
        <w:r>
          <w:rPr>
            <w:noProof/>
            <w:webHidden/>
          </w:rPr>
          <w:fldChar w:fldCharType="end"/>
        </w:r>
      </w:hyperlink>
    </w:p>
    <w:p w:rsidR="005F01C2" w:rsidRDefault="005F01C2" w14:paraId="02AA5DCF" w14:textId="1D7BDD70">
      <w:pPr>
        <w:pStyle w:val="TOC3"/>
        <w:tabs>
          <w:tab w:val="left" w:pos="1296"/>
          <w:tab w:val="right" w:leader="dot" w:pos="9350"/>
        </w:tabs>
        <w:rPr>
          <w:rFonts w:asciiTheme="minorHAnsi" w:hAnsiTheme="minorHAnsi" w:cstheme="minorBidi"/>
          <w:noProof/>
          <w:sz w:val="22"/>
        </w:rPr>
      </w:pPr>
      <w:hyperlink w:history="1" w:anchor="_Toc46308201">
        <w:r w:rsidRPr="00920F1D">
          <w:rPr>
            <w:rStyle w:val="Hyperlink"/>
            <w:noProof/>
          </w:rPr>
          <w:t>7.3.1.</w:t>
        </w:r>
        <w:r>
          <w:rPr>
            <w:rFonts w:asciiTheme="minorHAnsi" w:hAnsiTheme="minorHAnsi" w:cstheme="minorBidi"/>
            <w:noProof/>
            <w:sz w:val="22"/>
          </w:rPr>
          <w:tab/>
        </w:r>
        <w:r w:rsidRPr="00920F1D">
          <w:rPr>
            <w:rStyle w:val="Hyperlink"/>
            <w:noProof/>
          </w:rPr>
          <w:t>Using a Regression to Estimate Household Income and Housing Costs</w:t>
        </w:r>
        <w:r>
          <w:rPr>
            <w:noProof/>
            <w:webHidden/>
          </w:rPr>
          <w:tab/>
        </w:r>
        <w:r>
          <w:rPr>
            <w:noProof/>
            <w:webHidden/>
          </w:rPr>
          <w:fldChar w:fldCharType="begin"/>
        </w:r>
        <w:r>
          <w:rPr>
            <w:noProof/>
            <w:webHidden/>
          </w:rPr>
          <w:instrText xml:space="preserve"> PAGEREF _Toc46308201 \h </w:instrText>
        </w:r>
        <w:r>
          <w:rPr>
            <w:noProof/>
            <w:webHidden/>
          </w:rPr>
        </w:r>
        <w:r>
          <w:rPr>
            <w:noProof/>
            <w:webHidden/>
          </w:rPr>
          <w:fldChar w:fldCharType="separate"/>
        </w:r>
        <w:r>
          <w:rPr>
            <w:noProof/>
            <w:webHidden/>
          </w:rPr>
          <w:t>49</w:t>
        </w:r>
        <w:r>
          <w:rPr>
            <w:noProof/>
            <w:webHidden/>
          </w:rPr>
          <w:fldChar w:fldCharType="end"/>
        </w:r>
      </w:hyperlink>
    </w:p>
    <w:p w:rsidR="005F01C2" w:rsidRDefault="005F01C2" w14:paraId="5CDD7DB4" w14:textId="2C259E26">
      <w:pPr>
        <w:pStyle w:val="TOC3"/>
        <w:tabs>
          <w:tab w:val="left" w:pos="1296"/>
          <w:tab w:val="right" w:leader="dot" w:pos="9350"/>
        </w:tabs>
        <w:rPr>
          <w:rFonts w:asciiTheme="minorHAnsi" w:hAnsiTheme="minorHAnsi" w:cstheme="minorBidi"/>
          <w:noProof/>
          <w:sz w:val="22"/>
        </w:rPr>
      </w:pPr>
      <w:hyperlink w:history="1" w:anchor="_Toc46308202">
        <w:r w:rsidRPr="00920F1D">
          <w:rPr>
            <w:rStyle w:val="Hyperlink"/>
            <w:noProof/>
          </w:rPr>
          <w:t>7.3.2.</w:t>
        </w:r>
        <w:r>
          <w:rPr>
            <w:rFonts w:asciiTheme="minorHAnsi" w:hAnsiTheme="minorHAnsi" w:cstheme="minorBidi"/>
            <w:noProof/>
            <w:sz w:val="22"/>
          </w:rPr>
          <w:tab/>
        </w:r>
        <w:r w:rsidRPr="00920F1D">
          <w:rPr>
            <w:rStyle w:val="Hyperlink"/>
            <w:noProof/>
          </w:rPr>
          <w:t>Aggregation: Solving the Mismatch Between PUMA Boundaries and Utility Boundaries, and Between Utility Boundaries Themselves</w:t>
        </w:r>
        <w:r>
          <w:rPr>
            <w:noProof/>
            <w:webHidden/>
          </w:rPr>
          <w:tab/>
        </w:r>
        <w:r>
          <w:rPr>
            <w:noProof/>
            <w:webHidden/>
          </w:rPr>
          <w:fldChar w:fldCharType="begin"/>
        </w:r>
        <w:r>
          <w:rPr>
            <w:noProof/>
            <w:webHidden/>
          </w:rPr>
          <w:instrText xml:space="preserve"> PAGEREF _Toc46308202 \h </w:instrText>
        </w:r>
        <w:r>
          <w:rPr>
            <w:noProof/>
            <w:webHidden/>
          </w:rPr>
        </w:r>
        <w:r>
          <w:rPr>
            <w:noProof/>
            <w:webHidden/>
          </w:rPr>
          <w:fldChar w:fldCharType="separate"/>
        </w:r>
        <w:r>
          <w:rPr>
            <w:noProof/>
            <w:webHidden/>
          </w:rPr>
          <w:t>53</w:t>
        </w:r>
        <w:r>
          <w:rPr>
            <w:noProof/>
            <w:webHidden/>
          </w:rPr>
          <w:fldChar w:fldCharType="end"/>
        </w:r>
      </w:hyperlink>
    </w:p>
    <w:p w:rsidR="005F01C2" w:rsidRDefault="005F01C2" w14:paraId="382C4260" w14:textId="4AA933D9">
      <w:pPr>
        <w:pStyle w:val="TOC3"/>
        <w:tabs>
          <w:tab w:val="left" w:pos="1296"/>
          <w:tab w:val="right" w:leader="dot" w:pos="9350"/>
        </w:tabs>
        <w:rPr>
          <w:rFonts w:asciiTheme="minorHAnsi" w:hAnsiTheme="minorHAnsi" w:cstheme="minorBidi"/>
          <w:noProof/>
          <w:sz w:val="22"/>
        </w:rPr>
      </w:pPr>
      <w:hyperlink w:history="1" w:anchor="_Toc46308203">
        <w:r w:rsidRPr="00920F1D">
          <w:rPr>
            <w:rStyle w:val="Hyperlink"/>
            <w:noProof/>
          </w:rPr>
          <w:t>7.3.3.</w:t>
        </w:r>
        <w:r>
          <w:rPr>
            <w:rFonts w:asciiTheme="minorHAnsi" w:hAnsiTheme="minorHAnsi" w:cstheme="minorBidi"/>
            <w:noProof/>
            <w:sz w:val="22"/>
          </w:rPr>
          <w:tab/>
        </w:r>
        <w:r w:rsidRPr="00920F1D">
          <w:rPr>
            <w:rStyle w:val="Hyperlink"/>
            <w:noProof/>
          </w:rPr>
          <w:t>Top-Coding</w:t>
        </w:r>
        <w:r>
          <w:rPr>
            <w:noProof/>
            <w:webHidden/>
          </w:rPr>
          <w:tab/>
        </w:r>
        <w:r>
          <w:rPr>
            <w:noProof/>
            <w:webHidden/>
          </w:rPr>
          <w:fldChar w:fldCharType="begin"/>
        </w:r>
        <w:r>
          <w:rPr>
            <w:noProof/>
            <w:webHidden/>
          </w:rPr>
          <w:instrText xml:space="preserve"> PAGEREF _Toc46308203 \h </w:instrText>
        </w:r>
        <w:r>
          <w:rPr>
            <w:noProof/>
            <w:webHidden/>
          </w:rPr>
        </w:r>
        <w:r>
          <w:rPr>
            <w:noProof/>
            <w:webHidden/>
          </w:rPr>
          <w:fldChar w:fldCharType="separate"/>
        </w:r>
        <w:r>
          <w:rPr>
            <w:noProof/>
            <w:webHidden/>
          </w:rPr>
          <w:t>56</w:t>
        </w:r>
        <w:r>
          <w:rPr>
            <w:noProof/>
            <w:webHidden/>
          </w:rPr>
          <w:fldChar w:fldCharType="end"/>
        </w:r>
      </w:hyperlink>
    </w:p>
    <w:p w:rsidR="005F01C2" w:rsidRDefault="005F01C2" w14:paraId="14FB4182" w14:textId="7A0EF36C">
      <w:pPr>
        <w:pStyle w:val="TOC3"/>
        <w:tabs>
          <w:tab w:val="left" w:pos="1296"/>
          <w:tab w:val="right" w:leader="dot" w:pos="9350"/>
        </w:tabs>
        <w:rPr>
          <w:rFonts w:asciiTheme="minorHAnsi" w:hAnsiTheme="minorHAnsi" w:cstheme="minorBidi"/>
          <w:noProof/>
          <w:sz w:val="22"/>
        </w:rPr>
      </w:pPr>
      <w:hyperlink w:history="1" w:anchor="_Toc46308204">
        <w:r w:rsidRPr="00920F1D">
          <w:rPr>
            <w:rStyle w:val="Hyperlink"/>
            <w:noProof/>
          </w:rPr>
          <w:t>7.3.4.</w:t>
        </w:r>
        <w:r>
          <w:rPr>
            <w:rFonts w:asciiTheme="minorHAnsi" w:hAnsiTheme="minorHAnsi" w:cstheme="minorBidi"/>
            <w:noProof/>
            <w:sz w:val="22"/>
          </w:rPr>
          <w:tab/>
        </w:r>
        <w:r w:rsidRPr="00920F1D">
          <w:rPr>
            <w:rStyle w:val="Hyperlink"/>
            <w:noProof/>
          </w:rPr>
          <w:t>Definition of Non-Discretionary Expenses</w:t>
        </w:r>
        <w:r>
          <w:rPr>
            <w:noProof/>
            <w:webHidden/>
          </w:rPr>
          <w:tab/>
        </w:r>
        <w:r>
          <w:rPr>
            <w:noProof/>
            <w:webHidden/>
          </w:rPr>
          <w:fldChar w:fldCharType="begin"/>
        </w:r>
        <w:r>
          <w:rPr>
            <w:noProof/>
            <w:webHidden/>
          </w:rPr>
          <w:instrText xml:space="preserve"> PAGEREF _Toc46308204 \h </w:instrText>
        </w:r>
        <w:r>
          <w:rPr>
            <w:noProof/>
            <w:webHidden/>
          </w:rPr>
        </w:r>
        <w:r>
          <w:rPr>
            <w:noProof/>
            <w:webHidden/>
          </w:rPr>
          <w:fldChar w:fldCharType="separate"/>
        </w:r>
        <w:r>
          <w:rPr>
            <w:noProof/>
            <w:webHidden/>
          </w:rPr>
          <w:t>57</w:t>
        </w:r>
        <w:r>
          <w:rPr>
            <w:noProof/>
            <w:webHidden/>
          </w:rPr>
          <w:fldChar w:fldCharType="end"/>
        </w:r>
      </w:hyperlink>
    </w:p>
    <w:p w:rsidR="005F01C2" w:rsidRDefault="005F01C2" w14:paraId="060CC989" w14:textId="73F5A824">
      <w:pPr>
        <w:pStyle w:val="TOC1"/>
        <w:tabs>
          <w:tab w:val="right" w:leader="dot" w:pos="9350"/>
        </w:tabs>
        <w:rPr>
          <w:rFonts w:asciiTheme="minorHAnsi" w:hAnsiTheme="minorHAnsi" w:cstheme="minorBidi"/>
          <w:noProof/>
          <w:sz w:val="22"/>
        </w:rPr>
      </w:pPr>
      <w:hyperlink w:history="1" w:anchor="_Toc46308205">
        <w:r w:rsidRPr="00920F1D">
          <w:rPr>
            <w:rStyle w:val="Hyperlink"/>
            <w:noProof/>
          </w:rPr>
          <w:t>8.</w:t>
        </w:r>
        <w:r>
          <w:rPr>
            <w:rFonts w:asciiTheme="minorHAnsi" w:hAnsiTheme="minorHAnsi" w:cstheme="minorBidi"/>
            <w:noProof/>
            <w:sz w:val="22"/>
          </w:rPr>
          <w:tab/>
        </w:r>
        <w:r w:rsidRPr="00920F1D">
          <w:rPr>
            <w:rStyle w:val="Hyperlink"/>
            <w:noProof/>
          </w:rPr>
          <w:t>Implementation</w:t>
        </w:r>
        <w:r>
          <w:rPr>
            <w:noProof/>
            <w:webHidden/>
          </w:rPr>
          <w:tab/>
        </w:r>
        <w:r>
          <w:rPr>
            <w:noProof/>
            <w:webHidden/>
          </w:rPr>
          <w:fldChar w:fldCharType="begin"/>
        </w:r>
        <w:r>
          <w:rPr>
            <w:noProof/>
            <w:webHidden/>
          </w:rPr>
          <w:instrText xml:space="preserve"> PAGEREF _Toc46308205 \h </w:instrText>
        </w:r>
        <w:r>
          <w:rPr>
            <w:noProof/>
            <w:webHidden/>
          </w:rPr>
        </w:r>
        <w:r>
          <w:rPr>
            <w:noProof/>
            <w:webHidden/>
          </w:rPr>
          <w:fldChar w:fldCharType="separate"/>
        </w:r>
        <w:r>
          <w:rPr>
            <w:noProof/>
            <w:webHidden/>
          </w:rPr>
          <w:t>61</w:t>
        </w:r>
        <w:r>
          <w:rPr>
            <w:noProof/>
            <w:webHidden/>
          </w:rPr>
          <w:fldChar w:fldCharType="end"/>
        </w:r>
      </w:hyperlink>
    </w:p>
    <w:p w:rsidR="005F01C2" w:rsidRDefault="005F01C2" w14:paraId="339C2DD0" w14:textId="0A29B4C7">
      <w:pPr>
        <w:pStyle w:val="TOC2"/>
        <w:tabs>
          <w:tab w:val="right" w:leader="dot" w:pos="9350"/>
        </w:tabs>
        <w:rPr>
          <w:rFonts w:asciiTheme="minorHAnsi" w:hAnsiTheme="minorHAnsi" w:cstheme="minorBidi"/>
          <w:noProof/>
          <w:sz w:val="22"/>
        </w:rPr>
      </w:pPr>
      <w:hyperlink w:history="1" w:anchor="_Toc46308206">
        <w:r w:rsidRPr="00920F1D">
          <w:rPr>
            <w:rStyle w:val="Hyperlink"/>
            <w:noProof/>
          </w:rPr>
          <w:t>8.1.</w:t>
        </w:r>
        <w:r>
          <w:rPr>
            <w:rFonts w:asciiTheme="minorHAnsi" w:hAnsiTheme="minorHAnsi" w:cstheme="minorBidi"/>
            <w:noProof/>
            <w:sz w:val="22"/>
          </w:rPr>
          <w:tab/>
        </w:r>
        <w:r w:rsidRPr="00920F1D">
          <w:rPr>
            <w:rStyle w:val="Hyperlink"/>
            <w:noProof/>
          </w:rPr>
          <w:t>Using the Metrics in a Ratesetting Proceeding</w:t>
        </w:r>
        <w:r>
          <w:rPr>
            <w:noProof/>
            <w:webHidden/>
          </w:rPr>
          <w:tab/>
        </w:r>
        <w:r>
          <w:rPr>
            <w:noProof/>
            <w:webHidden/>
          </w:rPr>
          <w:fldChar w:fldCharType="begin"/>
        </w:r>
        <w:r>
          <w:rPr>
            <w:noProof/>
            <w:webHidden/>
          </w:rPr>
          <w:instrText xml:space="preserve"> PAGEREF _Toc46308206 \h </w:instrText>
        </w:r>
        <w:r>
          <w:rPr>
            <w:noProof/>
            <w:webHidden/>
          </w:rPr>
        </w:r>
        <w:r>
          <w:rPr>
            <w:noProof/>
            <w:webHidden/>
          </w:rPr>
          <w:fldChar w:fldCharType="separate"/>
        </w:r>
        <w:r>
          <w:rPr>
            <w:noProof/>
            <w:webHidden/>
          </w:rPr>
          <w:t>62</w:t>
        </w:r>
        <w:r>
          <w:rPr>
            <w:noProof/>
            <w:webHidden/>
          </w:rPr>
          <w:fldChar w:fldCharType="end"/>
        </w:r>
      </w:hyperlink>
    </w:p>
    <w:p w:rsidR="005F01C2" w:rsidRDefault="005F01C2" w14:paraId="09966260" w14:textId="1177214B">
      <w:pPr>
        <w:pStyle w:val="TOC2"/>
        <w:tabs>
          <w:tab w:val="right" w:leader="dot" w:pos="9350"/>
        </w:tabs>
        <w:rPr>
          <w:rFonts w:asciiTheme="minorHAnsi" w:hAnsiTheme="minorHAnsi" w:cstheme="minorBidi"/>
          <w:noProof/>
          <w:sz w:val="22"/>
        </w:rPr>
      </w:pPr>
      <w:hyperlink w:history="1" w:anchor="_Toc46308207">
        <w:r w:rsidRPr="00920F1D">
          <w:rPr>
            <w:rStyle w:val="Hyperlink"/>
            <w:noProof/>
          </w:rPr>
          <w:t>8.2.</w:t>
        </w:r>
        <w:r>
          <w:rPr>
            <w:rFonts w:asciiTheme="minorHAnsi" w:hAnsiTheme="minorHAnsi" w:cstheme="minorBidi"/>
            <w:noProof/>
            <w:sz w:val="22"/>
          </w:rPr>
          <w:tab/>
        </w:r>
        <w:r w:rsidRPr="00920F1D">
          <w:rPr>
            <w:rStyle w:val="Hyperlink"/>
            <w:noProof/>
          </w:rPr>
          <w:t>Assessing Affordability Simultaneously Across Multiple Proceedings</w:t>
        </w:r>
        <w:r>
          <w:rPr>
            <w:noProof/>
            <w:webHidden/>
          </w:rPr>
          <w:tab/>
        </w:r>
        <w:r>
          <w:rPr>
            <w:noProof/>
            <w:webHidden/>
          </w:rPr>
          <w:fldChar w:fldCharType="begin"/>
        </w:r>
        <w:r>
          <w:rPr>
            <w:noProof/>
            <w:webHidden/>
          </w:rPr>
          <w:instrText xml:space="preserve"> PAGEREF _Toc46308207 \h </w:instrText>
        </w:r>
        <w:r>
          <w:rPr>
            <w:noProof/>
            <w:webHidden/>
          </w:rPr>
        </w:r>
        <w:r>
          <w:rPr>
            <w:noProof/>
            <w:webHidden/>
          </w:rPr>
          <w:fldChar w:fldCharType="separate"/>
        </w:r>
        <w:r>
          <w:rPr>
            <w:noProof/>
            <w:webHidden/>
          </w:rPr>
          <w:t>63</w:t>
        </w:r>
        <w:r>
          <w:rPr>
            <w:noProof/>
            <w:webHidden/>
          </w:rPr>
          <w:fldChar w:fldCharType="end"/>
        </w:r>
      </w:hyperlink>
    </w:p>
    <w:p w:rsidR="005F01C2" w:rsidRDefault="005F01C2" w14:paraId="6948C03C" w14:textId="2A4E0F0D">
      <w:pPr>
        <w:pStyle w:val="TOC2"/>
        <w:tabs>
          <w:tab w:val="right" w:leader="dot" w:pos="9350"/>
        </w:tabs>
        <w:rPr>
          <w:rFonts w:asciiTheme="minorHAnsi" w:hAnsiTheme="minorHAnsi" w:cstheme="minorBidi"/>
          <w:noProof/>
          <w:sz w:val="22"/>
        </w:rPr>
      </w:pPr>
      <w:hyperlink w:history="1" w:anchor="_Toc46308208">
        <w:r w:rsidRPr="00920F1D">
          <w:rPr>
            <w:rStyle w:val="Hyperlink"/>
            <w:noProof/>
          </w:rPr>
          <w:t>8.3.</w:t>
        </w:r>
        <w:r>
          <w:rPr>
            <w:rFonts w:asciiTheme="minorHAnsi" w:hAnsiTheme="minorHAnsi" w:cstheme="minorBidi"/>
            <w:noProof/>
            <w:sz w:val="22"/>
          </w:rPr>
          <w:tab/>
        </w:r>
        <w:r w:rsidRPr="00920F1D">
          <w:rPr>
            <w:rStyle w:val="Hyperlink"/>
            <w:noProof/>
          </w:rPr>
          <w:t>Annual Reporting</w:t>
        </w:r>
        <w:r>
          <w:rPr>
            <w:noProof/>
            <w:webHidden/>
          </w:rPr>
          <w:tab/>
        </w:r>
        <w:r>
          <w:rPr>
            <w:noProof/>
            <w:webHidden/>
          </w:rPr>
          <w:fldChar w:fldCharType="begin"/>
        </w:r>
        <w:r>
          <w:rPr>
            <w:noProof/>
            <w:webHidden/>
          </w:rPr>
          <w:instrText xml:space="preserve"> PAGEREF _Toc46308208 \h </w:instrText>
        </w:r>
        <w:r>
          <w:rPr>
            <w:noProof/>
            <w:webHidden/>
          </w:rPr>
        </w:r>
        <w:r>
          <w:rPr>
            <w:noProof/>
            <w:webHidden/>
          </w:rPr>
          <w:fldChar w:fldCharType="separate"/>
        </w:r>
        <w:r>
          <w:rPr>
            <w:noProof/>
            <w:webHidden/>
          </w:rPr>
          <w:t>66</w:t>
        </w:r>
        <w:r>
          <w:rPr>
            <w:noProof/>
            <w:webHidden/>
          </w:rPr>
          <w:fldChar w:fldCharType="end"/>
        </w:r>
      </w:hyperlink>
    </w:p>
    <w:p w:rsidR="005F01C2" w:rsidRDefault="005F01C2" w14:paraId="2703A2F4" w14:textId="10788839">
      <w:pPr>
        <w:pStyle w:val="TOC2"/>
        <w:tabs>
          <w:tab w:val="right" w:leader="dot" w:pos="9350"/>
        </w:tabs>
        <w:rPr>
          <w:rFonts w:asciiTheme="minorHAnsi" w:hAnsiTheme="minorHAnsi" w:cstheme="minorBidi"/>
          <w:noProof/>
          <w:sz w:val="22"/>
        </w:rPr>
      </w:pPr>
      <w:hyperlink w:history="1" w:anchor="_Toc46308209">
        <w:r w:rsidRPr="00920F1D">
          <w:rPr>
            <w:rStyle w:val="Hyperlink"/>
            <w:noProof/>
          </w:rPr>
          <w:t>8.4.</w:t>
        </w:r>
        <w:r>
          <w:rPr>
            <w:rFonts w:asciiTheme="minorHAnsi" w:hAnsiTheme="minorHAnsi" w:cstheme="minorBidi"/>
            <w:noProof/>
            <w:sz w:val="22"/>
          </w:rPr>
          <w:tab/>
        </w:r>
        <w:r w:rsidRPr="00920F1D">
          <w:rPr>
            <w:rStyle w:val="Hyperlink"/>
            <w:noProof/>
          </w:rPr>
          <w:t>Absolute Definition of Affordability</w:t>
        </w:r>
        <w:r>
          <w:rPr>
            <w:noProof/>
            <w:webHidden/>
          </w:rPr>
          <w:tab/>
        </w:r>
        <w:r>
          <w:rPr>
            <w:noProof/>
            <w:webHidden/>
          </w:rPr>
          <w:fldChar w:fldCharType="begin"/>
        </w:r>
        <w:r>
          <w:rPr>
            <w:noProof/>
            <w:webHidden/>
          </w:rPr>
          <w:instrText xml:space="preserve"> PAGEREF _Toc46308209 \h </w:instrText>
        </w:r>
        <w:r>
          <w:rPr>
            <w:noProof/>
            <w:webHidden/>
          </w:rPr>
        </w:r>
        <w:r>
          <w:rPr>
            <w:noProof/>
            <w:webHidden/>
          </w:rPr>
          <w:fldChar w:fldCharType="separate"/>
        </w:r>
        <w:r>
          <w:rPr>
            <w:noProof/>
            <w:webHidden/>
          </w:rPr>
          <w:t>71</w:t>
        </w:r>
        <w:r>
          <w:rPr>
            <w:noProof/>
            <w:webHidden/>
          </w:rPr>
          <w:fldChar w:fldCharType="end"/>
        </w:r>
      </w:hyperlink>
    </w:p>
    <w:p w:rsidR="005F01C2" w:rsidRDefault="005F01C2" w14:paraId="518F265C" w14:textId="53285BAF">
      <w:pPr>
        <w:pStyle w:val="TOC2"/>
        <w:tabs>
          <w:tab w:val="right" w:leader="dot" w:pos="9350"/>
        </w:tabs>
        <w:rPr>
          <w:rFonts w:asciiTheme="minorHAnsi" w:hAnsiTheme="minorHAnsi" w:cstheme="minorBidi"/>
          <w:noProof/>
          <w:sz w:val="22"/>
        </w:rPr>
      </w:pPr>
      <w:hyperlink w:history="1" w:anchor="_Toc46308210">
        <w:r w:rsidRPr="00920F1D">
          <w:rPr>
            <w:rStyle w:val="Hyperlink"/>
            <w:noProof/>
          </w:rPr>
          <w:t>8.5.</w:t>
        </w:r>
        <w:r>
          <w:rPr>
            <w:rFonts w:asciiTheme="minorHAnsi" w:hAnsiTheme="minorHAnsi" w:cstheme="minorBidi"/>
            <w:noProof/>
            <w:sz w:val="22"/>
          </w:rPr>
          <w:tab/>
        </w:r>
        <w:r w:rsidRPr="00920F1D">
          <w:rPr>
            <w:rStyle w:val="Hyperlink"/>
            <w:noProof/>
          </w:rPr>
          <w:t>Data Procurement, Analysis, and Presentation</w:t>
        </w:r>
        <w:r>
          <w:rPr>
            <w:noProof/>
            <w:webHidden/>
          </w:rPr>
          <w:tab/>
        </w:r>
        <w:r>
          <w:rPr>
            <w:noProof/>
            <w:webHidden/>
          </w:rPr>
          <w:fldChar w:fldCharType="begin"/>
        </w:r>
        <w:r>
          <w:rPr>
            <w:noProof/>
            <w:webHidden/>
          </w:rPr>
          <w:instrText xml:space="preserve"> PAGEREF _Toc46308210 \h </w:instrText>
        </w:r>
        <w:r>
          <w:rPr>
            <w:noProof/>
            <w:webHidden/>
          </w:rPr>
        </w:r>
        <w:r>
          <w:rPr>
            <w:noProof/>
            <w:webHidden/>
          </w:rPr>
          <w:fldChar w:fldCharType="separate"/>
        </w:r>
        <w:r>
          <w:rPr>
            <w:noProof/>
            <w:webHidden/>
          </w:rPr>
          <w:t>73</w:t>
        </w:r>
        <w:r>
          <w:rPr>
            <w:noProof/>
            <w:webHidden/>
          </w:rPr>
          <w:fldChar w:fldCharType="end"/>
        </w:r>
      </w:hyperlink>
    </w:p>
    <w:p w:rsidR="005F01C2" w:rsidRDefault="005F01C2" w14:paraId="7BBF6857" w14:textId="4DA36EF3">
      <w:pPr>
        <w:pStyle w:val="TOC2"/>
        <w:tabs>
          <w:tab w:val="right" w:leader="dot" w:pos="9350"/>
        </w:tabs>
        <w:rPr>
          <w:rFonts w:asciiTheme="minorHAnsi" w:hAnsiTheme="minorHAnsi" w:cstheme="minorBidi"/>
          <w:noProof/>
          <w:sz w:val="22"/>
        </w:rPr>
      </w:pPr>
      <w:hyperlink w:history="1" w:anchor="_Toc46308211">
        <w:r w:rsidRPr="00920F1D">
          <w:rPr>
            <w:rStyle w:val="Hyperlink"/>
            <w:noProof/>
          </w:rPr>
          <w:t>8.6.</w:t>
        </w:r>
        <w:r>
          <w:rPr>
            <w:rFonts w:asciiTheme="minorHAnsi" w:hAnsiTheme="minorHAnsi" w:cstheme="minorBidi"/>
            <w:noProof/>
            <w:sz w:val="22"/>
          </w:rPr>
          <w:tab/>
        </w:r>
        <w:r w:rsidRPr="00920F1D">
          <w:rPr>
            <w:rStyle w:val="Hyperlink"/>
            <w:noProof/>
          </w:rPr>
          <w:t>Forecasting</w:t>
        </w:r>
        <w:r>
          <w:rPr>
            <w:noProof/>
            <w:webHidden/>
          </w:rPr>
          <w:tab/>
        </w:r>
        <w:r>
          <w:rPr>
            <w:noProof/>
            <w:webHidden/>
          </w:rPr>
          <w:fldChar w:fldCharType="begin"/>
        </w:r>
        <w:r>
          <w:rPr>
            <w:noProof/>
            <w:webHidden/>
          </w:rPr>
          <w:instrText xml:space="preserve"> PAGEREF _Toc46308211 \h </w:instrText>
        </w:r>
        <w:r>
          <w:rPr>
            <w:noProof/>
            <w:webHidden/>
          </w:rPr>
        </w:r>
        <w:r>
          <w:rPr>
            <w:noProof/>
            <w:webHidden/>
          </w:rPr>
          <w:fldChar w:fldCharType="separate"/>
        </w:r>
        <w:r>
          <w:rPr>
            <w:noProof/>
            <w:webHidden/>
          </w:rPr>
          <w:t>75</w:t>
        </w:r>
        <w:r>
          <w:rPr>
            <w:noProof/>
            <w:webHidden/>
          </w:rPr>
          <w:fldChar w:fldCharType="end"/>
        </w:r>
      </w:hyperlink>
    </w:p>
    <w:p w:rsidR="005F01C2" w:rsidRDefault="005F01C2" w14:paraId="7912D866" w14:textId="5490207E">
      <w:pPr>
        <w:pStyle w:val="TOC2"/>
        <w:tabs>
          <w:tab w:val="right" w:leader="dot" w:pos="9350"/>
        </w:tabs>
        <w:rPr>
          <w:rFonts w:asciiTheme="minorHAnsi" w:hAnsiTheme="minorHAnsi" w:cstheme="minorBidi"/>
          <w:noProof/>
          <w:sz w:val="22"/>
        </w:rPr>
      </w:pPr>
      <w:hyperlink w:history="1" w:anchor="_Toc46308212">
        <w:r w:rsidRPr="00920F1D">
          <w:rPr>
            <w:rStyle w:val="Hyperlink"/>
            <w:noProof/>
          </w:rPr>
          <w:t>8.7.</w:t>
        </w:r>
        <w:r>
          <w:rPr>
            <w:rFonts w:asciiTheme="minorHAnsi" w:hAnsiTheme="minorHAnsi" w:cstheme="minorBidi"/>
            <w:noProof/>
            <w:sz w:val="22"/>
          </w:rPr>
          <w:tab/>
        </w:r>
        <w:r w:rsidRPr="00920F1D">
          <w:rPr>
            <w:rStyle w:val="Hyperlink"/>
            <w:noProof/>
          </w:rPr>
          <w:t>Broader Criticisms of Uncertainty in Affordability Metrics</w:t>
        </w:r>
        <w:r>
          <w:rPr>
            <w:noProof/>
            <w:webHidden/>
          </w:rPr>
          <w:tab/>
        </w:r>
        <w:r>
          <w:rPr>
            <w:noProof/>
            <w:webHidden/>
          </w:rPr>
          <w:fldChar w:fldCharType="begin"/>
        </w:r>
        <w:r>
          <w:rPr>
            <w:noProof/>
            <w:webHidden/>
          </w:rPr>
          <w:instrText xml:space="preserve"> PAGEREF _Toc46308212 \h </w:instrText>
        </w:r>
        <w:r>
          <w:rPr>
            <w:noProof/>
            <w:webHidden/>
          </w:rPr>
        </w:r>
        <w:r>
          <w:rPr>
            <w:noProof/>
            <w:webHidden/>
          </w:rPr>
          <w:fldChar w:fldCharType="separate"/>
        </w:r>
        <w:r>
          <w:rPr>
            <w:noProof/>
            <w:webHidden/>
          </w:rPr>
          <w:t>78</w:t>
        </w:r>
        <w:r>
          <w:rPr>
            <w:noProof/>
            <w:webHidden/>
          </w:rPr>
          <w:fldChar w:fldCharType="end"/>
        </w:r>
      </w:hyperlink>
    </w:p>
    <w:p w:rsidR="005F01C2" w:rsidRDefault="005F01C2" w14:paraId="6304B890" w14:textId="161DC341">
      <w:pPr>
        <w:pStyle w:val="TOC2"/>
        <w:tabs>
          <w:tab w:val="right" w:leader="dot" w:pos="9350"/>
        </w:tabs>
        <w:rPr>
          <w:rFonts w:asciiTheme="minorHAnsi" w:hAnsiTheme="minorHAnsi" w:cstheme="minorBidi"/>
          <w:noProof/>
          <w:sz w:val="22"/>
        </w:rPr>
      </w:pPr>
      <w:hyperlink w:history="1" w:anchor="_Toc46308213">
        <w:r w:rsidRPr="00920F1D">
          <w:rPr>
            <w:rStyle w:val="Hyperlink"/>
            <w:noProof/>
          </w:rPr>
          <w:t>8.8.</w:t>
        </w:r>
        <w:r>
          <w:rPr>
            <w:rFonts w:asciiTheme="minorHAnsi" w:hAnsiTheme="minorHAnsi" w:cstheme="minorBidi"/>
            <w:noProof/>
            <w:sz w:val="22"/>
          </w:rPr>
          <w:tab/>
        </w:r>
        <w:r w:rsidRPr="00920F1D">
          <w:rPr>
            <w:rStyle w:val="Hyperlink"/>
            <w:noProof/>
          </w:rPr>
          <w:t>Phase 2 Issues</w:t>
        </w:r>
        <w:r>
          <w:rPr>
            <w:noProof/>
            <w:webHidden/>
          </w:rPr>
          <w:tab/>
        </w:r>
        <w:r>
          <w:rPr>
            <w:noProof/>
            <w:webHidden/>
          </w:rPr>
          <w:fldChar w:fldCharType="begin"/>
        </w:r>
        <w:r>
          <w:rPr>
            <w:noProof/>
            <w:webHidden/>
          </w:rPr>
          <w:instrText xml:space="preserve"> PAGEREF _Toc46308213 \h </w:instrText>
        </w:r>
        <w:r>
          <w:rPr>
            <w:noProof/>
            <w:webHidden/>
          </w:rPr>
        </w:r>
        <w:r>
          <w:rPr>
            <w:noProof/>
            <w:webHidden/>
          </w:rPr>
          <w:fldChar w:fldCharType="separate"/>
        </w:r>
        <w:r>
          <w:rPr>
            <w:noProof/>
            <w:webHidden/>
          </w:rPr>
          <w:t>79</w:t>
        </w:r>
        <w:r>
          <w:rPr>
            <w:noProof/>
            <w:webHidden/>
          </w:rPr>
          <w:fldChar w:fldCharType="end"/>
        </w:r>
      </w:hyperlink>
    </w:p>
    <w:p w:rsidR="005F01C2" w:rsidRDefault="005F01C2" w14:paraId="472961BA" w14:textId="0D4959C8">
      <w:pPr>
        <w:pStyle w:val="TOC1"/>
        <w:tabs>
          <w:tab w:val="right" w:leader="dot" w:pos="9350"/>
        </w:tabs>
        <w:rPr>
          <w:rFonts w:asciiTheme="minorHAnsi" w:hAnsiTheme="minorHAnsi" w:cstheme="minorBidi"/>
          <w:noProof/>
          <w:sz w:val="22"/>
        </w:rPr>
      </w:pPr>
      <w:hyperlink w:history="1" w:anchor="_Toc46308214">
        <w:r w:rsidRPr="00920F1D">
          <w:rPr>
            <w:rStyle w:val="Hyperlink"/>
            <w:noProof/>
          </w:rPr>
          <w:t>9.</w:t>
        </w:r>
        <w:r>
          <w:rPr>
            <w:rFonts w:asciiTheme="minorHAnsi" w:hAnsiTheme="minorHAnsi" w:cstheme="minorBidi"/>
            <w:noProof/>
            <w:sz w:val="22"/>
          </w:rPr>
          <w:tab/>
        </w:r>
        <w:r w:rsidRPr="00920F1D">
          <w:rPr>
            <w:rStyle w:val="Hyperlink"/>
            <w:noProof/>
          </w:rPr>
          <w:t>Recommendations of the Revised Staff Proposal Adopted Unless Otherwise Modified</w:t>
        </w:r>
        <w:r>
          <w:rPr>
            <w:noProof/>
            <w:webHidden/>
          </w:rPr>
          <w:tab/>
        </w:r>
        <w:r>
          <w:rPr>
            <w:noProof/>
            <w:webHidden/>
          </w:rPr>
          <w:fldChar w:fldCharType="begin"/>
        </w:r>
        <w:r>
          <w:rPr>
            <w:noProof/>
            <w:webHidden/>
          </w:rPr>
          <w:instrText xml:space="preserve"> PAGEREF _Toc46308214 \h </w:instrText>
        </w:r>
        <w:r>
          <w:rPr>
            <w:noProof/>
            <w:webHidden/>
          </w:rPr>
        </w:r>
        <w:r>
          <w:rPr>
            <w:noProof/>
            <w:webHidden/>
          </w:rPr>
          <w:fldChar w:fldCharType="separate"/>
        </w:r>
        <w:r>
          <w:rPr>
            <w:noProof/>
            <w:webHidden/>
          </w:rPr>
          <w:t>80</w:t>
        </w:r>
        <w:r>
          <w:rPr>
            <w:noProof/>
            <w:webHidden/>
          </w:rPr>
          <w:fldChar w:fldCharType="end"/>
        </w:r>
      </w:hyperlink>
    </w:p>
    <w:p w:rsidR="005F01C2" w:rsidRDefault="005F01C2" w14:paraId="1996E840" w14:textId="4DBEEE2F">
      <w:pPr>
        <w:pStyle w:val="TOC1"/>
        <w:tabs>
          <w:tab w:val="right" w:leader="dot" w:pos="9350"/>
        </w:tabs>
        <w:rPr>
          <w:rFonts w:asciiTheme="minorHAnsi" w:hAnsiTheme="minorHAnsi" w:cstheme="minorBidi"/>
          <w:noProof/>
          <w:sz w:val="22"/>
        </w:rPr>
      </w:pPr>
      <w:hyperlink w:history="1" w:anchor="_Toc46308215">
        <w:r w:rsidRPr="00920F1D">
          <w:rPr>
            <w:rStyle w:val="Hyperlink"/>
            <w:noProof/>
          </w:rPr>
          <w:t>10.</w:t>
        </w:r>
        <w:r>
          <w:rPr>
            <w:rFonts w:asciiTheme="minorHAnsi" w:hAnsiTheme="minorHAnsi" w:cstheme="minorBidi"/>
            <w:noProof/>
            <w:sz w:val="22"/>
          </w:rPr>
          <w:tab/>
        </w:r>
        <w:r w:rsidRPr="00920F1D">
          <w:rPr>
            <w:rStyle w:val="Hyperlink"/>
            <w:noProof/>
          </w:rPr>
          <w:t>Comments on Proposed Decision</w:t>
        </w:r>
        <w:r>
          <w:rPr>
            <w:noProof/>
            <w:webHidden/>
          </w:rPr>
          <w:tab/>
        </w:r>
        <w:r>
          <w:rPr>
            <w:noProof/>
            <w:webHidden/>
          </w:rPr>
          <w:fldChar w:fldCharType="begin"/>
        </w:r>
        <w:r>
          <w:rPr>
            <w:noProof/>
            <w:webHidden/>
          </w:rPr>
          <w:instrText xml:space="preserve"> PAGEREF _Toc46308215 \h </w:instrText>
        </w:r>
        <w:r>
          <w:rPr>
            <w:noProof/>
            <w:webHidden/>
          </w:rPr>
        </w:r>
        <w:r>
          <w:rPr>
            <w:noProof/>
            <w:webHidden/>
          </w:rPr>
          <w:fldChar w:fldCharType="separate"/>
        </w:r>
        <w:r>
          <w:rPr>
            <w:noProof/>
            <w:webHidden/>
          </w:rPr>
          <w:t>80</w:t>
        </w:r>
        <w:r>
          <w:rPr>
            <w:noProof/>
            <w:webHidden/>
          </w:rPr>
          <w:fldChar w:fldCharType="end"/>
        </w:r>
      </w:hyperlink>
    </w:p>
    <w:p w:rsidR="005F01C2" w:rsidRDefault="005F01C2" w14:paraId="4D58A442" w14:textId="13AA9AD7">
      <w:pPr>
        <w:pStyle w:val="TOC1"/>
        <w:tabs>
          <w:tab w:val="right" w:leader="dot" w:pos="9350"/>
        </w:tabs>
        <w:rPr>
          <w:rFonts w:asciiTheme="minorHAnsi" w:hAnsiTheme="minorHAnsi" w:cstheme="minorBidi"/>
          <w:noProof/>
          <w:sz w:val="22"/>
        </w:rPr>
      </w:pPr>
      <w:hyperlink w:history="1" w:anchor="_Toc46308216">
        <w:r w:rsidRPr="00920F1D">
          <w:rPr>
            <w:rStyle w:val="Hyperlink"/>
            <w:noProof/>
          </w:rPr>
          <w:t>11.</w:t>
        </w:r>
        <w:r>
          <w:rPr>
            <w:rFonts w:asciiTheme="minorHAnsi" w:hAnsiTheme="minorHAnsi" w:cstheme="minorBidi"/>
            <w:noProof/>
            <w:sz w:val="22"/>
          </w:rPr>
          <w:tab/>
        </w:r>
        <w:r w:rsidRPr="00920F1D">
          <w:rPr>
            <w:rStyle w:val="Hyperlink"/>
            <w:noProof/>
          </w:rPr>
          <w:t>Assignment of Proceeding</w:t>
        </w:r>
        <w:r>
          <w:rPr>
            <w:noProof/>
            <w:webHidden/>
          </w:rPr>
          <w:tab/>
        </w:r>
        <w:r>
          <w:rPr>
            <w:noProof/>
            <w:webHidden/>
          </w:rPr>
          <w:fldChar w:fldCharType="begin"/>
        </w:r>
        <w:r>
          <w:rPr>
            <w:noProof/>
            <w:webHidden/>
          </w:rPr>
          <w:instrText xml:space="preserve"> PAGEREF _Toc46308216 \h </w:instrText>
        </w:r>
        <w:r>
          <w:rPr>
            <w:noProof/>
            <w:webHidden/>
          </w:rPr>
        </w:r>
        <w:r>
          <w:rPr>
            <w:noProof/>
            <w:webHidden/>
          </w:rPr>
          <w:fldChar w:fldCharType="separate"/>
        </w:r>
        <w:r>
          <w:rPr>
            <w:noProof/>
            <w:webHidden/>
          </w:rPr>
          <w:t>81</w:t>
        </w:r>
        <w:r>
          <w:rPr>
            <w:noProof/>
            <w:webHidden/>
          </w:rPr>
          <w:fldChar w:fldCharType="end"/>
        </w:r>
      </w:hyperlink>
    </w:p>
    <w:p w:rsidR="005F01C2" w:rsidRDefault="005F01C2" w14:paraId="5CA25CFA" w14:textId="67CE0588">
      <w:pPr>
        <w:pStyle w:val="TOC1"/>
        <w:tabs>
          <w:tab w:val="right" w:leader="dot" w:pos="9350"/>
        </w:tabs>
        <w:rPr>
          <w:rFonts w:asciiTheme="minorHAnsi" w:hAnsiTheme="minorHAnsi" w:cstheme="minorBidi"/>
          <w:noProof/>
          <w:sz w:val="22"/>
        </w:rPr>
      </w:pPr>
      <w:hyperlink w:history="1" w:anchor="_Toc46308217">
        <w:r w:rsidRPr="00920F1D">
          <w:rPr>
            <w:rStyle w:val="Hyperlink"/>
            <w:noProof/>
          </w:rPr>
          <w:t>Findings of Fact</w:t>
        </w:r>
        <w:r>
          <w:rPr>
            <w:noProof/>
            <w:webHidden/>
          </w:rPr>
          <w:tab/>
        </w:r>
        <w:r>
          <w:rPr>
            <w:noProof/>
            <w:webHidden/>
          </w:rPr>
          <w:fldChar w:fldCharType="begin"/>
        </w:r>
        <w:r>
          <w:rPr>
            <w:noProof/>
            <w:webHidden/>
          </w:rPr>
          <w:instrText xml:space="preserve"> PAGEREF _Toc46308217 \h </w:instrText>
        </w:r>
        <w:r>
          <w:rPr>
            <w:noProof/>
            <w:webHidden/>
          </w:rPr>
        </w:r>
        <w:r>
          <w:rPr>
            <w:noProof/>
            <w:webHidden/>
          </w:rPr>
          <w:fldChar w:fldCharType="separate"/>
        </w:r>
        <w:r>
          <w:rPr>
            <w:noProof/>
            <w:webHidden/>
          </w:rPr>
          <w:t>81</w:t>
        </w:r>
        <w:r>
          <w:rPr>
            <w:noProof/>
            <w:webHidden/>
          </w:rPr>
          <w:fldChar w:fldCharType="end"/>
        </w:r>
      </w:hyperlink>
    </w:p>
    <w:p w:rsidR="005F01C2" w:rsidRDefault="005F01C2" w14:paraId="5BD5DD54" w14:textId="187BC85B">
      <w:pPr>
        <w:pStyle w:val="TOC1"/>
        <w:tabs>
          <w:tab w:val="right" w:leader="dot" w:pos="9350"/>
        </w:tabs>
        <w:rPr>
          <w:rFonts w:asciiTheme="minorHAnsi" w:hAnsiTheme="minorHAnsi" w:cstheme="minorBidi"/>
          <w:noProof/>
          <w:sz w:val="22"/>
        </w:rPr>
      </w:pPr>
      <w:hyperlink w:history="1" w:anchor="_Toc46308218">
        <w:r w:rsidRPr="00920F1D">
          <w:rPr>
            <w:rStyle w:val="Hyperlink"/>
            <w:noProof/>
          </w:rPr>
          <w:t>Conclusions of Law</w:t>
        </w:r>
        <w:r>
          <w:rPr>
            <w:noProof/>
            <w:webHidden/>
          </w:rPr>
          <w:tab/>
        </w:r>
        <w:r>
          <w:rPr>
            <w:noProof/>
            <w:webHidden/>
          </w:rPr>
          <w:fldChar w:fldCharType="begin"/>
        </w:r>
        <w:r>
          <w:rPr>
            <w:noProof/>
            <w:webHidden/>
          </w:rPr>
          <w:instrText xml:space="preserve"> PAGEREF _Toc46308218 \h </w:instrText>
        </w:r>
        <w:r>
          <w:rPr>
            <w:noProof/>
            <w:webHidden/>
          </w:rPr>
        </w:r>
        <w:r>
          <w:rPr>
            <w:noProof/>
            <w:webHidden/>
          </w:rPr>
          <w:fldChar w:fldCharType="separate"/>
        </w:r>
        <w:r>
          <w:rPr>
            <w:noProof/>
            <w:webHidden/>
          </w:rPr>
          <w:t>85</w:t>
        </w:r>
        <w:r>
          <w:rPr>
            <w:noProof/>
            <w:webHidden/>
          </w:rPr>
          <w:fldChar w:fldCharType="end"/>
        </w:r>
      </w:hyperlink>
    </w:p>
    <w:p w:rsidR="005F01C2" w:rsidRDefault="005F01C2" w14:paraId="3698B8AE" w14:textId="68B40334">
      <w:pPr>
        <w:pStyle w:val="TOC1"/>
        <w:tabs>
          <w:tab w:val="right" w:leader="dot" w:pos="9350"/>
        </w:tabs>
        <w:rPr>
          <w:rFonts w:asciiTheme="minorHAnsi" w:hAnsiTheme="minorHAnsi" w:cstheme="minorBidi"/>
          <w:noProof/>
          <w:sz w:val="22"/>
        </w:rPr>
      </w:pPr>
      <w:hyperlink w:history="1" w:anchor="_Toc46308219">
        <w:r w:rsidRPr="00920F1D">
          <w:rPr>
            <w:rStyle w:val="Hyperlink"/>
            <w:noProof/>
          </w:rPr>
          <w:t>ORDER</w:t>
        </w:r>
        <w:r>
          <w:rPr>
            <w:noProof/>
            <w:webHidden/>
          </w:rPr>
          <w:tab/>
        </w:r>
        <w:r>
          <w:rPr>
            <w:noProof/>
            <w:webHidden/>
          </w:rPr>
          <w:fldChar w:fldCharType="begin"/>
        </w:r>
        <w:r>
          <w:rPr>
            <w:noProof/>
            <w:webHidden/>
          </w:rPr>
          <w:instrText xml:space="preserve"> PAGEREF _Toc46308219 \h </w:instrText>
        </w:r>
        <w:r>
          <w:rPr>
            <w:noProof/>
            <w:webHidden/>
          </w:rPr>
        </w:r>
        <w:r>
          <w:rPr>
            <w:noProof/>
            <w:webHidden/>
          </w:rPr>
          <w:fldChar w:fldCharType="separate"/>
        </w:r>
        <w:r>
          <w:rPr>
            <w:noProof/>
            <w:webHidden/>
          </w:rPr>
          <w:t>89</w:t>
        </w:r>
        <w:r>
          <w:rPr>
            <w:noProof/>
            <w:webHidden/>
          </w:rPr>
          <w:fldChar w:fldCharType="end"/>
        </w:r>
      </w:hyperlink>
    </w:p>
    <w:p w:rsidR="007E7DA8" w:rsidP="007E7DA8" w:rsidRDefault="001574C1" w14:paraId="71642650" w14:textId="1BF1CAE6">
      <w:pPr>
        <w:ind w:firstLine="0"/>
      </w:pPr>
      <w:r>
        <w:fldChar w:fldCharType="end"/>
      </w:r>
    </w:p>
    <w:p w:rsidR="007E7DA8" w:rsidP="007E7DA8" w:rsidRDefault="007E7DA8" w14:paraId="1A57229E" w14:textId="74E0DBFB">
      <w:pPr>
        <w:ind w:firstLine="0"/>
      </w:pPr>
      <w:r>
        <w:t>APPENDIX A &amp; B</w:t>
      </w:r>
    </w:p>
    <w:p w:rsidR="007D5F5F" w:rsidP="007E7DA8" w:rsidRDefault="00887FC7" w14:paraId="6F2FDFC1" w14:textId="55C8FB22">
      <w:pPr>
        <w:ind w:firstLine="0"/>
        <w:sectPr w:rsidR="007D5F5F" w:rsidSect="00DF2F45">
          <w:headerReference w:type="default" r:id="rId12"/>
          <w:footerReference w:type="default" r:id="rId13"/>
          <w:pgSz w:w="12240" w:h="15840"/>
          <w:pgMar w:top="1728" w:right="1440" w:bottom="1440" w:left="1440" w:header="720" w:footer="720" w:gutter="0"/>
          <w:pgNumType w:fmt="lowerRoman" w:start="1"/>
          <w:cols w:space="720"/>
          <w:docGrid w:linePitch="360"/>
        </w:sectPr>
      </w:pPr>
      <w:r>
        <w:br w:type="page"/>
      </w:r>
    </w:p>
    <w:p w:rsidR="00887FC7" w:rsidRDefault="00887FC7" w14:paraId="2945E0C1" w14:textId="769FE562">
      <w:pPr>
        <w:spacing w:after="160" w:line="259" w:lineRule="auto"/>
        <w:ind w:firstLine="0"/>
        <w:rPr>
          <w:rFonts w:cs="Arial"/>
          <w:b/>
          <w:szCs w:val="26"/>
        </w:rPr>
      </w:pPr>
    </w:p>
    <w:p w:rsidR="0098655A" w:rsidP="00733D8F" w:rsidRDefault="005F7ECD" w14:paraId="731C18A3" w14:textId="7670BAC8">
      <w:pPr>
        <w:pStyle w:val="Main"/>
      </w:pPr>
      <w:bookmarkStart w:name="_Toc40967132" w:id="2"/>
      <w:r>
        <w:t>DECISION ADOPTING METRIC</w:t>
      </w:r>
      <w:r w:rsidR="00A425C8">
        <w:t>S</w:t>
      </w:r>
      <w:r>
        <w:t xml:space="preserve"> AND METHODOLOG</w:t>
      </w:r>
      <w:r w:rsidR="00A425C8">
        <w:t>IES</w:t>
      </w:r>
      <w:r>
        <w:t xml:space="preserve"> FOR ASSESSING THE RELATIVE AFFORDABILITY OF UTILITY SERVICE</w:t>
      </w:r>
      <w:bookmarkEnd w:id="2"/>
    </w:p>
    <w:p w:rsidRPr="00733D8F" w:rsidR="00733D8F" w:rsidP="00733D8F" w:rsidRDefault="00733D8F" w14:paraId="5DBA8443" w14:textId="77777777">
      <w:pPr>
        <w:rPr>
          <w:sz w:val="16"/>
          <w:szCs w:val="16"/>
        </w:rPr>
      </w:pPr>
    </w:p>
    <w:p w:rsidR="005A148C" w:rsidP="005A148C" w:rsidRDefault="005A148C" w14:paraId="17EA177C" w14:textId="77777777">
      <w:pPr>
        <w:pStyle w:val="Dummy"/>
      </w:pPr>
      <w:bookmarkStart w:name="_Toc8123714" w:id="3"/>
      <w:bookmarkStart w:name="_Toc40967133" w:id="4"/>
      <w:bookmarkStart w:name="_Toc46308172" w:id="5"/>
      <w:r>
        <w:t>Summary</w:t>
      </w:r>
      <w:bookmarkEnd w:id="3"/>
      <w:bookmarkEnd w:id="4"/>
      <w:bookmarkEnd w:id="5"/>
    </w:p>
    <w:p w:rsidR="005F7ECD" w:rsidP="006E6574" w:rsidRDefault="005F7ECD" w14:paraId="0A93A3AD" w14:textId="6109DB2A">
      <w:pPr>
        <w:pStyle w:val="Standard"/>
      </w:pPr>
      <w:r>
        <w:t xml:space="preserve">This decision </w:t>
      </w:r>
      <w:r w:rsidR="00A74558">
        <w:t xml:space="preserve">defines affordability as </w:t>
      </w:r>
      <w:r w:rsidR="00A425C8">
        <w:t xml:space="preserve">the degree to which a representative household </w:t>
      </w:r>
      <w:proofErr w:type="gramStart"/>
      <w:r w:rsidR="00A425C8">
        <w:t>is able to</w:t>
      </w:r>
      <w:proofErr w:type="gramEnd"/>
      <w:r w:rsidR="00A425C8">
        <w:t xml:space="preserve"> pay for an essential utility service, given its socioeconomic status</w:t>
      </w:r>
      <w:r w:rsidR="00A74558">
        <w:t xml:space="preserve">.  This decision also </w:t>
      </w:r>
      <w:r>
        <w:t xml:space="preserve">adopts </w:t>
      </w:r>
      <w:r w:rsidR="00A74558">
        <w:t xml:space="preserve">three </w:t>
      </w:r>
      <w:r>
        <w:t>metric</w:t>
      </w:r>
      <w:r w:rsidR="00A74558">
        <w:t>s</w:t>
      </w:r>
      <w:r>
        <w:t xml:space="preserve"> and </w:t>
      </w:r>
      <w:r w:rsidR="00A74558">
        <w:t xml:space="preserve">supporting </w:t>
      </w:r>
      <w:r>
        <w:t>methodolog</w:t>
      </w:r>
      <w:r w:rsidR="00A74558">
        <w:t>ies</w:t>
      </w:r>
      <w:r>
        <w:t xml:space="preserve"> to be used by the Commission for assessing the affordability of </w:t>
      </w:r>
      <w:r w:rsidR="00A74558">
        <w:t xml:space="preserve">essential electricity, gas, water, and communications utility </w:t>
      </w:r>
      <w:r>
        <w:t>service</w:t>
      </w:r>
      <w:r w:rsidR="00A74558">
        <w:t>s</w:t>
      </w:r>
      <w:r>
        <w:t xml:space="preserve"> in California.  The </w:t>
      </w:r>
      <w:r w:rsidR="00A74558">
        <w:t xml:space="preserve">three </w:t>
      </w:r>
      <w:r>
        <w:t>metric</w:t>
      </w:r>
      <w:r w:rsidR="00A74558">
        <w:t>s</w:t>
      </w:r>
      <w:r>
        <w:t xml:space="preserve"> </w:t>
      </w:r>
      <w:r w:rsidR="00A74558">
        <w:t xml:space="preserve">are: </w:t>
      </w:r>
      <w:r w:rsidR="005368AC">
        <w:br/>
      </w:r>
      <w:r w:rsidR="00A74558">
        <w:t>1) the hours at minimum wage required to pay for essential utility services, 2) the vulnerability index of various communities in California, and 3) the ratio of essential utility service c</w:t>
      </w:r>
      <w:r w:rsidR="69295D64">
        <w:t>harges</w:t>
      </w:r>
      <w:r w:rsidR="00A74558">
        <w:t xml:space="preserve"> to non-disposable household income – known as the affordability ratio.  </w:t>
      </w:r>
    </w:p>
    <w:p w:rsidR="00A74558" w:rsidP="006E6574" w:rsidRDefault="00230806" w14:paraId="2556B1B8" w14:textId="0327D90D">
      <w:pPr>
        <w:pStyle w:val="Standard"/>
      </w:pPr>
      <w:r>
        <w:t>The methodolog</w:t>
      </w:r>
      <w:r w:rsidR="00A74558">
        <w:t>ies</w:t>
      </w:r>
      <w:r>
        <w:t xml:space="preserve"> for calculating the</w:t>
      </w:r>
      <w:r w:rsidR="00A74558">
        <w:t>se</w:t>
      </w:r>
      <w:r>
        <w:t xml:space="preserve"> </w:t>
      </w:r>
      <w:r w:rsidR="00A74558">
        <w:t xml:space="preserve">metrics are necessarily complex and require assumptions regarding the cost of essential utility services and non-discretionary household income using data with known limitations.  As a result, this decision seeks to use all three metrics in concert so that </w:t>
      </w:r>
      <w:r w:rsidR="007947EB">
        <w:t xml:space="preserve">together </w:t>
      </w:r>
      <w:r w:rsidRPr="00A823B2" w:rsidR="00A823B2">
        <w:t xml:space="preserve">they may </w:t>
      </w:r>
      <w:r w:rsidR="007947EB">
        <w:t>better</w:t>
      </w:r>
      <w:r w:rsidR="00A74558">
        <w:t xml:space="preserve"> inform </w:t>
      </w:r>
      <w:r w:rsidR="007947EB">
        <w:t xml:space="preserve">the Commission </w:t>
      </w:r>
      <w:r w:rsidR="00C76F21">
        <w:t xml:space="preserve">by providing a </w:t>
      </w:r>
      <w:r w:rsidR="00A74558">
        <w:t>more complete picture regarding the affordability of essential utility services.</w:t>
      </w:r>
      <w:r w:rsidR="002B5C72">
        <w:t xml:space="preserve">  The</w:t>
      </w:r>
      <w:r w:rsidR="00A823B2">
        <w:t>se</w:t>
      </w:r>
      <w:r w:rsidR="002B5C72">
        <w:t xml:space="preserve"> metrics account for California’s geographic and economic diversity by relying on data with small geographic granularity.  </w:t>
      </w:r>
    </w:p>
    <w:p w:rsidR="00230806" w:rsidP="006E6574" w:rsidRDefault="00A74558" w14:paraId="5CFADD17" w14:textId="22D89DD9">
      <w:pPr>
        <w:pStyle w:val="Standard"/>
      </w:pPr>
      <w:r>
        <w:t>This decision does not adopt</w:t>
      </w:r>
      <w:r w:rsidR="002B5C72">
        <w:t xml:space="preserve"> an absolute definition of what constitutes affordable essential utility services.  Rather, this decision adopts metrics and methodologies for assessing affordability across utilities over time, in a way that is feasible for staff to implement and maintain.  This will allow Commission </w:t>
      </w:r>
      <w:r w:rsidR="00C50A89">
        <w:br/>
      </w:r>
      <w:r w:rsidR="002B5C72">
        <w:t xml:space="preserve">decision-makers </w:t>
      </w:r>
      <w:r w:rsidR="5A487054">
        <w:t xml:space="preserve">and stakeholders </w:t>
      </w:r>
      <w:r w:rsidR="002B5C72">
        <w:t xml:space="preserve">to consider the relative impact on the affordability metrics of proposals before the Commission. </w:t>
      </w:r>
    </w:p>
    <w:p w:rsidR="003A7EE6" w:rsidP="006E6574" w:rsidRDefault="003A7EE6" w14:paraId="06E2CD89" w14:textId="43C9A345">
      <w:pPr>
        <w:pStyle w:val="Standard"/>
      </w:pPr>
      <w:r>
        <w:lastRenderedPageBreak/>
        <w:t xml:space="preserve">While </w:t>
      </w:r>
      <w:r w:rsidR="00D12F26">
        <w:t xml:space="preserve">ensuring the affordability of utility services </w:t>
      </w:r>
      <w:r w:rsidR="002D0C55">
        <w:t xml:space="preserve">is </w:t>
      </w:r>
      <w:r w:rsidR="0081118A">
        <w:t>a</w:t>
      </w:r>
      <w:r w:rsidR="008218DE">
        <w:t xml:space="preserve"> longstanding priority for the Commission, </w:t>
      </w:r>
      <w:r w:rsidR="009A05BD">
        <w:t xml:space="preserve">its importance </w:t>
      </w:r>
      <w:r w:rsidR="00633D2E">
        <w:t xml:space="preserve">has been magnified this year </w:t>
      </w:r>
      <w:r w:rsidR="00275653">
        <w:t>by COVID</w:t>
      </w:r>
      <w:r w:rsidR="00024028">
        <w:t xml:space="preserve">-19, which has placed </w:t>
      </w:r>
      <w:r w:rsidR="00080DCE">
        <w:t xml:space="preserve">great </w:t>
      </w:r>
      <w:r w:rsidR="0081118A">
        <w:t xml:space="preserve">financial </w:t>
      </w:r>
      <w:r w:rsidR="0073114C">
        <w:t>stress on</w:t>
      </w:r>
      <w:r w:rsidR="0081118A">
        <w:t xml:space="preserve"> millions of California</w:t>
      </w:r>
      <w:r w:rsidR="004A58F4">
        <w:t>ns</w:t>
      </w:r>
      <w:r w:rsidR="0081118A">
        <w:t xml:space="preserve">. </w:t>
      </w:r>
      <w:r w:rsidR="00A41C80">
        <w:t xml:space="preserve"> </w:t>
      </w:r>
      <w:r w:rsidR="00707299">
        <w:t xml:space="preserve">This proceeding is </w:t>
      </w:r>
      <w:r w:rsidR="00781907">
        <w:t xml:space="preserve">particularly </w:t>
      </w:r>
      <w:r w:rsidR="00317FC0">
        <w:t>timely and important in these cir</w:t>
      </w:r>
      <w:r w:rsidR="00781907">
        <w:t>cumstances</w:t>
      </w:r>
      <w:r w:rsidR="00B2451A">
        <w:t>.</w:t>
      </w:r>
    </w:p>
    <w:p w:rsidRPr="00121089" w:rsidR="005A148C" w:rsidP="00A55ACD" w:rsidRDefault="00A823B2" w14:paraId="500145F2" w14:textId="771A3C05">
      <w:pPr>
        <w:pStyle w:val="Heading1"/>
        <w:numPr>
          <w:ilvl w:val="0"/>
          <w:numId w:val="2"/>
        </w:numPr>
      </w:pPr>
      <w:bookmarkStart w:name="_Toc8123715" w:id="6"/>
      <w:bookmarkStart w:name="_Toc40967134" w:id="7"/>
      <w:bookmarkStart w:name="_Toc46308173" w:id="8"/>
      <w:r>
        <w:t xml:space="preserve">Procedural and Factual </w:t>
      </w:r>
      <w:r w:rsidRPr="00121089" w:rsidR="002C7FE9">
        <w:t>Background</w:t>
      </w:r>
      <w:bookmarkEnd w:id="6"/>
      <w:bookmarkEnd w:id="7"/>
      <w:bookmarkEnd w:id="8"/>
    </w:p>
    <w:p w:rsidR="00C057E2" w:rsidP="00C057E2" w:rsidRDefault="00C057E2" w14:paraId="13D16850" w14:textId="44783E8A">
      <w:pPr>
        <w:pStyle w:val="Standard"/>
      </w:pPr>
      <w:r>
        <w:t xml:space="preserve">On </w:t>
      </w:r>
      <w:proofErr w:type="gramStart"/>
      <w:r>
        <w:t>July 12, 2018</w:t>
      </w:r>
      <w:proofErr w:type="gramEnd"/>
      <w:r>
        <w:t xml:space="preserve"> the Commission instituted the instant rulemaking to develop a common understanding</w:t>
      </w:r>
      <w:r w:rsidR="002C0DBC">
        <w:t>,</w:t>
      </w:r>
      <w:r>
        <w:t xml:space="preserve"> methods and processes to assess, consistent with Commission jurisdiction, the impacts on affordability of individual Commission proceedings and utility rate requests.  Comments on the Order Instituting Rulemaking (OIR) were filed by several parties on August 13, 2018. </w:t>
      </w:r>
    </w:p>
    <w:p w:rsidR="00C057E2" w:rsidP="00C057E2" w:rsidRDefault="00C057E2" w14:paraId="374330CB" w14:textId="64166980">
      <w:pPr>
        <w:pStyle w:val="Standard"/>
      </w:pPr>
      <w:r>
        <w:t xml:space="preserve">A prehearing conference (PHC) was held on October 12, 2018 to discuss the issues of law and fact and determine the need for hearing and schedule for resolving the matter.  After considering the comments on the OIR and discussion at the PHC, an Assigned Commissioner’s Scoping Memo and Ruling (scoping memo) was filed on November 19, 2018. </w:t>
      </w:r>
    </w:p>
    <w:p w:rsidR="00C057E2" w:rsidP="00C057E2" w:rsidRDefault="00C057E2" w14:paraId="352A33B3" w14:textId="77777777">
      <w:pPr>
        <w:pStyle w:val="Standard"/>
      </w:pPr>
      <w:r w:rsidRPr="00C057E2">
        <w:t xml:space="preserve">On January 22, 2019, a workshop was held in this proceeding to explore definitions and metrics for affordability.  Commission Staff from various industry divisions made presentations on different approaches the Commission has previously taken to address and measure affordability.  Experts on affordability issues also made presentations regarding defining and measuring affordability.  Participants were invited to participate in one of the three smaller breakout discussion groups: 1) defining affordability and essential service, 2) identifying metrics and data sources to measure affordability and determine essential service, and 3) usefulness/application of the affordability framework. </w:t>
      </w:r>
    </w:p>
    <w:p w:rsidR="00C057E2" w:rsidP="00C057E2" w:rsidRDefault="00C057E2" w14:paraId="4ADA51D4" w14:textId="2F0E3943">
      <w:pPr>
        <w:pStyle w:val="Standard"/>
      </w:pPr>
      <w:r w:rsidRPr="00C057E2">
        <w:t xml:space="preserve">Subsequently, rulings were issued by the assigned Administrative Law Judge (ALJ) seeking comment from parties on presentations made at the January 22, 2019 workshop and on a staff proposal to address the issues within the scope of the </w:t>
      </w:r>
      <w:r w:rsidRPr="00C057E2">
        <w:lastRenderedPageBreak/>
        <w:t>proceeding as identified by the scoping memo.  Party comments on the workshop presentations and the staff proposal were received in May and September 2019, respectively.</w:t>
      </w:r>
    </w:p>
    <w:p w:rsidR="00C057E2" w:rsidP="00C057E2" w:rsidRDefault="00C057E2" w14:paraId="4FB79402" w14:textId="7B385898">
      <w:pPr>
        <w:pStyle w:val="Standard"/>
      </w:pPr>
      <w:r>
        <w:t>On November 8, 2019, an Amended Assigned Commissioner’s Scoping Memo and Ruling (amended scoping memo) was filed to</w:t>
      </w:r>
      <w:r w:rsidRPr="00C057E2">
        <w:t xml:space="preserve"> address the impending statutory deadline for resolving this proceeding, revise the schedule for the remainder of the proceeding, and clarify the nature of the services within the scope of this proceeding</w:t>
      </w:r>
      <w:r>
        <w:t>.</w:t>
      </w:r>
    </w:p>
    <w:p w:rsidR="00091579" w:rsidP="00091579" w:rsidRDefault="00384202" w14:paraId="33F60805" w14:textId="2CFE8CFC">
      <w:pPr>
        <w:pStyle w:val="Standard"/>
      </w:pPr>
      <w:r>
        <w:t>A revised staff proposal on affordability metrics and methodologies was submitted for party review on January 27, 2020.  Opening comments on the revised staff proposal were submitted by the Utility Reform Network (TURN), Pacific Gas and Electric Company (PG&amp;E), San Diego Gas &amp; Electric Company (SDG&amp;E), Southern California Gas Company (SoCalGas), AT&amp;T Corp. (AT&amp;T), National Diversity Coalition</w:t>
      </w:r>
      <w:r w:rsidR="00817E9A">
        <w:t xml:space="preserve"> (NDC)</w:t>
      </w:r>
      <w:r>
        <w:t>, the Public Advocates Office of the California Public Utilities Commission (Cal Advocates), the Center for Accessible Technology (</w:t>
      </w:r>
      <w:proofErr w:type="spellStart"/>
      <w:r>
        <w:t>CforAT</w:t>
      </w:r>
      <w:proofErr w:type="spellEnd"/>
      <w:r>
        <w:t>), California Water Association</w:t>
      </w:r>
      <w:r w:rsidR="072C3FF6">
        <w:t xml:space="preserve"> (CWA)</w:t>
      </w:r>
      <w:r>
        <w:t xml:space="preserve">, California Cable and Telecommunications Association (CCTA), </w:t>
      </w:r>
      <w:r w:rsidR="007979EE">
        <w:t xml:space="preserve">the California Community Choice Association (CALCCA), </w:t>
      </w:r>
      <w:r w:rsidR="00D93E6A">
        <w:t xml:space="preserve">the Utility Consumers’ Action Network (UCAN), </w:t>
      </w:r>
      <w:r>
        <w:t xml:space="preserve">Southern California Edison Company (SCE), and the Small </w:t>
      </w:r>
      <w:r w:rsidR="00B15B80">
        <w:t>Local Exchange Carriers (</w:t>
      </w:r>
      <w:r>
        <w:t>LECs</w:t>
      </w:r>
      <w:r w:rsidR="00B15B80">
        <w:t>)</w:t>
      </w:r>
      <w:r>
        <w:rPr>
          <w:rStyle w:val="FootnoteReference"/>
        </w:rPr>
        <w:footnoteReference w:id="2"/>
      </w:r>
      <w:r>
        <w:t xml:space="preserve"> on February 21, 2020.</w:t>
      </w:r>
      <w:r w:rsidR="00D93E6A">
        <w:t xml:space="preserve">  Reply comments were filed by </w:t>
      </w:r>
      <w:r w:rsidR="00817E9A">
        <w:t>SCE, UCAN, NDC, AT&amp;T,</w:t>
      </w:r>
      <w:r w:rsidR="00D93E6A">
        <w:t xml:space="preserve"> </w:t>
      </w:r>
      <w:r w:rsidR="00817E9A">
        <w:t xml:space="preserve">PG&amp;E, TURN, SDG&amp;E, SoCalGas, </w:t>
      </w:r>
      <w:proofErr w:type="spellStart"/>
      <w:r w:rsidR="00817E9A">
        <w:t>CforAT</w:t>
      </w:r>
      <w:proofErr w:type="spellEnd"/>
      <w:r w:rsidR="00817E9A">
        <w:t xml:space="preserve">, the Small LECs, CCTA, Cal Advocates, CWA, and the Greenlining Institute (Greenlining) </w:t>
      </w:r>
      <w:r w:rsidR="00D93E6A">
        <w:t>on March 6, 2020 and upon that date the record of th</w:t>
      </w:r>
      <w:r w:rsidR="00817E9A">
        <w:t>e first</w:t>
      </w:r>
      <w:r w:rsidR="00D93E6A">
        <w:t xml:space="preserve"> </w:t>
      </w:r>
      <w:r w:rsidR="00D82351">
        <w:t xml:space="preserve">phase of the </w:t>
      </w:r>
      <w:r w:rsidR="00D93E6A">
        <w:t xml:space="preserve">proceeding was </w:t>
      </w:r>
      <w:r w:rsidR="00817E9A">
        <w:t>considered</w:t>
      </w:r>
      <w:r w:rsidR="00D93E6A">
        <w:t xml:space="preserve"> submitted.</w:t>
      </w:r>
      <w:bookmarkStart w:name="_Toc8123718" w:id="9"/>
    </w:p>
    <w:p w:rsidR="00AF5064" w:rsidP="00AF5064" w:rsidRDefault="00AF5064" w14:paraId="3C7379D6" w14:textId="5786E775">
      <w:pPr>
        <w:pStyle w:val="Heading1"/>
        <w:numPr>
          <w:ilvl w:val="0"/>
          <w:numId w:val="2"/>
        </w:numPr>
      </w:pPr>
      <w:bookmarkStart w:name="_Toc40967135" w:id="10"/>
      <w:bookmarkStart w:name="_Toc46308174" w:id="11"/>
      <w:r>
        <w:lastRenderedPageBreak/>
        <w:t>Jurisdiction</w:t>
      </w:r>
      <w:bookmarkEnd w:id="10"/>
      <w:bookmarkEnd w:id="11"/>
    </w:p>
    <w:p w:rsidR="003610EC" w:rsidP="003610EC" w:rsidRDefault="003610EC" w14:paraId="009BA0F5" w14:textId="77777777">
      <w:pPr>
        <w:pStyle w:val="Standard"/>
      </w:pPr>
      <w:bookmarkStart w:name="_Toc8123719" w:id="12"/>
      <w:bookmarkEnd w:id="9"/>
      <w:r>
        <w:t xml:space="preserve">The Commission is generally charged with making certain levels of energy, water, and communications service affordable under various sections of the Public Utilities Code, including Section 739(d)(2), Section 382, Section 739.8(a), and Section 871.5.  This rulemaking and decision help to advance the Commission’s analysis and understanding of the affordability of these </w:t>
      </w:r>
      <w:proofErr w:type="gramStart"/>
      <w:r>
        <w:t>services, and</w:t>
      </w:r>
      <w:proofErr w:type="gramEnd"/>
      <w:r>
        <w:t xml:space="preserve"> are therefore properly within the scope of the Commission’s lawful authority.</w:t>
      </w:r>
    </w:p>
    <w:p w:rsidR="00AF5064" w:rsidP="00AF5064" w:rsidRDefault="003610EC" w14:paraId="3ED1C29D" w14:textId="77777777">
      <w:pPr>
        <w:pStyle w:val="Standard"/>
      </w:pPr>
      <w:r>
        <w:t>In particular, the amended scoping memo in this proceeding confirms that communications services, such as broadband internet access, are proper subjects of the Commission’s affordability analysis.  The amended scoping memo finds that Pub. Util. Code Sections 709, 280, 281, 275.6, and the Moore Universal Telephone Service Act (Section 871) all demonstrate that the Legislature contemplated a significant role for the Commission in closing the digital divide in California and in bringing advanced communications services, including broadband internet access, to all Californians.  This proceeding may assist in that goal and therefore this decision affirms that the Commission has jurisdiction to consider metrics to assess the affordability of communications services, including broadband service, in this proceeding.</w:t>
      </w:r>
    </w:p>
    <w:p w:rsidR="005A148C" w:rsidP="00091579" w:rsidRDefault="005939A5" w14:paraId="2F3D55F0" w14:textId="4C1438BF">
      <w:pPr>
        <w:pStyle w:val="Heading1"/>
        <w:numPr>
          <w:ilvl w:val="0"/>
          <w:numId w:val="2"/>
        </w:numPr>
      </w:pPr>
      <w:bookmarkStart w:name="_Toc40967136" w:id="13"/>
      <w:bookmarkStart w:name="_Toc46308175" w:id="14"/>
      <w:r>
        <w:t>Issues Before the Commission</w:t>
      </w:r>
      <w:bookmarkEnd w:id="12"/>
      <w:bookmarkEnd w:id="13"/>
      <w:bookmarkEnd w:id="14"/>
    </w:p>
    <w:p w:rsidR="005939A5" w:rsidP="00A44E8D" w:rsidRDefault="00384202" w14:paraId="5F16A7AF" w14:textId="7611E816">
      <w:pPr>
        <w:pStyle w:val="Standard"/>
      </w:pPr>
      <w:r>
        <w:t>The amended scoping memo held that the following issues are within the scope of this proceeding:</w:t>
      </w:r>
    </w:p>
    <w:p w:rsidR="00384202" w:rsidP="00A71CCA" w:rsidRDefault="00384202" w14:paraId="34D008DF" w14:textId="77777777">
      <w:pPr>
        <w:pStyle w:val="Standard"/>
        <w:numPr>
          <w:ilvl w:val="0"/>
          <w:numId w:val="18"/>
        </w:numPr>
        <w:spacing w:after="120" w:line="240" w:lineRule="auto"/>
        <w:ind w:right="1860"/>
      </w:pPr>
      <w:r w:rsidRPr="00384202">
        <w:t xml:space="preserve">Identification and definition of affordability criteria for Commission-jurisdictional utility services. </w:t>
      </w:r>
    </w:p>
    <w:p w:rsidR="00384202" w:rsidP="00A71CCA" w:rsidRDefault="00384202" w14:paraId="28018BA8" w14:textId="0437C010">
      <w:pPr>
        <w:pStyle w:val="Standard"/>
        <w:numPr>
          <w:ilvl w:val="0"/>
          <w:numId w:val="18"/>
        </w:numPr>
        <w:spacing w:after="120" w:line="240" w:lineRule="auto"/>
        <w:ind w:right="1860"/>
      </w:pPr>
      <w:r w:rsidRPr="00384202">
        <w:t>Methods and processes for assessing affordability impacts across Commission proceedings, programs, and utility services.</w:t>
      </w:r>
    </w:p>
    <w:p w:rsidR="00384202" w:rsidP="00A71CCA" w:rsidRDefault="00384202" w14:paraId="69CFEAF8" w14:textId="2EEC246F">
      <w:pPr>
        <w:pStyle w:val="Standard"/>
        <w:numPr>
          <w:ilvl w:val="0"/>
          <w:numId w:val="18"/>
        </w:numPr>
        <w:spacing w:after="120" w:line="240" w:lineRule="auto"/>
        <w:ind w:right="1860"/>
      </w:pPr>
      <w:r w:rsidRPr="00384202">
        <w:t>Other issues relating to the Commission’s consideration of the affordability of utility services</w:t>
      </w:r>
      <w:r>
        <w:t>.</w:t>
      </w:r>
    </w:p>
    <w:p w:rsidR="00384202" w:rsidP="00384202" w:rsidRDefault="00384202" w14:paraId="343E8513" w14:textId="3A28DFA8">
      <w:pPr>
        <w:pStyle w:val="Standard"/>
      </w:pPr>
      <w:r>
        <w:lastRenderedPageBreak/>
        <w:t xml:space="preserve">The amended scoping memo also reiterated that certain issues as defined by the original scoping memo were outside the scope of this proceeding.  Those </w:t>
      </w:r>
      <w:r w:rsidR="00C14148">
        <w:br/>
      </w:r>
      <w:r>
        <w:t>out-of-scope issues are:</w:t>
      </w:r>
    </w:p>
    <w:p w:rsidR="00384202" w:rsidP="00A71CCA" w:rsidRDefault="00384202" w14:paraId="70FD787A" w14:textId="399B94F7">
      <w:pPr>
        <w:pStyle w:val="Standard"/>
        <w:numPr>
          <w:ilvl w:val="0"/>
          <w:numId w:val="19"/>
        </w:numPr>
        <w:spacing w:after="120" w:line="240" w:lineRule="auto"/>
        <w:ind w:right="1858"/>
      </w:pPr>
      <w:r w:rsidRPr="00384202">
        <w:t>Affordability issues related to customer classes other than residential customers</w:t>
      </w:r>
      <w:r>
        <w:t>.</w:t>
      </w:r>
    </w:p>
    <w:p w:rsidR="00384202" w:rsidP="00A71CCA" w:rsidRDefault="00384202" w14:paraId="20AE91E9" w14:textId="256E21B9">
      <w:pPr>
        <w:pStyle w:val="Standard"/>
        <w:numPr>
          <w:ilvl w:val="0"/>
          <w:numId w:val="19"/>
        </w:numPr>
        <w:spacing w:after="120" w:line="240" w:lineRule="auto"/>
        <w:ind w:right="1858"/>
      </w:pPr>
      <w:r w:rsidRPr="00384202">
        <w:t>Evaluation of the effectiveness of existing affordability programs or creation of new customer programs to assess affordability</w:t>
      </w:r>
      <w:r>
        <w:t>.</w:t>
      </w:r>
    </w:p>
    <w:p w:rsidR="00384202" w:rsidP="00A71CCA" w:rsidRDefault="00384202" w14:paraId="0D108F3A" w14:textId="773D4024">
      <w:pPr>
        <w:pStyle w:val="Standard"/>
        <w:numPr>
          <w:ilvl w:val="0"/>
          <w:numId w:val="19"/>
        </w:numPr>
        <w:spacing w:after="120" w:line="240" w:lineRule="auto"/>
        <w:ind w:right="1858"/>
      </w:pPr>
      <w:r w:rsidRPr="00384202">
        <w:t>New approaches to disconnections and reconnections</w:t>
      </w:r>
      <w:r>
        <w:t>.</w:t>
      </w:r>
    </w:p>
    <w:p w:rsidR="00384202" w:rsidP="00A71CCA" w:rsidRDefault="00384202" w14:paraId="7B385621" w14:textId="327FE85C">
      <w:pPr>
        <w:pStyle w:val="Standard"/>
        <w:numPr>
          <w:ilvl w:val="0"/>
          <w:numId w:val="19"/>
        </w:numPr>
        <w:spacing w:after="120" w:line="240" w:lineRule="auto"/>
        <w:ind w:right="1858"/>
      </w:pPr>
      <w:r w:rsidRPr="00384202">
        <w:t>Pacific Gas and Electric Company’s Essential Us</w:t>
      </w:r>
      <w:r>
        <w:t>ag</w:t>
      </w:r>
      <w:r w:rsidRPr="00384202">
        <w:t>e Study</w:t>
      </w:r>
      <w:r>
        <w:t>.</w:t>
      </w:r>
    </w:p>
    <w:p w:rsidR="005939A5" w:rsidP="005F3B0A" w:rsidRDefault="003D0E7A" w14:paraId="032BDA11" w14:textId="5C9C3E8F">
      <w:pPr>
        <w:pStyle w:val="Heading1"/>
        <w:numPr>
          <w:ilvl w:val="0"/>
          <w:numId w:val="2"/>
        </w:numPr>
      </w:pPr>
      <w:bookmarkStart w:name="_Toc40967137" w:id="15"/>
      <w:bookmarkStart w:name="_Toc46308176" w:id="16"/>
      <w:r>
        <w:t>Affordability Metrics</w:t>
      </w:r>
      <w:bookmarkEnd w:id="15"/>
      <w:bookmarkEnd w:id="16"/>
    </w:p>
    <w:p w:rsidR="00BE0FD3" w:rsidP="003D0E7A" w:rsidRDefault="003D0E7A" w14:paraId="5DD14330" w14:textId="122B2931">
      <w:pPr>
        <w:pStyle w:val="Standard"/>
      </w:pPr>
      <w:r>
        <w:t>The first issue for resolution in this decision is the i</w:t>
      </w:r>
      <w:r w:rsidRPr="00384202">
        <w:t>dentification and definition of affordability criteria for Commission-jurisdictional utility services</w:t>
      </w:r>
      <w:r w:rsidR="00BE0FD3">
        <w:t xml:space="preserve">.  This decision refers to these criteria as “metrics” for measurement of the relative affordability of essential utility services.  </w:t>
      </w:r>
    </w:p>
    <w:p w:rsidR="003D0E7A" w:rsidP="003D0E7A" w:rsidRDefault="00BE0FD3" w14:paraId="7118C984" w14:textId="21CD58B8">
      <w:pPr>
        <w:pStyle w:val="Standard"/>
      </w:pPr>
      <w:r>
        <w:t>A metric in this sense is a system of measurement rather than the measurement itself.  Defining the affordability metrics to be used to assess the relative affordability of essential utility services does not mean that a particular methodology for calculating the metric’s value should be used or that a given value of the metric defines an essential utility service as affordable or unaffordable.</w:t>
      </w:r>
    </w:p>
    <w:p w:rsidR="00BE0FD3" w:rsidP="003D0E7A" w:rsidRDefault="00BE0FD3" w14:paraId="304564AE" w14:textId="37F21D8E">
      <w:pPr>
        <w:pStyle w:val="Standard"/>
      </w:pPr>
      <w:r>
        <w:t xml:space="preserve">Definitions of the methodologies that should be used for calculating the value of the metrics are considered and adopted later in this decision.  This decision expressly avoids setting a metric value that should be used to determine if an essential utility service is affordable.  </w:t>
      </w:r>
      <w:r w:rsidR="004105FA">
        <w:t xml:space="preserve">The reasons for this are described in Section </w:t>
      </w:r>
      <w:r w:rsidR="00C70086">
        <w:t>8</w:t>
      </w:r>
      <w:r w:rsidR="004105FA">
        <w:t>.4 of this decision.</w:t>
      </w:r>
    </w:p>
    <w:p w:rsidR="00854783" w:rsidP="00854783" w:rsidRDefault="00854783" w14:paraId="17826127" w14:textId="14D36850">
      <w:pPr>
        <w:pStyle w:val="Heading2"/>
        <w:numPr>
          <w:ilvl w:val="1"/>
          <w:numId w:val="2"/>
        </w:numPr>
      </w:pPr>
      <w:bookmarkStart w:name="_Toc40967138" w:id="17"/>
      <w:bookmarkStart w:name="_Toc46308177" w:id="18"/>
      <w:r>
        <w:lastRenderedPageBreak/>
        <w:t>Statutory Background</w:t>
      </w:r>
      <w:bookmarkEnd w:id="17"/>
      <w:bookmarkEnd w:id="18"/>
    </w:p>
    <w:p w:rsidR="00854783" w:rsidP="00854783" w:rsidRDefault="00D60B78" w14:paraId="0D557A91" w14:textId="4F906516">
      <w:pPr>
        <w:pStyle w:val="Standard"/>
      </w:pPr>
      <w:r>
        <w:t>Various sections of the Public Utilities Code</w:t>
      </w:r>
      <w:r>
        <w:rPr>
          <w:rStyle w:val="FootnoteReference"/>
        </w:rPr>
        <w:footnoteReference w:id="3"/>
      </w:r>
      <w:r>
        <w:t xml:space="preserve"> refer to the </w:t>
      </w:r>
      <w:r w:rsidR="00D76D7D">
        <w:t xml:space="preserve">desirability of </w:t>
      </w:r>
      <w:r>
        <w:t>affordab</w:t>
      </w:r>
      <w:r w:rsidR="00D76D7D">
        <w:t>le</w:t>
      </w:r>
      <w:r>
        <w:t xml:space="preserve"> utility services.  Section 739(d)(2) states that it is “desirable” that residential electric and gas rates are “low [and] affordable.”  </w:t>
      </w:r>
      <w:r w:rsidR="00FA3C63">
        <w:t>Section 382 states that “</w:t>
      </w:r>
      <w:r w:rsidRPr="00FA3C63" w:rsidR="00FA3C63">
        <w:t>all residents of the state should be able to afford essential electricity and gas supplies</w:t>
      </w:r>
      <w:r w:rsidR="00FA3C63">
        <w:t xml:space="preserve">.”  With respect to water, Section 739.8(a) states that “access to an adequate supply of healthful water is a basic necessity of human </w:t>
      </w:r>
      <w:proofErr w:type="gramStart"/>
      <w:r w:rsidR="00FA3C63">
        <w:t>life, and</w:t>
      </w:r>
      <w:proofErr w:type="gramEnd"/>
      <w:r w:rsidR="00FA3C63">
        <w:t xml:space="preserve"> shall be made available to all residents of California at an affordable cost.”  </w:t>
      </w:r>
      <w:r w:rsidR="005D06C9">
        <w:t>Finally, Section 871.5(a) and (d) specify that it is a goal of the state to provide telephone service at an affordable rate.</w:t>
      </w:r>
    </w:p>
    <w:p w:rsidR="005D06C9" w:rsidP="00854783" w:rsidRDefault="00D76D7D" w14:paraId="2A1F2B6E" w14:textId="15B417E5">
      <w:pPr>
        <w:pStyle w:val="Standard"/>
      </w:pPr>
      <w:r>
        <w:t>N</w:t>
      </w:r>
      <w:r w:rsidR="005D06C9">
        <w:t xml:space="preserve">one of these statutory provisions define affordability.  However, </w:t>
      </w:r>
      <w:proofErr w:type="gramStart"/>
      <w:r w:rsidR="005D06C9">
        <w:t>in order to</w:t>
      </w:r>
      <w:proofErr w:type="gramEnd"/>
      <w:r w:rsidR="005D06C9">
        <w:t xml:space="preserve"> </w:t>
      </w:r>
      <w:r w:rsidR="00685242">
        <w:t xml:space="preserve">fully </w:t>
      </w:r>
      <w:r w:rsidR="005D06C9">
        <w:t>implement the law, this decision holds that the Commission should define metrics to measure the relative affordability of essential utility services</w:t>
      </w:r>
      <w:r w:rsidR="008B0537">
        <w:t xml:space="preserve">.  This will allow Commission decision-makers </w:t>
      </w:r>
      <w:r w:rsidR="00E559D8">
        <w:t xml:space="preserve">and stakeholders </w:t>
      </w:r>
      <w:r w:rsidR="008B0537">
        <w:t xml:space="preserve">to consider the impact of </w:t>
      </w:r>
      <w:r w:rsidR="00E559D8">
        <w:t>Commission</w:t>
      </w:r>
      <w:r w:rsidR="00DC0A3D">
        <w:t xml:space="preserve"> decisions on the relative affordability of these services, and help the Commission to meet the statute’s requirements</w:t>
      </w:r>
      <w:r>
        <w:t xml:space="preserve"> to consider affordability as a goal when designing rates for essential utility services</w:t>
      </w:r>
      <w:r w:rsidR="00DC0A3D">
        <w:t>.</w:t>
      </w:r>
    </w:p>
    <w:p w:rsidR="00D60B78" w:rsidP="00DC0A3D" w:rsidRDefault="00DC0A3D" w14:paraId="0B2EDD42" w14:textId="5AABC9C2">
      <w:pPr>
        <w:pStyle w:val="Heading2"/>
        <w:numPr>
          <w:ilvl w:val="1"/>
          <w:numId w:val="2"/>
        </w:numPr>
      </w:pPr>
      <w:bookmarkStart w:name="_Toc40967139" w:id="19"/>
      <w:bookmarkStart w:name="_Toc46308178" w:id="20"/>
      <w:r>
        <w:t>Defining the Nature of Affordability</w:t>
      </w:r>
      <w:bookmarkEnd w:id="19"/>
      <w:bookmarkEnd w:id="20"/>
    </w:p>
    <w:p w:rsidR="00DC0A3D" w:rsidP="00DC0A3D" w:rsidRDefault="00DC0A3D" w14:paraId="0B680F24" w14:textId="0453D311">
      <w:pPr>
        <w:pStyle w:val="Standard"/>
      </w:pPr>
      <w:r>
        <w:t>The revised staff proposal noted that the Commission has not previously defined or quantified affordable essential utility service.</w:t>
      </w:r>
      <w:r>
        <w:rPr>
          <w:rStyle w:val="FootnoteReference"/>
        </w:rPr>
        <w:footnoteReference w:id="4"/>
      </w:r>
      <w:r>
        <w:t xml:space="preserve">  </w:t>
      </w:r>
      <w:r w:rsidR="00D76D7D">
        <w:t xml:space="preserve">In order to clarify what affordability should mean, the revised staff proposal defined affordability as “the impact of essential utility service charges on a household’s ability to pay for </w:t>
      </w:r>
      <w:r w:rsidR="00A45D92">
        <w:br/>
      </w:r>
      <w:r w:rsidR="00D76D7D">
        <w:t>non-discretionary expenses.”</w:t>
      </w:r>
      <w:r w:rsidR="00D76D7D">
        <w:rPr>
          <w:rStyle w:val="FootnoteReference"/>
        </w:rPr>
        <w:footnoteReference w:id="5"/>
      </w:r>
      <w:r w:rsidR="00D76D7D">
        <w:t xml:space="preserve">  </w:t>
      </w:r>
    </w:p>
    <w:p w:rsidR="000D18AE" w:rsidP="00DC0A3D" w:rsidRDefault="000D18AE" w14:paraId="03EBBA60" w14:textId="4F00FE3C">
      <w:pPr>
        <w:pStyle w:val="Standard"/>
      </w:pPr>
      <w:r>
        <w:lastRenderedPageBreak/>
        <w:t xml:space="preserve">SCE </w:t>
      </w:r>
      <w:r w:rsidR="006F22BF">
        <w:t>dislikes this</w:t>
      </w:r>
      <w:r>
        <w:t xml:space="preserve"> definition of affordability as compared to a previous definition used in the original staff proposal in this proceeding.  SCE believes that the revised definition places too much emphasis on the contribution of utility bills to a household’s ability to pay, without focusing on other variables that impact affordability – such as housing costs.  SCE also argues that not enough emphasis is placed on the value of utility services as compared to their costs.</w:t>
      </w:r>
      <w:r>
        <w:rPr>
          <w:rStyle w:val="FootnoteReference"/>
        </w:rPr>
        <w:footnoteReference w:id="6"/>
      </w:r>
      <w:r>
        <w:t xml:space="preserve">  </w:t>
      </w:r>
      <w:r w:rsidR="00AF294D">
        <w:t>PG&amp;E also objects to the definition of affordability recommended by the revised staff proposal, arguing that the new definition “</w:t>
      </w:r>
      <w:r w:rsidRPr="00AF294D" w:rsidR="00AF294D">
        <w:t>does not account for the wide range of other factors that impact a household’s ability to pay for non-discretionary expenses</w:t>
      </w:r>
      <w:r w:rsidR="00AF294D">
        <w:t>.”</w:t>
      </w:r>
      <w:r w:rsidR="00AF294D">
        <w:rPr>
          <w:rStyle w:val="FootnoteReference"/>
        </w:rPr>
        <w:footnoteReference w:id="7"/>
      </w:r>
      <w:r w:rsidR="009E2E77">
        <w:t xml:space="preserve">  SoCalGas and SDG&amp;E concur with SCE’s arguments.</w:t>
      </w:r>
      <w:r w:rsidR="009E2E77">
        <w:rPr>
          <w:rStyle w:val="FootnoteReference"/>
        </w:rPr>
        <w:footnoteReference w:id="8"/>
      </w:r>
    </w:p>
    <w:p w:rsidR="00E66ADC" w:rsidP="00DC0A3D" w:rsidRDefault="00E66ADC" w14:paraId="6C5778B4" w14:textId="52DFE399">
      <w:pPr>
        <w:pStyle w:val="Standard"/>
      </w:pPr>
      <w:r>
        <w:t>NDC expresse</w:t>
      </w:r>
      <w:r w:rsidR="00955D76">
        <w:t>s</w:t>
      </w:r>
      <w:r>
        <w:t xml:space="preserve"> support for the </w:t>
      </w:r>
      <w:r w:rsidR="003069E3">
        <w:t xml:space="preserve">definition of affordability appearing in the revised staff proposal.  </w:t>
      </w:r>
      <w:r w:rsidR="00AF108F">
        <w:t>It</w:t>
      </w:r>
      <w:r w:rsidR="003069E3">
        <w:t xml:space="preserve"> claim</w:t>
      </w:r>
      <w:r w:rsidR="00AF108F">
        <w:t>s</w:t>
      </w:r>
      <w:r w:rsidR="003069E3">
        <w:t xml:space="preserve"> that the new definition refines the original definition and appropriately focuses on the impact of utility expenses on the ability of a household to pay for other non-discretionary expenses.</w:t>
      </w:r>
      <w:r w:rsidR="003069E3">
        <w:rPr>
          <w:rStyle w:val="FootnoteReference"/>
        </w:rPr>
        <w:footnoteReference w:id="9"/>
      </w:r>
    </w:p>
    <w:p w:rsidR="00D5267C" w:rsidP="00DC0A3D" w:rsidRDefault="008A7D1B" w14:paraId="733326E9" w14:textId="1ED21C78">
      <w:pPr>
        <w:pStyle w:val="Standard"/>
      </w:pPr>
      <w:r>
        <w:t xml:space="preserve">Upon review and consideration of the party comments received on the revised staff proposal’s definition of affordability, this decision adopts a revised definition as follows: </w:t>
      </w:r>
      <w:r w:rsidRPr="008A7D1B">
        <w:t>the degree to which a representative household is able to pay for an essential utility service charge, given its socioeconomic status</w:t>
      </w:r>
      <w:r>
        <w:t xml:space="preserve">.  </w:t>
      </w:r>
    </w:p>
    <w:p w:rsidR="008A7D1B" w:rsidP="008A7D1B" w:rsidRDefault="008A7D1B" w14:paraId="39432E2B" w14:textId="31B65EC3">
      <w:r>
        <w:t>Based on party comments, this decision concludes that defining affordability in terms of non-discretionary expenses, as was done in the revised staff proposal, is unclear and approaches the issue too narrowly.</w:t>
      </w:r>
      <w:r>
        <w:rPr>
          <w:rStyle w:val="FootnoteReference"/>
        </w:rPr>
        <w:footnoteReference w:id="10"/>
      </w:r>
      <w:r>
        <w:t xml:space="preserve"> </w:t>
      </w:r>
      <w:r w:rsidR="00D44F26">
        <w:t xml:space="preserve"> </w:t>
      </w:r>
      <w:r>
        <w:t xml:space="preserve">Ultimately, </w:t>
      </w:r>
      <w:r w:rsidR="00D44F26">
        <w:t xml:space="preserve">the </w:t>
      </w:r>
      <w:r>
        <w:t xml:space="preserve">ability to pay for </w:t>
      </w:r>
      <w:r w:rsidR="00D44F26">
        <w:t xml:space="preserve">a </w:t>
      </w:r>
      <w:r>
        <w:t xml:space="preserve">utility service is determined by </w:t>
      </w:r>
      <w:r w:rsidR="00AF108F">
        <w:t xml:space="preserve">the numerous financial variables that comprise a </w:t>
      </w:r>
      <w:r>
        <w:lastRenderedPageBreak/>
        <w:t xml:space="preserve">household’s socioeconomic status. </w:t>
      </w:r>
      <w:r w:rsidR="00D44F26">
        <w:t xml:space="preserve"> </w:t>
      </w:r>
      <w:r>
        <w:t xml:space="preserve">While income after non-discretionary expenses </w:t>
      </w:r>
      <w:r w:rsidR="00AF108F">
        <w:t xml:space="preserve">is one way </w:t>
      </w:r>
      <w:r>
        <w:t xml:space="preserve">to characterize a household’s socioeconomic status, it is not the only way of doing so. </w:t>
      </w:r>
      <w:r w:rsidR="00D44F26">
        <w:t xml:space="preserve"> </w:t>
      </w:r>
      <w:r>
        <w:t xml:space="preserve">The </w:t>
      </w:r>
      <w:r w:rsidR="00D44F26">
        <w:t xml:space="preserve">revised </w:t>
      </w:r>
      <w:r>
        <w:t xml:space="preserve">staff proposal’s definition considered affordability in a </w:t>
      </w:r>
      <w:r w:rsidR="00AF108F">
        <w:t>way</w:t>
      </w:r>
      <w:r>
        <w:t xml:space="preserve"> </w:t>
      </w:r>
      <w:r w:rsidR="00D44F26">
        <w:t xml:space="preserve">most directly </w:t>
      </w:r>
      <w:r>
        <w:t>applicable to the Affordability Ratio</w:t>
      </w:r>
      <w:r w:rsidR="00D44F26">
        <w:t xml:space="preserve"> metric</w:t>
      </w:r>
      <w:r>
        <w:t xml:space="preserve">, while the revised definition </w:t>
      </w:r>
      <w:r w:rsidR="00D44F26">
        <w:t xml:space="preserve">adopted in this decision </w:t>
      </w:r>
      <w:r>
        <w:t xml:space="preserve">is applicable to all </w:t>
      </w:r>
      <w:proofErr w:type="gramStart"/>
      <w:r>
        <w:t xml:space="preserve">three </w:t>
      </w:r>
      <w:r w:rsidR="00D44F26">
        <w:t>affordability</w:t>
      </w:r>
      <w:proofErr w:type="gramEnd"/>
      <w:r>
        <w:t xml:space="preserve"> metrics. </w:t>
      </w:r>
      <w:r w:rsidR="00D44F26">
        <w:t xml:space="preserve"> </w:t>
      </w:r>
      <w:r w:rsidR="00AF108F">
        <w:t xml:space="preserve">We are </w:t>
      </w:r>
      <w:r>
        <w:t xml:space="preserve">focusing on the affordability of essential utility service charges rather than </w:t>
      </w:r>
      <w:r w:rsidR="00711A57">
        <w:br/>
      </w:r>
      <w:r>
        <w:t>non-discretionary expenses</w:t>
      </w:r>
      <w:r w:rsidR="66969F51">
        <w:t>, and additionally considering socioeconomic status</w:t>
      </w:r>
      <w:r w:rsidR="00AF108F">
        <w:t>.</w:t>
      </w:r>
      <w:r>
        <w:t xml:space="preserve"> </w:t>
      </w:r>
    </w:p>
    <w:p w:rsidR="008A7D1B" w:rsidP="008A7D1B" w:rsidRDefault="008A7D1B" w14:paraId="7D9ADDFD" w14:textId="1E2E350E">
      <w:pPr>
        <w:pStyle w:val="Standard"/>
      </w:pPr>
      <w:r>
        <w:t xml:space="preserve">The definition </w:t>
      </w:r>
      <w:r w:rsidR="00D97918">
        <w:t xml:space="preserve">this Decision </w:t>
      </w:r>
      <w:r w:rsidR="002108DC">
        <w:t>adopt</w:t>
      </w:r>
      <w:r w:rsidR="00D97918">
        <w:t>s</w:t>
      </w:r>
      <w:r w:rsidR="002108DC">
        <w:t xml:space="preserve"> </w:t>
      </w:r>
      <w:r>
        <w:t xml:space="preserve">also clarifies that </w:t>
      </w:r>
      <w:r w:rsidR="002108DC">
        <w:t xml:space="preserve">the Commission </w:t>
      </w:r>
      <w:r>
        <w:t xml:space="preserve">should consider affordability for a representative household, rather than households in general. </w:t>
      </w:r>
      <w:r w:rsidR="002108DC">
        <w:t xml:space="preserve"> This </w:t>
      </w:r>
      <w:r>
        <w:t>recognize</w:t>
      </w:r>
      <w:r w:rsidR="002108DC">
        <w:t>s</w:t>
      </w:r>
      <w:r>
        <w:t xml:space="preserve"> that households will have a wide variety of experiences that cannot be perfectly captured by depicting a single household.</w:t>
      </w:r>
      <w:r w:rsidR="002108DC">
        <w:t xml:space="preserve">  </w:t>
      </w:r>
      <w:r>
        <w:t xml:space="preserve">The affordability framework is not designed to characterize utility expenses for every household in the state; it is intended to help the Commission make informed decisions about utility charges by allowing for aggregate spatial and temporal comparisons of affordability. </w:t>
      </w:r>
      <w:r w:rsidR="002108DC">
        <w:t xml:space="preserve"> Considering</w:t>
      </w:r>
      <w:r>
        <w:t xml:space="preserve"> affordability for a </w:t>
      </w:r>
      <w:r w:rsidR="002108DC">
        <w:t xml:space="preserve">representative </w:t>
      </w:r>
      <w:r>
        <w:t xml:space="preserve">household </w:t>
      </w:r>
      <w:r w:rsidR="002108DC">
        <w:t xml:space="preserve">will allow the Commission </w:t>
      </w:r>
      <w:r>
        <w:t xml:space="preserve">to consider household-scale impacts </w:t>
      </w:r>
      <w:r w:rsidR="002108DC">
        <w:t>and</w:t>
      </w:r>
      <w:r>
        <w:t xml:space="preserve"> affordability concerns for a given geographic </w:t>
      </w:r>
      <w:proofErr w:type="gramStart"/>
      <w:r>
        <w:t>area as a whole</w:t>
      </w:r>
      <w:proofErr w:type="gramEnd"/>
      <w:r>
        <w:t>.</w:t>
      </w:r>
    </w:p>
    <w:p w:rsidRPr="008A7D1B" w:rsidR="002108DC" w:rsidP="008A7D1B" w:rsidRDefault="002108DC" w14:paraId="57F6C1B7" w14:textId="049E512E">
      <w:pPr>
        <w:pStyle w:val="Standard"/>
      </w:pPr>
      <w:r>
        <w:t>For these reasons, it is reasonable for the definition of affordability to be assessed by the metrics adopted by this decision to be: the degree to which a representative household is able to pay for an essential utility service charge, given its socioeconomic status.</w:t>
      </w:r>
    </w:p>
    <w:p w:rsidR="37198300" w:rsidP="528210D8" w:rsidRDefault="37198300" w14:paraId="329F266E" w14:textId="0C261B79">
      <w:pPr>
        <w:pStyle w:val="Standard"/>
      </w:pPr>
      <w:r>
        <w:t>A “representative household” is defined based on the local distributions of income and housing cost data</w:t>
      </w:r>
      <w:r w:rsidR="6C344296">
        <w:t>, as well as the specific portion of the income distribution that is of interest to the Commission for a giv</w:t>
      </w:r>
      <w:r w:rsidR="1B62E338">
        <w:t>en analytical purpose</w:t>
      </w:r>
      <w:r w:rsidR="002E394C">
        <w:t xml:space="preserve"> </w:t>
      </w:r>
      <w:r w:rsidR="000E06A5">
        <w:br/>
      </w:r>
      <w:r w:rsidR="002E394C">
        <w:t>(</w:t>
      </w:r>
      <w:r w:rsidRPr="000E06A5" w:rsidR="002E394C">
        <w:rPr>
          <w:i/>
          <w:iCs/>
        </w:rPr>
        <w:t>e.g</w:t>
      </w:r>
      <w:r w:rsidR="002E394C">
        <w:t>. the lowest-earning 20% of Californians)</w:t>
      </w:r>
      <w:r>
        <w:t>.</w:t>
      </w:r>
      <w:r w:rsidR="00961A66">
        <w:t xml:space="preserve"> </w:t>
      </w:r>
      <w:r w:rsidR="280AFB93">
        <w:t xml:space="preserve"> Affordability is </w:t>
      </w:r>
      <w:r w:rsidR="00D526B9">
        <w:t xml:space="preserve">experienced </w:t>
      </w:r>
      <w:r w:rsidR="280AFB93">
        <w:t xml:space="preserve">by </w:t>
      </w:r>
      <w:r w:rsidR="00D526B9">
        <w:t xml:space="preserve">individual </w:t>
      </w:r>
      <w:r w:rsidR="280AFB93">
        <w:t xml:space="preserve">households but </w:t>
      </w:r>
      <w:r w:rsidR="00D526B9">
        <w:t>for the purposes of our calculations</w:t>
      </w:r>
      <w:r w:rsidR="280AFB93">
        <w:t xml:space="preserve">, affordability </w:t>
      </w:r>
      <w:r w:rsidR="45DA3A1A">
        <w:t>metrics are</w:t>
      </w:r>
      <w:r w:rsidR="280AFB93">
        <w:t xml:space="preserve"> presented at a community-scale using community-level data</w:t>
      </w:r>
      <w:r w:rsidR="00961A66">
        <w:t xml:space="preserve">.  </w:t>
      </w:r>
      <w:r>
        <w:t xml:space="preserve">“Essential utility </w:t>
      </w:r>
      <w:r>
        <w:lastRenderedPageBreak/>
        <w:t>service charge</w:t>
      </w:r>
      <w:r w:rsidR="17686325">
        <w:t>”</w:t>
      </w:r>
      <w:r w:rsidR="3D5266E2">
        <w:t xml:space="preserve"> refers to </w:t>
      </w:r>
      <w:r w:rsidR="002D31EE">
        <w:t>the cost</w:t>
      </w:r>
      <w:r w:rsidR="00A61209">
        <w:t xml:space="preserve">s </w:t>
      </w:r>
      <w:r w:rsidR="00045447">
        <w:t>borne</w:t>
      </w:r>
      <w:r w:rsidR="00A61209">
        <w:t xml:space="preserve"> by a representative household </w:t>
      </w:r>
      <w:r w:rsidR="17686325">
        <w:t xml:space="preserve">for </w:t>
      </w:r>
      <w:r w:rsidR="00E41C79">
        <w:t>the</w:t>
      </w:r>
      <w:r w:rsidR="17686325">
        <w:t xml:space="preserve"> quantity of utility services that enables</w:t>
      </w:r>
      <w:r w:rsidR="1EB2743A">
        <w:t xml:space="preserve"> health, safety, and full participation in society</w:t>
      </w:r>
      <w:r w:rsidR="644A6AEB">
        <w:t>, and values for specific utility services are defined in Section 5.</w:t>
      </w:r>
      <w:r w:rsidR="1EB2743A">
        <w:t xml:space="preserve"> </w:t>
      </w:r>
      <w:r w:rsidR="00961A66">
        <w:t xml:space="preserve"> </w:t>
      </w:r>
      <w:r w:rsidR="1EB2743A">
        <w:t xml:space="preserve">“Socioeconomic status” refers to the </w:t>
      </w:r>
      <w:r w:rsidR="5AB05355">
        <w:t>social and economic standing of a given household.</w:t>
      </w:r>
    </w:p>
    <w:p w:rsidR="00E603F0" w:rsidP="00E603F0" w:rsidRDefault="00E603F0" w14:paraId="10061D3B" w14:textId="21785250">
      <w:pPr>
        <w:pStyle w:val="Heading2"/>
        <w:numPr>
          <w:ilvl w:val="1"/>
          <w:numId w:val="2"/>
        </w:numPr>
      </w:pPr>
      <w:bookmarkStart w:name="_Toc40967140" w:id="21"/>
      <w:bookmarkStart w:name="_Toc46308179" w:id="22"/>
      <w:r>
        <w:t>The Three Proposed Metrics</w:t>
      </w:r>
      <w:bookmarkEnd w:id="21"/>
      <w:bookmarkEnd w:id="22"/>
    </w:p>
    <w:p w:rsidR="00854783" w:rsidP="003D0E7A" w:rsidRDefault="00402019" w14:paraId="1009CD9A" w14:textId="26E9E71E">
      <w:pPr>
        <w:pStyle w:val="Standard"/>
      </w:pPr>
      <w:r>
        <w:t>T</w:t>
      </w:r>
      <w:r w:rsidR="00E603F0">
        <w:t xml:space="preserve">he revised staff proposal recommended that three different metrics of affordability be adopted.  It is hoped that the use of three independent, but related, metrics will create a </w:t>
      </w:r>
      <w:r w:rsidR="298C60F6">
        <w:t xml:space="preserve">more </w:t>
      </w:r>
      <w:r w:rsidR="00186424">
        <w:t xml:space="preserve">complete </w:t>
      </w:r>
      <w:r w:rsidR="00E603F0">
        <w:t>picture of affordability</w:t>
      </w:r>
      <w:r w:rsidR="5BE5EB0C">
        <w:t xml:space="preserve"> than </w:t>
      </w:r>
      <w:r w:rsidR="5F219710">
        <w:t xml:space="preserve">any one metric on its own </w:t>
      </w:r>
      <w:r w:rsidR="1F9E2B9F">
        <w:t xml:space="preserve">that </w:t>
      </w:r>
      <w:r w:rsidR="5F219710">
        <w:t>provides limited insight into the affordability of utility costs</w:t>
      </w:r>
      <w:r w:rsidR="00E603F0">
        <w:t xml:space="preserve">.  </w:t>
      </w:r>
      <w:r w:rsidR="00854783">
        <w:t xml:space="preserve">The revised staff proposal proposed three different metrics to be used to assess relative affordability: 1) the hours at minimum wage required to pay for essential utility services, 2) the </w:t>
      </w:r>
      <w:r w:rsidR="00050D19">
        <w:t xml:space="preserve">socioeconomic </w:t>
      </w:r>
      <w:r w:rsidR="00854783">
        <w:t xml:space="preserve">vulnerability index of communities in California, and 3) the ratio of essential utility service costs to non-disposable household </w:t>
      </w:r>
      <w:r w:rsidR="002F2100">
        <w:br/>
      </w:r>
      <w:r w:rsidR="00854783">
        <w:t>income – known as the affordability ratio.</w:t>
      </w:r>
    </w:p>
    <w:p w:rsidR="00E603F0" w:rsidP="00E603F0" w:rsidRDefault="00E603F0" w14:paraId="1ECC0C50" w14:textId="1532AC26">
      <w:pPr>
        <w:pStyle w:val="Heading3"/>
        <w:numPr>
          <w:ilvl w:val="2"/>
          <w:numId w:val="2"/>
        </w:numPr>
      </w:pPr>
      <w:bookmarkStart w:name="_Toc40967141" w:id="23"/>
      <w:bookmarkStart w:name="_Toc46308180" w:id="24"/>
      <w:r>
        <w:t>Hours at Minimum Wage</w:t>
      </w:r>
      <w:bookmarkEnd w:id="23"/>
      <w:bookmarkEnd w:id="24"/>
    </w:p>
    <w:p w:rsidR="00E603F0" w:rsidP="00E603F0" w:rsidRDefault="00E603F0" w14:paraId="5402DEF5" w14:textId="6D0F9B56">
      <w:pPr>
        <w:pStyle w:val="Standard"/>
      </w:pPr>
      <w:r>
        <w:t xml:space="preserve">The Hours at Minimum Wage (HM) metric seeks to describe </w:t>
      </w:r>
      <w:r w:rsidR="00E559D8">
        <w:t>the hours of work necessary for a household earning minimum wage to pay for essential utility service charges</w:t>
      </w:r>
      <w:r>
        <w:t>.</w:t>
      </w:r>
      <w:r w:rsidR="00E559D8">
        <w:rPr>
          <w:rStyle w:val="FootnoteReference"/>
        </w:rPr>
        <w:footnoteReference w:id="11"/>
      </w:r>
      <w:r>
        <w:t xml:space="preserve">  Thus, the metric allows the Commission and stakeholders to conceive of essential utility bills in terms of something most people can relate </w:t>
      </w:r>
      <w:r w:rsidR="00C6343E">
        <w:br/>
      </w:r>
      <w:r>
        <w:t xml:space="preserve">to – hours of labor.  While this metric does not specifically consider household income data, the use of the minimum wage </w:t>
      </w:r>
      <w:r w:rsidR="00B66CBA">
        <w:t>in this metric accounts for the lowest wages legally available in a given location, and as a result implicitly considers the impact of utility bills on lower-income customers.</w:t>
      </w:r>
      <w:r w:rsidR="006E71AE">
        <w:t xml:space="preserve">  While the HM metric provides a </w:t>
      </w:r>
      <w:r w:rsidR="006E71AE">
        <w:lastRenderedPageBreak/>
        <w:t>sense of the gross impact of essential utility services, it does not indicate the economic trade-offs an economically vulnerable household may make.</w:t>
      </w:r>
      <w:r w:rsidR="006E71AE">
        <w:rPr>
          <w:rStyle w:val="FootnoteReference"/>
        </w:rPr>
        <w:footnoteReference w:id="12"/>
      </w:r>
    </w:p>
    <w:p w:rsidR="00E559D8" w:rsidP="00E603F0" w:rsidRDefault="007A6BD1" w14:paraId="749080E0" w14:textId="47267C08">
      <w:pPr>
        <w:pStyle w:val="Standard"/>
      </w:pPr>
      <w:r>
        <w:t xml:space="preserve">An example calculation of the HM metric was described by the revised staff proposal.  Its example calculation for the San Jose Water Company found an HM of 5.78 hours or 4.62 hours for essential </w:t>
      </w:r>
      <w:r w:rsidR="001B727D">
        <w:t xml:space="preserve">water </w:t>
      </w:r>
      <w:r>
        <w:t>services depending on whether the household was located in an area where the minimum wage was $12/hour or $15/hour, respectively.</w:t>
      </w:r>
      <w:r>
        <w:rPr>
          <w:rStyle w:val="FootnoteReference"/>
        </w:rPr>
        <w:footnoteReference w:id="13"/>
      </w:r>
      <w:r>
        <w:t xml:space="preserve">  This example shows how the cost of essential utility services can be converted into an easily relatable figure such as hours of labor, and also demonstrates how other policy settings</w:t>
      </w:r>
      <w:r w:rsidR="00A731D6">
        <w:t xml:space="preserve"> and </w:t>
      </w:r>
      <w:r w:rsidR="00D31A5E">
        <w:t xml:space="preserve">financial </w:t>
      </w:r>
      <w:r w:rsidR="00A731D6">
        <w:t>variables</w:t>
      </w:r>
      <w:r>
        <w:t>, such as minimum wage rates, can impact the affordability of an essential utility service.</w:t>
      </w:r>
    </w:p>
    <w:p w:rsidR="00B66CBA" w:rsidP="00136CF9" w:rsidRDefault="00B66CBA" w14:paraId="53C5A20D" w14:textId="25C61ADB">
      <w:pPr>
        <w:pStyle w:val="Standard"/>
      </w:pPr>
      <w:r w:rsidRPr="00136CF9">
        <w:t>Parties generally support</w:t>
      </w:r>
      <w:r w:rsidRPr="00136CF9" w:rsidR="00136CF9">
        <w:t xml:space="preserve">ed </w:t>
      </w:r>
      <w:r w:rsidR="00807A93">
        <w:t xml:space="preserve">or did not oppose </w:t>
      </w:r>
      <w:r w:rsidRPr="00136CF9" w:rsidR="00136CF9">
        <w:t>using HM as an affordability</w:t>
      </w:r>
      <w:r w:rsidRPr="00136CF9">
        <w:t xml:space="preserve"> metri</w:t>
      </w:r>
      <w:r w:rsidR="00136CF9">
        <w:t>c.  TURN called it “an easy-to-interpret benchmark of affordability by translating utility bills into an associated number of minimum-wage work hours needed to pay the bills.”</w:t>
      </w:r>
      <w:r w:rsidR="00136CF9">
        <w:rPr>
          <w:rStyle w:val="FootnoteReference"/>
        </w:rPr>
        <w:footnoteReference w:id="14"/>
      </w:r>
      <w:r w:rsidR="00136CF9">
        <w:t xml:space="preserve">   </w:t>
      </w:r>
      <w:r w:rsidR="006F383F">
        <w:t>Noting the limitations of HM, PG&amp;E nevertheless proposed using HM alongside other metrics to provide a holistic view of affordability.</w:t>
      </w:r>
      <w:r w:rsidR="006F383F">
        <w:rPr>
          <w:rStyle w:val="FootnoteReference"/>
        </w:rPr>
        <w:footnoteReference w:id="15"/>
      </w:r>
      <w:r w:rsidR="00807A93">
        <w:t xml:space="preserve">  NDC offered that the use of HM should be placed in the context of the total number of California households that depend on the minimum wage.</w:t>
      </w:r>
      <w:r w:rsidR="00807A93">
        <w:rPr>
          <w:rStyle w:val="FootnoteReference"/>
        </w:rPr>
        <w:footnoteReference w:id="16"/>
      </w:r>
      <w:r w:rsidR="00075E38">
        <w:t xml:space="preserve">  </w:t>
      </w:r>
      <w:proofErr w:type="spellStart"/>
      <w:r w:rsidR="00075E38">
        <w:t>CalCCA</w:t>
      </w:r>
      <w:proofErr w:type="spellEnd"/>
      <w:r w:rsidR="00075E38">
        <w:t xml:space="preserve"> noted that analyzing trends and patterns in the HM metric could be useful in the Commission’s evaluation of affordability.</w:t>
      </w:r>
      <w:r w:rsidR="00075E38">
        <w:rPr>
          <w:rStyle w:val="FootnoteReference"/>
        </w:rPr>
        <w:footnoteReference w:id="17"/>
      </w:r>
      <w:r w:rsidR="00EF48DF">
        <w:t xml:space="preserve">  Cal Advocates </w:t>
      </w:r>
      <w:r w:rsidR="00921A65">
        <w:t>recommend</w:t>
      </w:r>
      <w:r w:rsidR="6247FD94">
        <w:t>ed</w:t>
      </w:r>
      <w:r w:rsidR="00921A65">
        <w:t xml:space="preserve"> adopting the HM metric and testing it out.</w:t>
      </w:r>
      <w:r w:rsidR="00921A65">
        <w:rPr>
          <w:rStyle w:val="FootnoteReference"/>
        </w:rPr>
        <w:footnoteReference w:id="18"/>
      </w:r>
    </w:p>
    <w:p w:rsidR="00136CF9" w:rsidP="00136CF9" w:rsidRDefault="00136CF9" w14:paraId="14465A12" w14:textId="052D7707">
      <w:pPr>
        <w:pStyle w:val="Standard"/>
      </w:pPr>
      <w:r>
        <w:lastRenderedPageBreak/>
        <w:t xml:space="preserve">UCAN did not support the use of the HM metric, arguing that </w:t>
      </w:r>
      <w:r w:rsidR="00E06228">
        <w:t>it was a crude measure and should only be used in conjunction with other metrics.</w:t>
      </w:r>
      <w:r w:rsidR="00E06228">
        <w:rPr>
          <w:rStyle w:val="FootnoteReference"/>
        </w:rPr>
        <w:footnoteReference w:id="19"/>
      </w:r>
    </w:p>
    <w:p w:rsidR="00B66CBA" w:rsidP="00E603F0" w:rsidRDefault="00796D98" w14:paraId="45B7E681" w14:textId="309FD83E">
      <w:pPr>
        <w:pStyle w:val="Standard"/>
      </w:pPr>
      <w:r>
        <w:t xml:space="preserve">Notwithstanding the methodological issues resolved later in this decision, a review of the revised staff proposal and party comments reveals that </w:t>
      </w:r>
      <w:r w:rsidR="00B66CBA">
        <w:t xml:space="preserve">the HM metric quantifies </w:t>
      </w:r>
      <w:r w:rsidR="006363E3">
        <w:t>the impact of the cost of essential utility services in a</w:t>
      </w:r>
      <w:r w:rsidR="00136CF9">
        <w:t>n</w:t>
      </w:r>
      <w:r w:rsidR="006363E3">
        <w:t xml:space="preserve"> easily-relatable form</w:t>
      </w:r>
      <w:r w:rsidR="00A01C56">
        <w:t xml:space="preserve"> that highlights the impact of </w:t>
      </w:r>
      <w:r w:rsidR="00050D19">
        <w:t>essential utility service prices</w:t>
      </w:r>
      <w:r w:rsidR="00A01C56">
        <w:t xml:space="preserve"> on low-income households</w:t>
      </w:r>
      <w:r>
        <w:t>.  For this reason</w:t>
      </w:r>
      <w:r w:rsidR="006363E3">
        <w:t xml:space="preserve">, this decision holds that it is reasonable to adopt </w:t>
      </w:r>
      <w:r w:rsidR="00440FB2">
        <w:t>HM</w:t>
      </w:r>
      <w:r w:rsidR="006363E3">
        <w:t xml:space="preserve"> as an affordability metric.</w:t>
      </w:r>
    </w:p>
    <w:p w:rsidR="006363E3" w:rsidP="006363E3" w:rsidRDefault="00F15FD8" w14:paraId="2CC13C66" w14:textId="403CE37B">
      <w:pPr>
        <w:pStyle w:val="Heading3"/>
        <w:numPr>
          <w:ilvl w:val="2"/>
          <w:numId w:val="2"/>
        </w:numPr>
      </w:pPr>
      <w:bookmarkStart w:name="_Toc40967142" w:id="25"/>
      <w:bookmarkStart w:name="_Toc46308181" w:id="26"/>
      <w:r>
        <w:t xml:space="preserve">Socioeconomic </w:t>
      </w:r>
      <w:r w:rsidR="006363E3">
        <w:t>Vulnerability Index</w:t>
      </w:r>
      <w:bookmarkEnd w:id="25"/>
      <w:bookmarkEnd w:id="26"/>
    </w:p>
    <w:p w:rsidR="006363E3" w:rsidP="006363E3" w:rsidRDefault="006363E3" w14:paraId="24B37CB9" w14:textId="0AC71FCA">
      <w:pPr>
        <w:pStyle w:val="Standard"/>
      </w:pPr>
      <w:r>
        <w:t xml:space="preserve">The </w:t>
      </w:r>
      <w:r w:rsidR="00F15FD8">
        <w:t xml:space="preserve">Socioeconomic </w:t>
      </w:r>
      <w:r>
        <w:t xml:space="preserve">Vulnerability Index </w:t>
      </w:r>
      <w:r w:rsidR="00F15FD8">
        <w:t xml:space="preserve">(SEVI) </w:t>
      </w:r>
      <w:r>
        <w:t xml:space="preserve">describes the relative socioeconomic characteristics of </w:t>
      </w:r>
      <w:r w:rsidR="45885174">
        <w:t xml:space="preserve">census tracts, referred to as </w:t>
      </w:r>
      <w:r>
        <w:t>communities</w:t>
      </w:r>
      <w:r w:rsidR="0E3C0A8E">
        <w:t xml:space="preserve"> for this section,</w:t>
      </w:r>
      <w:r>
        <w:t xml:space="preserve"> in terms of poverty, unemployment, educational attainment, linguistic isolation, and percent of income spent on housing.  This allows for consideration of how the same rate impact may affect one community’s ability to pay more than another’s.</w:t>
      </w:r>
      <w:r>
        <w:rPr>
          <w:rStyle w:val="FootnoteReference"/>
        </w:rPr>
        <w:footnoteReference w:id="20"/>
      </w:r>
      <w:r w:rsidR="005B7247">
        <w:t xml:space="preserve">  The revised staff proposal </w:t>
      </w:r>
      <w:r w:rsidR="00C431A7">
        <w:t xml:space="preserve">used </w:t>
      </w:r>
      <w:r w:rsidR="005B7247">
        <w:t xml:space="preserve">SEVI as a replacement for the </w:t>
      </w:r>
      <w:r w:rsidR="00C6343E">
        <w:br/>
      </w:r>
      <w:r w:rsidR="005B7247">
        <w:t>ability-to-pay index used in the original staff proposal, and specifically sought party comment on the appropriateness of using SEVI to demonstrate, on a broad scale, the ability of a community to pay for essential utility services.</w:t>
      </w:r>
    </w:p>
    <w:p w:rsidR="006363E3" w:rsidP="006363E3" w:rsidRDefault="00F15FD8" w14:paraId="3E4F58D4" w14:textId="0CF2512C">
      <w:pPr>
        <w:pStyle w:val="Standard"/>
      </w:pPr>
      <w:r>
        <w:t>The goal of the SEVI metric in this context is to highlight communities where uniform changes in rates may have a disproportionate impact, without necessarily analyzing the cost of essential utility services themselves.  Th</w:t>
      </w:r>
      <w:r w:rsidR="007C3590">
        <w:t>u</w:t>
      </w:r>
      <w:r>
        <w:t>s, the SEVI metric allows for an affordability assessment that is independent of the absolute value of essential utility service charges.</w:t>
      </w:r>
      <w:r>
        <w:rPr>
          <w:rStyle w:val="FootnoteReference"/>
        </w:rPr>
        <w:footnoteReference w:id="21"/>
      </w:r>
    </w:p>
    <w:p w:rsidR="00F15FD8" w:rsidP="006363E3" w:rsidRDefault="00F15FD8" w14:paraId="5B18EC62" w14:textId="06E5C84B">
      <w:pPr>
        <w:pStyle w:val="Standard"/>
      </w:pPr>
      <w:r>
        <w:lastRenderedPageBreak/>
        <w:t xml:space="preserve">An example of the SEVI metric was demonstrated by the revised staff proposal </w:t>
      </w:r>
      <w:proofErr w:type="gramStart"/>
      <w:r>
        <w:t>with regard to</w:t>
      </w:r>
      <w:proofErr w:type="gramEnd"/>
      <w:r>
        <w:t xml:space="preserve"> the San Jose Water Company’s territory.  That example SEVI map showed that the territory encompassed census tracts that had SEVI indexes between the 3</w:t>
      </w:r>
      <w:r w:rsidRPr="00F15FD8">
        <w:rPr>
          <w:vertAlign w:val="superscript"/>
        </w:rPr>
        <w:t>rd</w:t>
      </w:r>
      <w:r>
        <w:t xml:space="preserve"> and 91</w:t>
      </w:r>
      <w:r w:rsidRPr="00F15FD8">
        <w:rPr>
          <w:vertAlign w:val="superscript"/>
        </w:rPr>
        <w:t>st</w:t>
      </w:r>
      <w:r>
        <w:t xml:space="preserve"> percentiles statewide,</w:t>
      </w:r>
      <w:r w:rsidR="00512E3A">
        <w:t xml:space="preserve"> meaning that some households in the territory were </w:t>
      </w:r>
      <w:r w:rsidR="00BC0E81">
        <w:t xml:space="preserve">more vulnerable than all but 3% percent of Californians while others were </w:t>
      </w:r>
      <w:r w:rsidR="00E6332A">
        <w:t xml:space="preserve">less vulnerable than 91% of Californians. </w:t>
      </w:r>
      <w:r w:rsidR="00E53AB2">
        <w:t xml:space="preserve"> </w:t>
      </w:r>
      <w:r w:rsidR="004927D4">
        <w:t xml:space="preserve">This </w:t>
      </w:r>
      <w:r>
        <w:t>implie</w:t>
      </w:r>
      <w:r w:rsidR="004927D4">
        <w:t>s</w:t>
      </w:r>
      <w:r>
        <w:t xml:space="preserve"> that there was high socioeconomic inequity with</w:t>
      </w:r>
      <w:r w:rsidR="334E5E56">
        <w:t>in</w:t>
      </w:r>
      <w:r>
        <w:t xml:space="preserve"> the territory of the San Jose Water Company.  The revised staff proposal </w:t>
      </w:r>
      <w:r w:rsidR="00E219C0">
        <w:t xml:space="preserve">asserted </w:t>
      </w:r>
      <w:r>
        <w:t>that such a map was crucial to understand that with</w:t>
      </w:r>
      <w:r w:rsidR="5E7B66A8">
        <w:t>in</w:t>
      </w:r>
      <w:r>
        <w:t xml:space="preserve"> a given utility’s service territory, “the same changes in rates will affect these communities differently.”</w:t>
      </w:r>
      <w:r>
        <w:rPr>
          <w:rStyle w:val="FootnoteReference"/>
        </w:rPr>
        <w:footnoteReference w:id="22"/>
      </w:r>
    </w:p>
    <w:p w:rsidR="00A43605" w:rsidP="006363E3" w:rsidRDefault="0006631E" w14:paraId="66CE1EC8" w14:textId="253BB151">
      <w:pPr>
        <w:pStyle w:val="Standard"/>
      </w:pPr>
      <w:r w:rsidRPr="00205C37">
        <w:t xml:space="preserve">Parties </w:t>
      </w:r>
      <w:r w:rsidR="005B7247">
        <w:t>were generally supportive of using SEVI for this purpose.  TURN specifically endorsed SEVI as part of a holistic approach to be used alongside the HM and Affordability Ratio metrics to judge affordability.</w:t>
      </w:r>
      <w:r w:rsidR="005B7247">
        <w:rPr>
          <w:rStyle w:val="FootnoteReference"/>
        </w:rPr>
        <w:footnoteReference w:id="23"/>
      </w:r>
      <w:r w:rsidR="00B10CF8">
        <w:t xml:space="preserve">  UCAN noted that SEVI allowed for more granular analysis of affordability concerns at the census tract level.</w:t>
      </w:r>
      <w:r w:rsidR="00B10CF8">
        <w:rPr>
          <w:rStyle w:val="FootnoteReference"/>
        </w:rPr>
        <w:footnoteReference w:id="24"/>
      </w:r>
      <w:r w:rsidR="00B65EDB">
        <w:t xml:space="preserve">  Other parties that supported the use of SEVI as a gauge of a community’s ability to pay for essential utility services include the Small LECs,</w:t>
      </w:r>
      <w:r w:rsidR="00B65EDB">
        <w:rPr>
          <w:rStyle w:val="FootnoteReference"/>
        </w:rPr>
        <w:footnoteReference w:id="25"/>
      </w:r>
      <w:r w:rsidR="00B65EDB">
        <w:t xml:space="preserve"> </w:t>
      </w:r>
      <w:r w:rsidR="0086283A">
        <w:t>SoCalGas and SDG&amp;E,</w:t>
      </w:r>
      <w:r w:rsidR="0086283A">
        <w:rPr>
          <w:rStyle w:val="FootnoteReference"/>
        </w:rPr>
        <w:footnoteReference w:id="26"/>
      </w:r>
      <w:r w:rsidR="0086283A">
        <w:t xml:space="preserve"> SCE,</w:t>
      </w:r>
      <w:r w:rsidR="0086283A">
        <w:rPr>
          <w:rStyle w:val="FootnoteReference"/>
        </w:rPr>
        <w:footnoteReference w:id="27"/>
      </w:r>
      <w:r w:rsidR="0086283A">
        <w:t xml:space="preserve"> </w:t>
      </w:r>
      <w:r w:rsidR="00205C37">
        <w:t>PG&amp;E,</w:t>
      </w:r>
      <w:r w:rsidR="00205C37">
        <w:rPr>
          <w:rStyle w:val="FootnoteReference"/>
        </w:rPr>
        <w:footnoteReference w:id="28"/>
      </w:r>
      <w:r w:rsidR="00205C37">
        <w:t xml:space="preserve"> </w:t>
      </w:r>
      <w:r w:rsidR="009250AD">
        <w:t>NDC,</w:t>
      </w:r>
      <w:r w:rsidR="009250AD">
        <w:rPr>
          <w:rStyle w:val="FootnoteReference"/>
        </w:rPr>
        <w:footnoteReference w:id="29"/>
      </w:r>
      <w:r w:rsidR="009250AD">
        <w:t xml:space="preserve"> </w:t>
      </w:r>
      <w:r w:rsidR="00A43605">
        <w:t xml:space="preserve">and </w:t>
      </w:r>
      <w:proofErr w:type="spellStart"/>
      <w:r w:rsidR="009250AD">
        <w:t>CforAT</w:t>
      </w:r>
      <w:proofErr w:type="spellEnd"/>
      <w:r w:rsidR="00A43605">
        <w:t>.</w:t>
      </w:r>
      <w:r w:rsidR="009250AD">
        <w:rPr>
          <w:rStyle w:val="FootnoteReference"/>
        </w:rPr>
        <w:footnoteReference w:id="30"/>
      </w:r>
      <w:r w:rsidR="009250AD">
        <w:t xml:space="preserve"> </w:t>
      </w:r>
      <w:r w:rsidR="00A43605">
        <w:t xml:space="preserve"> </w:t>
      </w:r>
      <w:r w:rsidR="00CD6C6A">
        <w:t xml:space="preserve">NDC noted that an advantage of using SEVI rather than </w:t>
      </w:r>
      <w:r w:rsidR="2EAD5C57">
        <w:t xml:space="preserve">the </w:t>
      </w:r>
      <w:r w:rsidR="00CD6C6A">
        <w:t>A</w:t>
      </w:r>
      <w:r w:rsidR="2F117F2C">
        <w:t xml:space="preserve">bility to </w:t>
      </w:r>
      <w:r w:rsidR="00CD6C6A">
        <w:t>P</w:t>
      </w:r>
      <w:r w:rsidR="64B07AF6">
        <w:t xml:space="preserve">ay </w:t>
      </w:r>
      <w:r w:rsidR="00CD6C6A">
        <w:t>I</w:t>
      </w:r>
      <w:r w:rsidR="45559D7C">
        <w:t>ndex</w:t>
      </w:r>
      <w:r w:rsidR="52DA008D">
        <w:t xml:space="preserve">, a methodology from the </w:t>
      </w:r>
      <w:r w:rsidR="00805565">
        <w:t xml:space="preserve">original </w:t>
      </w:r>
      <w:r w:rsidR="52DA008D">
        <w:lastRenderedPageBreak/>
        <w:t>staff proposal,</w:t>
      </w:r>
      <w:r w:rsidR="00CD6C6A">
        <w:t xml:space="preserve"> is that the</w:t>
      </w:r>
      <w:r w:rsidR="3D3D2B3B">
        <w:t xml:space="preserve"> SEVI</w:t>
      </w:r>
      <w:r w:rsidR="00CD6C6A">
        <w:t xml:space="preserve"> affordability measurements will be more easily aligned with other Commission decisions that use </w:t>
      </w:r>
      <w:proofErr w:type="spellStart"/>
      <w:r w:rsidR="00CD6C6A">
        <w:t>CalEnviroScreen</w:t>
      </w:r>
      <w:proofErr w:type="spellEnd"/>
      <w:r w:rsidR="00CD6C6A">
        <w:t xml:space="preserve"> 3.0.</w:t>
      </w:r>
      <w:r w:rsidR="00CD6C6A">
        <w:rPr>
          <w:rStyle w:val="FootnoteReference"/>
        </w:rPr>
        <w:footnoteReference w:id="31"/>
      </w:r>
    </w:p>
    <w:p w:rsidR="00136CF9" w:rsidP="006363E3" w:rsidRDefault="00A43605" w14:paraId="31E834A9" w14:textId="0C1020C8">
      <w:pPr>
        <w:pStyle w:val="Standard"/>
      </w:pPr>
      <w:proofErr w:type="spellStart"/>
      <w:r>
        <w:t>CalCCA</w:t>
      </w:r>
      <w:proofErr w:type="spellEnd"/>
      <w:r>
        <w:t xml:space="preserve"> recommended that staff further consider whether to adopt the SEVI as a metric, arguing that the variables that constitute the SEVI may not account for all ways in which a community may be vulnerable and impacted by essential utility service charges.</w:t>
      </w:r>
      <w:r>
        <w:rPr>
          <w:rStyle w:val="FootnoteReference"/>
        </w:rPr>
        <w:footnoteReference w:id="32"/>
      </w:r>
      <w:r>
        <w:t xml:space="preserve">  </w:t>
      </w:r>
      <w:r w:rsidR="00136CF9">
        <w:t xml:space="preserve">Methodological concerns raised by </w:t>
      </w:r>
      <w:proofErr w:type="spellStart"/>
      <w:r w:rsidR="00136CF9">
        <w:t>CalCCA</w:t>
      </w:r>
      <w:proofErr w:type="spellEnd"/>
      <w:r w:rsidR="00136CF9">
        <w:t xml:space="preserve"> and other parties supporting SEVI in the abstract are addressed later in this decision.</w:t>
      </w:r>
    </w:p>
    <w:p w:rsidR="00BC3F67" w:rsidP="006363E3" w:rsidRDefault="00BC7213" w14:paraId="61C64A7B" w14:textId="0250FD1D">
      <w:pPr>
        <w:pStyle w:val="Standard"/>
      </w:pPr>
      <w:r>
        <w:t>SCE urged the Commission not to use the SEVI metric to set different rates for different areas, and instead suggested that the metric could be use</w:t>
      </w:r>
      <w:r w:rsidR="00187180">
        <w:t>d</w:t>
      </w:r>
      <w:r>
        <w:t xml:space="preserve"> to refine baseline area boundaries or target communications regarding energy efficiency and other low-income programs.</w:t>
      </w:r>
      <w:r>
        <w:rPr>
          <w:rStyle w:val="FootnoteReference"/>
        </w:rPr>
        <w:footnoteReference w:id="33"/>
      </w:r>
    </w:p>
    <w:p w:rsidR="0006631E" w:rsidP="006363E3" w:rsidRDefault="00A43605" w14:paraId="2695B211" w14:textId="64BC820B">
      <w:pPr>
        <w:pStyle w:val="Standard"/>
      </w:pPr>
      <w:r>
        <w:t xml:space="preserve">Cal Advocates </w:t>
      </w:r>
      <w:r w:rsidR="00136CF9">
        <w:t xml:space="preserve">originally </w:t>
      </w:r>
      <w:r>
        <w:t>withheld support for the SEVI metric in light of the need for further analysis of the correlation between SEVI and the Affordability Ratio.</w:t>
      </w:r>
      <w:r>
        <w:rPr>
          <w:rStyle w:val="FootnoteReference"/>
        </w:rPr>
        <w:footnoteReference w:id="34"/>
      </w:r>
      <w:r w:rsidR="00002028">
        <w:t xml:space="preserve">  However, in reply comments Cal Advocates appeared to endorse the use of SEVI in a general sense.</w:t>
      </w:r>
      <w:r w:rsidR="00002028">
        <w:rPr>
          <w:rStyle w:val="FootnoteReference"/>
        </w:rPr>
        <w:footnoteReference w:id="35"/>
      </w:r>
    </w:p>
    <w:p w:rsidR="0006631E" w:rsidP="0006631E" w:rsidRDefault="00136CF9" w14:paraId="4D8CE75E" w14:textId="3378DE78">
      <w:pPr>
        <w:pStyle w:val="Standard"/>
      </w:pPr>
      <w:r>
        <w:t>Review of the revised staff proposal and party comments reveals that</w:t>
      </w:r>
      <w:r w:rsidR="0006631E">
        <w:t xml:space="preserve"> the </w:t>
      </w:r>
      <w:r w:rsidR="0093222C">
        <w:t>SEVI</w:t>
      </w:r>
      <w:r w:rsidR="0006631E">
        <w:t xml:space="preserve"> metric </w:t>
      </w:r>
      <w:r w:rsidR="0093222C">
        <w:t xml:space="preserve">illustrates </w:t>
      </w:r>
      <w:r w:rsidR="00A25706">
        <w:t xml:space="preserve">the </w:t>
      </w:r>
      <w:r w:rsidR="0093222C">
        <w:t xml:space="preserve">potential </w:t>
      </w:r>
      <w:r w:rsidR="002B03D4">
        <w:t>for</w:t>
      </w:r>
      <w:r w:rsidR="00986BCB">
        <w:t xml:space="preserve"> </w:t>
      </w:r>
      <w:r w:rsidR="00823AB7">
        <w:t xml:space="preserve">disparate </w:t>
      </w:r>
      <w:r w:rsidR="0093222C">
        <w:t xml:space="preserve">socioeconomic conditions </w:t>
      </w:r>
      <w:r w:rsidR="00FA78A7">
        <w:t>with</w:t>
      </w:r>
      <w:r w:rsidR="00B3167D">
        <w:t>in a utility’s service territory in an easily understood form (</w:t>
      </w:r>
      <w:r w:rsidRPr="005E0AEE" w:rsidR="00B3167D">
        <w:rPr>
          <w:i/>
          <w:iCs/>
        </w:rPr>
        <w:t>i.e</w:t>
      </w:r>
      <w:r w:rsidR="00B3167D">
        <w:t>., a map)</w:t>
      </w:r>
      <w:r>
        <w:t xml:space="preserve">.  It also does so in a geographically granular form that can be used to better </w:t>
      </w:r>
      <w:r w:rsidR="006623C5">
        <w:t xml:space="preserve">understand the </w:t>
      </w:r>
      <w:r>
        <w:t xml:space="preserve">affordability </w:t>
      </w:r>
      <w:r w:rsidR="006623C5">
        <w:t>impacts</w:t>
      </w:r>
      <w:r>
        <w:t xml:space="preserve">. </w:t>
      </w:r>
      <w:r w:rsidR="00B3167D">
        <w:t xml:space="preserve"> </w:t>
      </w:r>
      <w:r>
        <w:t>The</w:t>
      </w:r>
      <w:r w:rsidR="00CE660D">
        <w:t xml:space="preserve"> parties broadly support</w:t>
      </w:r>
      <w:r>
        <w:t xml:space="preserve"> use of the SEVI metric </w:t>
      </w:r>
      <w:r w:rsidR="00973DF4">
        <w:t>for assessing affordability impacts</w:t>
      </w:r>
      <w:r>
        <w:t>.  For these reasons</w:t>
      </w:r>
      <w:r w:rsidR="0006631E">
        <w:t xml:space="preserve">, this decision holds that it is reasonable to adopt the </w:t>
      </w:r>
      <w:r w:rsidR="00B3167D">
        <w:t>SEVI</w:t>
      </w:r>
      <w:r w:rsidR="0006631E">
        <w:t xml:space="preserve"> as an affordability metric.</w:t>
      </w:r>
    </w:p>
    <w:p w:rsidR="0006631E" w:rsidP="0006631E" w:rsidRDefault="0006631E" w14:paraId="2977CDAE" w14:textId="04FF4DE0">
      <w:pPr>
        <w:pStyle w:val="Heading3"/>
        <w:numPr>
          <w:ilvl w:val="2"/>
          <w:numId w:val="2"/>
        </w:numPr>
      </w:pPr>
      <w:bookmarkStart w:name="_Toc40967143" w:id="27"/>
      <w:bookmarkStart w:name="_Toc46308182" w:id="28"/>
      <w:r>
        <w:lastRenderedPageBreak/>
        <w:t>The Affordability Ratio</w:t>
      </w:r>
      <w:bookmarkEnd w:id="27"/>
      <w:bookmarkEnd w:id="28"/>
    </w:p>
    <w:p w:rsidR="0069292C" w:rsidP="00220A47" w:rsidRDefault="0006631E" w14:paraId="2E6376B3" w14:textId="74FA5F5C">
      <w:pPr>
        <w:pStyle w:val="Standard"/>
      </w:pPr>
      <w:r>
        <w:t xml:space="preserve">The final metric proposed by the revised staff proposal is the Affordability Ratio (AR).  The AR seeks to quantify the percent of a </w:t>
      </w:r>
      <w:r w:rsidR="002021B0">
        <w:t xml:space="preserve">representative </w:t>
      </w:r>
      <w:r>
        <w:t xml:space="preserve">household’s income that is required to pay for </w:t>
      </w:r>
      <w:r w:rsidR="00220A47">
        <w:t xml:space="preserve">an </w:t>
      </w:r>
      <w:r>
        <w:t>essential utility service</w:t>
      </w:r>
      <w:r w:rsidR="36B95C32">
        <w:t>,</w:t>
      </w:r>
      <w:r>
        <w:t xml:space="preserve"> after </w:t>
      </w:r>
      <w:r w:rsidR="00220A47">
        <w:t>non-discretionary</w:t>
      </w:r>
      <w:r>
        <w:t xml:space="preserve"> costs </w:t>
      </w:r>
      <w:r w:rsidR="00220A47">
        <w:t xml:space="preserve">such as housing and other essential utility services </w:t>
      </w:r>
      <w:r>
        <w:t xml:space="preserve">are removed from the household’s income.  </w:t>
      </w:r>
    </w:p>
    <w:p w:rsidR="0069292C" w:rsidP="00220A47" w:rsidRDefault="000A39E7" w14:paraId="6744D39D" w14:textId="11B6FA03">
      <w:pPr>
        <w:pStyle w:val="Standard"/>
      </w:pPr>
      <w:r>
        <w:t xml:space="preserve">The AR may be calculated for any given income level </w:t>
      </w:r>
      <w:proofErr w:type="gramStart"/>
      <w:r>
        <w:t xml:space="preserve">in a </w:t>
      </w:r>
      <w:r w:rsidR="00AB4860">
        <w:t>given</w:t>
      </w:r>
      <w:proofErr w:type="gramEnd"/>
      <w:r w:rsidR="00AB4860">
        <w:t xml:space="preserve"> area</w:t>
      </w:r>
      <w:r>
        <w:t>.  For example</w:t>
      </w:r>
      <w:r w:rsidR="00034C4C">
        <w:t>,</w:t>
      </w:r>
      <w:r>
        <w:t xml:space="preserve"> the AR for a household at the 20</w:t>
      </w:r>
      <w:r w:rsidRPr="000A39E7">
        <w:rPr>
          <w:vertAlign w:val="superscript"/>
        </w:rPr>
        <w:t>th</w:t>
      </w:r>
      <w:r>
        <w:t xml:space="preserve"> income percentile would be an AR</w:t>
      </w:r>
      <w:r w:rsidRPr="000A39E7">
        <w:rPr>
          <w:vertAlign w:val="subscript"/>
        </w:rPr>
        <w:t>20</w:t>
      </w:r>
      <w:r>
        <w:t xml:space="preserve"> figure.  The AR for a household at the 50</w:t>
      </w:r>
      <w:r w:rsidRPr="000A39E7">
        <w:rPr>
          <w:vertAlign w:val="superscript"/>
        </w:rPr>
        <w:t>th</w:t>
      </w:r>
      <w:r>
        <w:t xml:space="preserve"> income percentile would be an AR</w:t>
      </w:r>
      <w:r w:rsidRPr="000A39E7">
        <w:rPr>
          <w:vertAlign w:val="subscript"/>
        </w:rPr>
        <w:t>50</w:t>
      </w:r>
      <w:r>
        <w:t xml:space="preserve"> figure.</w:t>
      </w:r>
      <w:r w:rsidR="0069292C">
        <w:t xml:space="preserve">  The AR may also be calculated for a single essential utility service, a combination of services, or all the essential utility services at once.</w:t>
      </w:r>
    </w:p>
    <w:p w:rsidR="00107CE4" w:rsidP="0006631E" w:rsidRDefault="00107CE4" w14:paraId="13291E62" w14:textId="70FB712D">
      <w:pPr>
        <w:pStyle w:val="Standard"/>
      </w:pPr>
      <w:r>
        <w:t xml:space="preserve">Unlike the HM and Vulnerability Index metrics, AR can be tailored to answer the affordability question for a household </w:t>
      </w:r>
      <w:r w:rsidR="00220A47">
        <w:t>in</w:t>
      </w:r>
      <w:r>
        <w:t xml:space="preserve"> any given income</w:t>
      </w:r>
      <w:r w:rsidR="00220A47">
        <w:t xml:space="preserve"> range</w:t>
      </w:r>
      <w:r>
        <w:t>.</w:t>
      </w:r>
      <w:r w:rsidR="00220A47">
        <w:t xml:space="preserve">  This allows for affordability examinations for households that may be </w:t>
      </w:r>
      <w:proofErr w:type="gramStart"/>
      <w:r w:rsidR="00220A47">
        <w:t>lower-income</w:t>
      </w:r>
      <w:proofErr w:type="gramEnd"/>
      <w:r w:rsidR="00220A47">
        <w:t xml:space="preserve"> but still not qualify for low-income assistance</w:t>
      </w:r>
      <w:r>
        <w:t xml:space="preserve"> </w:t>
      </w:r>
      <w:r w:rsidR="00220A47">
        <w:t>program.  The revised staff proposal also claims that the AR metric is sensitive to geographic variations in cost-of-living, which can impact the amount of income available to pay for essential utility services.</w:t>
      </w:r>
      <w:r w:rsidR="00220A47">
        <w:rPr>
          <w:rStyle w:val="FootnoteReference"/>
        </w:rPr>
        <w:footnoteReference w:id="36"/>
      </w:r>
      <w:r w:rsidR="00220A47">
        <w:t xml:space="preserve">  </w:t>
      </w:r>
      <w:r>
        <w:t>This advantage of the AR metric also presents difficulties, as the data necessary to compute the AR can be challenging to</w:t>
      </w:r>
      <w:r w:rsidR="75ABBB1E">
        <w:t xml:space="preserve"> </w:t>
      </w:r>
      <w:r w:rsidR="00121E88">
        <w:t>u</w:t>
      </w:r>
      <w:r>
        <w:t>ncover</w:t>
      </w:r>
      <w:r w:rsidR="00121E88">
        <w:t>.</w:t>
      </w:r>
      <w:r>
        <w:t xml:space="preserve">  </w:t>
      </w:r>
      <w:r w:rsidR="64D3D4CA">
        <w:t xml:space="preserve">These data limitations </w:t>
      </w:r>
      <w:r>
        <w:t>and the proposed methods to mitigate them are discussed later in the decision.</w:t>
      </w:r>
    </w:p>
    <w:p w:rsidR="00107CE4" w:rsidP="0006631E" w:rsidRDefault="00107CE4" w14:paraId="78420ECB" w14:textId="5E6B7195">
      <w:pPr>
        <w:pStyle w:val="Standard"/>
      </w:pPr>
      <w:r w:rsidRPr="00B5339B">
        <w:t>In the abstract, and notwithstanding methodological challenges with computing AR, parties generally supported using AR as an affordability metric</w:t>
      </w:r>
      <w:r w:rsidR="00B5339B">
        <w:t>.</w:t>
      </w:r>
      <w:r w:rsidR="006B4B6D">
        <w:rPr>
          <w:rStyle w:val="FootnoteReference"/>
        </w:rPr>
        <w:footnoteReference w:id="37"/>
      </w:r>
      <w:r w:rsidR="00B5339B">
        <w:t xml:space="preserve">  Cal Advocates recommended adopting the AR metric and testing it.</w:t>
      </w:r>
      <w:r w:rsidR="00B5339B">
        <w:rPr>
          <w:rStyle w:val="FootnoteReference"/>
        </w:rPr>
        <w:footnoteReference w:id="38"/>
      </w:r>
      <w:r w:rsidR="00B5007E">
        <w:t xml:space="preserve">  </w:t>
      </w:r>
    </w:p>
    <w:p w:rsidRPr="00121E88" w:rsidR="002D42FE" w:rsidP="002D42FE" w:rsidRDefault="00347006" w14:paraId="326B3BC2" w14:textId="5C775541">
      <w:pPr>
        <w:pStyle w:val="Standard"/>
        <w:rPr>
          <w:rFonts w:eastAsiaTheme="minorEastAsia"/>
          <w:szCs w:val="26"/>
        </w:rPr>
      </w:pPr>
      <w:r>
        <w:lastRenderedPageBreak/>
        <w:t>SoCalGas and SDG&amp;E opined that while the AR is useful it may be helpful if a single denominator (income after housing costs) were used for all utility AR evaluations.  This would allow for consistent comparisons between utility A</w:t>
      </w:r>
      <w:r w:rsidR="00402409">
        <w:t>R scores</w:t>
      </w:r>
      <w:r>
        <w:t xml:space="preserve"> for a given location and allow for summation to a single combined AR if necessary.</w:t>
      </w:r>
      <w:r>
        <w:rPr>
          <w:rStyle w:val="FootnoteReference"/>
        </w:rPr>
        <w:footnoteReference w:id="39"/>
      </w:r>
      <w:r w:rsidRPr="7D21E9D8" w:rsidR="4E7BC2AC">
        <w:rPr>
          <w:rStyle w:val="FootnoteReference"/>
        </w:rPr>
        <w:t xml:space="preserve"> </w:t>
      </w:r>
      <w:r w:rsidR="00121E88">
        <w:rPr>
          <w:rStyle w:val="FootnoteReference"/>
        </w:rPr>
        <w:t xml:space="preserve"> </w:t>
      </w:r>
      <w:r w:rsidRPr="00121E88" w:rsidR="4E7BC2AC">
        <w:rPr>
          <w:rFonts w:eastAsiaTheme="minorEastAsia"/>
          <w:szCs w:val="26"/>
        </w:rPr>
        <w:t>However</w:t>
      </w:r>
      <w:r w:rsidRPr="7D21E9D8" w:rsidR="05E2AAA3">
        <w:rPr>
          <w:rFonts w:eastAsiaTheme="minorEastAsia"/>
          <w:szCs w:val="26"/>
        </w:rPr>
        <w:t xml:space="preserve">, using a common denominator would ignore the reality that the cost of other essential utility services impacts a household’s ability to pay for the </w:t>
      </w:r>
      <w:r w:rsidRPr="7D21E9D8" w:rsidR="2CDB3F00">
        <w:rPr>
          <w:rFonts w:eastAsiaTheme="minorEastAsia"/>
          <w:szCs w:val="26"/>
        </w:rPr>
        <w:t xml:space="preserve">utility services that are being analyzed. </w:t>
      </w:r>
      <w:r w:rsidR="00121E88">
        <w:rPr>
          <w:rFonts w:eastAsiaTheme="minorEastAsia"/>
          <w:szCs w:val="26"/>
        </w:rPr>
        <w:t xml:space="preserve"> </w:t>
      </w:r>
      <w:r w:rsidRPr="7D21E9D8" w:rsidR="2CDB3F00">
        <w:rPr>
          <w:rFonts w:eastAsiaTheme="minorEastAsia"/>
          <w:szCs w:val="26"/>
        </w:rPr>
        <w:t xml:space="preserve">As these costs are highly </w:t>
      </w:r>
      <w:r w:rsidR="00AD27BB">
        <w:rPr>
          <w:rFonts w:eastAsiaTheme="minorEastAsia"/>
          <w:szCs w:val="26"/>
        </w:rPr>
        <w:br/>
      </w:r>
      <w:proofErr w:type="gramStart"/>
      <w:r w:rsidRPr="7D21E9D8" w:rsidR="2CDB3F00">
        <w:rPr>
          <w:rFonts w:eastAsiaTheme="minorEastAsia"/>
          <w:szCs w:val="26"/>
        </w:rPr>
        <w:t>geographically-dependent</w:t>
      </w:r>
      <w:proofErr w:type="gramEnd"/>
      <w:r w:rsidRPr="7D21E9D8" w:rsidR="2CDB3F00">
        <w:rPr>
          <w:rFonts w:eastAsiaTheme="minorEastAsia"/>
          <w:szCs w:val="26"/>
        </w:rPr>
        <w:t>, it makes sense to include them in the denominator as an essential expense that impacts a</w:t>
      </w:r>
      <w:r w:rsidRPr="7D21E9D8" w:rsidR="573DE8F8">
        <w:rPr>
          <w:rFonts w:eastAsiaTheme="minorEastAsia"/>
          <w:szCs w:val="26"/>
        </w:rPr>
        <w:t>ffordability</w:t>
      </w:r>
      <w:r w:rsidRPr="7D21E9D8" w:rsidR="12A0D509">
        <w:rPr>
          <w:rFonts w:eastAsiaTheme="minorEastAsia"/>
          <w:szCs w:val="26"/>
        </w:rPr>
        <w:t>, similar to housing costs.</w:t>
      </w:r>
    </w:p>
    <w:p w:rsidR="00402409" w:rsidP="002D42FE" w:rsidRDefault="00402409" w14:paraId="4979BDCE" w14:textId="641A6739">
      <w:pPr>
        <w:pStyle w:val="Standard"/>
      </w:pPr>
      <w:r>
        <w:t>Some parties, such as CCTA, criticized some of the uncertainties inherent in making an AR calculation, and therefore implicitly argue against adopting the AR in its proposed form.  The methodological details of the AR metric, and the inherent limitations of the data used to calculate it, are discussed later in this decision.</w:t>
      </w:r>
    </w:p>
    <w:p w:rsidR="00107CE4" w:rsidP="0006631E" w:rsidRDefault="00107CE4" w14:paraId="4944C42C" w14:textId="22A0E96A">
      <w:pPr>
        <w:pStyle w:val="Standard"/>
      </w:pPr>
      <w:r>
        <w:t>Because the AR metric quantifies the impact of the cost of essential utility services in a very precise manner that sheds light on affordability for households of given income levels, this decision holds that it is reasonable to adopt AR as an affordability metric</w:t>
      </w:r>
      <w:r w:rsidR="00402409">
        <w:t xml:space="preserve"> even if the particular methodology for determining an AR score is modified over time.</w:t>
      </w:r>
    </w:p>
    <w:p w:rsidR="00E06228" w:rsidP="00E06228" w:rsidRDefault="00E06228" w14:paraId="2FE50CCD" w14:textId="53D419A5">
      <w:pPr>
        <w:pStyle w:val="Heading3"/>
        <w:numPr>
          <w:ilvl w:val="2"/>
          <w:numId w:val="2"/>
        </w:numPr>
      </w:pPr>
      <w:bookmarkStart w:name="_Toc40967144" w:id="29"/>
      <w:bookmarkStart w:name="_Toc46308183" w:id="30"/>
      <w:r>
        <w:t>Other Potential Metrics</w:t>
      </w:r>
      <w:bookmarkEnd w:id="29"/>
      <w:bookmarkEnd w:id="30"/>
    </w:p>
    <w:p w:rsidR="00E06228" w:rsidP="00E06228" w:rsidRDefault="00E06228" w14:paraId="0AE8A7CF" w14:textId="0737758F">
      <w:pPr>
        <w:pStyle w:val="Standard"/>
      </w:pPr>
      <w:r>
        <w:t xml:space="preserve">SoCalGas and SDG&amp;E jointly proposed the use of the energy burden metric in assessing the affordability of essential utility services.  They argue that it is easily understood and provides another perspective on affordability, with the advantage that </w:t>
      </w:r>
      <w:r w:rsidR="0DD17A53">
        <w:t>it</w:t>
      </w:r>
      <w:r>
        <w:t xml:space="preserve"> is currently used by the Commission.</w:t>
      </w:r>
      <w:r>
        <w:rPr>
          <w:rStyle w:val="FootnoteReference"/>
        </w:rPr>
        <w:footnoteReference w:id="40"/>
      </w:r>
      <w:r w:rsidR="002D42FE">
        <w:t xml:space="preserve">  SCE also supports this additional metric, as it would remove some uncertainty around housing cost data that the </w:t>
      </w:r>
      <w:r w:rsidR="00954573">
        <w:br/>
      </w:r>
      <w:r w:rsidR="002D42FE">
        <w:lastRenderedPageBreak/>
        <w:t>AR metric relies on.</w:t>
      </w:r>
      <w:r w:rsidR="002D42FE">
        <w:rPr>
          <w:rStyle w:val="FootnoteReference"/>
        </w:rPr>
        <w:footnoteReference w:id="41"/>
      </w:r>
      <w:r w:rsidR="00214946">
        <w:t xml:space="preserve">  NDC opposes the recommendation to use the energy burden metric, </w:t>
      </w:r>
      <w:r w:rsidR="00731007">
        <w:t>arguing that it compounds the inaccuracy of metrics that do not account for other non-discretionary household costs.</w:t>
      </w:r>
      <w:r w:rsidR="00731007">
        <w:rPr>
          <w:rStyle w:val="FootnoteReference"/>
        </w:rPr>
        <w:footnoteReference w:id="42"/>
      </w:r>
    </w:p>
    <w:p w:rsidR="00306AB1" w:rsidP="00306AB1" w:rsidRDefault="00306AB1" w14:paraId="7D11C1C3" w14:textId="0F60E536">
      <w:pPr>
        <w:pStyle w:val="Standard"/>
      </w:pPr>
      <w:r>
        <w:t xml:space="preserve">The Small LECs recommended utilizing the </w:t>
      </w:r>
      <w:r w:rsidRPr="00306AB1">
        <w:t>Area Deprivation Index</w:t>
      </w:r>
      <w:r>
        <w:t xml:space="preserve"> (ADI), which “has been adapted to rank neighborhoods based on socioeconomic deprivation at the census block group level.”  The Small LECs claim that the ADI is broader in scope than the SEVI and includes measures of educational attainment and distribution, occupational composition,</w:t>
      </w:r>
      <w:r w:rsidR="00962910">
        <w:t xml:space="preserve"> </w:t>
      </w:r>
      <w:r>
        <w:t>unemployment, poverty, single-parent households, home values, median rent and mortgage payments,</w:t>
      </w:r>
      <w:r w:rsidR="00962910">
        <w:t xml:space="preserve"> </w:t>
      </w:r>
      <w:r>
        <w:t>homeownership rate, household crowding, access to several services (telephone,</w:t>
      </w:r>
      <w:r w:rsidR="00962910">
        <w:t xml:space="preserve"> </w:t>
      </w:r>
      <w:r>
        <w:t>plumbing, motor vehicles), English language proficiency, divorce rate,</w:t>
      </w:r>
      <w:r w:rsidR="00962910">
        <w:t xml:space="preserve"> </w:t>
      </w:r>
      <w:r>
        <w:t>urbanization, and</w:t>
      </w:r>
      <w:r w:rsidR="00962910">
        <w:t xml:space="preserve"> </w:t>
      </w:r>
      <w:r>
        <w:t>immigrant population</w:t>
      </w:r>
      <w:r w:rsidR="00962910">
        <w:t>.</w:t>
      </w:r>
      <w:r>
        <w:rPr>
          <w:rStyle w:val="FootnoteReference"/>
        </w:rPr>
        <w:footnoteReference w:id="43"/>
      </w:r>
      <w:r w:rsidR="004A676D">
        <w:t xml:space="preserve">  UCAN also supports the use of the ADI to supplement and inform the SEVI metric.</w:t>
      </w:r>
      <w:r w:rsidR="004A676D">
        <w:rPr>
          <w:rStyle w:val="FootnoteReference"/>
        </w:rPr>
        <w:footnoteReference w:id="44"/>
      </w:r>
    </w:p>
    <w:p w:rsidRPr="00E06228" w:rsidR="007375CA" w:rsidP="00306AB1" w:rsidRDefault="007375CA" w14:paraId="134602FD" w14:textId="091B3928">
      <w:pPr>
        <w:pStyle w:val="Standard"/>
      </w:pPr>
      <w:r>
        <w:t xml:space="preserve">This decision does not adopt any of the alternative affordability metrics </w:t>
      </w:r>
      <w:proofErr w:type="gramStart"/>
      <w:r>
        <w:t>at this time</w:t>
      </w:r>
      <w:proofErr w:type="gramEnd"/>
      <w:r>
        <w:t xml:space="preserve">, although this is without prejudice to the use of the alternative metrics in other Commission proceedings.  The use of the energy burden or ADI metrics may be useful </w:t>
      </w:r>
      <w:proofErr w:type="gramStart"/>
      <w:r>
        <w:t>in particular contexts</w:t>
      </w:r>
      <w:proofErr w:type="gramEnd"/>
      <w:r>
        <w:t xml:space="preserve"> even though they are not adopted for use in this proceeding.</w:t>
      </w:r>
    </w:p>
    <w:p w:rsidR="00107CE4" w:rsidP="00107CE4" w:rsidRDefault="00107CE4" w14:paraId="1D020FE0" w14:textId="666D6943">
      <w:pPr>
        <w:pStyle w:val="Heading1"/>
        <w:numPr>
          <w:ilvl w:val="0"/>
          <w:numId w:val="2"/>
        </w:numPr>
      </w:pPr>
      <w:bookmarkStart w:name="_Toc40967145" w:id="31"/>
      <w:bookmarkStart w:name="_Toc46308184" w:id="32"/>
      <w:r>
        <w:t>Essential Utility Services</w:t>
      </w:r>
      <w:bookmarkEnd w:id="31"/>
      <w:bookmarkEnd w:id="32"/>
    </w:p>
    <w:p w:rsidR="00107CE4" w:rsidP="00107CE4" w:rsidRDefault="00107CE4" w14:paraId="0E6C2CFF" w14:textId="16427A5A">
      <w:pPr>
        <w:pStyle w:val="Standard"/>
      </w:pPr>
      <w:r>
        <w:t xml:space="preserve">In each of the metrics adopted by this decision, a quantification of the cost of essential utility services is required </w:t>
      </w:r>
      <w:proofErr w:type="gramStart"/>
      <w:r>
        <w:t>in order to</w:t>
      </w:r>
      <w:proofErr w:type="gramEnd"/>
      <w:r>
        <w:t xml:space="preserve"> measure affordability.  </w:t>
      </w:r>
      <w:r w:rsidR="00101AEA">
        <w:t xml:space="preserve">The revised staff proposal noted that “the notion of essential service can differ greatly across </w:t>
      </w:r>
      <w:r w:rsidR="00101AEA">
        <w:lastRenderedPageBreak/>
        <w:t>utilities,”</w:t>
      </w:r>
      <w:r w:rsidR="00101AEA">
        <w:rPr>
          <w:rStyle w:val="FootnoteReference"/>
        </w:rPr>
        <w:footnoteReference w:id="45"/>
      </w:r>
      <w:r w:rsidR="00101AEA">
        <w:t xml:space="preserve"> and parties also identified the issue of essential service definition as a thorny one that required reflection.  </w:t>
      </w:r>
      <w:r w:rsidRPr="006C49C2" w:rsidR="00101AEA">
        <w:t>For exampl</w:t>
      </w:r>
      <w:r w:rsidR="00D03026">
        <w:t xml:space="preserve">e, PG&amp;E noted that essential levels of electricity and gas may vary from household to household, and season to season, based on the characteristics of the household.  PG&amp;E also noted that certain policy changes currently underway in California around electrification could also change how essential usage is defined </w:t>
      </w:r>
      <w:proofErr w:type="gramStart"/>
      <w:r w:rsidR="00D03026">
        <w:t>in the near future</w:t>
      </w:r>
      <w:proofErr w:type="gramEnd"/>
      <w:r w:rsidR="00D03026">
        <w:t>.</w:t>
      </w:r>
      <w:r w:rsidR="00D03026">
        <w:rPr>
          <w:rStyle w:val="FootnoteReference"/>
        </w:rPr>
        <w:footnoteReference w:id="46"/>
      </w:r>
    </w:p>
    <w:p w:rsidR="00121E88" w:rsidP="008966E4" w:rsidRDefault="008966E4" w14:paraId="3B60AD40" w14:textId="34EF38C7">
      <w:pPr>
        <w:pStyle w:val="Standard"/>
      </w:pPr>
      <w:proofErr w:type="gramStart"/>
      <w:r>
        <w:t>In spite of</w:t>
      </w:r>
      <w:proofErr w:type="gramEnd"/>
      <w:r>
        <w:t xml:space="preserve"> the ambiguities </w:t>
      </w:r>
      <w:r w:rsidR="006C49C2">
        <w:t>inherent in</w:t>
      </w:r>
      <w:r>
        <w:t xml:space="preserve"> the term “essential utility services,” it is necessary to give the term some definition in order to make the adopted affordability metrics operable.  </w:t>
      </w:r>
      <w:r w:rsidR="006C49C2">
        <w:t xml:space="preserve">For instance, </w:t>
      </w:r>
      <w:r>
        <w:t>UCAN supported using Commission-defined “baseline” amounts of service to define essential services generally, where applicable.</w:t>
      </w:r>
      <w:r>
        <w:rPr>
          <w:rStyle w:val="FootnoteReference"/>
        </w:rPr>
        <w:footnoteReference w:id="47"/>
      </w:r>
    </w:p>
    <w:p w:rsidR="00261955" w:rsidP="00121E88" w:rsidRDefault="00261955" w14:paraId="59F76C2A" w14:textId="1A421F19">
      <w:pPr>
        <w:pStyle w:val="Heading2"/>
        <w:numPr>
          <w:ilvl w:val="1"/>
          <w:numId w:val="2"/>
        </w:numPr>
      </w:pPr>
      <w:bookmarkStart w:name="_Toc40967146" w:id="33"/>
      <w:bookmarkStart w:name="_Toc46308185" w:id="34"/>
      <w:r w:rsidRPr="00121E88">
        <w:t>Essential</w:t>
      </w:r>
      <w:r>
        <w:t xml:space="preserve"> </w:t>
      </w:r>
      <w:r w:rsidRPr="00121E88">
        <w:t>Electricity</w:t>
      </w:r>
      <w:r>
        <w:t xml:space="preserve"> and Gas Service</w:t>
      </w:r>
      <w:bookmarkEnd w:id="33"/>
      <w:bookmarkEnd w:id="34"/>
    </w:p>
    <w:p w:rsidR="7CBF5335" w:rsidP="7A591E96" w:rsidRDefault="7CBF5335" w14:paraId="02540580" w14:textId="5C66D3B5">
      <w:pPr>
        <w:pStyle w:val="Standard"/>
      </w:pPr>
      <w:r>
        <w:t xml:space="preserve">The revised staff proposal recommends using the “baseline” amounts of electricity approved by the Commission for households throughout California as a value for essential electricity service until further studies of essential electricity usage are conducted.  Baseline amounts of electricity are generally 60% of the average household usage </w:t>
      </w:r>
      <w:proofErr w:type="gramStart"/>
      <w:r>
        <w:t>in a given</w:t>
      </w:r>
      <w:proofErr w:type="gramEnd"/>
      <w:r>
        <w:t xml:space="preserve"> climate zone.  Consequently, baseline amounts are higher in summer in areas with warmer weather and larger air conditioning loads and higher in winter in areas with all-electric home heating loads.  The revised staff proposal recommends calculating the cost of essential electricity usage by multiplying the utility’s baseline rate per kilowatt-hour by the number of baseline kilowatt-hours.  This would hold true even if the customer </w:t>
      </w:r>
      <w:proofErr w:type="gramStart"/>
      <w:r>
        <w:t>was</w:t>
      </w:r>
      <w:proofErr w:type="gramEnd"/>
      <w:r>
        <w:t xml:space="preserve"> served by a </w:t>
      </w:r>
      <w:r>
        <w:lastRenderedPageBreak/>
        <w:t>community choice aggregator (CCA) for generation service. Similarly, the revised staff proposal recommends the use of the “baseline” quantity for gas service for essential gas service. This amount is defined as 60% to 70% of average residential gas usage during the winter season.</w:t>
      </w:r>
    </w:p>
    <w:p w:rsidR="7CBF5335" w:rsidP="7A591E96" w:rsidRDefault="7CBF5335" w14:paraId="62962D2E" w14:textId="4B6DCC08">
      <w:pPr>
        <w:pStyle w:val="Standard"/>
      </w:pPr>
      <w:r>
        <w:t xml:space="preserve">PG&amp;E does not object to the usage of baseline rates and quantities per </w:t>
      </w:r>
      <w:proofErr w:type="gramStart"/>
      <w:r>
        <w:t>se, but</w:t>
      </w:r>
      <w:proofErr w:type="gramEnd"/>
      <w:r>
        <w:t xml:space="preserve"> does criticize the omission of CCA rates from the calculation of the cost of essential usage.  PG&amp;E states that CCAs set their own </w:t>
      </w:r>
      <w:proofErr w:type="gramStart"/>
      <w:r>
        <w:t>rates, and</w:t>
      </w:r>
      <w:proofErr w:type="gramEnd"/>
      <w:r>
        <w:t xml:space="preserve"> using PG&amp;E baseline rates as a proxy for CCA rates may not hold true in the future if CCA rates exceed PG&amp;E’s rates.  In that case, the affordability measurements as proposed would be inaccurate.  PG&amp;E recommends that the affordability methodology use publicly available CCA rate information to calculate essential electricity service charges for CCA customers.</w:t>
      </w:r>
      <w:r w:rsidRPr="7A591E96">
        <w:rPr>
          <w:rStyle w:val="FootnoteReference"/>
        </w:rPr>
        <w:footnoteReference w:id="48"/>
      </w:r>
    </w:p>
    <w:p w:rsidR="7CBF5335" w:rsidP="7A591E96" w:rsidRDefault="7CBF5335" w14:paraId="5D604517" w14:textId="74B49A4E">
      <w:pPr>
        <w:pStyle w:val="Standard"/>
      </w:pPr>
      <w:r>
        <w:t>This decision finds that it is reasonable to use baseline prices for electricity and gas as the price for essential electric and gas utility services.  PG&amp;E’s argument concerning CCA rates is noted; but at this time there is no evidence that CCA rates are higher than PG&amp;E’s rates.  This means that baseline prices for electricity remain a valid value for essential levels of electricity service.  This decision notes that the essential usage study under consideration in PG&amp;E’s current General Rate Case (GRC) Phase 2 proceeding (A.19-11-019) may be used to refine the value used for essential electricity service in a later phase of this proceeding.</w:t>
      </w:r>
    </w:p>
    <w:p w:rsidR="7CBF5335" w:rsidP="00121E88" w:rsidRDefault="7CBF5335" w14:paraId="7932A2A4" w14:textId="2B49B4F7">
      <w:pPr>
        <w:pStyle w:val="Heading2"/>
        <w:numPr>
          <w:ilvl w:val="1"/>
          <w:numId w:val="2"/>
        </w:numPr>
      </w:pPr>
      <w:bookmarkStart w:name="_Toc40967147" w:id="35"/>
      <w:bookmarkStart w:name="_Toc46308186" w:id="36"/>
      <w:r>
        <w:t>Essential Water Service</w:t>
      </w:r>
      <w:bookmarkEnd w:id="35"/>
      <w:bookmarkEnd w:id="36"/>
    </w:p>
    <w:p w:rsidR="7CBF5335" w:rsidP="7A591E96" w:rsidRDefault="7CBF5335" w14:paraId="1EB1AC7E" w14:textId="69B34F5F">
      <w:pPr>
        <w:pStyle w:val="Standard"/>
      </w:pPr>
      <w:r>
        <w:t xml:space="preserve">The revised staff proposal recommends that the definition of essential water service be set at 600 cubic feet per household per month.  This amount is intended to cover essential indoor usage adequate for human consumption, cooking, and </w:t>
      </w:r>
      <w:r>
        <w:lastRenderedPageBreak/>
        <w:t>sanitary purposes.</w:t>
      </w:r>
      <w:r w:rsidRPr="7A591E96">
        <w:rPr>
          <w:rStyle w:val="FootnoteReference"/>
        </w:rPr>
        <w:footnoteReference w:id="49"/>
      </w:r>
      <w:r>
        <w:t xml:space="preserve">  Staff granted that although there were limitations with using a single figure statewide for essential water service where average household sizes may vary, given the limitations of current data it was expedient to adopt a single statewide figure to be used to compare water utilities across California.</w:t>
      </w:r>
      <w:r w:rsidRPr="7A591E96">
        <w:rPr>
          <w:rStyle w:val="FootnoteReference"/>
        </w:rPr>
        <w:footnoteReference w:id="50"/>
      </w:r>
    </w:p>
    <w:p w:rsidR="7CBF5335" w:rsidP="7A591E96" w:rsidRDefault="7CBF5335" w14:paraId="2385BDE9" w14:textId="26AD1920">
      <w:pPr>
        <w:pStyle w:val="Standard"/>
      </w:pPr>
      <w:r>
        <w:t xml:space="preserve">The revised staff proposal also noted that the 600 cubic feet per household per month figure aligned with essential water service amounts under development by other state agencies.  Staff stated that OEHHA released a draft assessment in </w:t>
      </w:r>
      <w:r w:rsidR="00C82508">
        <w:br/>
      </w:r>
      <w:r>
        <w:t xml:space="preserve">August 2019 that found that 600 cubic feet per household per month represented essential water need, given currently available statewide data.  Additionally, at an August 2, 2019 workshop in R.17-06-024, the State Water Resources Control Board (Water Board) noted that it was also considering adopting an essential usage quantity of 600 cubic feet per household per month as part of the Statewide </w:t>
      </w:r>
      <w:r w:rsidR="00C82508">
        <w:br/>
      </w:r>
      <w:r>
        <w:t>Low-Income Water Rate Assistance Program.</w:t>
      </w:r>
      <w:r w:rsidRPr="7A591E96">
        <w:rPr>
          <w:rStyle w:val="FootnoteReference"/>
        </w:rPr>
        <w:footnoteReference w:id="51"/>
      </w:r>
    </w:p>
    <w:p w:rsidR="7CBF5335" w:rsidP="7A591E96" w:rsidRDefault="7CBF5335" w14:paraId="682428B8" w14:textId="1577A858">
      <w:pPr>
        <w:pStyle w:val="Standard"/>
      </w:pPr>
      <w:r>
        <w:t>Staff stated that they planned to update this figure in the future if warranted by findings in other proceedings, or if more refined data became available concerning regional and water system-specific levels of water usage.</w:t>
      </w:r>
      <w:r w:rsidRPr="7A591E96">
        <w:rPr>
          <w:rStyle w:val="FootnoteReference"/>
        </w:rPr>
        <w:footnoteReference w:id="52"/>
      </w:r>
    </w:p>
    <w:p w:rsidR="7CBF5335" w:rsidP="7A591E96" w:rsidRDefault="7CBF5335" w14:paraId="5DFBACFF" w14:textId="7590D70D">
      <w:pPr>
        <w:pStyle w:val="Standard"/>
      </w:pPr>
      <w:r>
        <w:t>TURN supported this approach,</w:t>
      </w:r>
      <w:r w:rsidRPr="7A591E96">
        <w:rPr>
          <w:rStyle w:val="FootnoteReference"/>
        </w:rPr>
        <w:footnoteReference w:id="53"/>
      </w:r>
      <w:r>
        <w:t xml:space="preserve"> as did several other parties.</w:t>
      </w:r>
      <w:r w:rsidRPr="7A591E96">
        <w:rPr>
          <w:rStyle w:val="FootnoteReference"/>
        </w:rPr>
        <w:footnoteReference w:id="54"/>
      </w:r>
      <w:r>
        <w:t xml:space="preserve">  UCAN called the figure “defensible” while recommending that the figure be compared against real-world usage patterns to see if the number should be revised downward.</w:t>
      </w:r>
      <w:r w:rsidRPr="7A591E96">
        <w:rPr>
          <w:rStyle w:val="FootnoteReference"/>
        </w:rPr>
        <w:footnoteReference w:id="55"/>
      </w:r>
    </w:p>
    <w:p w:rsidR="7CBF5335" w:rsidP="7A591E96" w:rsidRDefault="7CBF5335" w14:paraId="24716627" w14:textId="00D2ADAE">
      <w:pPr>
        <w:pStyle w:val="Standard"/>
      </w:pPr>
      <w:r>
        <w:lastRenderedPageBreak/>
        <w:t>While Cal Advocates supported a household, rather than per capita, approach to setting an essential usage figure, they also believed that it may “be more appropriate to rely on an estimate of median winter water demand that is calculated from the company’s actual single-family residential customer data (by district, where applicable)” instead of assigning a single statewide figure for essential water service.  Cal Advocates claims to have analyzed data showing that an essential water service quantity of 600 cubic feet could over- or under-estimate actual indoor demand by 200 cubic feet or more for approximately 35% of the single-family residential connections reviewed by Cal Advocates.</w:t>
      </w:r>
      <w:r w:rsidRPr="7A591E96">
        <w:rPr>
          <w:rStyle w:val="FootnoteReference"/>
        </w:rPr>
        <w:footnoteReference w:id="56"/>
      </w:r>
    </w:p>
    <w:p w:rsidR="7CBF5335" w:rsidP="7A591E96" w:rsidRDefault="7CBF5335" w14:paraId="0C6047FA" w14:textId="7084E9B7">
      <w:pPr>
        <w:pStyle w:val="Standard"/>
      </w:pPr>
      <w:proofErr w:type="spellStart"/>
      <w:r>
        <w:t>CforAT</w:t>
      </w:r>
      <w:proofErr w:type="spellEnd"/>
      <w:r>
        <w:t xml:space="preserve"> argues against using regional variations in water usage to set an essential service quantity, reasoning that regional variations are likely driven by non-essential outdoor usage rather than essential indoor usage.</w:t>
      </w:r>
      <w:r w:rsidRPr="7A591E96">
        <w:rPr>
          <w:rStyle w:val="FootnoteReference"/>
        </w:rPr>
        <w:footnoteReference w:id="57"/>
      </w:r>
    </w:p>
    <w:p w:rsidR="7CBF5335" w:rsidP="7A591E96" w:rsidRDefault="7CBF5335" w14:paraId="116AC540" w14:textId="087644E2">
      <w:pPr>
        <w:pStyle w:val="Standard"/>
      </w:pPr>
      <w:r>
        <w:t xml:space="preserve">CWA continued to recommend a per capita approach to setting essential water service, rather than a household-level amount, </w:t>
      </w:r>
      <w:proofErr w:type="gramStart"/>
      <w:r>
        <w:t>in order to</w:t>
      </w:r>
      <w:proofErr w:type="gramEnd"/>
      <w:r>
        <w:t xml:space="preserve"> maintain consistency with other state standards for water use adopted by the Legislature.  CWA also believes that the definition of essential water service should vary on a regional and local basis rather than be set at a single state-wide figure.</w:t>
      </w:r>
      <w:r w:rsidRPr="7A591E96">
        <w:rPr>
          <w:rStyle w:val="FootnoteReference"/>
        </w:rPr>
        <w:footnoteReference w:id="58"/>
      </w:r>
    </w:p>
    <w:p w:rsidR="7CBF5335" w:rsidP="7A591E96" w:rsidRDefault="7CBF5335" w14:paraId="0700DAF1" w14:textId="6DE144AF">
      <w:pPr>
        <w:pStyle w:val="Standard"/>
      </w:pPr>
      <w:proofErr w:type="spellStart"/>
      <w:r>
        <w:t>CforAT</w:t>
      </w:r>
      <w:proofErr w:type="spellEnd"/>
      <w:r>
        <w:t xml:space="preserve"> has concerns about a single defined essential water service amount for all households, including larger households that may have greater indoor water needs.  </w:t>
      </w:r>
      <w:proofErr w:type="spellStart"/>
      <w:r>
        <w:t>CforAT</w:t>
      </w:r>
      <w:proofErr w:type="spellEnd"/>
      <w:r>
        <w:t xml:space="preserve"> recommends that staff “continue to explore methods to evaluate essential service levels based on household size, as that is a main factor affecting </w:t>
      </w:r>
      <w:r>
        <w:lastRenderedPageBreak/>
        <w:t>essential indoor use.”</w:t>
      </w:r>
      <w:r w:rsidRPr="7A591E96">
        <w:rPr>
          <w:rStyle w:val="FootnoteReference"/>
        </w:rPr>
        <w:footnoteReference w:id="59"/>
      </w:r>
      <w:r>
        <w:t xml:space="preserve">  </w:t>
      </w:r>
      <w:proofErr w:type="spellStart"/>
      <w:r>
        <w:t>CforAT</w:t>
      </w:r>
      <w:proofErr w:type="spellEnd"/>
      <w:r>
        <w:t xml:space="preserve"> seeks a statement of Commission intent that this refinement to the adopted quantity of essential water service will be pursued.</w:t>
      </w:r>
      <w:r w:rsidRPr="7A591E96">
        <w:rPr>
          <w:rStyle w:val="FootnoteReference"/>
        </w:rPr>
        <w:footnoteReference w:id="60"/>
      </w:r>
    </w:p>
    <w:p w:rsidR="7CBF5335" w:rsidP="7A591E96" w:rsidRDefault="7CBF5335" w14:paraId="4750BDFF" w14:textId="5952D9F9">
      <w:pPr>
        <w:pStyle w:val="Standard"/>
      </w:pPr>
      <w:r>
        <w:t>SCE also objected to a single state-wide figure for residential water use, stating that different customers in different areas of the state use varying amounts of water.  As an example, SCE cited customers using their Catalina Island water system as using only 30 gallons per capita per day on average, which is reflected in SCE’s water rate structure.  SCE’s water baseline rates are set at a household usage of approximately 270 cubic feet per month, rather than the 600 proposed by the revised staff proposal.  The impact of the larger essential quantity proposed by the revised staff proposal would be, in SCE’s view, an overstatement of the cost of providing essential water service.</w:t>
      </w:r>
      <w:r w:rsidRPr="7A591E96">
        <w:rPr>
          <w:rStyle w:val="FootnoteReference"/>
        </w:rPr>
        <w:footnoteReference w:id="61"/>
      </w:r>
    </w:p>
    <w:p w:rsidR="7CBF5335" w:rsidP="7A591E96" w:rsidRDefault="7CBF5335" w14:paraId="0577597C" w14:textId="2AE2ECA1">
      <w:pPr>
        <w:pStyle w:val="Standard"/>
      </w:pPr>
      <w:r>
        <w:t xml:space="preserve">Despite the objections of the parties to a statewide figure that is per household rather than per capita, the definition of essential water service as recommended by the revised staff proposal is reasonable and should be adopted.  It allows for comparisons of costs for water across the </w:t>
      </w:r>
      <w:proofErr w:type="gramStart"/>
      <w:r>
        <w:t>state, and</w:t>
      </w:r>
      <w:proofErr w:type="gramEnd"/>
      <w:r>
        <w:t xml:space="preserve"> uses a reasonably defensible per household figure to do so.  However, the parties’ recommendations concerning regional and household variation in water usage are noted and staff will further investigate the need for refinements to the definition of essential water service in a later phase of this proceeding.</w:t>
      </w:r>
    </w:p>
    <w:p w:rsidR="7CBF5335" w:rsidP="7A591E96" w:rsidRDefault="7CBF5335" w14:paraId="4D66C510" w14:textId="3F82137A">
      <w:pPr>
        <w:pStyle w:val="Heading2"/>
        <w:numPr>
          <w:ilvl w:val="1"/>
          <w:numId w:val="2"/>
        </w:numPr>
      </w:pPr>
      <w:bookmarkStart w:name="_Toc40967148" w:id="37"/>
      <w:bookmarkStart w:name="_Toc46308187" w:id="38"/>
      <w:r>
        <w:t>Essential Communications Service</w:t>
      </w:r>
      <w:bookmarkEnd w:id="37"/>
      <w:bookmarkEnd w:id="38"/>
    </w:p>
    <w:p w:rsidR="7CBF5335" w:rsidP="7A591E96" w:rsidRDefault="7CBF5335" w14:paraId="30618815" w14:textId="4137EA06">
      <w:pPr>
        <w:pStyle w:val="Standard"/>
      </w:pPr>
      <w:r>
        <w:t xml:space="preserve">The revised staff proposal recommends defining essential levels of communications service as multiple service elements, including residential basic telephone service (basic service) or </w:t>
      </w:r>
      <w:r w:rsidR="00CE166D">
        <w:t xml:space="preserve">wireless </w:t>
      </w:r>
      <w:r>
        <w:t xml:space="preserve">voice service with 1,000 minutes per </w:t>
      </w:r>
      <w:r>
        <w:lastRenderedPageBreak/>
        <w:t xml:space="preserve">month in addition to fixed broadband at a minimum connection speed of </w:t>
      </w:r>
      <w:r w:rsidR="00F55E60">
        <w:br/>
      </w:r>
      <w:r>
        <w:t>20 megabits per second (Mbps) downstream / 3 Mbps upstream and a minimum capacity of 1,024 gigabytes (GB) per month.</w:t>
      </w:r>
    </w:p>
    <w:p w:rsidR="7CBF5335" w:rsidP="7A591E96" w:rsidRDefault="7CBF5335" w14:paraId="5A666567" w14:textId="099D989B">
      <w:pPr>
        <w:pStyle w:val="Heading3"/>
        <w:numPr>
          <w:ilvl w:val="2"/>
          <w:numId w:val="2"/>
        </w:numPr>
      </w:pPr>
      <w:bookmarkStart w:name="_Toc40967149" w:id="39"/>
      <w:bookmarkStart w:name="_Toc46308188" w:id="40"/>
      <w:r>
        <w:t>Essential Voice Communications Service</w:t>
      </w:r>
      <w:bookmarkEnd w:id="39"/>
      <w:bookmarkEnd w:id="40"/>
    </w:p>
    <w:p w:rsidR="7CBF5335" w:rsidP="7A591E96" w:rsidRDefault="7CBF5335" w14:paraId="23B5E424" w14:textId="4B1E61ED">
      <w:pPr>
        <w:pStyle w:val="Standard"/>
      </w:pPr>
      <w:r>
        <w:t>TURN argues that the definition of essential voice communications service should be expanded to include at least one mobile communications account per adult household member, and that unlimited voice minutes should be adopted as the minimum mobile communications service, rather than the 1,000 voice minutes proposed by staff.</w:t>
      </w:r>
      <w:r w:rsidRPr="7A591E96">
        <w:rPr>
          <w:rStyle w:val="FootnoteReference"/>
        </w:rPr>
        <w:footnoteReference w:id="62"/>
      </w:r>
      <w:r>
        <w:t xml:space="preserve">  UCAN argues that the cost of landline telephone service should not automatically be used as a value for essential communications service as many Californians may rely exclusively on mobile telephone services, and instead a proxy value based on mobile telephone rates should be used.</w:t>
      </w:r>
      <w:r w:rsidRPr="7A591E96">
        <w:rPr>
          <w:rStyle w:val="FootnoteReference"/>
        </w:rPr>
        <w:footnoteReference w:id="63"/>
      </w:r>
      <w:r>
        <w:t xml:space="preserve">  However, UCAN also contends that for certain areas of the state without access to mobile telephone service, the price of ILEC landline service may be an appropriate means of gauging affordability.  </w:t>
      </w:r>
    </w:p>
    <w:p w:rsidR="7CBF5335" w:rsidP="7A591E96" w:rsidRDefault="7CBF5335" w14:paraId="1D8B66A2" w14:textId="686F949A">
      <w:pPr>
        <w:pStyle w:val="Standard"/>
      </w:pPr>
      <w:r>
        <w:t xml:space="preserve">AT&amp;T disputes that the voice communications services provided by ILECs should be considered essential communications services.  AT&amp;T cites evidence that most Americans receive broadband service through their cable provider, rather than through an ILEC, and that landline telephone service is increasingly being replaced by mobile and </w:t>
      </w:r>
      <w:r w:rsidR="00660CF8">
        <w:t>V</w:t>
      </w:r>
      <w:r>
        <w:t>oice-over-</w:t>
      </w:r>
      <w:r w:rsidR="00660CF8">
        <w:t>I</w:t>
      </w:r>
      <w:r>
        <w:t>nternet-</w:t>
      </w:r>
      <w:r w:rsidR="00660CF8">
        <w:t>P</w:t>
      </w:r>
      <w:r>
        <w:t>rotocol (VoIP) service.  AT&amp;T claims that “[n]</w:t>
      </w:r>
      <w:proofErr w:type="spellStart"/>
      <w:r>
        <w:t>ationally</w:t>
      </w:r>
      <w:proofErr w:type="spellEnd"/>
      <w:r>
        <w:t>, the percentage of all households taking ILEC basic service now approaches only 6%.  Further, only about 4% of all U.S. voice connections are provided by ILEC basic service.”</w:t>
      </w:r>
      <w:r w:rsidRPr="7A591E96">
        <w:rPr>
          <w:rStyle w:val="FootnoteReference"/>
        </w:rPr>
        <w:footnoteReference w:id="64"/>
      </w:r>
      <w:r>
        <w:t xml:space="preserve">  AT&amp;T therefore argues that the proper source of </w:t>
      </w:r>
      <w:r>
        <w:lastRenderedPageBreak/>
        <w:t>information on the affordability of telephone service should be rates for mobile telephone service.</w:t>
      </w:r>
    </w:p>
    <w:p w:rsidR="7CBF5335" w:rsidRDefault="7CBF5335" w14:paraId="1D801695" w14:textId="1BA4B41C">
      <w:r>
        <w:t xml:space="preserve">While there is dispute from the parties on the definition of essential voice telephone service, the </w:t>
      </w:r>
      <w:r w:rsidR="00B666CB">
        <w:t xml:space="preserve">position </w:t>
      </w:r>
      <w:r>
        <w:t xml:space="preserve">of the revised staff proposal that the figure mirrors the Commission’s previous definition of essential voice telephone service remains undisputed.  </w:t>
      </w:r>
    </w:p>
    <w:p w:rsidR="7CBF5335" w:rsidRDefault="7CBF5335" w14:paraId="5C1D8634" w14:textId="189E59AF">
      <w:r>
        <w:t xml:space="preserve">As noted by the revised staff proposal, Commission decisions have long established unlimited local calling as an essential element of voice telephone service, and it also provides access to services such as 911 for emergencies and 2-1-1 information services.  While TURN recommends going beyond 1,000 </w:t>
      </w:r>
      <w:r w:rsidR="00CE166D">
        <w:t xml:space="preserve">wireless </w:t>
      </w:r>
      <w:r>
        <w:t>minutes where landline service is unavailable, it remains that 1,000 minutes per month meets the Federal Lifeline minimum service standards for voice communications.</w:t>
      </w:r>
    </w:p>
    <w:p w:rsidR="7CBF5335" w:rsidRDefault="7CBF5335" w14:paraId="090B5CE3" w14:textId="2DDB1A26">
      <w:r>
        <w:t xml:space="preserve">For these reasons, the definition of essential voice telephone communications </w:t>
      </w:r>
      <w:proofErr w:type="gramStart"/>
      <w:r>
        <w:t>service</w:t>
      </w:r>
      <w:proofErr w:type="gramEnd"/>
      <w:r>
        <w:t xml:space="preserve"> as contained in the revised staff proposal is reasonable and should be adopted.</w:t>
      </w:r>
    </w:p>
    <w:p w:rsidR="7CBF5335" w:rsidP="7A591E96" w:rsidRDefault="7CBF5335" w14:paraId="54313EF9" w14:textId="5A0FB204">
      <w:pPr>
        <w:pStyle w:val="Heading3"/>
        <w:numPr>
          <w:ilvl w:val="2"/>
          <w:numId w:val="2"/>
        </w:numPr>
      </w:pPr>
      <w:bookmarkStart w:name="_Toc40967150" w:id="41"/>
      <w:bookmarkStart w:name="_Toc46308189" w:id="42"/>
      <w:r>
        <w:t>Essential Broadband Communications Service</w:t>
      </w:r>
      <w:bookmarkEnd w:id="41"/>
      <w:bookmarkEnd w:id="42"/>
    </w:p>
    <w:p w:rsidR="00687687" w:rsidP="7A591E96" w:rsidRDefault="00687687" w14:paraId="424F99D7" w14:textId="172A269B">
      <w:pPr>
        <w:pStyle w:val="Standard"/>
      </w:pPr>
      <w:r>
        <w:t>Given existing federal standards, C</w:t>
      </w:r>
      <w:r w:rsidR="00A80466">
        <w:t>ommission</w:t>
      </w:r>
      <w:r>
        <w:t xml:space="preserve"> </w:t>
      </w:r>
      <w:r w:rsidRPr="009F6638">
        <w:t>decisions</w:t>
      </w:r>
      <w:r w:rsidR="00C86AD1">
        <w:rPr>
          <w:rStyle w:val="FootnoteReference"/>
        </w:rPr>
        <w:footnoteReference w:id="65"/>
      </w:r>
      <w:r w:rsidR="00F661BB">
        <w:t xml:space="preserve"> and evolving technology </w:t>
      </w:r>
      <w:r w:rsidR="00C86AD1">
        <w:t>needs</w:t>
      </w:r>
      <w:r w:rsidR="00F661BB">
        <w:t xml:space="preserve">, this </w:t>
      </w:r>
      <w:r w:rsidR="004C0D71">
        <w:t>d</w:t>
      </w:r>
      <w:r w:rsidR="00F661BB">
        <w:t>ecision adopts an essential level of</w:t>
      </w:r>
      <w:r w:rsidR="007C0E95">
        <w:t xml:space="preserve"> broadband communications service of</w:t>
      </w:r>
      <w:r w:rsidR="00F661BB">
        <w:t xml:space="preserve"> 25 Mbps downstream / 3 Mbps upstream.</w:t>
      </w:r>
      <w:r w:rsidR="00C14628">
        <w:t xml:space="preserve"> </w:t>
      </w:r>
      <w:r w:rsidR="005A6657">
        <w:t xml:space="preserve"> </w:t>
      </w:r>
      <w:r w:rsidR="00C14628">
        <w:t>The Governor’s January 2020-21 Budget proposal included a Broadband for All initiative to improve the speeds of 675,000 households that lack the minimum thresholds of quality broadband.</w:t>
      </w:r>
      <w:r w:rsidR="00C14628">
        <w:rPr>
          <w:rStyle w:val="FootnoteReference"/>
        </w:rPr>
        <w:footnoteReference w:id="66"/>
      </w:r>
    </w:p>
    <w:p w:rsidR="7CBF5335" w:rsidP="00137A1C" w:rsidRDefault="7CBF5335" w14:paraId="7E19291D" w14:textId="5D589116">
      <w:pPr>
        <w:pStyle w:val="Standard"/>
      </w:pPr>
      <w:r>
        <w:lastRenderedPageBreak/>
        <w:t xml:space="preserve">The revised staff proposal recommended an essential level of broadband communications service as fixed broadband at a minimum connection speed of </w:t>
      </w:r>
      <w:r w:rsidR="005A6657">
        <w:br/>
      </w:r>
      <w:r>
        <w:t xml:space="preserve">20 Mbps downstream / 3 Mbps upstream and a minimum capacity of 1,024 GB </w:t>
      </w:r>
      <w:r w:rsidR="00C43FFF">
        <w:br/>
      </w:r>
      <w:r>
        <w:t>per month.  Staff believed this definition would help satisfy the need to enable members of a household to access telehealth records, complete activities necessary for education, telecommuting, and government assistance programs participation, and contact family and first responders in case of emergencies.</w:t>
      </w:r>
      <w:r w:rsidRPr="7A591E96">
        <w:rPr>
          <w:rStyle w:val="FootnoteReference"/>
        </w:rPr>
        <w:footnoteReference w:id="67"/>
      </w:r>
      <w:r>
        <w:t xml:space="preserve">  This definition aligns</w:t>
      </w:r>
      <w:r w:rsidR="00760C6C">
        <w:t xml:space="preserve"> with</w:t>
      </w:r>
      <w:r>
        <w:t xml:space="preserve"> </w:t>
      </w:r>
      <w:r w:rsidR="002B481F">
        <w:t>the Federal Lifeline minimum standards</w:t>
      </w:r>
      <w:r>
        <w:t>.</w:t>
      </w:r>
      <w:r w:rsidRPr="7A591E96">
        <w:rPr>
          <w:rStyle w:val="FootnoteReference"/>
        </w:rPr>
        <w:footnoteReference w:id="68"/>
      </w:r>
      <w:r>
        <w:t xml:space="preserve">  The essential broadband service figures </w:t>
      </w:r>
      <w:r w:rsidR="005C349D">
        <w:t xml:space="preserve">recommended by the revised staff proposal also </w:t>
      </w:r>
      <w:r>
        <w:t>accord with findings from staff that 82% of residential broadband connections in California subscribe to the proposed essential service quantities of 20 Mbps downstream and 3 Mbps upstream or better.</w:t>
      </w:r>
      <w:r w:rsidRPr="7A591E96">
        <w:rPr>
          <w:rStyle w:val="FootnoteReference"/>
        </w:rPr>
        <w:footnoteReference w:id="69"/>
      </w:r>
      <w:r>
        <w:t xml:space="preserve">  </w:t>
      </w:r>
    </w:p>
    <w:p w:rsidR="7CBF5335" w:rsidP="7A591E96" w:rsidRDefault="00127C74" w14:paraId="3FFF4A55" w14:textId="27EAEA6D">
      <w:pPr>
        <w:pStyle w:val="Standard"/>
      </w:pPr>
      <w:r>
        <w:t>S</w:t>
      </w:r>
      <w:r w:rsidR="7CBF5335">
        <w:t>ince 2015</w:t>
      </w:r>
      <w:r w:rsidR="004802DF">
        <w:t>,</w:t>
      </w:r>
      <w:r w:rsidR="7CBF5335">
        <w:t xml:space="preserve"> the Federal Communications Commission (FCC) has </w:t>
      </w:r>
      <w:r w:rsidR="00EE3F44">
        <w:t xml:space="preserve">used </w:t>
      </w:r>
      <w:r w:rsidR="7CBF5335">
        <w:t xml:space="preserve">a different speed </w:t>
      </w:r>
      <w:r w:rsidR="00040B97">
        <w:t xml:space="preserve">benchmark </w:t>
      </w:r>
      <w:r w:rsidR="7CBF5335">
        <w:t>of 25 Mbps downstream / 3 Mbps upstream for fixed broadband service to meet the standard of “advanced telecommunications capability</w:t>
      </w:r>
      <w:r w:rsidR="00CA2BE8">
        <w:t>,</w:t>
      </w:r>
      <w:r w:rsidR="7CBF5335">
        <w:t>” as defined by the federal Telecommunications Act of 1996.</w:t>
      </w:r>
      <w:r w:rsidRPr="7A591E96" w:rsidR="7CBF5335">
        <w:rPr>
          <w:rStyle w:val="FootnoteReference"/>
        </w:rPr>
        <w:footnoteReference w:id="70"/>
      </w:r>
      <w:r w:rsidR="7CBF5335">
        <w:t xml:space="preserve">  The FCC’s most recent broadband deployment report states that “[w]</w:t>
      </w:r>
      <w:proofErr w:type="spellStart"/>
      <w:r w:rsidR="7CBF5335">
        <w:t>hile</w:t>
      </w:r>
      <w:proofErr w:type="spellEnd"/>
      <w:r w:rsidR="7CBF5335">
        <w:t xml:space="preserve"> some commenters argue for increasing the fixed speed benchmark above 25 Mbps/3 Mbps, we conclude that fixed services with speeds of 25 Mbps/3 Mbps continue to meet the statutory definition of  advanced telecommunications capability; that is, such </w:t>
      </w:r>
      <w:r w:rsidR="7CBF5335">
        <w:lastRenderedPageBreak/>
        <w:t>services ‘enable[] users to originate and receive high-quality voice, data, graphics, and video telecommunications.’”</w:t>
      </w:r>
      <w:r w:rsidRPr="7A591E96" w:rsidR="7CBF5335">
        <w:rPr>
          <w:rStyle w:val="FootnoteReference"/>
        </w:rPr>
        <w:footnoteReference w:id="71"/>
      </w:r>
    </w:p>
    <w:p w:rsidR="7CBF5335" w:rsidRDefault="7CBF5335" w14:paraId="0BF45FBA" w14:textId="7A302B24">
      <w:r>
        <w:t>Although the FCC sets a speed</w:t>
      </w:r>
      <w:r w:rsidR="00EB78DD">
        <w:t xml:space="preserve"> benchmark</w:t>
      </w:r>
      <w:r>
        <w:t xml:space="preserve"> of 25 Mbps / 3 Mbps, it does not provide context as to whether the specified speed reflects actual connection speed that consumers experience or the advertised speed that they subscribe to.   According to </w:t>
      </w:r>
      <w:r w:rsidR="005C349D">
        <w:t xml:space="preserve">the </w:t>
      </w:r>
      <w:r>
        <w:t>FCC’s Measuring Fixed Broadband – Eighth Report</w:t>
      </w:r>
      <w:r w:rsidR="005C349D">
        <w:t>,</w:t>
      </w:r>
      <w:r w:rsidRPr="7A591E96">
        <w:rPr>
          <w:rStyle w:val="FootnoteReference"/>
        </w:rPr>
        <w:footnoteReference w:id="72"/>
      </w:r>
      <w:r>
        <w:t xml:space="preserve"> the actual connection speed that consumers experience may differ from the advertised speed that they subscribe to. </w:t>
      </w:r>
      <w:r w:rsidR="005C349D">
        <w:t xml:space="preserve"> </w:t>
      </w:r>
      <w:r>
        <w:t xml:space="preserve">In the report, </w:t>
      </w:r>
      <w:r w:rsidR="005C349D">
        <w:t xml:space="preserve">the </w:t>
      </w:r>
      <w:r>
        <w:t xml:space="preserve">FCC employs a methodology to calculate a median speed to measure against the advertised speed. </w:t>
      </w:r>
      <w:r w:rsidR="005C349D">
        <w:t xml:space="preserve"> </w:t>
      </w:r>
      <w:r>
        <w:t xml:space="preserve">Of the 17 service providers captured in the survey, only three were able to provide median download speeds that match advertised speeds for at least 80% of the surveyed subscribers. </w:t>
      </w:r>
      <w:r w:rsidR="005C349D">
        <w:t xml:space="preserve"> </w:t>
      </w:r>
      <w:r>
        <w:t xml:space="preserve">Upload speeds yield better results but still disappointing, as nine service providers were able to provide median upload speeds that match advertised speeds for at least 80% of the surveyed subscribers. </w:t>
      </w:r>
    </w:p>
    <w:p w:rsidR="7CBF5335" w:rsidRDefault="7CBF5335" w14:paraId="1B109345" w14:textId="4A09217F">
      <w:r>
        <w:t xml:space="preserve">The results from </w:t>
      </w:r>
      <w:r w:rsidR="005C349D">
        <w:t xml:space="preserve">the </w:t>
      </w:r>
      <w:r>
        <w:t>FCC’s report suggest that service providers cannot meet their advertised speeds at all times</w:t>
      </w:r>
      <w:r w:rsidR="00432BC8">
        <w:t>,</w:t>
      </w:r>
      <w:r w:rsidR="00737AE8">
        <w:t xml:space="preserve"> an argument echoed by TURN</w:t>
      </w:r>
      <w:r w:rsidRPr="002017F0" w:rsidR="002F7749">
        <w:t>.</w:t>
      </w:r>
      <w:r w:rsidRPr="002017F0" w:rsidR="00AB329C">
        <w:rPr>
          <w:rStyle w:val="FootnoteReference"/>
        </w:rPr>
        <w:footnoteReference w:id="73"/>
      </w:r>
      <w:r>
        <w:t xml:space="preserve"> </w:t>
      </w:r>
      <w:r w:rsidR="005C349D">
        <w:t xml:space="preserve"> </w:t>
      </w:r>
      <w:r>
        <w:t xml:space="preserve">As such, to best reflect the quantity that a household can rely on for essential broadband communications service, staff elected to </w:t>
      </w:r>
      <w:r w:rsidR="005C349D">
        <w:t xml:space="preserve">recommend </w:t>
      </w:r>
      <w:r>
        <w:t>minimum connection speed to define essential broadband communications service.</w:t>
      </w:r>
    </w:p>
    <w:p w:rsidR="7CBF5335" w:rsidP="7A591E96" w:rsidRDefault="7CBF5335" w14:paraId="251673CE" w14:textId="1CF1CF1D">
      <w:pPr>
        <w:pStyle w:val="Standard"/>
      </w:pPr>
      <w:r>
        <w:t>TURN argues that the broadband service definition as proposed in the revised staff proposal should be viewed as a starting point, and should be revised upward on a regular basis as the trends in average speeds increase over time.</w:t>
      </w:r>
      <w:r w:rsidRPr="7A591E96">
        <w:rPr>
          <w:rStyle w:val="FootnoteReference"/>
        </w:rPr>
        <w:footnoteReference w:id="74"/>
      </w:r>
      <w:r>
        <w:t xml:space="preserve">  TURN also </w:t>
      </w:r>
      <w:r>
        <w:lastRenderedPageBreak/>
        <w:t>opposes the minimum data requirement of 1,024 GB as it believes such caps are artificial constructions.</w:t>
      </w:r>
      <w:r w:rsidRPr="7A591E96">
        <w:rPr>
          <w:rStyle w:val="FootnoteReference"/>
        </w:rPr>
        <w:footnoteReference w:id="75"/>
      </w:r>
      <w:r>
        <w:t xml:space="preserve">  </w:t>
      </w:r>
    </w:p>
    <w:p w:rsidR="7CBF5335" w:rsidP="7A591E96" w:rsidRDefault="7CBF5335" w14:paraId="69AE7CD2" w14:textId="4610D2FF">
      <w:pPr>
        <w:pStyle w:val="Standard"/>
      </w:pPr>
      <w:r>
        <w:t>In general</w:t>
      </w:r>
      <w:r w:rsidR="001C20AA">
        <w:t>,</w:t>
      </w:r>
      <w:r>
        <w:t xml:space="preserve"> UCAN strongly believes that broadband service should be considered an essential communications service for the purpose of the Commission’s affordability analysis.</w:t>
      </w:r>
      <w:r w:rsidRPr="7A591E96">
        <w:rPr>
          <w:rStyle w:val="FootnoteReference"/>
        </w:rPr>
        <w:footnoteReference w:id="76"/>
      </w:r>
      <w:r>
        <w:t xml:space="preserve">  UCAN supports TURN’s argument concerning the definition of minimum essential broadband speeds.</w:t>
      </w:r>
      <w:r w:rsidRPr="7A591E96">
        <w:rPr>
          <w:rStyle w:val="FootnoteReference"/>
        </w:rPr>
        <w:footnoteReference w:id="77"/>
      </w:r>
    </w:p>
    <w:p w:rsidR="7CBF5335" w:rsidP="7A591E96" w:rsidRDefault="7CBF5335" w14:paraId="58450FA7" w14:textId="24D83B10">
      <w:pPr>
        <w:pStyle w:val="Standard"/>
      </w:pPr>
      <w:r>
        <w:t>CCTA objects to the revised staff proposal’s designation of certain communications services as essential utility services for a number of reasons, including that the definition is arbitrary and unrequired, and that the Commission already determined an essential amount of communications service in a different proceeding.</w:t>
      </w:r>
      <w:r w:rsidRPr="7A591E96">
        <w:rPr>
          <w:rStyle w:val="FootnoteReference"/>
        </w:rPr>
        <w:footnoteReference w:id="78"/>
      </w:r>
      <w:r>
        <w:t xml:space="preserve">  </w:t>
      </w:r>
    </w:p>
    <w:p w:rsidR="7CBF5335" w:rsidP="7A591E96" w:rsidRDefault="7CBF5335" w14:paraId="6FDF2923" w14:textId="77777777">
      <w:pPr>
        <w:pStyle w:val="Standard"/>
      </w:pPr>
      <w:r>
        <w:t>With respect to the staff’s definition of essential broadband service, AT&amp;T avers that the definition misses the mark.  AT&amp;T cites evidence that “over 80% of all broadband usage currently is for video viewing – largely for entertainment purposes” and therefore questions why such usage should be considered an essential utility service.</w:t>
      </w:r>
      <w:r w:rsidRPr="7A591E96">
        <w:rPr>
          <w:rStyle w:val="FootnoteReference"/>
        </w:rPr>
        <w:footnoteReference w:id="79"/>
      </w:r>
      <w:r>
        <w:t xml:space="preserve">  As with telephone service, AT&amp;T argues that the price data for broadband service should not be sourced from ILECs.  AT&amp;T claims that most broadband customers receive their service from a cable company, and therefore cable broadband rates (including promotions) should be used to estimate the cost of broadband service.</w:t>
      </w:r>
      <w:r w:rsidRPr="7A591E96">
        <w:rPr>
          <w:rStyle w:val="FootnoteReference"/>
        </w:rPr>
        <w:footnoteReference w:id="80"/>
      </w:r>
      <w:r>
        <w:t xml:space="preserve">  </w:t>
      </w:r>
    </w:p>
    <w:p w:rsidR="7CBF5335" w:rsidP="7A591E96" w:rsidRDefault="7CBF5335" w14:paraId="0144462B" w14:textId="75C61AFF">
      <w:pPr>
        <w:pStyle w:val="Standard"/>
      </w:pPr>
      <w:r>
        <w:lastRenderedPageBreak/>
        <w:t>In reply comments, AT&amp;T simply argues that broadband should not be considered an essential service at all in comparison to other services such as water, electricity, and voice communications.</w:t>
      </w:r>
      <w:r w:rsidRPr="7A591E96">
        <w:rPr>
          <w:rStyle w:val="FootnoteReference"/>
        </w:rPr>
        <w:footnoteReference w:id="81"/>
      </w:r>
      <w:r>
        <w:t xml:space="preserve">  TURN rejects AT&amp;T’s arguments, claiming that the 20 Mbps /3 Mbps standard recommended by the revised staff proposal “reflects only a fraction of typical speeds used by residential consumers in California” and is therefore a reasonable standard for defining an essential level of broadband service.</w:t>
      </w:r>
      <w:r w:rsidRPr="7A591E96">
        <w:rPr>
          <w:rStyle w:val="FootnoteReference"/>
        </w:rPr>
        <w:footnoteReference w:id="82"/>
      </w:r>
    </w:p>
    <w:p w:rsidR="7CBF5335" w:rsidP="7A591E96" w:rsidRDefault="7CBF5335" w14:paraId="6FF9DD92" w14:textId="49099412">
      <w:pPr>
        <w:pStyle w:val="Standard"/>
      </w:pPr>
      <w:r>
        <w:t>Cal Advocates supports the consideration of broadband service as an essential communications service,</w:t>
      </w:r>
      <w:r w:rsidRPr="7A591E96">
        <w:rPr>
          <w:rStyle w:val="FootnoteReference"/>
        </w:rPr>
        <w:footnoteReference w:id="83"/>
      </w:r>
      <w:r>
        <w:t xml:space="preserve"> but believes that the Commission should include facility-based wireline and mobile service providers when calculating the costs of essential voice, mobile, and/or broadband communications service.</w:t>
      </w:r>
      <w:r w:rsidRPr="7A591E96">
        <w:rPr>
          <w:rStyle w:val="FootnoteReference"/>
        </w:rPr>
        <w:footnoteReference w:id="84"/>
      </w:r>
      <w:r>
        <w:t xml:space="preserve">  </w:t>
      </w:r>
    </w:p>
    <w:p w:rsidR="7CBF5335" w:rsidP="7A591E96" w:rsidRDefault="7CBF5335" w14:paraId="02E4AFE9" w14:textId="07EA32EB">
      <w:pPr>
        <w:pStyle w:val="Standard"/>
      </w:pPr>
      <w:proofErr w:type="gramStart"/>
      <w:r>
        <w:t>In light of</w:t>
      </w:r>
      <w:proofErr w:type="gramEnd"/>
      <w:r>
        <w:t xml:space="preserve"> part</w:t>
      </w:r>
      <w:r w:rsidR="00D14D49">
        <w:t>ies’</w:t>
      </w:r>
      <w:r>
        <w:t xml:space="preserve"> comment on this issue, it is reasonable to set some standard for fixed broadband speeds </w:t>
      </w:r>
      <w:r w:rsidR="00467325">
        <w:t>to enable</w:t>
      </w:r>
      <w:r>
        <w:t xml:space="preserve"> Californians to engage in essential communications services.  AT&amp;T and CCTA each believe that it is not appropriate for the Commission to engage this issue at all; but as discussed below this decision finds that it is reasonable for the Commission to </w:t>
      </w:r>
      <w:r w:rsidR="00EF4CCE">
        <w:t xml:space="preserve">identify </w:t>
      </w:r>
      <w:r>
        <w:t>a minimum speed for fixed broadband service t</w:t>
      </w:r>
      <w:r w:rsidR="009C2F72">
        <w:t>o</w:t>
      </w:r>
      <w:r>
        <w:t xml:space="preserve"> be used to assess the affordability of essential communications services.  </w:t>
      </w:r>
    </w:p>
    <w:p w:rsidR="7CBF5335" w:rsidP="7A591E96" w:rsidRDefault="7CBF5335" w14:paraId="4A04FB64" w14:textId="702BB9DF">
      <w:pPr>
        <w:pStyle w:val="Standard"/>
      </w:pPr>
      <w:r>
        <w:t>AT&amp;T’s argument that the proposed standard should be lower due to the extensive use of broadband for video entertainment is irrelevant.  The video and steaming capabilities of broadband service can</w:t>
      </w:r>
      <w:r w:rsidR="005F42C5">
        <w:t xml:space="preserve"> </w:t>
      </w:r>
      <w:r>
        <w:t xml:space="preserve">be </w:t>
      </w:r>
      <w:r w:rsidR="005F42C5">
        <w:t xml:space="preserve">and increasingly are </w:t>
      </w:r>
      <w:r>
        <w:t xml:space="preserve">used for education and telehealth services as easily as they can be used for entertainment, and </w:t>
      </w:r>
      <w:r>
        <w:lastRenderedPageBreak/>
        <w:t xml:space="preserve">AT&amp;T has offered no evidence that the proposed broadband standard would only allow for entertainment applications to the exclusion of essential communications services.  </w:t>
      </w:r>
    </w:p>
    <w:p w:rsidR="00054748" w:rsidP="7A591E96" w:rsidRDefault="7CBF5335" w14:paraId="6ADAA3EC" w14:textId="3B38D61E">
      <w:pPr>
        <w:pStyle w:val="Standard"/>
      </w:pPr>
      <w:r>
        <w:t xml:space="preserve">While the revised staff proposal sets out a workable standard, comments from TURN and UCAN illustrate that higher minimum speeds may be necessary to consider in light the average broadband speeds </w:t>
      </w:r>
      <w:proofErr w:type="gramStart"/>
      <w:r>
        <w:t xml:space="preserve">actually </w:t>
      </w:r>
      <w:r w:rsidR="00C431A7">
        <w:t>used</w:t>
      </w:r>
      <w:proofErr w:type="gramEnd"/>
      <w:r w:rsidR="00C431A7">
        <w:t xml:space="preserve"> </w:t>
      </w:r>
      <w:r>
        <w:t xml:space="preserve">by Californians.  It is also true that at the federal level a higher minimum speed of 25 Mbps / 3 Mbps is used to judge whether a </w:t>
      </w:r>
      <w:proofErr w:type="gramStart"/>
      <w:r>
        <w:t>particular broadband</w:t>
      </w:r>
      <w:proofErr w:type="gramEnd"/>
      <w:r>
        <w:t xml:space="preserve"> service qualifies as “advanced” under federal law.  Given that the FCC standard has been accepted and </w:t>
      </w:r>
      <w:r w:rsidR="00C431A7">
        <w:t xml:space="preserve">used </w:t>
      </w:r>
      <w:r>
        <w:t xml:space="preserve">for several years at the federal level to define a standard of advanced communications service, and increases slightly the standard </w:t>
      </w:r>
      <w:r w:rsidR="004F36C4">
        <w:t xml:space="preserve">staff </w:t>
      </w:r>
      <w:r>
        <w:t xml:space="preserve">proposed as recommended by TURN and UCAN, it is reasonable to use 25 Mbps / 3 Mbps to determine the fixed broadband component of essential communications service </w:t>
      </w:r>
      <w:r w:rsidR="00C064CE">
        <w:t xml:space="preserve">for </w:t>
      </w:r>
      <w:r>
        <w:t>the Commission’s affordabilit</w:t>
      </w:r>
      <w:r w:rsidRPr="005928C5">
        <w:t xml:space="preserve">y analysis.  </w:t>
      </w:r>
    </w:p>
    <w:p w:rsidR="006868B5" w:rsidP="006868B5" w:rsidRDefault="006868B5" w14:paraId="0B703405" w14:textId="2033A128">
      <w:pPr>
        <w:pStyle w:val="Standard"/>
      </w:pPr>
      <w:r w:rsidRPr="007A7A46">
        <w:t>In addition, at this critical time, when COVID</w:t>
      </w:r>
      <w:r w:rsidRPr="007A7A46" w:rsidR="00075400">
        <w:t>-19</w:t>
      </w:r>
      <w:r w:rsidRPr="007A7A46">
        <w:t xml:space="preserve"> response measures have required more essential services to be provided online, including distance learning and telemedicine, a much higher basic speed has become a necessity. On April 24</w:t>
      </w:r>
      <w:r w:rsidRPr="007A7A46">
        <w:rPr>
          <w:vertAlign w:val="superscript"/>
        </w:rPr>
        <w:t>th</w:t>
      </w:r>
      <w:r w:rsidRPr="007A7A46">
        <w:t xml:space="preserve">, </w:t>
      </w:r>
      <w:r w:rsidRPr="007A7A46" w:rsidR="00B64ACD">
        <w:t>C</w:t>
      </w:r>
      <w:r w:rsidR="007A7A46">
        <w:t>ommission</w:t>
      </w:r>
      <w:r w:rsidRPr="007A7A46" w:rsidR="00B64ACD">
        <w:t xml:space="preserve"> </w:t>
      </w:r>
      <w:r w:rsidRPr="007A7A46">
        <w:t xml:space="preserve">President </w:t>
      </w:r>
      <w:proofErr w:type="spellStart"/>
      <w:r w:rsidRPr="007A7A46">
        <w:t>Batjer</w:t>
      </w:r>
      <w:proofErr w:type="spellEnd"/>
      <w:r w:rsidRPr="007A7A46">
        <w:t xml:space="preserve"> sent a letter to the internet service providers </w:t>
      </w:r>
      <w:r w:rsidRPr="007A7A46" w:rsidR="00784F55">
        <w:t>urging</w:t>
      </w:r>
      <w:r w:rsidRPr="007A7A46" w:rsidR="006B1EB7">
        <w:t xml:space="preserve"> them </w:t>
      </w:r>
      <w:r w:rsidRPr="007A7A46">
        <w:t xml:space="preserve">to provide a minimum speed of 25 Mbps </w:t>
      </w:r>
      <w:r w:rsidRPr="007A7A46" w:rsidR="00784F55">
        <w:t xml:space="preserve">upstream </w:t>
      </w:r>
      <w:r w:rsidRPr="007A7A46">
        <w:t>for their affordable plan offerings.</w:t>
      </w:r>
      <w:r w:rsidRPr="007A7A46">
        <w:rPr>
          <w:rStyle w:val="FootnoteReference"/>
        </w:rPr>
        <w:footnoteReference w:id="85"/>
      </w:r>
      <w:r w:rsidRPr="007A7A46">
        <w:t xml:space="preserve">  It is likely that this shift to digital dependency will continue long after COVID</w:t>
      </w:r>
      <w:r w:rsidRPr="007A7A46" w:rsidR="00075400">
        <w:t>-19</w:t>
      </w:r>
      <w:r w:rsidRPr="007A7A46">
        <w:t xml:space="preserve"> recovery efforts end. </w:t>
      </w:r>
      <w:r w:rsidR="007A7A46">
        <w:t xml:space="preserve"> </w:t>
      </w:r>
      <w:r w:rsidRPr="005928C5">
        <w:t xml:space="preserve">The </w:t>
      </w:r>
      <w:r w:rsidRPr="00031CDC">
        <w:t>essential broadband communications service level</w:t>
      </w:r>
      <w:r w:rsidRPr="00BF4100">
        <w:t xml:space="preserve"> </w:t>
      </w:r>
      <w:r>
        <w:t xml:space="preserve">of 25 Mbps </w:t>
      </w:r>
      <w:r w:rsidR="00F814C4">
        <w:t>upstream</w:t>
      </w:r>
      <w:r>
        <w:t xml:space="preserve">/ 3 Mbps </w:t>
      </w:r>
      <w:r w:rsidR="00F814C4">
        <w:t xml:space="preserve">downstream </w:t>
      </w:r>
      <w:r>
        <w:t>that this decision adopts may be modified in the future given expected advancements in communications technology.</w:t>
      </w:r>
    </w:p>
    <w:p w:rsidR="7CBF5335" w:rsidP="7A591E96" w:rsidRDefault="7CBF5335" w14:paraId="5E3BA40B" w14:textId="546D561F">
      <w:pPr>
        <w:pStyle w:val="Heading3"/>
        <w:numPr>
          <w:ilvl w:val="2"/>
          <w:numId w:val="2"/>
        </w:numPr>
      </w:pPr>
      <w:bookmarkStart w:name="_Toc40967151" w:id="43"/>
      <w:bookmarkStart w:name="_Toc46308190" w:id="44"/>
      <w:r>
        <w:lastRenderedPageBreak/>
        <w:t>CCTA and AT&amp;T Comments on Jurisdiction</w:t>
      </w:r>
      <w:bookmarkEnd w:id="43"/>
      <w:bookmarkEnd w:id="44"/>
    </w:p>
    <w:p w:rsidR="7CBF5335" w:rsidP="7A591E96" w:rsidRDefault="7CBF5335" w14:paraId="6CC31111" w14:textId="7D7D648A">
      <w:pPr>
        <w:pStyle w:val="Standard"/>
      </w:pPr>
      <w:r>
        <w:t>CCTA objects to what it considers to be characterizations by the revised staff proposal of broadband providers as public utilities, arguing that federal and state law preclude application of California public utility law and regulation to broadband services.  CCTA argues that this preclusion extends to staff analyses that may be conducted in the future concerning broadband affordability.</w:t>
      </w:r>
      <w:r w:rsidRPr="7A591E96">
        <w:rPr>
          <w:rStyle w:val="FootnoteReference"/>
        </w:rPr>
        <w:footnoteReference w:id="86"/>
      </w:r>
      <w:r>
        <w:t xml:space="preserve">  AT&amp;T largely supports these arguments in its reply comments, stating that the revised staff proposal must be “corrected” to remove any contention that broadband is a public utility service.</w:t>
      </w:r>
      <w:r w:rsidRPr="7A591E96">
        <w:rPr>
          <w:rStyle w:val="FootnoteReference"/>
        </w:rPr>
        <w:footnoteReference w:id="87"/>
      </w:r>
    </w:p>
    <w:p w:rsidR="7CBF5335" w:rsidP="7A591E96" w:rsidRDefault="7CBF5335" w14:paraId="3E2BA807" w14:textId="0EA627A4">
      <w:pPr>
        <w:pStyle w:val="Standard"/>
      </w:pPr>
      <w:r>
        <w:t xml:space="preserve">UCAN </w:t>
      </w:r>
      <w:r w:rsidR="00EA7B1E">
        <w:t xml:space="preserve">criticizes </w:t>
      </w:r>
      <w:r>
        <w:t>the jurisdictional arguments of CCTA and AT&amp;T as irrelevant distractions given that the Commission is not attempting to assert jurisdiction over broadband service in this proceeding.</w:t>
      </w:r>
      <w:r w:rsidRPr="7A591E96">
        <w:rPr>
          <w:rStyle w:val="FootnoteReference"/>
        </w:rPr>
        <w:footnoteReference w:id="88"/>
      </w:r>
      <w:r>
        <w:t xml:space="preserve">  TURN also rejects CCTA’s theory that data collection requirements can be considered equivalent to common carrier regulation.</w:t>
      </w:r>
      <w:r w:rsidRPr="7A591E96">
        <w:rPr>
          <w:rStyle w:val="FootnoteReference"/>
        </w:rPr>
        <w:footnoteReference w:id="89"/>
      </w:r>
    </w:p>
    <w:p w:rsidR="7CBF5335" w:rsidP="7A591E96" w:rsidRDefault="7CBF5335" w14:paraId="4D5BDC5F" w14:textId="0EBB63CA">
      <w:pPr>
        <w:pStyle w:val="Standard"/>
      </w:pPr>
      <w:r>
        <w:t>This decision does not</w:t>
      </w:r>
      <w:r w:rsidR="00EC66FF">
        <w:t xml:space="preserve"> attempt to resolve </w:t>
      </w:r>
      <w:r w:rsidR="000406B6">
        <w:t>CCTA’s and AT&amp;T’s</w:t>
      </w:r>
      <w:r>
        <w:t xml:space="preserve"> broader </w:t>
      </w:r>
      <w:r w:rsidR="00C633B9">
        <w:t xml:space="preserve">jurisdictional </w:t>
      </w:r>
      <w:r>
        <w:t xml:space="preserve">arguments concerning the applicability of California’s public utility law to broadband service providers.  Rather, this decision seeks to determine whether as a matter of public policy it is appropriate for the Commission to </w:t>
      </w:r>
      <w:r w:rsidRPr="7A591E96">
        <w:rPr>
          <w:i/>
          <w:iCs/>
        </w:rPr>
        <w:t>analyze</w:t>
      </w:r>
      <w:r>
        <w:t xml:space="preserve"> the affordability of broadband service</w:t>
      </w:r>
      <w:r w:rsidR="00437C6A">
        <w:t>,</w:t>
      </w:r>
      <w:r w:rsidR="00D74167">
        <w:t xml:space="preserve"> in the context of </w:t>
      </w:r>
      <w:r w:rsidR="00437C6A">
        <w:t xml:space="preserve">a </w:t>
      </w:r>
      <w:r w:rsidR="00D74167">
        <w:t xml:space="preserve">broader affordability </w:t>
      </w:r>
      <w:r w:rsidR="00437C6A">
        <w:t>analysis</w:t>
      </w:r>
      <w:r>
        <w:t xml:space="preserve">.  This decision finds that it is appropriate for the Commission to do so, given that Public Utilities Code Sections 709, 280, 281, 275.6, and the Moore Act all demonstrate that the Legislature contemplated a significant role for the Commission in closing the digital divide in California and bringing advanced communications </w:t>
      </w:r>
      <w:r>
        <w:lastRenderedPageBreak/>
        <w:t xml:space="preserve">services, including broadband internet access, to all Californians.  Investigating </w:t>
      </w:r>
      <w:r w:rsidR="00830D50">
        <w:t xml:space="preserve">the relative affordability </w:t>
      </w:r>
      <w:r w:rsidR="001C5BB0">
        <w:t>of broadband service for</w:t>
      </w:r>
      <w:r>
        <w:t xml:space="preserve"> Californians of all income</w:t>
      </w:r>
      <w:r w:rsidR="000E2253">
        <w:t xml:space="preserve"> and vulnerability</w:t>
      </w:r>
      <w:r>
        <w:t xml:space="preserve"> levels will assist the Commission</w:t>
      </w:r>
      <w:r w:rsidR="002113BC">
        <w:t xml:space="preserve"> and the State</w:t>
      </w:r>
      <w:r>
        <w:t xml:space="preserve"> in its mission to bring broadband access to all Californians.</w:t>
      </w:r>
      <w:r w:rsidR="002113BC">
        <w:rPr>
          <w:rStyle w:val="FootnoteReference"/>
        </w:rPr>
        <w:footnoteReference w:id="90"/>
      </w:r>
    </w:p>
    <w:p w:rsidR="003435B1" w:rsidP="003435B1" w:rsidRDefault="7CBF5335" w14:paraId="7A631CB6" w14:textId="64B7D144">
      <w:pPr>
        <w:pStyle w:val="Standard"/>
      </w:pPr>
      <w:r>
        <w:t xml:space="preserve">The concerns of CCTA and AT&amp;T are therefore misplaced. </w:t>
      </w:r>
      <w:r w:rsidR="007A7A46">
        <w:t xml:space="preserve"> </w:t>
      </w:r>
      <w:r>
        <w:t xml:space="preserve">By illuminating and analyzing the costs California consumers </w:t>
      </w:r>
      <w:r w:rsidR="00ED07D7">
        <w:t xml:space="preserve">bear in </w:t>
      </w:r>
      <w:r>
        <w:t>access</w:t>
      </w:r>
      <w:r w:rsidR="00034012">
        <w:t>ing</w:t>
      </w:r>
      <w:r>
        <w:t xml:space="preserve"> essential broadband service, the inclusion of broadband costs in the affordability analysis will provide the Commission with information to help it fulfill its own statutory obligations.</w:t>
      </w:r>
      <w:r w:rsidRPr="7A591E96">
        <w:rPr>
          <w:rStyle w:val="FootnoteReference"/>
        </w:rPr>
        <w:footnoteReference w:id="91"/>
      </w:r>
      <w:r>
        <w:t xml:space="preserve"> </w:t>
      </w:r>
      <w:r w:rsidR="00EE4E1D">
        <w:t xml:space="preserve">Broadband costs comprise a portion of the essential utility costs customers pay and therefore affect the affordability of all the utility services. </w:t>
      </w:r>
    </w:p>
    <w:p w:rsidR="7CBF5335" w:rsidP="003435B1" w:rsidRDefault="003435B1" w14:paraId="07E58022" w14:textId="46E3761C">
      <w:pPr>
        <w:pStyle w:val="Standard"/>
      </w:pPr>
      <w:r>
        <w:t>In any event, no law or state or federal regulation forbids the Commission from accessing and analyzing broadband service prices</w:t>
      </w:r>
      <w:r w:rsidR="7CBF5335">
        <w:t>.</w:t>
      </w:r>
      <w:r w:rsidRPr="7A591E96" w:rsidR="7CBF5335">
        <w:rPr>
          <w:rStyle w:val="FootnoteReference"/>
        </w:rPr>
        <w:footnoteReference w:id="92"/>
      </w:r>
      <w:r w:rsidR="7CBF5335">
        <w:t xml:space="preserve">  </w:t>
      </w:r>
    </w:p>
    <w:p w:rsidR="0055234E" w:rsidP="00837743" w:rsidRDefault="0055234E" w14:paraId="3D5B70F6" w14:textId="74960FA1">
      <w:pPr>
        <w:pStyle w:val="Heading1"/>
        <w:numPr>
          <w:ilvl w:val="0"/>
          <w:numId w:val="2"/>
        </w:numPr>
      </w:pPr>
      <w:bookmarkStart w:name="_Toc40967152" w:id="45"/>
      <w:bookmarkStart w:name="_Toc46308191" w:id="46"/>
      <w:r>
        <w:t>Unavailable Data</w:t>
      </w:r>
      <w:bookmarkEnd w:id="45"/>
      <w:bookmarkEnd w:id="46"/>
    </w:p>
    <w:p w:rsidR="00CD2C09" w:rsidP="000C11FE" w:rsidRDefault="000C11FE" w14:paraId="0217FFBD" w14:textId="4454871E">
      <w:pPr>
        <w:pStyle w:val="Standard"/>
      </w:pPr>
      <w:r>
        <w:t xml:space="preserve">Essential utility service cost data </w:t>
      </w:r>
      <w:r w:rsidR="00606E16">
        <w:t>was</w:t>
      </w:r>
      <w:r>
        <w:t xml:space="preserve"> </w:t>
      </w:r>
      <w:r w:rsidR="4248F6B4">
        <w:t>unavailable</w:t>
      </w:r>
      <w:r>
        <w:t xml:space="preserve"> in several different contexts</w:t>
      </w:r>
      <w:r w:rsidR="2F2C399A">
        <w:t xml:space="preserve"> at</w:t>
      </w:r>
      <w:r w:rsidR="1BEADCAE">
        <w:t xml:space="preserve"> the</w:t>
      </w:r>
      <w:r w:rsidR="2F2C399A">
        <w:t xml:space="preserve"> time</w:t>
      </w:r>
      <w:r w:rsidR="544BD0E5">
        <w:t xml:space="preserve"> when staff developed the revised staff proposal</w:t>
      </w:r>
      <w:r>
        <w:t xml:space="preserve">.  Staff found that 160,851 households (1.06%) had no assigned gas essential service charge, 62,044 households (0.41%) </w:t>
      </w:r>
      <w:r w:rsidR="00CD2C09">
        <w:t>had</w:t>
      </w:r>
      <w:r>
        <w:t xml:space="preserve"> no assigned electric essential service charge, 25,092 households (0.17%) </w:t>
      </w:r>
      <w:r w:rsidR="00CD2C09">
        <w:t>had</w:t>
      </w:r>
      <w:r>
        <w:t xml:space="preserve"> no assigned communications essential service charge, and 1,413,361 households </w:t>
      </w:r>
      <w:r>
        <w:lastRenderedPageBreak/>
        <w:t xml:space="preserve">(9.35%) </w:t>
      </w:r>
      <w:r w:rsidR="00CD2C09">
        <w:t>had</w:t>
      </w:r>
      <w:r>
        <w:t xml:space="preserve"> no assigned water essential service charge</w:t>
      </w:r>
      <w:r w:rsidR="00CD2C09">
        <w:t>.  For these households, the revised staff proposal assumes a charge of $0 for these essential utility services.</w:t>
      </w:r>
    </w:p>
    <w:p w:rsidR="000C11FE" w:rsidP="000C11FE" w:rsidRDefault="00CD2C09" w14:paraId="06E1BE0A" w14:textId="039A50A8">
      <w:pPr>
        <w:pStyle w:val="Standard"/>
      </w:pPr>
      <w:r>
        <w:t>Nevertheless,</w:t>
      </w:r>
      <w:r w:rsidR="000C11FE">
        <w:t xml:space="preserve"> staff believed that customers may use </w:t>
      </w:r>
      <w:r>
        <w:t>substitutes for these  services (</w:t>
      </w:r>
      <w:r w:rsidRPr="006A0A43">
        <w:rPr>
          <w:i/>
          <w:iCs/>
        </w:rPr>
        <w:t>e.g</w:t>
      </w:r>
      <w:r>
        <w:t xml:space="preserve">., </w:t>
      </w:r>
      <w:r w:rsidR="000C11FE">
        <w:t>propane, wood, or electricity for space heating needs</w:t>
      </w:r>
      <w:r>
        <w:t xml:space="preserve"> if a gas network was absent) and therefore sought party comment on whether substitute or proxy values should be adopted for these services</w:t>
      </w:r>
      <w:r w:rsidR="000C11FE">
        <w:t>.</w:t>
      </w:r>
      <w:r w:rsidR="000C11FE">
        <w:rPr>
          <w:rStyle w:val="FootnoteReference"/>
        </w:rPr>
        <w:footnoteReference w:id="93"/>
      </w:r>
    </w:p>
    <w:p w:rsidR="006B0796" w:rsidP="00D02594" w:rsidRDefault="00D02594" w14:paraId="2415771E" w14:textId="5CD884D1">
      <w:pPr>
        <w:pStyle w:val="Standard"/>
      </w:pPr>
      <w:r>
        <w:t xml:space="preserve">TURN recommends adopting a relatively straight-forward approach of using values from the nearest utility as a proxy for each area with </w:t>
      </w:r>
      <w:r w:rsidR="008755C1">
        <w:t xml:space="preserve">unavailable </w:t>
      </w:r>
      <w:r w:rsidR="006A0A43">
        <w:br/>
      </w:r>
      <w:r>
        <w:t xml:space="preserve">industry-specific data.  For landlocked </w:t>
      </w:r>
      <w:r w:rsidR="008E39C5">
        <w:t>Public Use Microdata Areas (</w:t>
      </w:r>
      <w:r>
        <w:t>PUMAs</w:t>
      </w:r>
      <w:r w:rsidR="008E39C5">
        <w:t>)</w:t>
      </w:r>
      <w:r>
        <w:t>,</w:t>
      </w:r>
      <w:r w:rsidR="0033775A">
        <w:rPr>
          <w:rStyle w:val="FootnoteReference"/>
        </w:rPr>
        <w:footnoteReference w:id="94"/>
      </w:r>
      <w:r>
        <w:t xml:space="preserve"> TURN recommends imputing the average industry-specific value of the surrounding PUMAs.</w:t>
      </w:r>
      <w:r>
        <w:rPr>
          <w:rStyle w:val="FootnoteReference"/>
        </w:rPr>
        <w:footnoteReference w:id="95"/>
      </w:r>
      <w:r w:rsidR="00E77657">
        <w:t xml:space="preserve">  </w:t>
      </w:r>
    </w:p>
    <w:p w:rsidR="00052C1E" w:rsidP="00D02594" w:rsidRDefault="00052C1E" w14:paraId="3C7A60EE" w14:textId="174714CB">
      <w:pPr>
        <w:pStyle w:val="Standard"/>
      </w:pPr>
      <w:r>
        <w:t xml:space="preserve">Cal Advocates does not support using $0 as a value where there is </w:t>
      </w:r>
      <w:r w:rsidR="00A12DF0">
        <w:t xml:space="preserve">unavailable </w:t>
      </w:r>
      <w:r>
        <w:t>essential utility service data.</w:t>
      </w:r>
      <w:r>
        <w:rPr>
          <w:rStyle w:val="FootnoteReference"/>
        </w:rPr>
        <w:footnoteReference w:id="96"/>
      </w:r>
    </w:p>
    <w:p w:rsidR="00CD2C09" w:rsidP="00D02594" w:rsidRDefault="00E77657" w14:paraId="505F29EB" w14:textId="6EAA257A">
      <w:pPr>
        <w:pStyle w:val="Standard"/>
      </w:pPr>
      <w:r>
        <w:t xml:space="preserve">UCAN does not support using the essential service costs from nearby </w:t>
      </w:r>
      <w:proofErr w:type="gramStart"/>
      <w:r>
        <w:t>utilities, and</w:t>
      </w:r>
      <w:proofErr w:type="gramEnd"/>
      <w:r>
        <w:t xml:space="preserve"> believes this would introduce error to the affordability calculation.</w:t>
      </w:r>
      <w:r w:rsidR="006B0796">
        <w:t xml:space="preserve">  Instead, </w:t>
      </w:r>
      <w:r w:rsidR="005D5C25">
        <w:t xml:space="preserve">it </w:t>
      </w:r>
      <w:r w:rsidR="006B0796">
        <w:t>recommend</w:t>
      </w:r>
      <w:r w:rsidR="005D5C25">
        <w:t>s</w:t>
      </w:r>
      <w:r w:rsidR="006B0796">
        <w:t xml:space="preserve"> that staff develop proxy values other than $0 based on what the households may </w:t>
      </w:r>
      <w:proofErr w:type="gramStart"/>
      <w:r w:rsidR="006B0796">
        <w:t>actually use</w:t>
      </w:r>
      <w:proofErr w:type="gramEnd"/>
      <w:r w:rsidR="006B0796">
        <w:t xml:space="preserve"> – private wells, firewood, etc.</w:t>
      </w:r>
      <w:r>
        <w:rPr>
          <w:rStyle w:val="FootnoteReference"/>
        </w:rPr>
        <w:footnoteReference w:id="97"/>
      </w:r>
    </w:p>
    <w:p w:rsidR="00446872" w:rsidP="00D02594" w:rsidRDefault="00375145" w14:paraId="61B49617" w14:textId="03E6AAD0">
      <w:pPr>
        <w:pStyle w:val="Standard"/>
      </w:pPr>
      <w:r>
        <w:t xml:space="preserve">In general, SCE believes that all households with </w:t>
      </w:r>
      <w:r w:rsidR="00A12DF0">
        <w:t xml:space="preserve">unavailable </w:t>
      </w:r>
      <w:r>
        <w:t xml:space="preserve">data should be removed from the affordability calculations, with an alternative approach of averaging other like costs where data are </w:t>
      </w:r>
      <w:r w:rsidR="00A12DF0">
        <w:t xml:space="preserve">unavailable </w:t>
      </w:r>
      <w:r>
        <w:t xml:space="preserve">to come up with a proxy </w:t>
      </w:r>
      <w:r>
        <w:lastRenderedPageBreak/>
        <w:t>value.</w:t>
      </w:r>
      <w:r>
        <w:rPr>
          <w:rStyle w:val="FootnoteReference"/>
        </w:rPr>
        <w:footnoteReference w:id="98"/>
      </w:r>
      <w:r w:rsidR="007F0AC5">
        <w:t xml:space="preserve">  SCE does not support simply using a value of $0 where the data are </w:t>
      </w:r>
      <w:r w:rsidR="00A12DF0">
        <w:t>unavailable</w:t>
      </w:r>
      <w:r w:rsidR="007F0AC5">
        <w:t>.</w:t>
      </w:r>
      <w:r w:rsidR="007F0AC5">
        <w:rPr>
          <w:rStyle w:val="FootnoteReference"/>
        </w:rPr>
        <w:footnoteReference w:id="99"/>
      </w:r>
      <w:r w:rsidR="0098584D">
        <w:t xml:space="preserve">  </w:t>
      </w:r>
      <w:r w:rsidR="00E43F65">
        <w:t xml:space="preserve">SoCalGas and SDG&amp;E agree that </w:t>
      </w:r>
      <w:r w:rsidR="00A12DF0">
        <w:t xml:space="preserve">unavailable </w:t>
      </w:r>
      <w:r w:rsidR="00E43F65">
        <w:t>values should simply be removed from an affordability metric’s calculation rather than substituted with estimated values.</w:t>
      </w:r>
      <w:r w:rsidR="00E43F65">
        <w:rPr>
          <w:rStyle w:val="FootnoteReference"/>
        </w:rPr>
        <w:footnoteReference w:id="100"/>
      </w:r>
    </w:p>
    <w:p w:rsidR="00375145" w:rsidP="00D02594" w:rsidRDefault="0098584D" w14:paraId="211ADD20" w14:textId="3122B25F">
      <w:pPr>
        <w:pStyle w:val="Standard"/>
      </w:pPr>
      <w:r>
        <w:t xml:space="preserve">PG&amp;E expresses similar concerns and does not support affordability calculations where data are </w:t>
      </w:r>
      <w:r w:rsidR="00A12DF0">
        <w:t>unavailable</w:t>
      </w:r>
      <w:r>
        <w:t xml:space="preserve">.  PG&amp;E prefers an approach where the Commission merely notes that affordability measurements may not be made in areas where data are </w:t>
      </w:r>
      <w:r w:rsidR="00A12DF0">
        <w:t>unavailable</w:t>
      </w:r>
      <w:r>
        <w:t>.</w:t>
      </w:r>
      <w:r>
        <w:rPr>
          <w:rStyle w:val="FootnoteReference"/>
        </w:rPr>
        <w:footnoteReference w:id="101"/>
      </w:r>
      <w:r w:rsidR="00446872">
        <w:t xml:space="preserve">  PG&amp;E does not support using nearby utility rates as a proxy or using a $0 amount, given that these substitute values may be inaccurate and therefore create misleading affordability measurements.</w:t>
      </w:r>
      <w:r w:rsidR="00446872">
        <w:rPr>
          <w:rStyle w:val="FootnoteReference"/>
        </w:rPr>
        <w:footnoteReference w:id="102"/>
      </w:r>
    </w:p>
    <w:p w:rsidR="0095792D" w:rsidP="00D02594" w:rsidRDefault="0095792D" w14:paraId="08FABD77" w14:textId="106CBB53">
      <w:pPr>
        <w:pStyle w:val="Standard"/>
      </w:pPr>
      <w:proofErr w:type="spellStart"/>
      <w:r>
        <w:t>CalCCA</w:t>
      </w:r>
      <w:proofErr w:type="spellEnd"/>
      <w:r>
        <w:t xml:space="preserve"> believes that a second phase of this proceeding would be the appropriate venue for ultimately resolving many of issues surrounding </w:t>
      </w:r>
      <w:r w:rsidR="00A12DF0">
        <w:t xml:space="preserve">unavailable </w:t>
      </w:r>
      <w:r>
        <w:t>or proxy data.</w:t>
      </w:r>
      <w:r>
        <w:rPr>
          <w:rStyle w:val="FootnoteReference"/>
        </w:rPr>
        <w:footnoteReference w:id="103"/>
      </w:r>
      <w:r w:rsidR="00665B52">
        <w:t xml:space="preserve">  </w:t>
      </w:r>
      <w:r w:rsidR="00374119">
        <w:t xml:space="preserve">It </w:t>
      </w:r>
      <w:r w:rsidR="00665B52">
        <w:t>do</w:t>
      </w:r>
      <w:r w:rsidR="00374119">
        <w:t>es</w:t>
      </w:r>
      <w:r w:rsidR="00665B52">
        <w:t xml:space="preserve"> not believe that physically proximate utilities are necessarily the best choice for proxy values, but instead recommend using similarly situated utilities.</w:t>
      </w:r>
      <w:r w:rsidR="00665B52">
        <w:rPr>
          <w:rStyle w:val="FootnoteReference"/>
        </w:rPr>
        <w:footnoteReference w:id="104"/>
      </w:r>
      <w:r w:rsidR="005F40FB">
        <w:t xml:space="preserve">  In no event does </w:t>
      </w:r>
      <w:proofErr w:type="spellStart"/>
      <w:r w:rsidR="005F40FB">
        <w:t>CalCCA</w:t>
      </w:r>
      <w:proofErr w:type="spellEnd"/>
      <w:r w:rsidR="005F40FB">
        <w:t xml:space="preserve"> supporting using a value of $0.</w:t>
      </w:r>
      <w:r w:rsidR="005F40FB">
        <w:rPr>
          <w:rStyle w:val="FootnoteReference"/>
        </w:rPr>
        <w:footnoteReference w:id="105"/>
      </w:r>
    </w:p>
    <w:p w:rsidR="001122EC" w:rsidP="001122EC" w:rsidRDefault="001122EC" w14:paraId="03B4A2D0" w14:textId="081D79FA">
      <w:pPr>
        <w:pStyle w:val="Standard"/>
      </w:pPr>
      <w:r>
        <w:t xml:space="preserve">In general, this decision agrees with </w:t>
      </w:r>
      <w:proofErr w:type="spellStart"/>
      <w:r>
        <w:t>CalCCA</w:t>
      </w:r>
      <w:proofErr w:type="spellEnd"/>
      <w:r>
        <w:t xml:space="preserve"> </w:t>
      </w:r>
      <w:r w:rsidR="0261278C">
        <w:t xml:space="preserve">and </w:t>
      </w:r>
      <w:r>
        <w:t xml:space="preserve">finds that </w:t>
      </w:r>
      <w:r w:rsidR="00A12DF0">
        <w:t xml:space="preserve">unavailable </w:t>
      </w:r>
      <w:r>
        <w:t>utility service data should be supplemented by proxy values developed in a future phase of this proceeding rather than using a value of $0.  Method</w:t>
      </w:r>
      <w:r w:rsidR="63D5073C">
        <w:t>s</w:t>
      </w:r>
      <w:r>
        <w:t xml:space="preserve"> Commission staff</w:t>
      </w:r>
      <w:r w:rsidR="000168F6">
        <w:t xml:space="preserve"> recommend</w:t>
      </w:r>
      <w:r>
        <w:t xml:space="preserve"> for developing these proxy values are outlined below, but </w:t>
      </w:r>
      <w:r w:rsidR="009A6844">
        <w:t xml:space="preserve">this decision </w:t>
      </w:r>
      <w:r w:rsidR="009A6844">
        <w:lastRenderedPageBreak/>
        <w:t xml:space="preserve">does </w:t>
      </w:r>
      <w:r>
        <w:t>not formally adopt</w:t>
      </w:r>
      <w:r w:rsidR="008658F6">
        <w:t xml:space="preserve"> these methods</w:t>
      </w:r>
      <w:r>
        <w:t xml:space="preserve">.  A decision in a later phase of this proceeding may formally adopt these methodologies after </w:t>
      </w:r>
      <w:r w:rsidR="775BC353">
        <w:t xml:space="preserve">assessing the effectiveness of these proxy values in </w:t>
      </w:r>
      <w:proofErr w:type="spellStart"/>
      <w:r>
        <w:t>ratesetting</w:t>
      </w:r>
      <w:proofErr w:type="spellEnd"/>
      <w:r>
        <w:t xml:space="preserve"> proceedings.  This decision finds that it is reasonable to </w:t>
      </w:r>
      <w:r w:rsidR="42998D9E">
        <w:t>apply</w:t>
      </w:r>
      <w:r>
        <w:t xml:space="preserve"> the methodologies described below in </w:t>
      </w:r>
      <w:proofErr w:type="spellStart"/>
      <w:r>
        <w:t>ratesetting</w:t>
      </w:r>
      <w:proofErr w:type="spellEnd"/>
      <w:r>
        <w:t xml:space="preserve"> proceedings as part of the final development of these methodologies in a later phase of this proceeding</w:t>
      </w:r>
      <w:r w:rsidR="00896C9C">
        <w:t xml:space="preserve"> as this will allow Commission staff and parties to analyze the effectiveness of the proxy values in an actual Commission proceeding</w:t>
      </w:r>
      <w:r>
        <w:t>.</w:t>
      </w:r>
    </w:p>
    <w:p w:rsidR="009331F2" w:rsidP="0088113C" w:rsidRDefault="4B4F9E08" w14:paraId="35062A28" w14:textId="2CFD3094">
      <w:pPr>
        <w:pStyle w:val="Heading2"/>
        <w:numPr>
          <w:ilvl w:val="1"/>
          <w:numId w:val="2"/>
        </w:numPr>
      </w:pPr>
      <w:bookmarkStart w:name="_Toc40967153" w:id="47"/>
      <w:bookmarkStart w:name="_Toc46308192" w:id="48"/>
      <w:r>
        <w:t xml:space="preserve">Unavailable </w:t>
      </w:r>
      <w:r w:rsidR="009331F2">
        <w:t>Gas Service Data</w:t>
      </w:r>
      <w:bookmarkEnd w:id="47"/>
      <w:bookmarkEnd w:id="48"/>
    </w:p>
    <w:p w:rsidR="00550C3B" w:rsidP="00D02594" w:rsidRDefault="00550C3B" w14:paraId="75B4E9ED" w14:textId="6DDD3027">
      <w:pPr>
        <w:pStyle w:val="Standard"/>
      </w:pPr>
      <w:r>
        <w:t>UCAN believes the average values of propane or wood as reported in periodicals should be used as proxy values for gas in rural areas where gas service is not available.</w:t>
      </w:r>
      <w:r>
        <w:rPr>
          <w:rStyle w:val="FootnoteReference"/>
        </w:rPr>
        <w:footnoteReference w:id="106"/>
      </w:r>
      <w:r w:rsidR="00C65F67">
        <w:t xml:space="preserve">  UCAN also recommended seeking information from utilities and community-based organizations on the fuels used for heating in areas outside a gas network, and using available dat</w:t>
      </w:r>
      <w:r w:rsidR="00C864EE">
        <w:t>a</w:t>
      </w:r>
      <w:r w:rsidR="00C65F67">
        <w:t xml:space="preserve"> on propane and firewood prices where applicable.</w:t>
      </w:r>
      <w:r w:rsidR="00C65F67">
        <w:rPr>
          <w:rStyle w:val="FootnoteReference"/>
        </w:rPr>
        <w:footnoteReference w:id="107"/>
      </w:r>
    </w:p>
    <w:p w:rsidR="004F25DF" w:rsidP="00D02594" w:rsidRDefault="004F25DF" w14:paraId="71672A73" w14:textId="2D2AD2DE">
      <w:pPr>
        <w:pStyle w:val="Standard"/>
      </w:pPr>
      <w:r>
        <w:t xml:space="preserve">Cal Advocates supports using gas service </w:t>
      </w:r>
      <w:r w:rsidR="000C4A8B">
        <w:t>data</w:t>
      </w:r>
      <w:r>
        <w:t xml:space="preserve"> from </w:t>
      </w:r>
      <w:r w:rsidR="0071310F">
        <w:t>the California Gas Report</w:t>
      </w:r>
      <w:r>
        <w:t xml:space="preserve"> </w:t>
      </w:r>
      <w:r w:rsidR="000C4A8B">
        <w:t xml:space="preserve">to compute an average propane service cost that can be used </w:t>
      </w:r>
      <w:r>
        <w:t xml:space="preserve">as a proxy for </w:t>
      </w:r>
      <w:r w:rsidR="00A12DF0">
        <w:t xml:space="preserve">unavailable </w:t>
      </w:r>
      <w:r>
        <w:t>gas service data.</w:t>
      </w:r>
      <w:r>
        <w:rPr>
          <w:rStyle w:val="FootnoteReference"/>
        </w:rPr>
        <w:footnoteReference w:id="108"/>
      </w:r>
      <w:r w:rsidR="0014187D">
        <w:t xml:space="preserve">  Alternatively, Cal Advocates recommends using data from the nearest gas utility as a proxy.</w:t>
      </w:r>
      <w:r w:rsidR="0014187D">
        <w:rPr>
          <w:rStyle w:val="FootnoteReference"/>
        </w:rPr>
        <w:footnoteReference w:id="109"/>
      </w:r>
    </w:p>
    <w:p w:rsidR="00821122" w:rsidP="008577B8" w:rsidRDefault="00821122" w14:paraId="0C98E70A" w14:textId="5EE8553B">
      <w:pPr>
        <w:pStyle w:val="Standard"/>
      </w:pPr>
      <w:r>
        <w:t xml:space="preserve">SoCalGas and SDG&amp;E claimed to have insufficient data to make a determination of the appropriate values, and therefore recommended removing customers with </w:t>
      </w:r>
      <w:r w:rsidR="00A12DF0">
        <w:t xml:space="preserve">unavailable </w:t>
      </w:r>
      <w:r>
        <w:t>gas service from the calculation.</w:t>
      </w:r>
      <w:r>
        <w:rPr>
          <w:rStyle w:val="FootnoteReference"/>
        </w:rPr>
        <w:footnoteReference w:id="110"/>
      </w:r>
      <w:r w:rsidR="008577B8">
        <w:t xml:space="preserve">  However, they recommend using proxy utility data from utilities in the same climate zone if </w:t>
      </w:r>
      <w:r w:rsidR="008577B8">
        <w:lastRenderedPageBreak/>
        <w:t>necessary.</w:t>
      </w:r>
      <w:r w:rsidR="008577B8">
        <w:rPr>
          <w:rStyle w:val="FootnoteReference"/>
        </w:rPr>
        <w:footnoteReference w:id="111"/>
      </w:r>
      <w:r w:rsidR="001366B1">
        <w:t xml:space="preserve">  They also support the concept of future gas essential service studies, using best practices learned from the electric essential usage studies.</w:t>
      </w:r>
      <w:r w:rsidR="001366B1">
        <w:rPr>
          <w:rStyle w:val="FootnoteReference"/>
        </w:rPr>
        <w:footnoteReference w:id="112"/>
      </w:r>
    </w:p>
    <w:p w:rsidR="00D118E2" w:rsidP="00D118E2" w:rsidRDefault="00D118E2" w14:paraId="11591820" w14:textId="121A9652">
      <w:pPr>
        <w:pStyle w:val="Standard"/>
      </w:pPr>
      <w:r>
        <w:t xml:space="preserve">PG&amp;E does not believe that there are sufficient data to determine whether propane or all-electric electricity rates should be used as a proxy for </w:t>
      </w:r>
      <w:r w:rsidR="00A12DF0">
        <w:t xml:space="preserve">unavailable </w:t>
      </w:r>
      <w:r>
        <w:t xml:space="preserve">gas service data, and therefore recommends that no calculations be performed in the absence of </w:t>
      </w:r>
      <w:r w:rsidR="00446872">
        <w:t xml:space="preserve">such </w:t>
      </w:r>
      <w:r>
        <w:t xml:space="preserve">data.  If a proxy calculation is eventually required, PG&amp;E believes that the Commission should </w:t>
      </w:r>
      <w:r w:rsidRPr="0098584D">
        <w:t xml:space="preserve">work with </w:t>
      </w:r>
      <w:r>
        <w:t>staff from the</w:t>
      </w:r>
      <w:r w:rsidRPr="0098584D">
        <w:t xml:space="preserve"> California Energy Commission (CEC) </w:t>
      </w:r>
      <w:r>
        <w:t>to estimate costs for</w:t>
      </w:r>
      <w:r w:rsidRPr="0098584D">
        <w:t xml:space="preserve"> households </w:t>
      </w:r>
      <w:r>
        <w:t xml:space="preserve">that </w:t>
      </w:r>
      <w:r w:rsidRPr="0098584D">
        <w:t>are not using conventional utility electric or gas service for heating.</w:t>
      </w:r>
      <w:r>
        <w:rPr>
          <w:rStyle w:val="FootnoteReference"/>
        </w:rPr>
        <w:footnoteReference w:id="113"/>
      </w:r>
    </w:p>
    <w:p w:rsidR="00FD355A" w:rsidP="00D118E2" w:rsidRDefault="00FD355A" w14:paraId="14051A96" w14:textId="2105921F">
      <w:pPr>
        <w:pStyle w:val="Standard"/>
      </w:pPr>
      <w:proofErr w:type="spellStart"/>
      <w:r>
        <w:t>CalCCA</w:t>
      </w:r>
      <w:proofErr w:type="spellEnd"/>
      <w:r>
        <w:t xml:space="preserve"> similarly argues that customers with </w:t>
      </w:r>
      <w:r w:rsidR="00A12DF0">
        <w:t xml:space="preserve">unavailable </w:t>
      </w:r>
      <w:r>
        <w:t xml:space="preserve">gas service cannot be assumed to be all-electric customers, and they recommend that the Commission develop a model to predict whether a customer is using gas or electricity to help account for the gap in the data.  Ultimately, </w:t>
      </w:r>
      <w:proofErr w:type="spellStart"/>
      <w:r>
        <w:t>CalCCA</w:t>
      </w:r>
      <w:proofErr w:type="spellEnd"/>
      <w:r>
        <w:t xml:space="preserve"> believes the Commission should model propane usage and costs to help </w:t>
      </w:r>
      <w:r w:rsidR="0040085D">
        <w:t>measur</w:t>
      </w:r>
      <w:r>
        <w:t>e affordability.</w:t>
      </w:r>
      <w:r>
        <w:rPr>
          <w:rStyle w:val="FootnoteReference"/>
        </w:rPr>
        <w:footnoteReference w:id="114"/>
      </w:r>
    </w:p>
    <w:p w:rsidR="00896C9C" w:rsidP="00896C9C" w:rsidRDefault="00896C9C" w14:paraId="52503C8E" w14:textId="598D3B2F">
      <w:r>
        <w:t xml:space="preserve">It is apparent that several parties expressed support for addressing </w:t>
      </w:r>
      <w:r w:rsidR="00A12DF0">
        <w:t xml:space="preserve">unavailable </w:t>
      </w:r>
      <w:r>
        <w:t xml:space="preserve">natural gas essential usage costs through some sort of proxy value, rather than treating the </w:t>
      </w:r>
      <w:r w:rsidR="00A12DF0">
        <w:t>unavailable</w:t>
      </w:r>
      <w:r>
        <w:t xml:space="preserve"> values as $0.  Cal Advocates notes that “applying $0 to energy cost will under-estimate the affordability ratio for low income and poor-insulated house in rural areas</w:t>
      </w:r>
      <w:r w:rsidR="00B32DFE">
        <w:t>.</w:t>
      </w:r>
      <w:r>
        <w:t>”</w:t>
      </w:r>
      <w:r>
        <w:rPr>
          <w:rStyle w:val="FootnoteReference"/>
        </w:rPr>
        <w:footnoteReference w:id="115"/>
      </w:r>
      <w:r>
        <w:t xml:space="preserve">  Parties expressed support for either using data from a nearby utility</w:t>
      </w:r>
      <w:r>
        <w:rPr>
          <w:rStyle w:val="FootnoteReference"/>
        </w:rPr>
        <w:footnoteReference w:id="116"/>
      </w:r>
      <w:r>
        <w:t xml:space="preserve"> or estimating the cost of an alternative fuel </w:t>
      </w:r>
      <w:r>
        <w:lastRenderedPageBreak/>
        <w:t>such as propane or wood, while recognizing that some of the customers without natural gas service may be all-electric customers.</w:t>
      </w:r>
      <w:r>
        <w:rPr>
          <w:rStyle w:val="FootnoteReference"/>
        </w:rPr>
        <w:footnoteReference w:id="117"/>
      </w:r>
      <w:r>
        <w:t xml:space="preserve"> </w:t>
      </w:r>
      <w:r>
        <w:rPr>
          <w:rStyle w:val="FootnoteReference"/>
        </w:rPr>
        <w:footnoteReference w:id="118"/>
      </w:r>
    </w:p>
    <w:p w:rsidR="002F7685" w:rsidP="00896C9C" w:rsidRDefault="002F7685" w14:paraId="772FE55C" w14:textId="36C8DCB8">
      <w:r>
        <w:t>As no party argued that households without natural gas service go without heat altogether on a regular basis, this decision holds that the Commission’s affordability metrics should assume that c</w:t>
      </w:r>
      <w:r w:rsidR="00896C9C">
        <w:t xml:space="preserve">ustomers who live in areas without natural gas service use an alternative fuel for heating, most commonly propane, or use electric heating and are on an all-electric tariff with a higher baseline usage level, if such a tariff exists in that electric utility service territory. </w:t>
      </w:r>
      <w:r>
        <w:t xml:space="preserve"> </w:t>
      </w:r>
    </w:p>
    <w:p w:rsidR="002F7685" w:rsidP="00896C9C" w:rsidRDefault="002F7685" w14:paraId="52C861AC" w14:textId="4F490851">
      <w:r>
        <w:t>As noted previously, this decision does not ultimately define the proxy heating service price that should be used where natural gas service is unavailable.  However, the following proposed methodology for determining an essential heating price should be tested and refined in a later phase of this proceeding.</w:t>
      </w:r>
    </w:p>
    <w:p w:rsidR="00896C9C" w:rsidP="00896C9C" w:rsidRDefault="002F7685" w14:paraId="6B2FF8F6" w14:textId="3A9623A9">
      <w:r>
        <w:t xml:space="preserve">This decision </w:t>
      </w:r>
      <w:r w:rsidR="001E71D2">
        <w:t xml:space="preserve">adopts </w:t>
      </w:r>
      <w:r>
        <w:t xml:space="preserve">a methodology </w:t>
      </w:r>
      <w:r w:rsidR="00EA7F36">
        <w:t xml:space="preserve">in principle </w:t>
      </w:r>
      <w:r w:rsidR="001E71D2">
        <w:t>based on</w:t>
      </w:r>
      <w:r>
        <w:t xml:space="preserve"> a modification to </w:t>
      </w:r>
      <w:r w:rsidR="00896C9C">
        <w:t xml:space="preserve">the AR calculation such that the percentage of all-electric customers in each utility climate zone is taken into consideration and customers who are neither on all-electric service or have natural gas service are assumed to have propane heating. </w:t>
      </w:r>
      <w:r>
        <w:t xml:space="preserve"> </w:t>
      </w:r>
      <w:r w:rsidR="00896C9C">
        <w:t xml:space="preserve">Propane costs </w:t>
      </w:r>
      <w:r>
        <w:t>would be</w:t>
      </w:r>
      <w:r w:rsidR="00896C9C">
        <w:t xml:space="preserve"> estimated for each territory without natural gas service using a modified version of the methodology proposed by </w:t>
      </w:r>
      <w:r>
        <w:t>Cal Advocates</w:t>
      </w:r>
      <w:r w:rsidR="00896C9C">
        <w:t xml:space="preserve"> in their comments on the revised staff proposal.</w:t>
      </w:r>
      <w:r w:rsidR="00896C9C">
        <w:rPr>
          <w:rStyle w:val="FootnoteReference"/>
        </w:rPr>
        <w:footnoteReference w:id="119"/>
      </w:r>
    </w:p>
    <w:p w:rsidR="00201B55" w:rsidP="00896C9C" w:rsidRDefault="00201B55" w14:paraId="7D6EAC29" w14:textId="77777777">
      <w:r>
        <w:t>Cal Advocates’</w:t>
      </w:r>
      <w:r w:rsidR="00896C9C">
        <w:t xml:space="preserve"> proposed methodology for estimating propane costs calls for using the California Gas Report</w:t>
      </w:r>
      <w:r w:rsidR="00896C9C">
        <w:rPr>
          <w:rStyle w:val="FootnoteReference"/>
        </w:rPr>
        <w:footnoteReference w:id="120"/>
      </w:r>
      <w:r w:rsidR="00896C9C">
        <w:t xml:space="preserve"> to identify the British Thermal Units (BTU) of natural gas usage by a typical residential household, which would then be converted </w:t>
      </w:r>
      <w:r w:rsidR="00896C9C">
        <w:lastRenderedPageBreak/>
        <w:t xml:space="preserve">to an equivalent amount of propane. </w:t>
      </w:r>
      <w:r>
        <w:t xml:space="preserve"> </w:t>
      </w:r>
      <w:r w:rsidR="00896C9C">
        <w:t xml:space="preserve">The cost associated with this amount of propane would then be calculated using Energy Information Administration (EIA) data on recent propane costs. </w:t>
      </w:r>
      <w:r>
        <w:t xml:space="preserve"> </w:t>
      </w:r>
      <w:r w:rsidR="00896C9C">
        <w:t xml:space="preserve">This cost would be used as a substitute for the natural gas essential usage cost. </w:t>
      </w:r>
    </w:p>
    <w:p w:rsidR="00896C9C" w:rsidP="00201B55" w:rsidRDefault="00896C9C" w14:paraId="2A6EEC5B" w14:textId="2A9B45F1">
      <w:r>
        <w:t xml:space="preserve">However, </w:t>
      </w:r>
      <w:r w:rsidR="00201B55">
        <w:t xml:space="preserve">it appears that the California Gas Report only contains aggregate natural gas demand figures rather than per household figures.  It is proposed that </w:t>
      </w:r>
      <w:r>
        <w:t xml:space="preserve">the per household natural gas usage </w:t>
      </w:r>
      <w:r w:rsidR="00201B55">
        <w:t xml:space="preserve">be estimated by using per household figures from </w:t>
      </w:r>
      <w:r>
        <w:t>the nearest natural gas provider</w:t>
      </w:r>
      <w:r w:rsidR="00201B55">
        <w:t>.  The “nearest” natural gas provider would be determined by</w:t>
      </w:r>
      <w:r>
        <w:t xml:space="preserve"> the assigned electric climate zone for the area and the nearest natural gas provider to that electric climate zon</w:t>
      </w:r>
      <w:r w:rsidR="00201B55">
        <w:t>e</w:t>
      </w:r>
      <w:r>
        <w:t xml:space="preserve">. </w:t>
      </w:r>
      <w:r w:rsidR="00201B55">
        <w:t xml:space="preserve"> </w:t>
      </w:r>
      <w:r>
        <w:t xml:space="preserve">This per household natural gas amount </w:t>
      </w:r>
      <w:r w:rsidR="00201B55">
        <w:t>would</w:t>
      </w:r>
      <w:r>
        <w:t xml:space="preserve"> then </w:t>
      </w:r>
      <w:r w:rsidR="00201B55">
        <w:t xml:space="preserve">be </w:t>
      </w:r>
      <w:r>
        <w:t xml:space="preserve">converted from </w:t>
      </w:r>
      <w:proofErr w:type="spellStart"/>
      <w:r>
        <w:t>therms</w:t>
      </w:r>
      <w:proofErr w:type="spellEnd"/>
      <w:r>
        <w:t xml:space="preserve"> of natural gas to gallons of propane </w:t>
      </w:r>
      <w:r w:rsidR="00DC27EF">
        <w:br/>
      </w:r>
      <w:r>
        <w:t xml:space="preserve">(1 </w:t>
      </w:r>
      <w:proofErr w:type="spellStart"/>
      <w:r>
        <w:t>therm</w:t>
      </w:r>
      <w:proofErr w:type="spellEnd"/>
      <w:r>
        <w:t xml:space="preserve"> = 1.1 gallons of propane</w:t>
      </w:r>
      <w:r>
        <w:rPr>
          <w:rStyle w:val="FootnoteReference"/>
        </w:rPr>
        <w:footnoteReference w:id="121"/>
      </w:r>
      <w:r>
        <w:t xml:space="preserve">). </w:t>
      </w:r>
      <w:r w:rsidR="00201B55">
        <w:t xml:space="preserve"> </w:t>
      </w:r>
      <w:r>
        <w:t xml:space="preserve">Finally, EIA residential propane price data from </w:t>
      </w:r>
      <w:r w:rsidR="00201B55">
        <w:t>the previous calendar year</w:t>
      </w:r>
      <w:r>
        <w:t xml:space="preserve"> for the nearest available area (Rocky Mountain) </w:t>
      </w:r>
      <w:r w:rsidR="00201B55">
        <w:t>would be</w:t>
      </w:r>
      <w:r>
        <w:t xml:space="preserve"> averaged and applied to these propane quantities to estimate the monthly essential usage cost for propane.</w:t>
      </w:r>
      <w:r>
        <w:rPr>
          <w:rStyle w:val="FootnoteReference"/>
        </w:rPr>
        <w:footnoteReference w:id="122"/>
      </w:r>
    </w:p>
    <w:p w:rsidR="00896C9C" w:rsidP="00896C9C" w:rsidRDefault="00CF15C4" w14:paraId="7C6E239D" w14:textId="1A8CA493">
      <w:r>
        <w:t xml:space="preserve">This decision finds that it </w:t>
      </w:r>
      <w:r w:rsidR="5A3154D6">
        <w:t xml:space="preserve">is </w:t>
      </w:r>
      <w:r>
        <w:t xml:space="preserve">reasonable in principle to adopt a proxy value for </w:t>
      </w:r>
      <w:r w:rsidR="00A12DF0">
        <w:t>unavailable</w:t>
      </w:r>
      <w:r>
        <w:t xml:space="preserve"> natural gas price data, even though the exact methodology for determining the proxy value is not adopted at this time.  The proposed methodology outlined above should be refined in a later phase of this proceeding to determine if it is appropriate to use for calculating a proxy value for </w:t>
      </w:r>
      <w:r w:rsidR="00A12DF0">
        <w:t>unavailable</w:t>
      </w:r>
      <w:r>
        <w:t xml:space="preserve"> natural gas price data.</w:t>
      </w:r>
    </w:p>
    <w:p w:rsidR="00E77657" w:rsidP="0088113C" w:rsidRDefault="1973AEBE" w14:paraId="1FE01C8A" w14:textId="32EEB45D">
      <w:pPr>
        <w:pStyle w:val="Heading2"/>
        <w:numPr>
          <w:ilvl w:val="1"/>
          <w:numId w:val="2"/>
        </w:numPr>
      </w:pPr>
      <w:bookmarkStart w:name="_Toc40967154" w:id="49"/>
      <w:bookmarkStart w:name="_Toc46308193" w:id="50"/>
      <w:r>
        <w:lastRenderedPageBreak/>
        <w:t xml:space="preserve">Unavailable </w:t>
      </w:r>
      <w:r w:rsidR="00E77657">
        <w:t>Water Service Data</w:t>
      </w:r>
      <w:bookmarkEnd w:id="49"/>
      <w:bookmarkEnd w:id="50"/>
    </w:p>
    <w:p w:rsidR="00E77657" w:rsidP="00E77657" w:rsidRDefault="00E77657" w14:paraId="3EEC4746" w14:textId="609E7A0E">
      <w:pPr>
        <w:pStyle w:val="Standard"/>
      </w:pPr>
      <w:r>
        <w:t>Assuming that cost data on water well service would be helpful, UCAN recommends accessing publicly available data on well servicing and powering costs.</w:t>
      </w:r>
      <w:r>
        <w:rPr>
          <w:rStyle w:val="FootnoteReference"/>
        </w:rPr>
        <w:footnoteReference w:id="123"/>
      </w:r>
      <w:r w:rsidR="00052C1E">
        <w:t xml:space="preserve">  Cal Advocates does not recommend using nearby utility costs as a proxy, noting the </w:t>
      </w:r>
      <w:r w:rsidR="46ABC737">
        <w:t>w</w:t>
      </w:r>
      <w:r w:rsidR="00052C1E">
        <w:t>ide variation in water utility costs in a given geographic area.  Cal Advocates recommends greater analysis of the proxy value issue</w:t>
      </w:r>
      <w:r w:rsidR="004D71CC">
        <w:t xml:space="preserve"> before reaching a conclusion</w:t>
      </w:r>
      <w:r w:rsidR="00052C1E">
        <w:t>.</w:t>
      </w:r>
      <w:r w:rsidR="00052C1E">
        <w:rPr>
          <w:rStyle w:val="FootnoteReference"/>
        </w:rPr>
        <w:footnoteReference w:id="124"/>
      </w:r>
    </w:p>
    <w:p w:rsidR="00D858DD" w:rsidP="00D858DD" w:rsidRDefault="00D858DD" w14:paraId="53D78090" w14:textId="05B1201B">
      <w:r>
        <w:t>As noted previously, this decision does not ultimately define the proxy water service price that should be used where water service is unavailable.  However, the following proposed methodology for determining an essential water service price should be tested and refined in a later phase of this proceeding.</w:t>
      </w:r>
    </w:p>
    <w:p w:rsidR="00D858DD" w:rsidP="00D858DD" w:rsidRDefault="00D858DD" w14:paraId="042AA043" w14:textId="6F4794C5">
      <w:r>
        <w:t xml:space="preserve">In areas that are not served by a water system, Commission </w:t>
      </w:r>
      <w:r w:rsidR="003F5D9A">
        <w:t xml:space="preserve">staff </w:t>
      </w:r>
      <w:r>
        <w:t xml:space="preserve">should </w:t>
      </w:r>
      <w:proofErr w:type="gramStart"/>
      <w:r>
        <w:t>make the assumption</w:t>
      </w:r>
      <w:proofErr w:type="gramEnd"/>
      <w:r>
        <w:t xml:space="preserve"> that a representative household obtains water from a private domestic well.  Using UCAN’s recommendation as a starting point, Commission staff would calculate the approximate power costs for well pump operation.  This approach would estimate the amount of electricity used by a domestic well to pump six hundred cubic feet per month and multiply that amount of electricity by the rate for electricity </w:t>
      </w:r>
      <w:proofErr w:type="gramStart"/>
      <w:r>
        <w:t>in a given</w:t>
      </w:r>
      <w:proofErr w:type="gramEnd"/>
      <w:r>
        <w:t xml:space="preserve"> service area.  Residential flow requirements would be estimated as one gallon per minute for every fixture within a house.  Commission staff would assume that a typical three to four-bedroom household contains </w:t>
      </w:r>
      <w:r w:rsidR="00C81285">
        <w:br/>
      </w:r>
      <w:r>
        <w:t>12 fixtures, which would equal 12 gallons per minute.</w:t>
      </w:r>
      <w:r>
        <w:rPr>
          <w:rStyle w:val="FootnoteReference"/>
        </w:rPr>
        <w:footnoteReference w:id="125"/>
      </w:r>
      <w:r>
        <w:t xml:space="preserve">  </w:t>
      </w:r>
    </w:p>
    <w:p w:rsidR="00D858DD" w:rsidP="00D858DD" w:rsidRDefault="00D858DD" w14:paraId="64F0FA02" w14:textId="4EAD2F1B">
      <w:r>
        <w:lastRenderedPageBreak/>
        <w:t>Pump power would be estimated from a cross-section of commercially available submersible pumps that operate at 12 gallons per minute.</w:t>
      </w:r>
      <w:r>
        <w:rPr>
          <w:rStyle w:val="FootnoteReference"/>
        </w:rPr>
        <w:footnoteReference w:id="126"/>
      </w:r>
      <w:r>
        <w:t xml:space="preserve">  The electric rates would be calculated using the standard residential rates assigned to each climate zone, as in the calculation of electric essential service charges.  Additional costs for operation and maintenance may be considered as part of the development of this proxy value if such data becomes available.  </w:t>
      </w:r>
    </w:p>
    <w:p w:rsidR="00E77657" w:rsidP="0088113C" w:rsidRDefault="101C7AB3" w14:paraId="5366A176" w14:textId="2028A04F">
      <w:pPr>
        <w:pStyle w:val="Heading2"/>
        <w:numPr>
          <w:ilvl w:val="1"/>
          <w:numId w:val="2"/>
        </w:numPr>
      </w:pPr>
      <w:bookmarkStart w:name="_Toc40967155" w:id="51"/>
      <w:bookmarkStart w:name="_Toc46308194" w:id="52"/>
      <w:r>
        <w:t xml:space="preserve">Unavailable </w:t>
      </w:r>
      <w:r w:rsidR="00E77657">
        <w:t>Communications Service Data</w:t>
      </w:r>
      <w:bookmarkEnd w:id="51"/>
      <w:bookmarkEnd w:id="52"/>
    </w:p>
    <w:p w:rsidR="00E77657" w:rsidP="00D40A6B" w:rsidRDefault="00E77657" w14:paraId="3CD75D62" w14:textId="606B08F2">
      <w:pPr>
        <w:pStyle w:val="Standard"/>
      </w:pPr>
      <w:r>
        <w:t>UCAN recommends that if a customer does not have access to ILEC service (i.e., landline telephone service), Commission staff should estimate the cost of a basic package of mobile telephone service as a substitute.</w:t>
      </w:r>
      <w:r>
        <w:rPr>
          <w:rStyle w:val="FootnoteReference"/>
        </w:rPr>
        <w:footnoteReference w:id="127"/>
      </w:r>
      <w:r w:rsidR="007E3FE6">
        <w:t xml:space="preserve">  Cal Advocates recommends using a proxy value based on the </w:t>
      </w:r>
      <w:r w:rsidRPr="007E3FE6" w:rsidR="007E3FE6">
        <w:t>mean ILEC price from across California or the price of the ILEC closest to the area being analyzed</w:t>
      </w:r>
      <w:r w:rsidR="00033123">
        <w:t>, and does not recommend using wireless prices as a substitute as the services are different</w:t>
      </w:r>
      <w:r w:rsidR="007E3FE6">
        <w:t>.</w:t>
      </w:r>
      <w:r w:rsidR="007E3FE6">
        <w:rPr>
          <w:rStyle w:val="FootnoteReference"/>
        </w:rPr>
        <w:footnoteReference w:id="128"/>
      </w:r>
    </w:p>
    <w:p w:rsidR="00D40A6B" w:rsidP="00D40A6B" w:rsidRDefault="00D40A6B" w14:paraId="02819B81" w14:textId="519AC5F9">
      <w:r>
        <w:t xml:space="preserve">As described further below, there are two forms of communications service that is considered essential in the revised staff proposal: voice telephony and broadband communications.  Voice telephony prices are derived from the 14 ILECs who are required to file tariffs with the Commission annually.  </w:t>
      </w:r>
      <w:r w:rsidR="003F5D9A">
        <w:t>In a later phase of this proceeding, Commission staff should use t</w:t>
      </w:r>
      <w:r>
        <w:t xml:space="preserve">his data to impute a voice telephony essential usage price in the event there is </w:t>
      </w:r>
      <w:r w:rsidR="00A12DF0">
        <w:t>unavailable</w:t>
      </w:r>
      <w:r>
        <w:t xml:space="preserve"> voice telephony data.</w:t>
      </w:r>
    </w:p>
    <w:p w:rsidR="00832869" w:rsidP="00FD3BC3" w:rsidRDefault="0053243C" w14:paraId="285A84ED" w14:textId="780B42FD">
      <w:pPr>
        <w:ind w:right="720"/>
        <w:rPr>
          <w:rStyle w:val="CommentReference"/>
          <w:sz w:val="24"/>
          <w:szCs w:val="24"/>
        </w:rPr>
      </w:pPr>
      <w:r w:rsidRPr="007F0A0B">
        <w:rPr>
          <w:szCs w:val="26"/>
        </w:rPr>
        <w:t>As for broadband data</w:t>
      </w:r>
      <w:r w:rsidRPr="0034359C">
        <w:rPr>
          <w:szCs w:val="26"/>
        </w:rPr>
        <w:t xml:space="preserve">, </w:t>
      </w:r>
      <w:r w:rsidRPr="0034359C" w:rsidR="00CD0F78">
        <w:rPr>
          <w:szCs w:val="26"/>
        </w:rPr>
        <w:t xml:space="preserve">staff </w:t>
      </w:r>
      <w:r w:rsidR="0088113C">
        <w:rPr>
          <w:szCs w:val="26"/>
        </w:rPr>
        <w:t>obtained</w:t>
      </w:r>
      <w:r w:rsidRPr="00832869" w:rsidR="002B7252">
        <w:rPr>
          <w:szCs w:val="26"/>
        </w:rPr>
        <w:t xml:space="preserve"> price information from the </w:t>
      </w:r>
      <w:r w:rsidR="003461D2">
        <w:rPr>
          <w:szCs w:val="26"/>
        </w:rPr>
        <w:br/>
      </w:r>
      <w:r w:rsidRPr="00832869" w:rsidR="001B194F">
        <w:rPr>
          <w:szCs w:val="26"/>
        </w:rPr>
        <w:t>14 ILECs’</w:t>
      </w:r>
      <w:r w:rsidRPr="00C52B08" w:rsidR="001B194F">
        <w:rPr>
          <w:szCs w:val="26"/>
        </w:rPr>
        <w:t xml:space="preserve"> public-facing webpages</w:t>
      </w:r>
      <w:r w:rsidR="00A867C2">
        <w:rPr>
          <w:szCs w:val="26"/>
        </w:rPr>
        <w:t xml:space="preserve">, using the </w:t>
      </w:r>
      <w:r w:rsidR="002C0A2C">
        <w:rPr>
          <w:szCs w:val="26"/>
        </w:rPr>
        <w:t>cost of broadband offered at levels closest to 20 Mbps</w:t>
      </w:r>
      <w:r w:rsidR="00A867C2">
        <w:rPr>
          <w:szCs w:val="26"/>
        </w:rPr>
        <w:t xml:space="preserve"> / 3 Mbps.</w:t>
      </w:r>
      <w:r w:rsidRPr="00C52B08" w:rsidR="001B194F">
        <w:rPr>
          <w:szCs w:val="26"/>
        </w:rPr>
        <w:t xml:space="preserve"> </w:t>
      </w:r>
      <w:r w:rsidR="00717CCE">
        <w:rPr>
          <w:szCs w:val="26"/>
        </w:rPr>
        <w:t>Because</w:t>
      </w:r>
      <w:r w:rsidR="00361A1F">
        <w:rPr>
          <w:szCs w:val="26"/>
        </w:rPr>
        <w:t>,</w:t>
      </w:r>
      <w:r w:rsidR="00717CCE">
        <w:rPr>
          <w:szCs w:val="26"/>
        </w:rPr>
        <w:t xml:space="preserve"> at</w:t>
      </w:r>
      <w:r w:rsidR="00717CCE">
        <w:t xml:space="preserve"> this time, most ILECs’ offered </w:t>
      </w:r>
      <w:r w:rsidR="00717CCE">
        <w:lastRenderedPageBreak/>
        <w:t xml:space="preserve">levels of broadband that are closest to 20 Mbps / 3 Mbps are ones offered at </w:t>
      </w:r>
      <w:r w:rsidR="00BC729B">
        <w:br/>
      </w:r>
      <w:r w:rsidR="00717CCE">
        <w:t xml:space="preserve">25 Mbps / 3 Mbps or higher, those pricing data were used for the current affordability calculations. </w:t>
      </w:r>
      <w:r w:rsidR="00FD3BC3">
        <w:t xml:space="preserve"> </w:t>
      </w:r>
      <w:r w:rsidR="00A867C2">
        <w:rPr>
          <w:szCs w:val="26"/>
        </w:rPr>
        <w:t xml:space="preserve">Staff </w:t>
      </w:r>
      <w:r w:rsidR="003032DB">
        <w:rPr>
          <w:szCs w:val="26"/>
        </w:rPr>
        <w:t>also</w:t>
      </w:r>
      <w:r w:rsidR="0088113C">
        <w:rPr>
          <w:szCs w:val="26"/>
        </w:rPr>
        <w:t xml:space="preserve"> partnered</w:t>
      </w:r>
      <w:r w:rsidRPr="00C52B08" w:rsidR="00FF0EB7">
        <w:rPr>
          <w:szCs w:val="26"/>
        </w:rPr>
        <w:t xml:space="preserve"> </w:t>
      </w:r>
      <w:r w:rsidRPr="00C52B08" w:rsidR="00D45E43">
        <w:rPr>
          <w:szCs w:val="26"/>
        </w:rPr>
        <w:t xml:space="preserve">with </w:t>
      </w:r>
      <w:r w:rsidRPr="0088113C" w:rsidR="00D45E43">
        <w:rPr>
          <w:szCs w:val="26"/>
        </w:rPr>
        <w:t>the Communications Division’s Geographic Information Systems (GIS) team</w:t>
      </w:r>
      <w:r w:rsidRPr="0088113C" w:rsidR="007C5C8A">
        <w:rPr>
          <w:szCs w:val="26"/>
        </w:rPr>
        <w:t xml:space="preserve"> </w:t>
      </w:r>
      <w:r w:rsidRPr="007F0A0B" w:rsidR="00D61A8B">
        <w:rPr>
          <w:szCs w:val="26"/>
        </w:rPr>
        <w:t xml:space="preserve">to </w:t>
      </w:r>
      <w:r w:rsidRPr="0034359C" w:rsidR="00D61A8B">
        <w:rPr>
          <w:szCs w:val="26"/>
        </w:rPr>
        <w:t xml:space="preserve">include </w:t>
      </w:r>
      <w:r w:rsidRPr="0034359C" w:rsidR="00C97B4B">
        <w:rPr>
          <w:szCs w:val="26"/>
        </w:rPr>
        <w:t>price data for 20 Mbps / 3 Mbps in</w:t>
      </w:r>
      <w:r w:rsidR="009C608B">
        <w:rPr>
          <w:szCs w:val="26"/>
        </w:rPr>
        <w:t xml:space="preserve"> its annual</w:t>
      </w:r>
      <w:r w:rsidRPr="00832869" w:rsidR="007C5C8A">
        <w:rPr>
          <w:szCs w:val="26"/>
        </w:rPr>
        <w:t xml:space="preserve"> data request</w:t>
      </w:r>
      <w:r w:rsidRPr="00832869" w:rsidR="008549FA">
        <w:rPr>
          <w:szCs w:val="26"/>
        </w:rPr>
        <w:t xml:space="preserve"> </w:t>
      </w:r>
      <w:r w:rsidRPr="0088113C" w:rsidR="008549FA">
        <w:rPr>
          <w:szCs w:val="26"/>
        </w:rPr>
        <w:t>for broadband deployment and subscription data as of December 31, 2019</w:t>
      </w:r>
      <w:r w:rsidRPr="0088113C" w:rsidR="00D61637">
        <w:rPr>
          <w:szCs w:val="26"/>
        </w:rPr>
        <w:t>.</w:t>
      </w:r>
      <w:r w:rsidRPr="0088113C" w:rsidR="005A3E06">
        <w:rPr>
          <w:szCs w:val="26"/>
        </w:rPr>
        <w:t xml:space="preserve"> </w:t>
      </w:r>
      <w:r w:rsidR="0088113C">
        <w:rPr>
          <w:szCs w:val="26"/>
        </w:rPr>
        <w:t xml:space="preserve"> </w:t>
      </w:r>
      <w:r w:rsidR="001008D1">
        <w:rPr>
          <w:szCs w:val="26"/>
        </w:rPr>
        <w:t xml:space="preserve">The data request </w:t>
      </w:r>
      <w:r w:rsidR="0017614D">
        <w:rPr>
          <w:szCs w:val="26"/>
        </w:rPr>
        <w:t>asks</w:t>
      </w:r>
      <w:r w:rsidR="001008D1">
        <w:rPr>
          <w:szCs w:val="26"/>
        </w:rPr>
        <w:t>, “</w:t>
      </w:r>
      <w:r w:rsidRPr="00FD3BC3" w:rsidR="001008D1">
        <w:rPr>
          <w:szCs w:val="26"/>
        </w:rPr>
        <w:t xml:space="preserve">Please state what prices you have for a tier of broadband service around 20/3 (if you have a speed near 20 Mbps download and 3 Mbps upload).” </w:t>
      </w:r>
      <w:r w:rsidR="00FD3BC3">
        <w:rPr>
          <w:szCs w:val="26"/>
        </w:rPr>
        <w:t xml:space="preserve"> </w:t>
      </w:r>
      <w:r w:rsidRPr="0088113C" w:rsidR="007F0A0B">
        <w:rPr>
          <w:szCs w:val="26"/>
        </w:rPr>
        <w:t xml:space="preserve">With this effort, </w:t>
      </w:r>
      <w:r w:rsidRPr="0088113C" w:rsidR="00832869">
        <w:rPr>
          <w:szCs w:val="26"/>
        </w:rPr>
        <w:t>s</w:t>
      </w:r>
      <w:r w:rsidRPr="0088113C" w:rsidR="005A3E06">
        <w:rPr>
          <w:szCs w:val="26"/>
        </w:rPr>
        <w:t xml:space="preserve">taff </w:t>
      </w:r>
      <w:r w:rsidR="001433DA">
        <w:rPr>
          <w:szCs w:val="26"/>
        </w:rPr>
        <w:t xml:space="preserve">has </w:t>
      </w:r>
      <w:r w:rsidRPr="0088113C" w:rsidR="00323735">
        <w:rPr>
          <w:szCs w:val="26"/>
        </w:rPr>
        <w:t>obtain</w:t>
      </w:r>
      <w:r w:rsidR="0083131C">
        <w:rPr>
          <w:szCs w:val="26"/>
        </w:rPr>
        <w:t>ed</w:t>
      </w:r>
      <w:r w:rsidRPr="0088113C" w:rsidR="00323735">
        <w:rPr>
          <w:szCs w:val="26"/>
        </w:rPr>
        <w:t xml:space="preserve"> price data from at least 75 service providers</w:t>
      </w:r>
      <w:r w:rsidRPr="0088113C" w:rsidR="007F0A0B">
        <w:rPr>
          <w:szCs w:val="26"/>
        </w:rPr>
        <w:t>.</w:t>
      </w:r>
      <w:r w:rsidRPr="0088113C" w:rsidR="00C97B4B">
        <w:rPr>
          <w:rStyle w:val="CommentReference"/>
          <w:sz w:val="24"/>
          <w:szCs w:val="24"/>
        </w:rPr>
        <w:t xml:space="preserve"> </w:t>
      </w:r>
    </w:p>
    <w:p w:rsidR="00CB7FC2" w:rsidP="00E77657" w:rsidRDefault="000F0896" w14:paraId="7D4BDE5C" w14:textId="1D7E4510">
      <w:pPr>
        <w:pStyle w:val="Standard"/>
      </w:pPr>
      <w:r>
        <w:t xml:space="preserve">Although this decision </w:t>
      </w:r>
      <w:r w:rsidRPr="000F0896">
        <w:t>adopts</w:t>
      </w:r>
      <w:r w:rsidRPr="004A58F4">
        <w:t xml:space="preserve"> </w:t>
      </w:r>
      <w:r w:rsidRPr="00FD3BC3">
        <w:t>25 Mbps</w:t>
      </w:r>
      <w:r>
        <w:t xml:space="preserve"> / 3 Mbps for essential broadband communications service, staff </w:t>
      </w:r>
      <w:r w:rsidR="00B201C2">
        <w:t xml:space="preserve">will use the price data that </w:t>
      </w:r>
      <w:r>
        <w:t xml:space="preserve">the </w:t>
      </w:r>
      <w:r w:rsidR="00B201C2">
        <w:t xml:space="preserve">GIS team collected </w:t>
      </w:r>
      <w:r w:rsidR="004E415E">
        <w:t xml:space="preserve">in response to the data request question above </w:t>
      </w:r>
      <w:r w:rsidR="00B201C2">
        <w:t xml:space="preserve">at this time. </w:t>
      </w:r>
      <w:r w:rsidR="00FD3BC3">
        <w:t xml:space="preserve"> </w:t>
      </w:r>
      <w:r w:rsidR="00274199">
        <w:t>In t</w:t>
      </w:r>
      <w:r w:rsidR="00B201C2">
        <w:t xml:space="preserve">he next round of </w:t>
      </w:r>
      <w:r w:rsidR="004E415E">
        <w:t xml:space="preserve">the </w:t>
      </w:r>
      <w:r w:rsidR="00B201C2">
        <w:t>annual data request for broadband deployment and subscription data</w:t>
      </w:r>
      <w:r w:rsidR="004E415E">
        <w:t>, scheduled for</w:t>
      </w:r>
      <w:r w:rsidR="00B201C2">
        <w:t xml:space="preserve"> December 31</w:t>
      </w:r>
      <w:r w:rsidR="004E415E">
        <w:t xml:space="preserve"> of this year</w:t>
      </w:r>
      <w:r w:rsidR="00B201C2">
        <w:t xml:space="preserve">, </w:t>
      </w:r>
      <w:r w:rsidR="004E415E">
        <w:t xml:space="preserve">the </w:t>
      </w:r>
      <w:r w:rsidR="00B201C2">
        <w:t>GIS team will collect price data for 25 Mbps / 3 Mbps for future affordability calculations to be consistent with this decision.</w:t>
      </w:r>
      <w:r w:rsidDel="0038768E" w:rsidR="00B201C2">
        <w:t xml:space="preserve"> </w:t>
      </w:r>
    </w:p>
    <w:p w:rsidR="00821122" w:rsidP="0088113C" w:rsidRDefault="46C2EF6D" w14:paraId="4526D624" w14:textId="6BE64814">
      <w:pPr>
        <w:pStyle w:val="Heading2"/>
        <w:numPr>
          <w:ilvl w:val="1"/>
          <w:numId w:val="2"/>
        </w:numPr>
      </w:pPr>
      <w:bookmarkStart w:name="_Toc40967156" w:id="53"/>
      <w:bookmarkStart w:name="_Toc46308195" w:id="54"/>
      <w:r>
        <w:t xml:space="preserve">Unavailable </w:t>
      </w:r>
      <w:r w:rsidR="00821122">
        <w:t>Electric Service Data</w:t>
      </w:r>
      <w:bookmarkEnd w:id="53"/>
      <w:bookmarkEnd w:id="54"/>
    </w:p>
    <w:p w:rsidR="0098584D" w:rsidP="00D118E2" w:rsidRDefault="00821122" w14:paraId="4E4254BD" w14:textId="14ADE4BB">
      <w:pPr>
        <w:pStyle w:val="Standard"/>
      </w:pPr>
      <w:r>
        <w:t xml:space="preserve">SoCalGas and SDG&amp;E </w:t>
      </w:r>
      <w:r w:rsidRPr="00821122">
        <w:t>claimed</w:t>
      </w:r>
      <w:r>
        <w:t xml:space="preserve"> to have insufficient data to make a determination of the appropriate values, and therefore recommended removing customers with </w:t>
      </w:r>
      <w:r w:rsidR="00A12DF0">
        <w:t>unavailable</w:t>
      </w:r>
      <w:r>
        <w:t xml:space="preserve"> electric service from the calculation.</w:t>
      </w:r>
      <w:r>
        <w:rPr>
          <w:rStyle w:val="FootnoteReference"/>
        </w:rPr>
        <w:footnoteReference w:id="129"/>
      </w:r>
      <w:r w:rsidR="00626E2D">
        <w:t xml:space="preserve">  However, they recommend using proxy utility data from utilities in the same climate zone if necessary.</w:t>
      </w:r>
      <w:r w:rsidR="00626E2D">
        <w:rPr>
          <w:rStyle w:val="FootnoteReference"/>
        </w:rPr>
        <w:footnoteReference w:id="130"/>
      </w:r>
    </w:p>
    <w:p w:rsidR="0082619D" w:rsidP="00D118E2" w:rsidRDefault="0082619D" w14:paraId="6E2C83BE" w14:textId="33F901E9">
      <w:pPr>
        <w:pStyle w:val="Standard"/>
      </w:pPr>
      <w:proofErr w:type="gramStart"/>
      <w:r>
        <w:t>Subsequent to</w:t>
      </w:r>
      <w:proofErr w:type="gramEnd"/>
      <w:r>
        <w:t xml:space="preserve"> the release of the revised staff proposal, unavailable electric service data were uncovered by Commission staff.  These new data will be used when calculating the affordability metrics using the methodologies outlined in this </w:t>
      </w:r>
      <w:r>
        <w:lastRenderedPageBreak/>
        <w:t>decision.  Workpapers containing the new data will be released on the Commission’s affordability website.</w:t>
      </w:r>
    </w:p>
    <w:p w:rsidRPr="00645707" w:rsidR="00187B18" w:rsidP="0082619D" w:rsidRDefault="7A8FBA1E" w14:paraId="46E94C4D" w14:textId="5B5CC7B3">
      <w:pPr>
        <w:pStyle w:val="Standard"/>
        <w:numPr>
          <w:ilvl w:val="1"/>
          <w:numId w:val="2"/>
        </w:numPr>
      </w:pPr>
      <w:bookmarkStart w:name="_Toc40967157" w:id="55"/>
      <w:bookmarkStart w:name="_Toc46308196" w:id="56"/>
      <w:r w:rsidRPr="0082619D">
        <w:rPr>
          <w:rStyle w:val="Heading2Char"/>
        </w:rPr>
        <w:t>Exclusion of Low-Income Subsidy Programs</w:t>
      </w:r>
      <w:bookmarkEnd w:id="55"/>
      <w:bookmarkEnd w:id="56"/>
    </w:p>
    <w:p w:rsidRPr="00645707" w:rsidR="00187B18" w:rsidP="0082619D" w:rsidRDefault="7A8FBA1E" w14:paraId="3C102477" w14:textId="56C60F9C">
      <w:pPr>
        <w:rPr>
          <w:rFonts w:eastAsia="Book Antiqua" w:cs="Book Antiqua"/>
          <w:szCs w:val="26"/>
        </w:rPr>
      </w:pPr>
      <w:r w:rsidRPr="7A591E96">
        <w:rPr>
          <w:rFonts w:eastAsia="Book Antiqua" w:cs="Book Antiqua"/>
          <w:szCs w:val="26"/>
        </w:rPr>
        <w:t>SoCalGas and SDG&amp;E generally opposed the proposed quantification of essential utility services, saying that the value of providing the services was not adequately considered.  For example, they pointed to low-income bill reduction programs as a service that is missed by the proposed methodology, and therefore they are concerned that the AR and HM measurements would be larger than if measured in light of those programs.  They also argued that level pay programs and Food Bank rates should be considered for inclusion as utility rate benefits.</w:t>
      </w:r>
      <w:r w:rsidRPr="7A591E96">
        <w:rPr>
          <w:rFonts w:eastAsia="Book Antiqua" w:cs="Book Antiqua"/>
          <w:szCs w:val="26"/>
          <w:vertAlign w:val="superscript"/>
        </w:rPr>
        <w:t>87</w:t>
      </w:r>
      <w:r w:rsidRPr="7A591E96">
        <w:rPr>
          <w:rFonts w:eastAsia="Book Antiqua" w:cs="Book Antiqua"/>
          <w:szCs w:val="26"/>
        </w:rPr>
        <w:t xml:space="preserve">  PG&amp;E echoes these concerns,</w:t>
      </w:r>
      <w:r w:rsidRPr="7A591E96">
        <w:rPr>
          <w:rFonts w:eastAsia="Book Antiqua" w:cs="Book Antiqua"/>
          <w:szCs w:val="26"/>
          <w:vertAlign w:val="superscript"/>
        </w:rPr>
        <w:t>88</w:t>
      </w:r>
      <w:r w:rsidRPr="7A591E96">
        <w:rPr>
          <w:rFonts w:eastAsia="Book Antiqua" w:cs="Book Antiqua"/>
          <w:szCs w:val="26"/>
        </w:rPr>
        <w:t xml:space="preserve"> as does SCE.</w:t>
      </w:r>
      <w:r w:rsidRPr="7A591E96">
        <w:rPr>
          <w:rFonts w:eastAsia="Book Antiqua" w:cs="Book Antiqua"/>
          <w:szCs w:val="26"/>
          <w:vertAlign w:val="superscript"/>
        </w:rPr>
        <w:t>89</w:t>
      </w:r>
      <w:r w:rsidRPr="7A591E96">
        <w:rPr>
          <w:rFonts w:eastAsia="Book Antiqua" w:cs="Book Antiqua"/>
          <w:szCs w:val="26"/>
        </w:rPr>
        <w:t xml:space="preserve">  </w:t>
      </w:r>
      <w:proofErr w:type="spellStart"/>
      <w:r w:rsidRPr="7A591E96">
        <w:rPr>
          <w:rFonts w:eastAsia="Book Antiqua" w:cs="Book Antiqua"/>
          <w:szCs w:val="26"/>
        </w:rPr>
        <w:t>CalCCA</w:t>
      </w:r>
      <w:proofErr w:type="spellEnd"/>
      <w:r w:rsidRPr="7A591E96">
        <w:rPr>
          <w:rFonts w:eastAsia="Book Antiqua" w:cs="Book Antiqua"/>
          <w:szCs w:val="26"/>
        </w:rPr>
        <w:t xml:space="preserve"> also seeks the inclusion of low-income subsidy programs in the estimated cost of essential utility services.</w:t>
      </w:r>
      <w:r w:rsidRPr="7A591E96">
        <w:rPr>
          <w:rFonts w:eastAsia="Book Antiqua" w:cs="Book Antiqua"/>
          <w:szCs w:val="26"/>
          <w:vertAlign w:val="superscript"/>
        </w:rPr>
        <w:t>90</w:t>
      </w:r>
      <w:r w:rsidRPr="7A591E96">
        <w:rPr>
          <w:rFonts w:eastAsia="Book Antiqua" w:cs="Book Antiqua"/>
          <w:szCs w:val="26"/>
        </w:rPr>
        <w:t xml:space="preserve">  </w:t>
      </w:r>
      <w:proofErr w:type="spellStart"/>
      <w:r w:rsidRPr="7A591E96">
        <w:rPr>
          <w:rFonts w:eastAsia="Book Antiqua" w:cs="Book Antiqua"/>
          <w:szCs w:val="26"/>
        </w:rPr>
        <w:t>CforAT</w:t>
      </w:r>
      <w:proofErr w:type="spellEnd"/>
      <w:r w:rsidRPr="7A591E96">
        <w:rPr>
          <w:rFonts w:eastAsia="Book Antiqua" w:cs="Book Antiqua"/>
          <w:szCs w:val="26"/>
        </w:rPr>
        <w:t xml:space="preserve"> believes that essential utility service could usefully be calculated both including and excluding the benefits of low-income subsidy programs.</w:t>
      </w:r>
      <w:r w:rsidRPr="7A591E96">
        <w:rPr>
          <w:rFonts w:eastAsia="Book Antiqua" w:cs="Book Antiqua"/>
          <w:szCs w:val="26"/>
          <w:vertAlign w:val="superscript"/>
        </w:rPr>
        <w:t>91</w:t>
      </w:r>
    </w:p>
    <w:p w:rsidRPr="00645707" w:rsidR="00187B18" w:rsidP="7A591E96" w:rsidRDefault="7A8FBA1E" w14:paraId="4778F7EF" w14:textId="667B64C7">
      <w:pPr>
        <w:rPr>
          <w:rFonts w:eastAsia="Book Antiqua" w:cs="Book Antiqua"/>
          <w:szCs w:val="26"/>
        </w:rPr>
      </w:pPr>
      <w:r w:rsidRPr="7A591E96">
        <w:rPr>
          <w:rFonts w:eastAsia="Book Antiqua" w:cs="Book Antiqua"/>
          <w:szCs w:val="26"/>
        </w:rPr>
        <w:t>NDC responded that it was appropriate to exclude these subsidy programs from the affordability calculations, on the assumption that utility rates would be de facto unaffordable but for the application of the subsidy.  Including the subsidy would therefore give an inaccurate picture of whether the rate itself was affordable.</w:t>
      </w:r>
      <w:r w:rsidRPr="7A591E96">
        <w:rPr>
          <w:rFonts w:eastAsia="Book Antiqua" w:cs="Book Antiqua"/>
          <w:szCs w:val="26"/>
          <w:vertAlign w:val="superscript"/>
        </w:rPr>
        <w:t>92</w:t>
      </w:r>
      <w:r w:rsidRPr="7A591E96">
        <w:rPr>
          <w:rFonts w:eastAsia="Book Antiqua" w:cs="Book Antiqua"/>
          <w:szCs w:val="26"/>
        </w:rPr>
        <w:t xml:space="preserve">  </w:t>
      </w:r>
    </w:p>
    <w:p w:rsidRPr="00645707" w:rsidR="00187B18" w:rsidP="7A591E96" w:rsidRDefault="7A8FBA1E" w14:paraId="619A8C42" w14:textId="05FCAEE1">
      <w:pPr>
        <w:rPr>
          <w:rFonts w:eastAsia="Book Antiqua" w:cs="Book Antiqua"/>
          <w:szCs w:val="26"/>
        </w:rPr>
      </w:pPr>
      <w:r w:rsidRPr="7A591E96">
        <w:rPr>
          <w:rFonts w:eastAsia="Book Antiqua" w:cs="Book Antiqua"/>
          <w:szCs w:val="26"/>
        </w:rPr>
        <w:t xml:space="preserve">TURN similarly argues that low-income assistance programs are designed to address underlying affordability issues, and by excluding the benefits of this program the Commission </w:t>
      </w:r>
      <w:proofErr w:type="gramStart"/>
      <w:r w:rsidRPr="7A591E96">
        <w:rPr>
          <w:rFonts w:eastAsia="Book Antiqua" w:cs="Book Antiqua"/>
          <w:szCs w:val="26"/>
        </w:rPr>
        <w:t>is able to</w:t>
      </w:r>
      <w:proofErr w:type="gramEnd"/>
      <w:r w:rsidRPr="7A591E96">
        <w:rPr>
          <w:rFonts w:eastAsia="Book Antiqua" w:cs="Book Antiqua"/>
          <w:szCs w:val="26"/>
        </w:rPr>
        <w:t xml:space="preserve"> make a more honest assessment of the affordability of essential utility services.  TURN also points out that level pay plans do not actually change the underlying rate and annual bill impact, and therefore do not address the underlying affordability of rates, making such plans irrelevant to the affordability question.</w:t>
      </w:r>
      <w:r w:rsidRPr="7A591E96">
        <w:rPr>
          <w:rFonts w:eastAsia="Book Antiqua" w:cs="Book Antiqua"/>
          <w:szCs w:val="26"/>
          <w:vertAlign w:val="superscript"/>
        </w:rPr>
        <w:t>93</w:t>
      </w:r>
      <w:r w:rsidRPr="7A591E96">
        <w:rPr>
          <w:rFonts w:eastAsia="Book Antiqua" w:cs="Book Antiqua"/>
          <w:szCs w:val="26"/>
        </w:rPr>
        <w:t xml:space="preserve">  </w:t>
      </w:r>
    </w:p>
    <w:p w:rsidRPr="00645707" w:rsidR="00187B18" w:rsidP="7A591E96" w:rsidRDefault="7A8FBA1E" w14:paraId="2B5D78FC" w14:textId="02461B8E">
      <w:pPr>
        <w:rPr>
          <w:rFonts w:eastAsia="Book Antiqua" w:cs="Book Antiqua"/>
          <w:szCs w:val="26"/>
        </w:rPr>
      </w:pPr>
      <w:r w:rsidRPr="7A591E96">
        <w:rPr>
          <w:rFonts w:eastAsia="Book Antiqua" w:cs="Book Antiqua"/>
          <w:szCs w:val="26"/>
        </w:rPr>
        <w:t xml:space="preserve">It is important for the affordability metrics adopted by this decision to measure the relative affordability of the essential utility services in general, rather </w:t>
      </w:r>
      <w:r w:rsidRPr="7A591E96">
        <w:rPr>
          <w:rFonts w:eastAsia="Book Antiqua" w:cs="Book Antiqua"/>
          <w:szCs w:val="26"/>
        </w:rPr>
        <w:lastRenderedPageBreak/>
        <w:t>than assessing whether the services are affordable</w:t>
      </w:r>
      <w:r w:rsidRPr="7A591E96">
        <w:rPr>
          <w:rFonts w:eastAsia="Book Antiqua" w:cs="Book Antiqua"/>
          <w:color w:val="C239B3"/>
          <w:szCs w:val="26"/>
        </w:rPr>
        <w:t xml:space="preserve"> </w:t>
      </w:r>
      <w:r w:rsidRPr="0082619D">
        <w:rPr>
          <w:rFonts w:eastAsia="Book Antiqua" w:cs="Book Antiqua"/>
          <w:szCs w:val="26"/>
        </w:rPr>
        <w:t xml:space="preserve">or not </w:t>
      </w:r>
      <w:r w:rsidRPr="0082619D">
        <w:rPr>
          <w:rFonts w:eastAsia="Book Antiqua" w:cs="Book Antiqua"/>
          <w:i/>
          <w:iCs/>
          <w:szCs w:val="26"/>
        </w:rPr>
        <w:t>but for</w:t>
      </w:r>
      <w:r w:rsidRPr="0082619D">
        <w:rPr>
          <w:rFonts w:eastAsia="Book Antiqua" w:cs="Book Antiqua"/>
          <w:szCs w:val="26"/>
        </w:rPr>
        <w:t xml:space="preserve"> the existence of with </w:t>
      </w:r>
      <w:r w:rsidRPr="7A591E96">
        <w:rPr>
          <w:rFonts w:eastAsia="Book Antiqua" w:cs="Book Antiqua"/>
          <w:szCs w:val="26"/>
        </w:rPr>
        <w:t xml:space="preserve">low-income subsidy programs.  Removing the effect of low-income subsidy programs on the price of essential utility services simplifies the affordability calculation and comports with the scoping memo’s determination that the effectiveness of low-income subsidy programs should not be evaluated in this proceeding.  Including the effect of low-income subsidy programs would be a de facto evaluation of their impact on </w:t>
      </w:r>
      <w:proofErr w:type="gramStart"/>
      <w:r w:rsidRPr="7A591E96">
        <w:rPr>
          <w:rFonts w:eastAsia="Book Antiqua" w:cs="Book Antiqua"/>
          <w:szCs w:val="26"/>
        </w:rPr>
        <w:t>affordability, and</w:t>
      </w:r>
      <w:proofErr w:type="gramEnd"/>
      <w:r w:rsidRPr="7A591E96">
        <w:rPr>
          <w:rFonts w:eastAsia="Book Antiqua" w:cs="Book Antiqua"/>
          <w:szCs w:val="26"/>
        </w:rPr>
        <w:t xml:space="preserve"> would therefore conflict with the scoping memo’s ruling on this matter.</w:t>
      </w:r>
    </w:p>
    <w:p w:rsidRPr="00B67007" w:rsidR="7A591E96" w:rsidP="00014CAE" w:rsidRDefault="7A8FBA1E" w14:paraId="3BA915FF" w14:textId="1F36D82E">
      <w:r w:rsidRPr="7A591E96">
        <w:rPr>
          <w:rFonts w:eastAsia="Book Antiqua" w:cs="Book Antiqua"/>
          <w:szCs w:val="26"/>
        </w:rPr>
        <w:t xml:space="preserve">For these reasons, it is reasonable to exclude the effect of low-income subsidy programs from the calculation of the cost of essential utility services.  This does not mean that parties </w:t>
      </w:r>
      <w:r w:rsidR="00EC05D4">
        <w:rPr>
          <w:rFonts w:eastAsia="Book Antiqua" w:cs="Book Antiqua"/>
          <w:szCs w:val="26"/>
        </w:rPr>
        <w:t xml:space="preserve">cannot </w:t>
      </w:r>
      <w:r w:rsidRPr="7A591E96">
        <w:rPr>
          <w:rFonts w:eastAsia="Book Antiqua" w:cs="Book Antiqua"/>
          <w:szCs w:val="26"/>
        </w:rPr>
        <w:t xml:space="preserve"> us</w:t>
      </w:r>
      <w:r w:rsidR="00EC05D4">
        <w:rPr>
          <w:rFonts w:eastAsia="Book Antiqua" w:cs="Book Antiqua"/>
          <w:szCs w:val="26"/>
        </w:rPr>
        <w:t>e</w:t>
      </w:r>
      <w:r w:rsidRPr="7A591E96">
        <w:rPr>
          <w:rFonts w:eastAsia="Book Antiqua" w:cs="Book Antiqua"/>
          <w:szCs w:val="26"/>
        </w:rPr>
        <w:t xml:space="preserve"> the effect of low-income subsidy programs when interpreting the outputs of the affordability metrics as they might be used in other Commission proceedings</w:t>
      </w:r>
      <w:r w:rsidR="00EC05D4">
        <w:rPr>
          <w:rFonts w:eastAsia="Book Antiqua" w:cs="Book Antiqua"/>
          <w:szCs w:val="26"/>
        </w:rPr>
        <w:t>, or that the Commission itself will not consider th</w:t>
      </w:r>
      <w:r w:rsidR="00120783">
        <w:rPr>
          <w:rFonts w:eastAsia="Book Antiqua" w:cs="Book Antiqua"/>
          <w:szCs w:val="26"/>
        </w:rPr>
        <w:t xml:space="preserve">e effect </w:t>
      </w:r>
      <w:r w:rsidR="00EC5D99">
        <w:rPr>
          <w:rFonts w:eastAsia="Book Antiqua" w:cs="Book Antiqua"/>
          <w:szCs w:val="26"/>
        </w:rPr>
        <w:t xml:space="preserve">of </w:t>
      </w:r>
      <w:r w:rsidR="0089157B">
        <w:rPr>
          <w:rFonts w:eastAsia="Book Antiqua" w:cs="Book Antiqua"/>
          <w:szCs w:val="26"/>
        </w:rPr>
        <w:t xml:space="preserve">these programs when </w:t>
      </w:r>
      <w:r w:rsidR="008176F4">
        <w:rPr>
          <w:rFonts w:eastAsia="Book Antiqua" w:cs="Book Antiqua"/>
          <w:szCs w:val="26"/>
        </w:rPr>
        <w:t xml:space="preserve">evaluating </w:t>
      </w:r>
      <w:r w:rsidR="00691586">
        <w:rPr>
          <w:rFonts w:eastAsia="Book Antiqua" w:cs="Book Antiqua"/>
          <w:szCs w:val="26"/>
        </w:rPr>
        <w:t>the affordability metrics</w:t>
      </w:r>
      <w:r w:rsidRPr="7A591E96">
        <w:rPr>
          <w:rFonts w:eastAsia="Book Antiqua" w:cs="Book Antiqua"/>
          <w:szCs w:val="26"/>
        </w:rPr>
        <w:t>.</w:t>
      </w:r>
      <w:r w:rsidR="00F4083D">
        <w:rPr>
          <w:rFonts w:eastAsia="Book Antiqua" w:cs="Book Antiqua"/>
          <w:szCs w:val="26"/>
        </w:rPr>
        <w:t xml:space="preserve">  </w:t>
      </w:r>
      <w:r w:rsidRPr="00B67007" w:rsidR="00F4083D">
        <w:t>The Commission may in the future run sensitivity analyses where we calculate the affordability metrics with the utility costs adjusted for the existence of low-income subsidy programs. However, the base affordability metrics we adopt here today exclude these subsidy programs.</w:t>
      </w:r>
    </w:p>
    <w:p w:rsidR="00C341D6" w:rsidP="00C341D6" w:rsidRDefault="00C341D6" w14:paraId="2408B113" w14:textId="379567BC">
      <w:pPr>
        <w:pStyle w:val="Heading1"/>
        <w:numPr>
          <w:ilvl w:val="0"/>
          <w:numId w:val="2"/>
        </w:numPr>
      </w:pPr>
      <w:bookmarkStart w:name="_Toc40967158" w:id="57"/>
      <w:bookmarkStart w:name="_Toc46308197" w:id="58"/>
      <w:r>
        <w:t>Metric Methodologies</w:t>
      </w:r>
      <w:bookmarkEnd w:id="57"/>
      <w:bookmarkEnd w:id="58"/>
    </w:p>
    <w:p w:rsidR="00C341D6" w:rsidP="00C341D6" w:rsidRDefault="00C341D6" w14:paraId="4D8860B1" w14:textId="588A5CA3">
      <w:pPr>
        <w:pStyle w:val="Standard"/>
      </w:pPr>
      <w:r>
        <w:t>Independent of the issues surrounding the definition of essential utility service, the revised staff proposal and parties gave considerable attention to the question of how to calculate the various metrics, the data to be used, and how to forecast metric values for the future.  This section considers each of the questions in turn for each of the affordability metrics adopted by this decision.</w:t>
      </w:r>
    </w:p>
    <w:p w:rsidR="00C341D6" w:rsidP="00C341D6" w:rsidRDefault="001C0A1C" w14:paraId="4F10ABEF" w14:textId="43D0FA9C">
      <w:pPr>
        <w:pStyle w:val="Heading2"/>
        <w:numPr>
          <w:ilvl w:val="1"/>
          <w:numId w:val="2"/>
        </w:numPr>
      </w:pPr>
      <w:bookmarkStart w:name="_Toc40967159" w:id="59"/>
      <w:bookmarkStart w:name="_Toc46308198" w:id="60"/>
      <w:r>
        <w:t>HM</w:t>
      </w:r>
      <w:r w:rsidR="00C341D6">
        <w:t xml:space="preserve"> Methodology</w:t>
      </w:r>
      <w:bookmarkEnd w:id="59"/>
      <w:bookmarkEnd w:id="60"/>
    </w:p>
    <w:p w:rsidR="00292E25" w:rsidP="00C341D6" w:rsidRDefault="00292E25" w14:paraId="66843036" w14:textId="3A7DC262">
      <w:pPr>
        <w:pStyle w:val="Standard"/>
      </w:pPr>
      <w:r>
        <w:t xml:space="preserve">The revised staff proposal sets out a methodology for calculating the HM metric.  </w:t>
      </w:r>
      <w:r w:rsidRPr="00292E25">
        <w:t xml:space="preserve">The components to determine HM are the essential service charges and the </w:t>
      </w:r>
      <w:r w:rsidRPr="00292E25">
        <w:lastRenderedPageBreak/>
        <w:t>minimum wage for a specific area.</w:t>
      </w:r>
      <w:r>
        <w:t xml:space="preserve">  HM is calculated as the </w:t>
      </w:r>
      <w:r w:rsidR="00DE1837">
        <w:t xml:space="preserve">quotient </w:t>
      </w:r>
      <w:r>
        <w:t xml:space="preserve">of the division of the essential service charge for any given utility service by the </w:t>
      </w:r>
      <w:r w:rsidRPr="00292E25">
        <w:t xml:space="preserve">minimum wage for the </w:t>
      </w:r>
      <w:r>
        <w:t>area</w:t>
      </w:r>
      <w:r w:rsidRPr="00292E25">
        <w:t xml:space="preserve"> in which </w:t>
      </w:r>
      <w:r>
        <w:t xml:space="preserve">a </w:t>
      </w:r>
      <w:r w:rsidRPr="00292E25">
        <w:t>household resides</w:t>
      </w:r>
      <w:r>
        <w:t>.</w:t>
      </w:r>
      <w:r>
        <w:rPr>
          <w:rStyle w:val="FootnoteReference"/>
        </w:rPr>
        <w:footnoteReference w:id="131"/>
      </w:r>
      <w:r>
        <w:t xml:space="preserve">  </w:t>
      </w:r>
    </w:p>
    <w:p w:rsidR="00292E25" w:rsidP="00292E25" w:rsidRDefault="00292E25" w14:paraId="700FD638" w14:textId="3B59E47A">
      <w:pPr>
        <w:pStyle w:val="Standard"/>
      </w:pPr>
      <w:r>
        <w:t xml:space="preserve">While straightforward, the HM methodology does have some complexity surrounding the appropriate minimum wage to use in the calculation.  </w:t>
      </w:r>
      <w:r w:rsidR="004C6662">
        <w:t>Today</w:t>
      </w:r>
      <w:r>
        <w:t xml:space="preserve">, </w:t>
      </w:r>
      <w:r w:rsidRPr="00292E25">
        <w:t>California has two</w:t>
      </w:r>
      <w:r w:rsidR="004C6662">
        <w:t xml:space="preserve"> </w:t>
      </w:r>
      <w:r w:rsidR="00825328">
        <w:t xml:space="preserve">statewide </w:t>
      </w:r>
      <w:r w:rsidRPr="00292E25">
        <w:t xml:space="preserve">minimum wage standards: </w:t>
      </w:r>
      <w:r>
        <w:t xml:space="preserve">one </w:t>
      </w:r>
      <w:r w:rsidRPr="00292E25">
        <w:t xml:space="preserve">for employers with </w:t>
      </w:r>
      <w:r w:rsidR="007A5C00">
        <w:br/>
      </w:r>
      <w:r w:rsidRPr="00292E25">
        <w:t xml:space="preserve">25 employees or less, and </w:t>
      </w:r>
      <w:r>
        <w:t xml:space="preserve">one </w:t>
      </w:r>
      <w:r w:rsidRPr="00292E25">
        <w:t xml:space="preserve">for employers with 26 employees or more.  </w:t>
      </w:r>
      <w:r>
        <w:t xml:space="preserve">However, there is no real distinction between these statewide minimum wage standards.  </w:t>
      </w:r>
      <w:r w:rsidRPr="00292E25">
        <w:t xml:space="preserve">By January 1, 2023, </w:t>
      </w:r>
      <w:proofErr w:type="gramStart"/>
      <w:r w:rsidRPr="00292E25">
        <w:t>both of these</w:t>
      </w:r>
      <w:proofErr w:type="gramEnd"/>
      <w:r w:rsidRPr="00292E25">
        <w:t xml:space="preserve"> standards will be at $15 per hour.  </w:t>
      </w:r>
      <w:r>
        <w:t>I</w:t>
      </w:r>
      <w:r w:rsidRPr="00292E25">
        <w:t xml:space="preserve">n 2019 </w:t>
      </w:r>
      <w:r>
        <w:t xml:space="preserve">the minimum wage </w:t>
      </w:r>
      <w:r w:rsidRPr="00292E25">
        <w:t>was $1</w:t>
      </w:r>
      <w:r w:rsidR="00594E8D">
        <w:t>2</w:t>
      </w:r>
      <w:r w:rsidRPr="00292E25">
        <w:t xml:space="preserve"> per hour for both business sizes.   </w:t>
      </w:r>
    </w:p>
    <w:p w:rsidR="00825328" w:rsidP="00292E25" w:rsidRDefault="00825328" w14:paraId="725B2534" w14:textId="680C12F6">
      <w:pPr>
        <w:pStyle w:val="Standard"/>
      </w:pPr>
      <w:r>
        <w:t>The complexity arises when considering</w:t>
      </w:r>
      <w:r w:rsidRPr="00292E25" w:rsidR="00292E25">
        <w:t xml:space="preserve"> local municipalities and counties </w:t>
      </w:r>
      <w:r>
        <w:t>that have their own</w:t>
      </w:r>
      <w:r w:rsidRPr="00292E25" w:rsidR="00292E25">
        <w:t xml:space="preserve"> minimum wage rates.  </w:t>
      </w:r>
      <w:r w:rsidR="00011BA4">
        <w:t>In addition to these localized minimum wages, s</w:t>
      </w:r>
      <w:r w:rsidRPr="00292E25" w:rsidR="00292E25">
        <w:t xml:space="preserve">ome </w:t>
      </w:r>
      <w:r>
        <w:t>California</w:t>
      </w:r>
      <w:r w:rsidRPr="00292E25" w:rsidR="00292E25">
        <w:t xml:space="preserve"> municipalities also have different standards for employers with 25 employees or less and employers with 26 employees or more.   </w:t>
      </w:r>
    </w:p>
    <w:p w:rsidR="00C341D6" w:rsidP="00292E25" w:rsidRDefault="00292E25" w14:paraId="6162C6DE" w14:textId="667D6CB8">
      <w:pPr>
        <w:pStyle w:val="Standard"/>
      </w:pPr>
      <w:r w:rsidRPr="00292E25">
        <w:t>To compute HM</w:t>
      </w:r>
      <w:r w:rsidR="00825328">
        <w:t xml:space="preserve"> on an ongoing basis</w:t>
      </w:r>
      <w:r w:rsidRPr="00292E25">
        <w:t xml:space="preserve">, </w:t>
      </w:r>
      <w:r w:rsidR="00825328">
        <w:t>the staff proposes to access</w:t>
      </w:r>
      <w:r w:rsidR="00D730BE">
        <w:t>,</w:t>
      </w:r>
      <w:r w:rsidR="00825328">
        <w:t xml:space="preserve"> </w:t>
      </w:r>
      <w:r w:rsidR="00D730BE">
        <w:t xml:space="preserve">and refresh on a regular basis, </w:t>
      </w:r>
      <w:r w:rsidR="00825328">
        <w:t xml:space="preserve">data on the </w:t>
      </w:r>
      <w:r w:rsidRPr="00292E25">
        <w:t xml:space="preserve">different minimum wages </w:t>
      </w:r>
      <w:r w:rsidR="00825328">
        <w:t>applicable throughout</w:t>
      </w:r>
      <w:r w:rsidRPr="00292E25">
        <w:t xml:space="preserve"> California from the Labor Center at the University of California, Berkeley. </w:t>
      </w:r>
      <w:r w:rsidR="00825328">
        <w:t xml:space="preserve"> </w:t>
      </w:r>
      <w:r w:rsidRPr="00292E25">
        <w:t xml:space="preserve">In areas with two sets of minimum wage standards, staff </w:t>
      </w:r>
      <w:r w:rsidR="00D730BE">
        <w:t xml:space="preserve">propose to use </w:t>
      </w:r>
      <w:r w:rsidRPr="00292E25">
        <w:t xml:space="preserve">the lower of the two.  HM </w:t>
      </w:r>
      <w:r w:rsidR="00D730BE">
        <w:t xml:space="preserve">will then be </w:t>
      </w:r>
      <w:r w:rsidRPr="00292E25">
        <w:t>calculated independently for each combination of an essential service charge and minimum wage.</w:t>
      </w:r>
      <w:r w:rsidR="00D730BE">
        <w:rPr>
          <w:rStyle w:val="FootnoteReference"/>
        </w:rPr>
        <w:footnoteReference w:id="132"/>
      </w:r>
    </w:p>
    <w:p w:rsidR="002045EB" w:rsidP="00C341D6" w:rsidRDefault="002045EB" w14:paraId="52F958AD" w14:textId="514FC380">
      <w:pPr>
        <w:pStyle w:val="Standard"/>
      </w:pPr>
      <w:r>
        <w:t>Cal Advocates supported adopting the HM methodology as proposed by the revised staff proposal.</w:t>
      </w:r>
      <w:r>
        <w:rPr>
          <w:rStyle w:val="FootnoteReference"/>
        </w:rPr>
        <w:footnoteReference w:id="133"/>
      </w:r>
    </w:p>
    <w:p w:rsidR="00594E8D" w:rsidP="00C341D6" w:rsidRDefault="00594E8D" w14:paraId="7C0BD479" w14:textId="5C319D25">
      <w:pPr>
        <w:pStyle w:val="Standard"/>
      </w:pPr>
      <w:r>
        <w:lastRenderedPageBreak/>
        <w:t xml:space="preserve">The revised staff proposal’s recommended methodology accurately calculates the HM metric across a range of minimum wages and </w:t>
      </w:r>
      <w:proofErr w:type="gramStart"/>
      <w:r>
        <w:t>locations, and</w:t>
      </w:r>
      <w:proofErr w:type="gramEnd"/>
      <w:r>
        <w:t xml:space="preserve"> is unopposed.  For these reasons, the revised staff proposal’s recommended methodology for calculating the HM affordability metric is reasonable and should be adopted.</w:t>
      </w:r>
    </w:p>
    <w:p w:rsidR="00C341D6" w:rsidP="00C341D6" w:rsidRDefault="001C0A1C" w14:paraId="64E514E9" w14:textId="432B143B">
      <w:pPr>
        <w:pStyle w:val="Heading2"/>
        <w:numPr>
          <w:ilvl w:val="1"/>
          <w:numId w:val="2"/>
        </w:numPr>
      </w:pPr>
      <w:bookmarkStart w:name="_Toc40967160" w:id="61"/>
      <w:bookmarkStart w:name="_Toc46308199" w:id="62"/>
      <w:r>
        <w:t>SEVI Methodology</w:t>
      </w:r>
      <w:bookmarkEnd w:id="61"/>
      <w:bookmarkEnd w:id="62"/>
    </w:p>
    <w:p w:rsidR="00180E95" w:rsidP="00180E95" w:rsidRDefault="00180E95" w14:paraId="32EF45B3" w14:textId="12E4A58E">
      <w:pPr>
        <w:pStyle w:val="Standard"/>
      </w:pPr>
      <w:r>
        <w:t xml:space="preserve">The SEVI metric uses publicly available data obtained from the California Office of Environmental Health Hazard Assessment (OEHHA) that is updated periodically to measure the well-being of California communities.  SEVI </w:t>
      </w:r>
      <w:r w:rsidR="006318A2">
        <w:t>is constituted of</w:t>
      </w:r>
      <w:r>
        <w:t xml:space="preserve"> five factors (or “indicators”) that </w:t>
      </w:r>
      <w:r w:rsidR="006318A2">
        <w:t>can</w:t>
      </w:r>
      <w:r>
        <w:t xml:space="preserve"> be used to measure the socioeconomic vulnerability of a given census tract in the state.  These are: poverty, unemployment, educational attainment, linguistic isolation, and percent of income spent on housing.  The SEVI is usually presented as part of a publicly available tool known as </w:t>
      </w:r>
      <w:proofErr w:type="spellStart"/>
      <w:r>
        <w:t>CalEnviroScreen</w:t>
      </w:r>
      <w:proofErr w:type="spellEnd"/>
      <w:r>
        <w:t xml:space="preserve"> 3.0.</w:t>
      </w:r>
      <w:r>
        <w:rPr>
          <w:rStyle w:val="FootnoteReference"/>
        </w:rPr>
        <w:footnoteReference w:id="134"/>
      </w:r>
      <w:r w:rsidR="006318A2">
        <w:t xml:space="preserve">  The Commission and its staff are not involved in the calculation of the raw measurements of the five indicators used for SEVI.  OEHHA manages that process and is expected to do so in the future, although the raw scores are freely and publicly available.</w:t>
      </w:r>
    </w:p>
    <w:p w:rsidR="00180E95" w:rsidP="00180E95" w:rsidRDefault="00180E95" w14:paraId="026C5C33" w14:textId="78474F4C">
      <w:pPr>
        <w:pStyle w:val="Standard"/>
      </w:pPr>
      <w:r>
        <w:t xml:space="preserve">The revised staff proposal describes the calculation of </w:t>
      </w:r>
      <w:r w:rsidR="006318A2">
        <w:t xml:space="preserve">the recommended </w:t>
      </w:r>
      <w:r>
        <w:t xml:space="preserve">SEVI </w:t>
      </w:r>
      <w:r w:rsidR="006318A2">
        <w:t xml:space="preserve">metric </w:t>
      </w:r>
      <w:r>
        <w:t>in the following way:</w:t>
      </w:r>
    </w:p>
    <w:p w:rsidR="00180E95" w:rsidP="00694E73" w:rsidRDefault="00180E95" w14:paraId="465DDFEF" w14:textId="6A2D4D30">
      <w:pPr>
        <w:pStyle w:val="BlockQuote"/>
        <w:ind w:left="1440" w:right="1860"/>
      </w:pPr>
      <w:r w:rsidRPr="00180E95">
        <w:t>OEHHA collects data for each indicator and computes a raw score at the census tract scale.</w:t>
      </w:r>
      <w:r>
        <w:t xml:space="preserve"> </w:t>
      </w:r>
      <w:r w:rsidRPr="00180E95">
        <w:t xml:space="preserve"> Since each indicator is measured on a different scale, the raw scores are put in order from highest to lowest and then ranked by percentile where, for each indicator, 0 is “good” and 100 is “bad.”</w:t>
      </w:r>
      <w:r>
        <w:t xml:space="preserve">  </w:t>
      </w:r>
      <w:r w:rsidRPr="00180E95">
        <w:t xml:space="preserve">OEHHA collects data and computes these percentiles for a variety of indicators in developing its </w:t>
      </w:r>
      <w:proofErr w:type="spellStart"/>
      <w:r w:rsidRPr="00180E95">
        <w:t>CalEnviroScreen</w:t>
      </w:r>
      <w:proofErr w:type="spellEnd"/>
      <w:r w:rsidRPr="00180E95">
        <w:t xml:space="preserve"> score, but it specifically considers the five indicators chosen here as its socioeconomic components.   </w:t>
      </w:r>
    </w:p>
    <w:p w:rsidR="00180E95" w:rsidP="00694E73" w:rsidRDefault="00180E95" w14:paraId="3D4BC695" w14:textId="69982D20">
      <w:pPr>
        <w:pStyle w:val="BlockQuote"/>
        <w:ind w:left="1440" w:right="1860"/>
      </w:pPr>
      <w:r w:rsidRPr="00180E95">
        <w:lastRenderedPageBreak/>
        <w:t>The SEVI is calculated by averaging the percentiles</w:t>
      </w:r>
      <w:r>
        <w:t xml:space="preserve"> </w:t>
      </w:r>
      <w:r w:rsidRPr="00180E95">
        <w:t>of the five socioeconomic indicators (educational attainment, housing burden, linguistic isolation, poverty, and unemployment).  It is presented on a scale of 0 to 100 at the census tract scale, where 0 is considered the least socioeconomically vulnerable and 100 the most.</w:t>
      </w:r>
    </w:p>
    <w:p w:rsidR="00180E95" w:rsidP="00180E95" w:rsidRDefault="006318A2" w14:paraId="0E081FF6" w14:textId="087804FB">
      <w:pPr>
        <w:pStyle w:val="Standard"/>
      </w:pPr>
      <w:r>
        <w:t xml:space="preserve">Thus, the revised staff proposal recommends equally weighting the five SEVI indicators when calculating a total SEVI measurement for a given census tract in California.  </w:t>
      </w:r>
    </w:p>
    <w:p w:rsidR="001C0A1C" w:rsidP="00180E95" w:rsidRDefault="00180E95" w14:paraId="66B3E1F0" w14:textId="3005340F">
      <w:pPr>
        <w:pStyle w:val="Standard"/>
      </w:pPr>
      <w:r>
        <w:t xml:space="preserve">TURN supports the methodology for calculating SEVI, arguing that it </w:t>
      </w:r>
      <w:r w:rsidR="006318A2">
        <w:t xml:space="preserve">enhances </w:t>
      </w:r>
      <w:r>
        <w:t>transparency and accessibility</w:t>
      </w:r>
      <w:r w:rsidR="006318A2">
        <w:t>,</w:t>
      </w:r>
      <w:r>
        <w:t xml:space="preserve"> and ensures that the Commission’s preferred measure of economic vulnerability is freely available.  TURN also supports the leverage of existing census tract data at a high degree of granularity while applying equal weighting of the five economic vulnerability factors.</w:t>
      </w:r>
      <w:r>
        <w:rPr>
          <w:rStyle w:val="FootnoteReference"/>
        </w:rPr>
        <w:footnoteReference w:id="135"/>
      </w:r>
    </w:p>
    <w:p w:rsidR="005536E5" w:rsidP="00180E95" w:rsidRDefault="005536E5" w14:paraId="52AAE948" w14:textId="34EC5988">
      <w:pPr>
        <w:pStyle w:val="Standard"/>
      </w:pPr>
      <w:r>
        <w:t>The revised staff proposal’s recommended methodology for mapping the SEVI affordability metric accurately represents the socioeconomically vulnerable communities that will be most affected by affordability concerns and is unopposed.  For these reasons, the revised staff proposal’s recommended methodology for calculating and mapping the SEVI affordability metric is reasonable and should be adopted.</w:t>
      </w:r>
    </w:p>
    <w:p w:rsidR="006318A2" w:rsidP="008F7D4C" w:rsidRDefault="008F7D4C" w14:paraId="74B953FD" w14:textId="37632468">
      <w:pPr>
        <w:pStyle w:val="Heading2"/>
        <w:numPr>
          <w:ilvl w:val="1"/>
          <w:numId w:val="2"/>
        </w:numPr>
      </w:pPr>
      <w:bookmarkStart w:name="_Toc40967161" w:id="63"/>
      <w:bookmarkStart w:name="_Toc46308200" w:id="64"/>
      <w:r>
        <w:t>AR Methodology</w:t>
      </w:r>
      <w:bookmarkEnd w:id="63"/>
      <w:bookmarkEnd w:id="64"/>
    </w:p>
    <w:p w:rsidR="00724005" w:rsidP="008F7D4C" w:rsidRDefault="008F7D4C" w14:paraId="2DB3DDA5" w14:textId="535F34AC">
      <w:pPr>
        <w:pStyle w:val="Standard"/>
      </w:pPr>
      <w:r>
        <w:t>This proceeding contains substantial discussion and debate concerning the appropriate methodology for calculating the AR metric.</w:t>
      </w:r>
      <w:r w:rsidR="00C86598">
        <w:t xml:space="preserve">  </w:t>
      </w:r>
      <w:proofErr w:type="gramStart"/>
      <w:r w:rsidR="00724005">
        <w:t>In essence, the</w:t>
      </w:r>
      <w:proofErr w:type="gramEnd"/>
      <w:r w:rsidR="00724005">
        <w:t xml:space="preserve"> AR metric takes a household’s income, subtracts housing costs, and then divides essential utility service bills by this post-housing income number.  The AR metric can also deduct essential utility service costs from income</w:t>
      </w:r>
      <w:r w:rsidR="3B357663">
        <w:t xml:space="preserve"> rather than include them in the </w:t>
      </w:r>
      <w:r w:rsidR="3B357663">
        <w:lastRenderedPageBreak/>
        <w:t>metric’s numerator</w:t>
      </w:r>
      <w:r w:rsidR="00724005">
        <w:t xml:space="preserve"> to refine the AR to give a utility-specific result.  The task, then, </w:t>
      </w:r>
      <w:r w:rsidR="00415792">
        <w:t>is</w:t>
      </w:r>
      <w:r w:rsidR="00724005">
        <w:t xml:space="preserve"> to determine some method of reliably calculating these variables.</w:t>
      </w:r>
    </w:p>
    <w:p w:rsidR="00014CAE" w:rsidRDefault="009958F2" w14:paraId="0D46823A" w14:textId="77777777">
      <w:pPr>
        <w:pStyle w:val="Standard"/>
      </w:pPr>
      <w:r>
        <w:t xml:space="preserve">First, the AR calculation </w:t>
      </w:r>
      <w:r w:rsidR="00724005">
        <w:t>quantifies</w:t>
      </w:r>
      <w:r w:rsidRPr="00724005" w:rsidR="00724005">
        <w:t xml:space="preserve"> the essential service charge associated with each of the four utilities</w:t>
      </w:r>
      <w:r w:rsidR="00724005">
        <w:t xml:space="preserve"> (gas, electricity, water, and communications)</w:t>
      </w:r>
      <w:r w:rsidRPr="00724005" w:rsidR="00724005">
        <w:t xml:space="preserve">.  This </w:t>
      </w:r>
      <w:r w:rsidR="00724005">
        <w:t>entails</w:t>
      </w:r>
      <w:r w:rsidRPr="00724005" w:rsidR="00724005">
        <w:t xml:space="preserve"> identifying the relevant rate associated with each utility service for households located in a given geographic area, multiplying the rate by the usage level that has been identified as the essential usage quantity</w:t>
      </w:r>
      <w:r w:rsidR="00724005">
        <w:t xml:space="preserve"> (considered previously in this decision)</w:t>
      </w:r>
      <w:r w:rsidRPr="00724005" w:rsidR="00724005">
        <w:t>, and adding in any relevant fixed costs if applicable.</w:t>
      </w:r>
      <w:r w:rsidR="00992AF5">
        <w:t xml:space="preserve">  Where data is unavailable, Commission staff may use proxy values as discussed earlier in this decision</w:t>
      </w:r>
      <w:r w:rsidR="00014CAE">
        <w:t>.</w:t>
      </w:r>
    </w:p>
    <w:p w:rsidR="002A33CD" w:rsidP="00014CAE" w:rsidRDefault="00724005" w14:paraId="06E3B37D" w14:textId="4458CFF6">
      <w:pPr>
        <w:pStyle w:val="Standard"/>
      </w:pPr>
      <w:r>
        <w:t xml:space="preserve">Once the essential utility services costs variables are determined, the second step is to calculate household income and housing costs. </w:t>
      </w:r>
      <w:r w:rsidR="0088210D">
        <w:t xml:space="preserve"> </w:t>
      </w:r>
      <w:r w:rsidR="1039A05E">
        <w:t>Income and housing costs are assigned at the scale of the PUMA produced by the U.S. Census Bureau.  According to the U.S. Census Bureau, PUMAs are “statistical geographic areas defined for the dissemination of Public Use Microdata Sample (PUMS) data.”</w:t>
      </w:r>
      <w:r w:rsidRPr="7D21E9D8">
        <w:rPr>
          <w:rStyle w:val="FootnoteReference"/>
        </w:rPr>
        <w:footnoteReference w:id="136"/>
      </w:r>
      <w:r w:rsidR="1039A05E">
        <w:t xml:space="preserve">  There are 265 PUMAs in California, and these areas and their </w:t>
      </w:r>
      <w:r w:rsidR="5298D23F">
        <w:t xml:space="preserve">corresponding </w:t>
      </w:r>
      <w:r w:rsidR="1039A05E">
        <w:t xml:space="preserve"> PUMS data are u</w:t>
      </w:r>
      <w:r w:rsidR="2980EEFD">
        <w:t>sed</w:t>
      </w:r>
      <w:r w:rsidR="1039A05E">
        <w:t xml:space="preserve"> by staff in their AR proposals in this proceeding.  UCAN supports the use of PUMAs as the base geographic unit of AR analysis.</w:t>
      </w:r>
      <w:r w:rsidRPr="7D21E9D8">
        <w:rPr>
          <w:rStyle w:val="FootnoteReference"/>
        </w:rPr>
        <w:footnoteReference w:id="137"/>
      </w:r>
    </w:p>
    <w:p w:rsidR="002A33CD" w:rsidP="002A33CD" w:rsidRDefault="002A33CD" w14:paraId="4ECD3480" w14:textId="3EA184D6">
      <w:r>
        <w:t>The revised staff proposal recommended that, within each PUMA, household income for the 20</w:t>
      </w:r>
      <w:r w:rsidRPr="741BE351">
        <w:rPr>
          <w:vertAlign w:val="superscript"/>
        </w:rPr>
        <w:t>th</w:t>
      </w:r>
      <w:r>
        <w:t xml:space="preserve"> and 50</w:t>
      </w:r>
      <w:r w:rsidRPr="741BE351">
        <w:rPr>
          <w:vertAlign w:val="superscript"/>
        </w:rPr>
        <w:t>th</w:t>
      </w:r>
      <w:r>
        <w:t xml:space="preserve"> percentiles of the income distribution be calculated directly from the household-level income data</w:t>
      </w:r>
      <w:r w:rsidR="1275AEB2">
        <w:t xml:space="preserve"> in the PUMS</w:t>
      </w:r>
      <w:r>
        <w:t xml:space="preserve">.  Staff derived these values using the statistical package R (though the same results could be calculated </w:t>
      </w:r>
      <w:r>
        <w:lastRenderedPageBreak/>
        <w:t xml:space="preserve">using any statistical software package), </w:t>
      </w:r>
      <w:proofErr w:type="gramStart"/>
      <w:r>
        <w:t>taking into account</w:t>
      </w:r>
      <w:proofErr w:type="gramEnd"/>
      <w:r>
        <w:t xml:space="preserve"> the sample weights that were provided by the Census Bureau in the PUMS dataset.</w:t>
      </w:r>
    </w:p>
    <w:p w:rsidR="002A33CD" w:rsidP="002A33CD" w:rsidRDefault="002A33CD" w14:paraId="3163F7F4" w14:textId="483AA937">
      <w:r>
        <w:t>The revised staff proposal then recommended calculating the corresponding housing costs for each income level from the same PUMS datasets.  The goal was to understand housing costs that a household incurs regardless of whether the property is rented or owned.  To that end, staff recommend combining PUMS household-level data on rent, mortgage payments, and property tax payments into a single monthly housing cost variable so that housing costs could be compared on a common basis across all households.</w:t>
      </w:r>
      <w:r w:rsidR="5CD0C6A5">
        <w:t xml:space="preserve"> </w:t>
      </w:r>
      <w:r w:rsidR="00027A4E">
        <w:t xml:space="preserve"> </w:t>
      </w:r>
      <w:r w:rsidR="5CD0C6A5">
        <w:t>The PUMS dataset is central to the AR analysis at this stage because it provides household-level values for income and housing costs, which allows for calculation of AR</w:t>
      </w:r>
      <w:r w:rsidR="0201D0EA">
        <w:t xml:space="preserve"> at different income bands wit</w:t>
      </w:r>
      <w:r w:rsidR="05674579">
        <w:t>hin a given geography</w:t>
      </w:r>
      <w:r w:rsidR="0201D0EA">
        <w:t xml:space="preserve">. </w:t>
      </w:r>
      <w:r w:rsidR="00027A4E">
        <w:t xml:space="preserve"> </w:t>
      </w:r>
      <w:r w:rsidR="7C23824C">
        <w:t>If other applicable sources for income and housing become available, the PUMS may be repl</w:t>
      </w:r>
      <w:r w:rsidR="2D8A9BC9">
        <w:t>aced in future revisions of the AR calculation.</w:t>
      </w:r>
    </w:p>
    <w:p w:rsidR="002A33CD" w:rsidP="002A33CD" w:rsidRDefault="002A33CD" w14:paraId="632C233B" w14:textId="067495EF">
      <w:proofErr w:type="gramStart"/>
      <w:r>
        <w:t>In order to</w:t>
      </w:r>
      <w:proofErr w:type="gramEnd"/>
      <w:r>
        <w:t xml:space="preserve"> estimate the housing costs associated with households at a particular income level, </w:t>
      </w:r>
      <w:r w:rsidR="000B2AE7">
        <w:t xml:space="preserve">staff </w:t>
      </w:r>
      <w:r w:rsidR="00C431A7">
        <w:t xml:space="preserve">used </w:t>
      </w:r>
      <w:r>
        <w:t>a regression model that relate</w:t>
      </w:r>
      <w:r w:rsidR="000B2AE7">
        <w:t>d</w:t>
      </w:r>
      <w:r>
        <w:t xml:space="preserve"> average housing costs to income level within each PUMA. </w:t>
      </w:r>
      <w:r w:rsidR="000B2AE7">
        <w:t xml:space="preserve"> </w:t>
      </w:r>
      <w:r>
        <w:t xml:space="preserve">In the process of developing this model, </w:t>
      </w:r>
      <w:r w:rsidR="000B2AE7">
        <w:t>staff</w:t>
      </w:r>
      <w:r>
        <w:t xml:space="preserve"> determined that household size is an important variable that explains housing costs. </w:t>
      </w:r>
      <w:r w:rsidR="000B2AE7">
        <w:t xml:space="preserve"> </w:t>
      </w:r>
      <w:r>
        <w:t xml:space="preserve">This variable was also incorporated into the </w:t>
      </w:r>
      <w:r w:rsidR="000B2AE7">
        <w:t xml:space="preserve">staff’s </w:t>
      </w:r>
      <w:r>
        <w:t xml:space="preserve">regression model. </w:t>
      </w:r>
      <w:r w:rsidR="000B2AE7">
        <w:t xml:space="preserve"> </w:t>
      </w:r>
      <w:r>
        <w:t xml:space="preserve">However, rather than determine housing costs for various size households within each PUMA, the average household size for each PUMA was input in the regression model to calculate housing costs. </w:t>
      </w:r>
      <w:r w:rsidR="000B2AE7">
        <w:t xml:space="preserve"> </w:t>
      </w:r>
      <w:r>
        <w:t xml:space="preserve">In doing so, the effect of household size was separated from household income within each PUMA while still allowing for </w:t>
      </w:r>
      <w:r w:rsidR="00C86598">
        <w:br/>
      </w:r>
      <w:r>
        <w:t>inter-PUMA variation in average household size.</w:t>
      </w:r>
    </w:p>
    <w:p w:rsidR="002A33CD" w:rsidP="002A33CD" w:rsidRDefault="000B2AE7" w14:paraId="2F50753D" w14:textId="6205851D">
      <w:r>
        <w:t>Staff tested s</w:t>
      </w:r>
      <w:r w:rsidR="002A33CD">
        <w:t xml:space="preserve">everal regression models, with the final model given by the formula below. </w:t>
      </w:r>
      <w:r>
        <w:t xml:space="preserve"> </w:t>
      </w:r>
      <w:r w:rsidR="002A33CD">
        <w:t xml:space="preserve">The coefficients for this model were calculated for each PUMA separately based on the observed household-level data in the PUMS dataset, thus allowing for variation between PUMAs. </w:t>
      </w:r>
      <w:r>
        <w:t xml:space="preserve"> </w:t>
      </w:r>
      <w:r w:rsidR="002A33CD">
        <w:t xml:space="preserve">Because the focus of </w:t>
      </w:r>
      <w:r>
        <w:t>staff’s work was</w:t>
      </w:r>
      <w:r w:rsidR="002A33CD">
        <w:t xml:space="preserve"> on </w:t>
      </w:r>
      <w:r w:rsidR="002A33CD">
        <w:lastRenderedPageBreak/>
        <w:t>lower income households, extremely high</w:t>
      </w:r>
      <w:r w:rsidR="00F36B6D">
        <w:t>-</w:t>
      </w:r>
      <w:r w:rsidR="002A33CD">
        <w:t xml:space="preserve">income households were excluded from the coefficient calculation process (defined as households with incomes greater than five times the mean income for the PUMA). </w:t>
      </w:r>
      <w:r>
        <w:t xml:space="preserve"> </w:t>
      </w:r>
      <w:r w:rsidR="002A33CD">
        <w:t xml:space="preserve">This ensured that extremely </w:t>
      </w:r>
      <w:r w:rsidR="00D84528">
        <w:br/>
      </w:r>
      <w:r w:rsidR="002A33CD">
        <w:t>high</w:t>
      </w:r>
      <w:r>
        <w:t>-</w:t>
      </w:r>
      <w:r w:rsidR="002A33CD">
        <w:t>income households would not skew the regression outputs.</w:t>
      </w:r>
    </w:p>
    <w:p w:rsidRPr="000B2AE7" w:rsidR="002A33CD" w:rsidP="002A33CD" w:rsidRDefault="002A33CD" w14:paraId="3CAE60BB" w14:textId="39E36C49">
      <w:pPr>
        <w:jc w:val="center"/>
        <w:rPr>
          <w:rFonts w:eastAsiaTheme="minorEastAsia"/>
        </w:rPr>
      </w:pPr>
      <m:oMathPara>
        <m:oMath>
          <m:r>
            <w:rPr>
              <w:rFonts w:ascii="Cambria Math" w:hAnsi="Cambria Math"/>
            </w:rPr>
            <m:t>Housing Cost=a+b∙</m:t>
          </m:r>
          <m:rad>
            <m:radPr>
              <m:degHide m:val="1"/>
              <m:ctrlPr>
                <w:rPr>
                  <w:rFonts w:ascii="Cambria Math" w:hAnsi="Cambria Math"/>
                  <w:i/>
                </w:rPr>
              </m:ctrlPr>
            </m:radPr>
            <m:deg/>
            <m:e>
              <m:r>
                <w:rPr>
                  <w:rFonts w:ascii="Cambria Math" w:hAnsi="Cambria Math"/>
                </w:rPr>
                <m:t>Household Income</m:t>
              </m:r>
            </m:e>
          </m:rad>
          <m:r>
            <w:rPr>
              <w:rFonts w:ascii="Cambria Math" w:hAnsi="Cambria Math"/>
            </w:rPr>
            <m:t>+c∙Household Size</m:t>
          </m:r>
        </m:oMath>
      </m:oMathPara>
    </w:p>
    <w:p w:rsidR="00610448" w:rsidP="00610448" w:rsidRDefault="00610448" w14:paraId="55B25C14" w14:textId="4B006A18">
      <w:r w:rsidRPr="003B1DAF">
        <w:t xml:space="preserve">Variables a, b, and c </w:t>
      </w:r>
      <w:r>
        <w:t xml:space="preserve">in the formula above </w:t>
      </w:r>
      <w:r w:rsidRPr="003B1DAF">
        <w:t xml:space="preserve">are the regression coefficients, which quantify the relationship between housing cost and the predictors of housing cost (the PUMA-specific baseline housing cost, household income, and household size, respectively). </w:t>
      </w:r>
      <w:r>
        <w:t xml:space="preserve"> </w:t>
      </w:r>
      <w:r w:rsidRPr="003B1DAF">
        <w:t xml:space="preserve">These variables indicate how housing costs change as household size and household income increase or </w:t>
      </w:r>
      <w:proofErr w:type="gramStart"/>
      <w:r w:rsidRPr="003B1DAF">
        <w:t>decrease, and</w:t>
      </w:r>
      <w:proofErr w:type="gramEnd"/>
      <w:r w:rsidRPr="003B1DAF">
        <w:t xml:space="preserve"> are estimated for each PUMA individually based on the household-level data in the PUMS dataset.</w:t>
      </w:r>
    </w:p>
    <w:p w:rsidR="002A33CD" w:rsidP="002A33CD" w:rsidRDefault="00B97B97" w14:paraId="08C1A8EC" w14:textId="317A7A49">
      <w:r>
        <w:t>Staff then used t</w:t>
      </w:r>
      <w:r w:rsidR="002A33CD">
        <w:t>his model to estimate housing costs for households at the 20</w:t>
      </w:r>
      <w:r w:rsidRPr="0031680B" w:rsidR="002A33CD">
        <w:rPr>
          <w:vertAlign w:val="superscript"/>
        </w:rPr>
        <w:t>th</w:t>
      </w:r>
      <w:r w:rsidR="002A33CD">
        <w:t xml:space="preserve"> and 50</w:t>
      </w:r>
      <w:r w:rsidRPr="0031680B" w:rsidR="002A33CD">
        <w:rPr>
          <w:vertAlign w:val="superscript"/>
        </w:rPr>
        <w:t>th</w:t>
      </w:r>
      <w:r w:rsidR="002A33CD">
        <w:t xml:space="preserve"> percentiles of the income distribution</w:t>
      </w:r>
      <w:r>
        <w:t xml:space="preserve"> </w:t>
      </w:r>
      <w:proofErr w:type="gramStart"/>
      <w:r w:rsidRPr="00610448">
        <w:t>in a given</w:t>
      </w:r>
      <w:proofErr w:type="gramEnd"/>
      <w:r w:rsidRPr="00610448">
        <w:t xml:space="preserve"> PUMA</w:t>
      </w:r>
      <w:r w:rsidR="002A33CD">
        <w:t xml:space="preserve">. </w:t>
      </w:r>
      <w:r>
        <w:t xml:space="preserve"> </w:t>
      </w:r>
      <w:r w:rsidR="002A33CD">
        <w:t xml:space="preserve">It is worth noting that these estimates are for the average housing cost for households at a given income level. </w:t>
      </w:r>
      <w:r>
        <w:t xml:space="preserve"> </w:t>
      </w:r>
      <w:r w:rsidR="002A33CD">
        <w:t xml:space="preserve">Because </w:t>
      </w:r>
      <w:r>
        <w:t>staff observed</w:t>
      </w:r>
      <w:r w:rsidR="002A33CD">
        <w:t xml:space="preserve"> a great deal of variance in housing costs within each PUMA, individual households may have very different costs even at similar income levels. </w:t>
      </w:r>
      <w:r>
        <w:t xml:space="preserve"> Nevertheless, staff recommended using these estimates </w:t>
      </w:r>
      <w:proofErr w:type="gramStart"/>
      <w:r>
        <w:t>in order to</w:t>
      </w:r>
      <w:proofErr w:type="gramEnd"/>
      <w:r>
        <w:t xml:space="preserve"> illustrate</w:t>
      </w:r>
      <w:r w:rsidR="002A33CD">
        <w:t xml:space="preserve"> how housing costs vary between PUMAs, </w:t>
      </w:r>
      <w:r>
        <w:t>and therefore</w:t>
      </w:r>
      <w:r w:rsidR="002A33CD">
        <w:t xml:space="preserve"> estimate how affordability varies </w:t>
      </w:r>
      <w:r w:rsidR="21862523">
        <w:t>among</w:t>
      </w:r>
      <w:r w:rsidR="002A33CD">
        <w:t xml:space="preserve"> different parts of </w:t>
      </w:r>
      <w:r>
        <w:t>California</w:t>
      </w:r>
      <w:r w:rsidR="002A33CD">
        <w:t>.</w:t>
      </w:r>
    </w:p>
    <w:p w:rsidR="00923A63" w:rsidP="008F7D4C" w:rsidRDefault="00923A63" w14:paraId="0DC53756" w14:textId="37359EC6">
      <w:pPr>
        <w:pStyle w:val="Standard"/>
      </w:pPr>
      <w:r>
        <w:t>Once household income after housing costs is calculated, the AR metric simply measures the ratio between any given essential utility service cost and that household income</w:t>
      </w:r>
      <w:r w:rsidR="5981B638">
        <w:t xml:space="preserve"> after housing costs</w:t>
      </w:r>
      <w:r>
        <w:t xml:space="preserve"> (minus other essential utility services not being measured).</w:t>
      </w:r>
    </w:p>
    <w:p w:rsidR="00923A63" w:rsidP="00923A63" w:rsidRDefault="00923A63" w14:paraId="689BA6E2" w14:textId="2A605858">
      <w:pPr>
        <w:pStyle w:val="Heading3"/>
        <w:numPr>
          <w:ilvl w:val="2"/>
          <w:numId w:val="2"/>
        </w:numPr>
      </w:pPr>
      <w:bookmarkStart w:name="_Toc40967162" w:id="65"/>
      <w:bookmarkStart w:name="_Toc46308201" w:id="66"/>
      <w:r>
        <w:lastRenderedPageBreak/>
        <w:t>Using a Regression to Estimate Household Income and Housing Costs</w:t>
      </w:r>
      <w:bookmarkEnd w:id="65"/>
      <w:bookmarkEnd w:id="66"/>
    </w:p>
    <w:p w:rsidR="00923A63" w:rsidP="00923A63" w:rsidRDefault="00923A63" w14:paraId="4D29FFDC" w14:textId="00CE4F8C">
      <w:pPr>
        <w:pStyle w:val="Standard"/>
      </w:pPr>
      <w:r>
        <w:t>As described above, staff recommend using a straight-forward regression to estimate household income and housing costs for a given income level in each PUMA under consideration.</w:t>
      </w:r>
    </w:p>
    <w:p w:rsidR="00923A63" w:rsidP="00923A63" w:rsidRDefault="00923A63" w14:paraId="05CE6BC1" w14:textId="318876C7">
      <w:pPr>
        <w:pStyle w:val="Standard"/>
      </w:pPr>
      <w:r>
        <w:t xml:space="preserve">TURN generally supports the </w:t>
      </w:r>
      <w:proofErr w:type="gramStart"/>
      <w:r>
        <w:t>approach, but</w:t>
      </w:r>
      <w:proofErr w:type="gramEnd"/>
      <w:r>
        <w:t xml:space="preserve"> notes that </w:t>
      </w:r>
      <w:r w:rsidR="00731170">
        <w:t xml:space="preserve">it </w:t>
      </w:r>
      <w:r>
        <w:t>ha</w:t>
      </w:r>
      <w:r w:rsidR="00731170">
        <w:t>s</w:t>
      </w:r>
      <w:r>
        <w:t xml:space="preserve"> not completely validated the analysis presented by the revised staff proposal.  TURN expresses concern that the regression model recommended by staff may not adequately account for high housing costs in California.  As a result, TURN recommends that any AR figure be viewed alongside HM and SEVI measurements to give a holistic picture of affordability for households with incomes below $100,000 per year.</w:t>
      </w:r>
      <w:r>
        <w:rPr>
          <w:rStyle w:val="FootnoteReference"/>
        </w:rPr>
        <w:footnoteReference w:id="138"/>
      </w:r>
    </w:p>
    <w:p w:rsidR="00ED4EFC" w:rsidP="00ED4EFC" w:rsidRDefault="00ED4EFC" w14:paraId="19EDEC4C" w14:textId="42B21C5C">
      <w:pPr>
        <w:pStyle w:val="Standard"/>
      </w:pPr>
      <w:r>
        <w:t>SoCalGas and SDG&amp;E noted that the wide variance in housing costs observed for single income levels in many PUMAs means that the regression’s output would vary widely for a given income level.  This may mean that AR measurements for a PUMA could vary over time but not in a way that was signaling any real movement in the metric.  SoCalGas and SDG&amp;E argued that th</w:t>
      </w:r>
      <w:r w:rsidR="7CA20E74">
        <w:t>e</w:t>
      </w:r>
      <w:r>
        <w:t xml:space="preserve"> “regression model’s bias and precision should be evaluated by Staff in more detail to determine the significance of this heterogeneity issue” and that staff revert to the original staff proposal’s methodology if necessary.</w:t>
      </w:r>
      <w:r>
        <w:rPr>
          <w:rStyle w:val="FootnoteReference"/>
        </w:rPr>
        <w:footnoteReference w:id="139"/>
      </w:r>
    </w:p>
    <w:p w:rsidR="002D42FE" w:rsidP="00ED4EFC" w:rsidRDefault="002D42FE" w14:paraId="6C7F112C" w14:textId="03D59DFB">
      <w:pPr>
        <w:pStyle w:val="Standard"/>
      </w:pPr>
      <w:r>
        <w:t xml:space="preserve">SCE recommended defining an “essential” level of housing to maintain consistency with the essential utility services being compared.  SCE also requested that the </w:t>
      </w:r>
      <w:r w:rsidRPr="002D42FE">
        <w:t xml:space="preserve">“metric calculation be formalized in an open-source statistical programming language that may be published online and distributed freely along with underlying </w:t>
      </w:r>
      <w:r w:rsidRPr="002D42FE">
        <w:lastRenderedPageBreak/>
        <w:t>data sources</w:t>
      </w:r>
      <w:r>
        <w:t>.”</w:t>
      </w:r>
      <w:r>
        <w:rPr>
          <w:rStyle w:val="FootnoteReference"/>
        </w:rPr>
        <w:footnoteReference w:id="140"/>
      </w:r>
      <w:r>
        <w:t xml:space="preserve">  </w:t>
      </w:r>
      <w:r w:rsidR="00851EBD">
        <w:t>TURN believes that SCE’s argument that an “essential” level of housing should be considered is absurd.</w:t>
      </w:r>
      <w:r w:rsidR="00851EBD">
        <w:rPr>
          <w:rStyle w:val="FootnoteReference"/>
        </w:rPr>
        <w:footnoteReference w:id="141"/>
      </w:r>
    </w:p>
    <w:p w:rsidR="00B20B00" w:rsidP="00ED4EFC" w:rsidRDefault="00B20B00" w14:paraId="30950483" w14:textId="2ABA0900">
      <w:pPr>
        <w:pStyle w:val="Standard"/>
      </w:pPr>
      <w:r>
        <w:t>Cal Advocates support</w:t>
      </w:r>
      <w:r w:rsidR="00962145">
        <w:t>s</w:t>
      </w:r>
      <w:r>
        <w:t xml:space="preserve"> the new regression technique, but </w:t>
      </w:r>
      <w:r w:rsidR="00962145">
        <w:t xml:space="preserve">seeks </w:t>
      </w:r>
      <w:r>
        <w:t xml:space="preserve">two clarifications: 1) </w:t>
      </w:r>
      <w:r w:rsidRPr="00B20B00">
        <w:t>details about the factors that went into generating individual-level income estimates, and whether non-wage earnings, capital gains, or public assistance form part of the income total</w:t>
      </w:r>
      <w:r>
        <w:t xml:space="preserve">, and 2) </w:t>
      </w:r>
      <w:r w:rsidR="007379AD">
        <w:t xml:space="preserve">the costs and public availability of </w:t>
      </w:r>
      <w:r w:rsidRPr="007379AD" w:rsidR="007379AD">
        <w:t>custom Census crosstabulations for housing costs by income quintile</w:t>
      </w:r>
      <w:r w:rsidR="007379AD">
        <w:t xml:space="preserve"> to be used in place of regression outputs.  Cal Advocates also recommend</w:t>
      </w:r>
      <w:r w:rsidR="00181A43">
        <w:t>s</w:t>
      </w:r>
      <w:r w:rsidR="007379AD">
        <w:t xml:space="preserve"> validating the regression results to see if it was even necessary to purchase more refined Census data.</w:t>
      </w:r>
      <w:r w:rsidR="007379AD">
        <w:rPr>
          <w:rStyle w:val="FootnoteReference"/>
        </w:rPr>
        <w:footnoteReference w:id="142"/>
      </w:r>
      <w:r w:rsidR="00D64830">
        <w:t xml:space="preserve">  NDC supports this proposal.</w:t>
      </w:r>
      <w:r w:rsidR="00D64830">
        <w:rPr>
          <w:rStyle w:val="FootnoteReference"/>
        </w:rPr>
        <w:footnoteReference w:id="143"/>
      </w:r>
    </w:p>
    <w:p w:rsidR="0040135D" w:rsidP="00ED4EFC" w:rsidRDefault="0040135D" w14:paraId="5FC481CC" w14:textId="291031D1">
      <w:pPr>
        <w:pStyle w:val="Standard"/>
      </w:pPr>
      <w:r>
        <w:t xml:space="preserve">PG&amp;E does not support the new regression technique and recommends instead that the Commission adopt the original staff proposal’s method of </w:t>
      </w:r>
      <w:r w:rsidR="00B46D79">
        <w:t>calculating household income and housing costs.  PG&amp;E argues that there is too much uncertainty introduced by the regression method, and that it will lead to potentially inaccurate measurements of AR.</w:t>
      </w:r>
      <w:r w:rsidR="00B46D79">
        <w:rPr>
          <w:rStyle w:val="FootnoteReference"/>
        </w:rPr>
        <w:footnoteReference w:id="144"/>
      </w:r>
    </w:p>
    <w:p w:rsidR="00FA34FD" w:rsidP="00ED4EFC" w:rsidRDefault="00FA34FD" w14:paraId="6D53E369" w14:textId="3DF81699">
      <w:pPr>
        <w:pStyle w:val="Standard"/>
      </w:pPr>
      <w:r>
        <w:t xml:space="preserve">NDC does not support the new regression method for calculating housing costs at certain income levels.  </w:t>
      </w:r>
      <w:r w:rsidR="00367322">
        <w:t xml:space="preserve">It </w:t>
      </w:r>
      <w:r>
        <w:t>argue</w:t>
      </w:r>
      <w:r w:rsidR="00367322">
        <w:t>s</w:t>
      </w:r>
      <w:r>
        <w:t xml:space="preserve"> that it is not clear that housing costs are </w:t>
      </w:r>
      <w:proofErr w:type="gramStart"/>
      <w:r>
        <w:t>actually correlated</w:t>
      </w:r>
      <w:proofErr w:type="gramEnd"/>
      <w:r>
        <w:t xml:space="preserve"> to household income, and that household size may not be constant between income levels.</w:t>
      </w:r>
      <w:r w:rsidR="008A24FC">
        <w:t xml:space="preserve">  Using the regression method as proposed may, in NDC’s view, lead to inaccurate affordability measurements.</w:t>
      </w:r>
      <w:r>
        <w:rPr>
          <w:rStyle w:val="FootnoteReference"/>
        </w:rPr>
        <w:footnoteReference w:id="145"/>
      </w:r>
      <w:r>
        <w:t xml:space="preserve">  </w:t>
      </w:r>
    </w:p>
    <w:p w:rsidR="00E556AF" w:rsidP="00923A63" w:rsidRDefault="00E556AF" w14:paraId="74E8FF80" w14:textId="73F40062">
      <w:pPr>
        <w:pStyle w:val="Standard"/>
      </w:pPr>
      <w:r>
        <w:lastRenderedPageBreak/>
        <w:t xml:space="preserve">UCAN </w:t>
      </w:r>
      <w:r w:rsidR="00D40FE9">
        <w:t>does not object to the regression technique in principle, but argues that there are inherent limitations in the data and that the model should be tested against real-world examples of housing costs in areas of the state to test its accuracy.</w:t>
      </w:r>
      <w:r w:rsidR="00D40FE9">
        <w:rPr>
          <w:rStyle w:val="FootnoteReference"/>
        </w:rPr>
        <w:footnoteReference w:id="146"/>
      </w:r>
      <w:r w:rsidR="00E9369D">
        <w:t xml:space="preserve">  Nevertheless, UCAN ultimately concludes that the “</w:t>
      </w:r>
      <w:r w:rsidRPr="00E9369D" w:rsidR="00E9369D">
        <w:t>staff's housing cost proposal does a reasonable job of estimating overall housing costs in the state</w:t>
      </w:r>
      <w:r w:rsidR="00E9369D">
        <w:t>.”</w:t>
      </w:r>
      <w:r w:rsidR="00E9369D">
        <w:rPr>
          <w:rStyle w:val="FootnoteReference"/>
        </w:rPr>
        <w:footnoteReference w:id="147"/>
      </w:r>
    </w:p>
    <w:p w:rsidR="006B4B6D" w:rsidP="00923A63" w:rsidRDefault="006B4B6D" w14:paraId="5C66B8D1" w14:textId="7F90FEB5">
      <w:pPr>
        <w:pStyle w:val="Standard"/>
      </w:pPr>
      <w:proofErr w:type="spellStart"/>
      <w:r>
        <w:t>CforAT</w:t>
      </w:r>
      <w:proofErr w:type="spellEnd"/>
      <w:r>
        <w:t xml:space="preserve"> ha</w:t>
      </w:r>
      <w:r w:rsidR="008C48A2">
        <w:t>s</w:t>
      </w:r>
      <w:r>
        <w:t xml:space="preserve"> some concerns about the regression approach, noting that it may not accurately depict the housing cost for customers at the observed income levels.  While </w:t>
      </w:r>
      <w:proofErr w:type="spellStart"/>
      <w:r>
        <w:t>CforAT</w:t>
      </w:r>
      <w:proofErr w:type="spellEnd"/>
      <w:r>
        <w:t xml:space="preserve"> does not offer an alternative methodology, </w:t>
      </w:r>
      <w:r w:rsidR="00CD5A3B">
        <w:t xml:space="preserve">it </w:t>
      </w:r>
      <w:r>
        <w:t>recommend</w:t>
      </w:r>
      <w:r w:rsidR="00CD5A3B">
        <w:t>s</w:t>
      </w:r>
      <w:r>
        <w:t xml:space="preserve"> that staff note the potential inaccuracy of the outputs and take into consideration that there may be households at the observed income levels with greater housing cost burdens then reflected in the ratio.</w:t>
      </w:r>
      <w:r>
        <w:rPr>
          <w:rStyle w:val="FootnoteReference"/>
        </w:rPr>
        <w:footnoteReference w:id="148"/>
      </w:r>
    </w:p>
    <w:p w:rsidR="00D46694" w:rsidP="00D46694" w:rsidRDefault="00D46694" w14:paraId="6354DC2A" w14:textId="78885791">
      <w:pPr>
        <w:pStyle w:val="Standard"/>
      </w:pPr>
      <w:r>
        <w:t>The Small LECs argue that staff’s workpapers are insufficient to determine if the regression model is reliable.  In particular, they state that the example scatterplot in the revised staff proposal is “far from a perfect fit and other model specifications might fit better.”</w:t>
      </w:r>
      <w:r>
        <w:rPr>
          <w:rStyle w:val="FootnoteReference"/>
        </w:rPr>
        <w:footnoteReference w:id="149"/>
      </w:r>
      <w:r>
        <w:t xml:space="preserve">  </w:t>
      </w:r>
      <w:r w:rsidRPr="003E2387">
        <w:t>The Small LECs also query whether staff imputed a rent value for occupant-owned housing to defray the investment cost of a mortgage principal payment</w:t>
      </w:r>
      <w:r>
        <w:t>.  Given some limitations of the approach, the Small LECs argue that AR should therefore solely be used as a guideline in Commission decision-making.</w:t>
      </w:r>
      <w:r>
        <w:rPr>
          <w:rStyle w:val="FootnoteReference"/>
        </w:rPr>
        <w:footnoteReference w:id="150"/>
      </w:r>
    </w:p>
    <w:p w:rsidR="001021D5" w:rsidP="00D46694" w:rsidRDefault="001021D5" w14:paraId="2F2F20B2" w14:textId="3A7AC437">
      <w:pPr>
        <w:pStyle w:val="Standard"/>
      </w:pPr>
      <w:proofErr w:type="spellStart"/>
      <w:r>
        <w:t>CalCCA</w:t>
      </w:r>
      <w:proofErr w:type="spellEnd"/>
      <w:r>
        <w:t xml:space="preserve"> believe</w:t>
      </w:r>
      <w:r w:rsidR="0044382D">
        <w:t>s</w:t>
      </w:r>
      <w:r>
        <w:t xml:space="preserve"> the regression model </w:t>
      </w:r>
      <w:r w:rsidR="0044382D">
        <w:t xml:space="preserve">is </w:t>
      </w:r>
      <w:r>
        <w:t xml:space="preserve">an improvement over the previous </w:t>
      </w:r>
      <w:proofErr w:type="gramStart"/>
      <w:r>
        <w:t>method, and</w:t>
      </w:r>
      <w:proofErr w:type="gramEnd"/>
      <w:r>
        <w:t xml:space="preserve"> recommend</w:t>
      </w:r>
      <w:r w:rsidR="0044382D">
        <w:t>s</w:t>
      </w:r>
      <w:r>
        <w:t xml:space="preserve"> that any output used by the model evaluate whether to </w:t>
      </w:r>
      <w:r>
        <w:lastRenderedPageBreak/>
        <w:t>use increased household size and report on errors and correlation coefficients associated with the outputs.</w:t>
      </w:r>
      <w:r>
        <w:rPr>
          <w:rStyle w:val="FootnoteReference"/>
        </w:rPr>
        <w:footnoteReference w:id="151"/>
      </w:r>
    </w:p>
    <w:p w:rsidR="00D84673" w:rsidP="00D84673" w:rsidRDefault="00040D55" w14:paraId="4695D558" w14:textId="2ABAE872">
      <w:r>
        <w:t xml:space="preserve">The revised staff proposal’s regression approach for calculating housing costs is reasonable and should be adopted.  </w:t>
      </w:r>
      <w:bookmarkStart w:name="_Hlk37063876" w:id="67"/>
      <w:r>
        <w:t xml:space="preserve">In response to those arguments in favor of reverting to the approach used by the original staff proposal, the housing cost estimation methodology put forward in the original staff proposal does not </w:t>
      </w:r>
      <w:r w:rsidR="00CC3D7B">
        <w:t xml:space="preserve">appear to control for the large degree of variance in housing costs within each PUMA any more </w:t>
      </w:r>
      <w:r>
        <w:t xml:space="preserve">than the regression approach </w:t>
      </w:r>
      <w:r w:rsidR="00CC3D7B">
        <w:t>in the revised staff proposal</w:t>
      </w:r>
      <w:r>
        <w:t xml:space="preserve">.  Even though the original staff proposal’s methodology only uses data for a 10% band of the income distribution (thus discarding the data for the remainder of the distribution), </w:t>
      </w:r>
      <w:r w:rsidRPr="00CC3D7B">
        <w:t>there is still a large degree of housing cost variance within that subset of the data for each PUMA</w:t>
      </w:r>
      <w:bookmarkEnd w:id="67"/>
      <w:r w:rsidRPr="00CC3D7B">
        <w:t xml:space="preserve">.  </w:t>
      </w:r>
      <w:bookmarkStart w:name="_Hlk37921551" w:id="68"/>
      <w:r w:rsidR="00D84673">
        <w:t xml:space="preserve">For example, in PUMA 101 in California, </w:t>
      </w:r>
      <w:r w:rsidRPr="00D84673" w:rsidR="00D84673">
        <w:t xml:space="preserve">households </w:t>
      </w:r>
      <w:r w:rsidR="00D84673">
        <w:t>between the 15</w:t>
      </w:r>
      <w:r w:rsidRPr="00D84673" w:rsidR="00D84673">
        <w:rPr>
          <w:vertAlign w:val="superscript"/>
        </w:rPr>
        <w:t>th</w:t>
      </w:r>
      <w:r w:rsidR="00D84673">
        <w:t xml:space="preserve"> and 25</w:t>
      </w:r>
      <w:r w:rsidRPr="00D84673" w:rsidR="00D84673">
        <w:rPr>
          <w:vertAlign w:val="superscript"/>
        </w:rPr>
        <w:t>th</w:t>
      </w:r>
      <w:r w:rsidR="00D84673">
        <w:t xml:space="preserve"> income percentiles </w:t>
      </w:r>
      <w:r w:rsidRPr="00D84673" w:rsidR="00D84673">
        <w:t>display a wide degree of variation in housing costs with a range of approximately $4000/month</w:t>
      </w:r>
      <w:r w:rsidR="00D84673">
        <w:t>.</w:t>
      </w:r>
      <w:r w:rsidRPr="00D84673" w:rsidR="00D84673">
        <w:t xml:space="preserve"> </w:t>
      </w:r>
      <w:bookmarkEnd w:id="68"/>
      <w:r w:rsidR="00D84673">
        <w:t xml:space="preserve"> </w:t>
      </w:r>
      <w:r w:rsidRPr="00CC3D7B">
        <w:t>A</w:t>
      </w:r>
      <w:r w:rsidR="00D84673">
        <w:t xml:space="preserve"> full description of this example</w:t>
      </w:r>
      <w:r w:rsidR="00DB0275">
        <w:t xml:space="preserve"> in</w:t>
      </w:r>
      <w:r w:rsidR="00D84673">
        <w:t xml:space="preserve"> housing cost </w:t>
      </w:r>
      <w:r w:rsidRPr="00CC3D7B">
        <w:t>variance within a PUMA is attached as Appendix B</w:t>
      </w:r>
      <w:r>
        <w:t xml:space="preserve">.  </w:t>
      </w:r>
    </w:p>
    <w:p w:rsidR="00040D55" w:rsidP="00040D55" w:rsidRDefault="00040D55" w14:paraId="32B1065A" w14:textId="0AC6224E">
      <w:r>
        <w:t xml:space="preserve">Therefore, simply taking an average of those housing costs as recommended by the original staff proposal does not </w:t>
      </w:r>
      <w:r w:rsidR="008066F7">
        <w:t xml:space="preserve">necessarily </w:t>
      </w:r>
      <w:r>
        <w:t xml:space="preserve">do a better job of controlling for the variance than the methodology put forward in the revised </w:t>
      </w:r>
      <w:r w:rsidR="008066F7">
        <w:t>staff proposal</w:t>
      </w:r>
      <w:r>
        <w:t xml:space="preserve">.  It is simply another method for approximating average housing costs for households at a given income level, </w:t>
      </w:r>
      <w:r w:rsidR="0014581D">
        <w:t xml:space="preserve">and in contrast to the revised staff proposal’s regression approach, it </w:t>
      </w:r>
      <w:r>
        <w:t>does not utilize the full set of housing cost data</w:t>
      </w:r>
      <w:r w:rsidR="0014581D">
        <w:t xml:space="preserve"> </w:t>
      </w:r>
      <w:r w:rsidRPr="0045370A" w:rsidR="0014581D">
        <w:t>in a given PUMA</w:t>
      </w:r>
      <w:r>
        <w:t>.</w:t>
      </w:r>
    </w:p>
    <w:p w:rsidRPr="0014581D" w:rsidR="00111273" w:rsidP="0014581D" w:rsidRDefault="0014581D" w14:paraId="7979F153" w14:textId="2740BD1C">
      <w:r>
        <w:t xml:space="preserve">The housing cost for a given household’s income level in a PUMA is required </w:t>
      </w:r>
      <w:proofErr w:type="gramStart"/>
      <w:r>
        <w:t>in order to</w:t>
      </w:r>
      <w:proofErr w:type="gramEnd"/>
      <w:r>
        <w:t xml:space="preserve"> complete an AR calculation.  The record of this proceeding reflects that housing cost data, even for a definite income level </w:t>
      </w:r>
      <w:proofErr w:type="gramStart"/>
      <w:r>
        <w:t>in a given</w:t>
      </w:r>
      <w:proofErr w:type="gramEnd"/>
      <w:r>
        <w:t xml:space="preserve"> PUMA, is variable.  In order to complete an AR </w:t>
      </w:r>
      <w:proofErr w:type="gramStart"/>
      <w:r>
        <w:t>calculation</w:t>
      </w:r>
      <w:proofErr w:type="gramEnd"/>
      <w:r>
        <w:t xml:space="preserve"> it is therefore necessary to estimate the housing </w:t>
      </w:r>
      <w:r>
        <w:lastRenderedPageBreak/>
        <w:t xml:space="preserve">cost for a given income level given the variance in the data. </w:t>
      </w:r>
      <w:r w:rsidR="00EDEA77">
        <w:t>The observed variance in housing cost</w:t>
      </w:r>
      <w:r w:rsidR="0C943A02">
        <w:t>s</w:t>
      </w:r>
      <w:r w:rsidR="00EDEA77">
        <w:t xml:space="preserve"> in the PUMS data does not </w:t>
      </w:r>
      <w:r w:rsidR="240F88EE">
        <w:t>discredit the accuracy of the estimated housing cost produced by the regression model, since the est</w:t>
      </w:r>
      <w:r w:rsidR="7D7B65B0">
        <w:t>imate is intended to be a characterization of the average value paid by households of a given income level.</w:t>
      </w:r>
      <w:r w:rsidR="4E4A231C">
        <w:t xml:space="preserve"> </w:t>
      </w:r>
      <w:r w:rsidR="00027A4E">
        <w:t xml:space="preserve"> </w:t>
      </w:r>
      <w:r w:rsidR="7D7B65B0">
        <w:t>Since the goal of this metric is to ch</w:t>
      </w:r>
      <w:r w:rsidR="0E7ECD6F">
        <w:t xml:space="preserve">aracterize affordability for </w:t>
      </w:r>
      <w:r w:rsidR="68F0473F">
        <w:t>a representative</w:t>
      </w:r>
      <w:r w:rsidR="0E7ECD6F">
        <w:t xml:space="preserve"> household of a given socioeconomic status, and the regression model produces an unbiased esti</w:t>
      </w:r>
      <w:r w:rsidR="27A44DD4">
        <w:t xml:space="preserve">mate of the average housing cost, it is </w:t>
      </w:r>
      <w:r w:rsidR="0A344DF0">
        <w:t xml:space="preserve">justifiable </w:t>
      </w:r>
      <w:r w:rsidR="27A44DD4">
        <w:t xml:space="preserve">to </w:t>
      </w:r>
      <w:r w:rsidR="49B637A7">
        <w:t>use these estimates to characterize the affordability for a specific geographic area.</w:t>
      </w:r>
      <w:r>
        <w:t xml:space="preserve"> </w:t>
      </w:r>
      <w:r w:rsidR="00027A4E">
        <w:t xml:space="preserve"> </w:t>
      </w:r>
      <w:r>
        <w:t>The revised staff proposal’s regression approach is a reasonable method of estimating such costs, notwithstanding the limitations granted by staff.  Future implementation of the AR metric will seek to refine the estimates provided by the regression approach.  For these reasons, the regression approach for estimating housing costs to be used in the AR metric calculation is reasonable and should be adopted.</w:t>
      </w:r>
    </w:p>
    <w:p w:rsidR="00C46F6A" w:rsidP="00C46F6A" w:rsidRDefault="006A5508" w14:paraId="2D8F989D" w14:textId="0B30BBBF">
      <w:pPr>
        <w:pStyle w:val="Heading3"/>
        <w:numPr>
          <w:ilvl w:val="2"/>
          <w:numId w:val="2"/>
        </w:numPr>
      </w:pPr>
      <w:bookmarkStart w:name="_Toc40967163" w:id="69"/>
      <w:bookmarkStart w:name="_Toc46308202" w:id="70"/>
      <w:r>
        <w:t xml:space="preserve">Aggregation: Solving the </w:t>
      </w:r>
      <w:r w:rsidR="00C46F6A">
        <w:t>Mismatch Between PUMA Boundaries and Utility Boundaries</w:t>
      </w:r>
      <w:r w:rsidR="00671BA1">
        <w:t>, and Between Utility Boundaries Themselves</w:t>
      </w:r>
      <w:bookmarkEnd w:id="69"/>
      <w:bookmarkEnd w:id="70"/>
    </w:p>
    <w:p w:rsidR="00C46F6A" w:rsidP="00C46F6A" w:rsidRDefault="00C46F6A" w14:paraId="0FE277B4" w14:textId="0E1B1744">
      <w:pPr>
        <w:pStyle w:val="Standard"/>
      </w:pPr>
      <w:r>
        <w:t xml:space="preserve">One of the issues confronted by staff in their development of an AR methodology was the mismatch in some cases between the boundaries of the area with the underlying income and housing cost data (the PUMA) and the boundaries of the utility service territory where </w:t>
      </w:r>
      <w:r w:rsidR="00671BA1">
        <w:t>the calculations of essential service charges are made.  The effect of this mismatch was to make it difficult to develop consistent variables to use to determine AR.</w:t>
      </w:r>
    </w:p>
    <w:p w:rsidR="00671BA1" w:rsidP="00C46F6A" w:rsidRDefault="00671BA1" w14:paraId="10AF8F2B" w14:textId="77777777">
      <w:pPr>
        <w:pStyle w:val="Standard"/>
      </w:pPr>
      <w:r>
        <w:t>Staff also noted that:</w:t>
      </w:r>
    </w:p>
    <w:p w:rsidR="0026798E" w:rsidP="006E4AA4" w:rsidRDefault="00671BA1" w14:paraId="71374B7C" w14:textId="77777777">
      <w:pPr>
        <w:pStyle w:val="BlockQuote"/>
        <w:ind w:left="1440" w:right="1858"/>
      </w:pPr>
      <w:r w:rsidRPr="00671BA1">
        <w:t>To complicate things further, service territory boundaries for the various types of utilities overlap with one another as well.  Utility essential service charges are determined by which utility provider serves a given area, as well as the climate zone in which a household is located for electricity and gas service.</w:t>
      </w:r>
      <w:r>
        <w:t xml:space="preserve">  </w:t>
      </w:r>
      <w:r w:rsidRPr="00671BA1">
        <w:t xml:space="preserve">Therefore, the relevant boundaries for electricity and </w:t>
      </w:r>
      <w:r w:rsidRPr="00671BA1">
        <w:lastRenderedPageBreak/>
        <w:t xml:space="preserve">gas service are utility climate zone boundaries, and the relevant boundaries for water and communications services are service territory boundaries. </w:t>
      </w:r>
      <w:r>
        <w:t xml:space="preserve"> </w:t>
      </w:r>
    </w:p>
    <w:p w:rsidRPr="00C46F6A" w:rsidR="00671BA1" w:rsidP="006E4AA4" w:rsidRDefault="00671BA1" w14:paraId="586FB6FF" w14:textId="0D7589E2">
      <w:pPr>
        <w:pStyle w:val="BlockQuote"/>
        <w:ind w:left="1440" w:right="1858"/>
      </w:pPr>
      <w:proofErr w:type="gramStart"/>
      <w:r w:rsidRPr="00671BA1">
        <w:t>Specifically</w:t>
      </w:r>
      <w:proofErr w:type="gramEnd"/>
      <w:r w:rsidRPr="00671BA1">
        <w:t xml:space="preserve"> for communications service territory boundaries, the 14 ILECs being</w:t>
      </w:r>
      <w:r>
        <w:t xml:space="preserve"> </w:t>
      </w:r>
      <w:r w:rsidRPr="00671BA1">
        <w:t>examined in the proposal have unique service areas free of other ILECs.  The result is an extremely large number of unique combinations of census geographies and gas, electric, water, and communications essential service charges</w:t>
      </w:r>
      <w:r>
        <w:t>.</w:t>
      </w:r>
      <w:r>
        <w:rPr>
          <w:rStyle w:val="FootnoteReference"/>
        </w:rPr>
        <w:footnoteReference w:id="152"/>
      </w:r>
    </w:p>
    <w:p w:rsidR="00AB35A7" w:rsidP="00AB35A7" w:rsidRDefault="00AB35A7" w14:paraId="2D689321" w14:textId="7FD33681">
      <w:pPr>
        <w:pStyle w:val="Standard"/>
      </w:pPr>
      <w:r>
        <w:t xml:space="preserve">In order to allow for AR calculations that span both small PUMA-sized areas and larger utility service areas, staff proposed that the AR be calculated by </w:t>
      </w:r>
      <w:r w:rsidRPr="009958F2">
        <w:t>employ</w:t>
      </w:r>
      <w:r>
        <w:t>ing</w:t>
      </w:r>
      <w:r w:rsidRPr="009958F2">
        <w:t xml:space="preserve"> spatial and population-weighted AR averages within utility service territories and climate zones</w:t>
      </w:r>
      <w:r>
        <w:t>.</w:t>
      </w:r>
      <w:r>
        <w:rPr>
          <w:rStyle w:val="FootnoteReference"/>
        </w:rPr>
        <w:footnoteReference w:id="153"/>
      </w:r>
      <w:r>
        <w:t xml:space="preserve">  This aggregation technique allows for the development of A</w:t>
      </w:r>
      <w:r w:rsidR="004044DD">
        <w:t>R score</w:t>
      </w:r>
      <w:r>
        <w:t xml:space="preserve">s for both small areas and large areas, and was necessary due to the </w:t>
      </w:r>
      <w:r w:rsidRPr="00AB35A7">
        <w:t xml:space="preserve">526,639 unique combinations of gas, electric, communications, and water essential service charges and census blocks considered in </w:t>
      </w:r>
      <w:r>
        <w:t>the staff’s AR</w:t>
      </w:r>
      <w:r w:rsidRPr="00AB35A7">
        <w:t xml:space="preserve"> analysis</w:t>
      </w:r>
      <w:r>
        <w:t>.</w:t>
      </w:r>
      <w:r>
        <w:rPr>
          <w:rStyle w:val="FootnoteReference"/>
        </w:rPr>
        <w:footnoteReference w:id="154"/>
      </w:r>
    </w:p>
    <w:p w:rsidR="00644693" w:rsidP="00AB35A7" w:rsidRDefault="004044DD" w14:paraId="76D8ED9E" w14:textId="7F7A0441">
      <w:pPr>
        <w:pStyle w:val="Standard"/>
      </w:pPr>
      <w:r>
        <w:t>The weighting factors used for aggregation are essentially functions of the area of a given census block that is occupied by a utility’s territory.</w:t>
      </w:r>
      <w:r w:rsidR="00F97BD6">
        <w:t xml:space="preserve">  </w:t>
      </w:r>
      <w:r>
        <w:t xml:space="preserve">A proportional </w:t>
      </w:r>
      <w:proofErr w:type="gramStart"/>
      <w:r>
        <w:t>amount</w:t>
      </w:r>
      <w:proofErr w:type="gramEnd"/>
      <w:r>
        <w:t xml:space="preserve"> of households are then assigned to the utility from the census block.  This weighting is done for each utility separately.</w:t>
      </w:r>
      <w:r>
        <w:rPr>
          <w:rStyle w:val="FootnoteReference"/>
        </w:rPr>
        <w:footnoteReference w:id="155"/>
      </w:r>
      <w:r w:rsidR="00D6523B">
        <w:t xml:space="preserve">  O</w:t>
      </w:r>
      <w:r w:rsidRPr="00D6523B" w:rsidR="00D6523B">
        <w:t xml:space="preserve">nce the weighting factors are calculated, </w:t>
      </w:r>
      <w:r w:rsidR="00D6523B">
        <w:t xml:space="preserve">staff recommends </w:t>
      </w:r>
      <w:r w:rsidRPr="00D6523B" w:rsidR="00D6523B">
        <w:t>multipl</w:t>
      </w:r>
      <w:r w:rsidR="00D6523B">
        <w:t>ying</w:t>
      </w:r>
      <w:r w:rsidRPr="00D6523B" w:rsidR="00D6523B">
        <w:t xml:space="preserve"> the AR of each service territory/census block intersect area by its respective weight and sum</w:t>
      </w:r>
      <w:r w:rsidR="00D6523B">
        <w:t>ming</w:t>
      </w:r>
      <w:r w:rsidRPr="00D6523B" w:rsidR="00D6523B">
        <w:t xml:space="preserve"> those values over the area of interest, thus giving a weighted average AR for the geographic area of interest.</w:t>
      </w:r>
      <w:r w:rsidR="00D6523B">
        <w:rPr>
          <w:rStyle w:val="FootnoteReference"/>
        </w:rPr>
        <w:footnoteReference w:id="156"/>
      </w:r>
    </w:p>
    <w:p w:rsidR="00D545E7" w:rsidP="00AB35A7" w:rsidRDefault="00D545E7" w14:paraId="1808628A" w14:textId="15A4A719">
      <w:pPr>
        <w:pStyle w:val="Standard"/>
      </w:pPr>
      <w:r>
        <w:lastRenderedPageBreak/>
        <w:t>TURN generally supported this approach, noting that it was necessary to use the data available; but also recommended that the Commission update the aggregation technique in the future after evaluating its use in real-world proceedings.</w:t>
      </w:r>
      <w:r>
        <w:rPr>
          <w:rStyle w:val="FootnoteReference"/>
        </w:rPr>
        <w:footnoteReference w:id="157"/>
      </w:r>
      <w:r w:rsidR="00225BB6">
        <w:t xml:space="preserve">  UCAN called the aggregation approach “</w:t>
      </w:r>
      <w:r w:rsidRPr="00225BB6" w:rsidR="00225BB6">
        <w:t>helpful, but somewhat inaccurate</w:t>
      </w:r>
      <w:r w:rsidR="00225BB6">
        <w:t>” in that the underlying income and housing cost assumptions may be inaccurate.  UCAN recommends not relying solely on AR when making affordability determinations.</w:t>
      </w:r>
      <w:r w:rsidR="00225BB6">
        <w:rPr>
          <w:rStyle w:val="FootnoteReference"/>
        </w:rPr>
        <w:footnoteReference w:id="158"/>
      </w:r>
    </w:p>
    <w:p w:rsidR="006D59DE" w:rsidP="00AB35A7" w:rsidRDefault="006D59DE" w14:paraId="05D5EA20" w14:textId="46145C3C">
      <w:pPr>
        <w:pStyle w:val="Standard"/>
      </w:pPr>
      <w:r>
        <w:t>Some o</w:t>
      </w:r>
      <w:r w:rsidR="004533FC">
        <w:t>ther parties were generally supportive of the aggregation approach,</w:t>
      </w:r>
      <w:r w:rsidR="009326AE">
        <w:rPr>
          <w:rStyle w:val="FootnoteReference"/>
        </w:rPr>
        <w:footnoteReference w:id="159"/>
      </w:r>
      <w:r w:rsidR="004533FC">
        <w:t xml:space="preserve"> while also noting the inherent uncertainties in the resulting output.</w:t>
      </w:r>
      <w:r w:rsidR="004533FC">
        <w:rPr>
          <w:rStyle w:val="FootnoteReference"/>
        </w:rPr>
        <w:footnoteReference w:id="160"/>
      </w:r>
      <w:r w:rsidR="003E2387">
        <w:t xml:space="preserve">  </w:t>
      </w:r>
      <w:r w:rsidR="003652B2">
        <w:t>Reflecting these concerns, Cal Advocates supported using the aggregation technique for geographic areas the size of a PUMA or larger, but did not support the technique for areas smaller than a PUMA.</w:t>
      </w:r>
      <w:r w:rsidR="003652B2">
        <w:rPr>
          <w:rStyle w:val="FootnoteReference"/>
        </w:rPr>
        <w:footnoteReference w:id="161"/>
      </w:r>
    </w:p>
    <w:p w:rsidR="004533FC" w:rsidP="731160D5" w:rsidRDefault="003E2387" w14:paraId="68AB1850" w14:textId="2A499729">
      <w:pPr>
        <w:pStyle w:val="Standard"/>
        <w:rPr>
          <w:rStyle w:val="FootnoteReference"/>
          <w:vertAlign w:val="baseline"/>
        </w:rPr>
      </w:pPr>
      <w:r>
        <w:t>PG&amp;E does not support the regression technique and therefore objected in principle to the aggregation approach as well; but PG&amp;E suggests that if aggregation of regression results is required then “[a]</w:t>
      </w:r>
      <w:r w:rsidRPr="003E2387">
        <w:t xml:space="preserve"> more stable approach may be to aggregate numerator and denominator separately (using the same methodology) and then divide to get the AR for the aggregate region of interest</w:t>
      </w:r>
      <w:r>
        <w:t>.”</w:t>
      </w:r>
      <w:r>
        <w:rPr>
          <w:rStyle w:val="FootnoteReference"/>
        </w:rPr>
        <w:footnoteReference w:id="162"/>
      </w:r>
      <w:r w:rsidRPr="7A591E96" w:rsidR="3641F916">
        <w:rPr>
          <w:rStyle w:val="FootnoteReference"/>
        </w:rPr>
        <w:t xml:space="preserve"> </w:t>
      </w:r>
    </w:p>
    <w:p w:rsidR="006D59DE" w:rsidP="00AB35A7" w:rsidRDefault="006D59DE" w14:paraId="245838F6" w14:textId="14A7F350">
      <w:pPr>
        <w:pStyle w:val="Standard"/>
      </w:pPr>
      <w:proofErr w:type="spellStart"/>
      <w:r>
        <w:t>CalCCA</w:t>
      </w:r>
      <w:proofErr w:type="spellEnd"/>
      <w:r>
        <w:t xml:space="preserve"> also argues against the aggregation technique, saying that the proposed method underweights denser communities and does not sufficiently account for variation that is possible within the aggregated results.</w:t>
      </w:r>
      <w:r w:rsidR="005A5A70">
        <w:t xml:space="preserve">  </w:t>
      </w:r>
      <w:proofErr w:type="spellStart"/>
      <w:r w:rsidR="005A5A70">
        <w:t>CalCCA</w:t>
      </w:r>
      <w:proofErr w:type="spellEnd"/>
      <w:r w:rsidR="005A5A70">
        <w:t xml:space="preserve"> instead </w:t>
      </w:r>
      <w:r w:rsidR="005A5A70">
        <w:lastRenderedPageBreak/>
        <w:t>recommends that the affordability measurements be calculated at much broader scales.</w:t>
      </w:r>
      <w:r>
        <w:rPr>
          <w:rStyle w:val="FootnoteReference"/>
        </w:rPr>
        <w:footnoteReference w:id="163"/>
      </w:r>
      <w:r>
        <w:t xml:space="preserve"> </w:t>
      </w:r>
    </w:p>
    <w:p w:rsidR="00B36B99" w:rsidP="00AB35A7" w:rsidRDefault="00326C03" w14:paraId="0A2DFF7C" w14:textId="6BC1E367">
      <w:pPr>
        <w:pStyle w:val="Standard"/>
      </w:pPr>
      <w:r>
        <w:t xml:space="preserve">The aggregation technique is the most reasonable way to account for overlapping boundaries of utility service areas and the PUMAs used as the geographic foundation of the AR methodology.  While some parties suggested that aggregation be avoided by simply examining AR at a broader scale than the PUMA, this does not allow for the AR to be calculated at all given that the PUMA-level PUMS data are required to compute the AR.  As a result, it is necessary to correct somehow for the mismatched boundaries, and the aggregation technique provides for a reasonable method to do so.  The aggregation technique will be further refined during the implementation of the AR affordability metric.  For these reasons, the aggregation technique is reasonable and should be adopted. </w:t>
      </w:r>
    </w:p>
    <w:p w:rsidR="00724005" w:rsidP="006A5508" w:rsidRDefault="006A5508" w14:paraId="4059E556" w14:textId="74555076">
      <w:pPr>
        <w:pStyle w:val="Heading3"/>
        <w:numPr>
          <w:ilvl w:val="2"/>
          <w:numId w:val="2"/>
        </w:numPr>
      </w:pPr>
      <w:bookmarkStart w:name="_Toc40967164" w:id="71"/>
      <w:bookmarkStart w:name="_Toc46308203" w:id="72"/>
      <w:r>
        <w:t>Top-</w:t>
      </w:r>
      <w:r w:rsidR="009506BB">
        <w:t>C</w:t>
      </w:r>
      <w:r>
        <w:t>oding</w:t>
      </w:r>
      <w:bookmarkEnd w:id="71"/>
      <w:bookmarkEnd w:id="72"/>
    </w:p>
    <w:p w:rsidR="006A5508" w:rsidP="006A5508" w:rsidRDefault="006A5508" w14:paraId="592AD42D" w14:textId="79A3A965">
      <w:pPr>
        <w:pStyle w:val="Standard"/>
      </w:pPr>
      <w:r>
        <w:t xml:space="preserve">Before </w:t>
      </w:r>
      <w:r w:rsidR="000A39E7">
        <w:t xml:space="preserve">calculating </w:t>
      </w:r>
      <w:r w:rsidR="7CDEE1E3">
        <w:t xml:space="preserve">aggregated </w:t>
      </w:r>
      <w:r w:rsidR="000A39E7">
        <w:t>AR figures</w:t>
      </w:r>
      <w:r>
        <w:t>, staff recommend discarding AR results that are either too high or too low to be meaningful</w:t>
      </w:r>
      <w:r w:rsidR="6BC82668">
        <w:t>,</w:t>
      </w:r>
      <w:r w:rsidR="04B2B282">
        <w:t xml:space="preserve"> </w:t>
      </w:r>
      <w:r w:rsidR="5897FD07">
        <w:t>which</w:t>
      </w:r>
      <w:r w:rsidR="04B2B282">
        <w:t xml:space="preserve"> would produce a</w:t>
      </w:r>
      <w:r w:rsidR="065F948F">
        <w:t xml:space="preserve"> skewed and inaccurate aggregated AR value if included in the averaging calculation</w:t>
      </w:r>
      <w:r>
        <w:t xml:space="preserve">.  As an example, staff discovered that some AR calculations lead to values of greater than 1, meaning that </w:t>
      </w:r>
      <w:r w:rsidR="00644693">
        <w:t xml:space="preserve">essential utility service charges exceeded </w:t>
      </w:r>
      <w:r>
        <w:t>household income after housing</w:t>
      </w:r>
      <w:r w:rsidR="00644693">
        <w:t xml:space="preserve">. </w:t>
      </w:r>
      <w:r w:rsidR="00027A4E">
        <w:t xml:space="preserve"> </w:t>
      </w:r>
      <w:r w:rsidR="1438176D">
        <w:t xml:space="preserve">In other situations, AR values could be negative if </w:t>
      </w:r>
      <w:r w:rsidR="3528530A">
        <w:t>housing costs exceed income</w:t>
      </w:r>
      <w:r w:rsidR="2C45EF35">
        <w:t>, which would artificially lower the weighted average AR</w:t>
      </w:r>
      <w:r w:rsidR="257A0B1B">
        <w:t>.</w:t>
      </w:r>
      <w:r w:rsidR="00644693">
        <w:t xml:space="preserve"> </w:t>
      </w:r>
    </w:p>
    <w:p w:rsidR="00644693" w:rsidP="006A5508" w:rsidRDefault="00644693" w14:paraId="48F1980C" w14:textId="16A679CF">
      <w:pPr>
        <w:pStyle w:val="Standard"/>
      </w:pPr>
      <w:r>
        <w:t>Instead of discarding these outlying values, s</w:t>
      </w:r>
      <w:r w:rsidRPr="00644693">
        <w:t>taff</w:t>
      </w:r>
      <w:r>
        <w:t xml:space="preserve"> recommend</w:t>
      </w:r>
      <w:r w:rsidRPr="00644693">
        <w:t xml:space="preserve">s </w:t>
      </w:r>
      <w:proofErr w:type="gramStart"/>
      <w:r w:rsidRPr="00644693">
        <w:t>top-coding</w:t>
      </w:r>
      <w:proofErr w:type="gramEnd"/>
      <w:r w:rsidRPr="00644693">
        <w:t xml:space="preserve">, </w:t>
      </w:r>
      <w:r>
        <w:t xml:space="preserve">which means to </w:t>
      </w:r>
      <w:r w:rsidRPr="00644693">
        <w:t>replac</w:t>
      </w:r>
      <w:r>
        <w:t>e</w:t>
      </w:r>
      <w:r w:rsidRPr="00644693">
        <w:t xml:space="preserve"> </w:t>
      </w:r>
      <w:r>
        <w:t xml:space="preserve">these </w:t>
      </w:r>
      <w:r w:rsidRPr="00644693">
        <w:t xml:space="preserve">outliers with some upper value that retains the contextual meaning of the metric.  With this approach, both negative AR and AR greater than 1 are </w:t>
      </w:r>
      <w:proofErr w:type="gramStart"/>
      <w:r w:rsidRPr="00644693">
        <w:t>top-coded</w:t>
      </w:r>
      <w:proofErr w:type="gramEnd"/>
      <w:r w:rsidRPr="00644693">
        <w:t xml:space="preserve"> with an AR of 1.  That is, the essential service charge comprises 100 percent of income after other nondiscretionary household expenses, </w:t>
      </w:r>
      <w:r w:rsidRPr="00644693">
        <w:lastRenderedPageBreak/>
        <w:t>whether due to negative income after nondiscretionary expenses, or due to the household’s essential service charges being greater than available income</w:t>
      </w:r>
      <w:r>
        <w:t>.</w:t>
      </w:r>
      <w:r>
        <w:rPr>
          <w:rStyle w:val="FootnoteReference"/>
        </w:rPr>
        <w:footnoteReference w:id="164"/>
      </w:r>
    </w:p>
    <w:p w:rsidR="0076648F" w:rsidP="006A5508" w:rsidRDefault="005A5A70" w14:paraId="07E29551" w14:textId="0B9BC641">
      <w:pPr>
        <w:pStyle w:val="Standard"/>
      </w:pPr>
      <w:proofErr w:type="spellStart"/>
      <w:r>
        <w:t>CalCCA</w:t>
      </w:r>
      <w:proofErr w:type="spellEnd"/>
      <w:r>
        <w:t xml:space="preserve"> opposes top-coding as proposed.  </w:t>
      </w:r>
      <w:proofErr w:type="spellStart"/>
      <w:r>
        <w:t>CalCCA</w:t>
      </w:r>
      <w:proofErr w:type="spellEnd"/>
      <w:r>
        <w:t xml:space="preserve"> believes that the proposal to limit AR measurements to a maximum of 1 would not reflect the actual unaffordability of utility services in areas receiving a 1 measurement.</w:t>
      </w:r>
      <w:r>
        <w:rPr>
          <w:rStyle w:val="FootnoteReference"/>
        </w:rPr>
        <w:footnoteReference w:id="165"/>
      </w:r>
      <w:r w:rsidR="00CC6ED2">
        <w:t xml:space="preserve">  </w:t>
      </w:r>
      <w:r w:rsidR="0076648F">
        <w:t xml:space="preserve">The comments of </w:t>
      </w:r>
      <w:proofErr w:type="spellStart"/>
      <w:r w:rsidR="0076648F">
        <w:t>CalCCA</w:t>
      </w:r>
      <w:proofErr w:type="spellEnd"/>
      <w:r w:rsidR="0076648F">
        <w:t xml:space="preserve"> notwithstanding, parties offered no arguments opposed to top-coding.</w:t>
      </w:r>
    </w:p>
    <w:p w:rsidR="0076648F" w:rsidP="006A5508" w:rsidRDefault="0076648F" w14:paraId="0071B8CA" w14:textId="2AFFBD6A">
      <w:pPr>
        <w:pStyle w:val="Standard"/>
      </w:pPr>
      <w:r>
        <w:t xml:space="preserve">The </w:t>
      </w:r>
      <w:r w:rsidR="00CC6ED2">
        <w:t>measurement of the affordability</w:t>
      </w:r>
      <w:r>
        <w:t xml:space="preserve"> of </w:t>
      </w:r>
      <w:r w:rsidR="00CC6ED2">
        <w:t xml:space="preserve">essential </w:t>
      </w:r>
      <w:r>
        <w:t xml:space="preserve">utility services </w:t>
      </w:r>
      <w:r w:rsidR="00CC6ED2">
        <w:t xml:space="preserve">is not affected by top-coding.  Instead, </w:t>
      </w:r>
      <w:proofErr w:type="gramStart"/>
      <w:r w:rsidR="00CC6ED2">
        <w:t>top-coding</w:t>
      </w:r>
      <w:proofErr w:type="gramEnd"/>
      <w:r w:rsidR="00CC6ED2">
        <w:t xml:space="preserve"> removes absurd or illogical results from the AR calculation</w:t>
      </w:r>
      <w:r w:rsidR="00D60737">
        <w:t xml:space="preserve"> results and allows for aggregation and other forms of subsequent AR analysis.  If an AR calculation is </w:t>
      </w:r>
      <w:proofErr w:type="gramStart"/>
      <w:r w:rsidR="00D60737">
        <w:t>top-coded</w:t>
      </w:r>
      <w:proofErr w:type="gramEnd"/>
      <w:r w:rsidR="00D60737">
        <w:t xml:space="preserve"> at 1, then that result means that all discretionary income would be spent on essential utility service(s).  Such a result would be no less informative than a result that indicated the cost of essential utility services exceeded discretionary income levels.  For these reasons, the use of the top-coding technique is reasonable and should be adopted.</w:t>
      </w:r>
    </w:p>
    <w:p w:rsidR="0058797C" w:rsidP="0058797C" w:rsidRDefault="0058797C" w14:paraId="3D898345" w14:textId="4F3FA29C">
      <w:pPr>
        <w:pStyle w:val="Heading3"/>
        <w:numPr>
          <w:ilvl w:val="2"/>
          <w:numId w:val="2"/>
        </w:numPr>
      </w:pPr>
      <w:bookmarkStart w:name="_Toc40967165" w:id="73"/>
      <w:bookmarkStart w:name="_Toc46308204" w:id="74"/>
      <w:r>
        <w:t>Definition of Non-Discretionary Expenses</w:t>
      </w:r>
      <w:bookmarkEnd w:id="73"/>
      <w:bookmarkEnd w:id="74"/>
    </w:p>
    <w:p w:rsidR="00BA6FE4" w:rsidP="0058797C" w:rsidRDefault="00D545E7" w14:paraId="61B01B7E" w14:textId="10BD950E">
      <w:pPr>
        <w:pStyle w:val="Standard"/>
      </w:pPr>
      <w:r>
        <w:t>As noted previously</w:t>
      </w:r>
      <w:r w:rsidR="0058797C">
        <w:t>, staff recommend that housing costs and essential utility service costs be deducted from income to determine the amount of household income available to pay for any given essential utility service (essentially the denominator in the AR equation).</w:t>
      </w:r>
      <w:r w:rsidR="00BA6FE4">
        <w:t xml:space="preserve">  While there may be other household expenses that could be considered non-discretionary, such as food, staff does not recommend including them in the AR equation.  Staff explains that there is a great deal of </w:t>
      </w:r>
      <w:r w:rsidR="00BA6FE4">
        <w:lastRenderedPageBreak/>
        <w:t>uncertainty surrounding these costs</w:t>
      </w:r>
      <w:r w:rsidR="00E621B6">
        <w:t xml:space="preserve">. In addition, data that do exist are not available for </w:t>
      </w:r>
      <w:r w:rsidR="006F22BF">
        <w:t>all geographic</w:t>
      </w:r>
      <w:r w:rsidR="00E621B6">
        <w:t xml:space="preserve"> areas or at the needed granularity</w:t>
      </w:r>
      <w:r w:rsidR="00BA6FE4">
        <w:t>.</w:t>
      </w:r>
      <w:r w:rsidR="00BA6FE4">
        <w:rPr>
          <w:rStyle w:val="FootnoteReference"/>
        </w:rPr>
        <w:footnoteReference w:id="166"/>
      </w:r>
      <w:r w:rsidR="00BA6FE4">
        <w:t xml:space="preserve">  </w:t>
      </w:r>
    </w:p>
    <w:p w:rsidR="008A3E9A" w:rsidP="008A3E9A" w:rsidRDefault="008A3E9A" w14:paraId="1E693585" w14:textId="77777777">
      <w:pPr>
        <w:pStyle w:val="Standard"/>
      </w:pPr>
      <w:r>
        <w:t>SCE is concerned about the inclusion of non-discretionary expenses generally in the affordability analysis, noting that such expenses are non-uniform and difficult to quantify.</w:t>
      </w:r>
      <w:r>
        <w:rPr>
          <w:rStyle w:val="FootnoteReference"/>
        </w:rPr>
        <w:footnoteReference w:id="167"/>
      </w:r>
    </w:p>
    <w:p w:rsidR="0058797C" w:rsidP="0058797C" w:rsidRDefault="00BA6FE4" w14:paraId="4AF9C813" w14:textId="0C19F49D">
      <w:pPr>
        <w:pStyle w:val="Standard"/>
      </w:pPr>
      <w:r>
        <w:t xml:space="preserve">TURN criticizes this </w:t>
      </w:r>
      <w:r w:rsidR="008A3E9A">
        <w:t xml:space="preserve">revised staff proposal’s treatment of this </w:t>
      </w:r>
      <w:r>
        <w:t>element of the AR methodology, and claims that other non-discretionary household expenses such as food, healthcare, and taxes should be included in the AR equation.</w:t>
      </w:r>
      <w:r>
        <w:rPr>
          <w:rStyle w:val="FootnoteReference"/>
        </w:rPr>
        <w:footnoteReference w:id="168"/>
      </w:r>
      <w:r>
        <w:t xml:space="preserve">  TURN demonstrates that the AR measurement can be directly affected by assumptions about payroll taxes and their impact on household incomes</w:t>
      </w:r>
      <w:r w:rsidR="00203F6B">
        <w:t>, and is concerned that the lack of these other expenses may create a false impression of affordability.</w:t>
      </w:r>
      <w:r w:rsidR="00203F6B">
        <w:rPr>
          <w:rStyle w:val="FootnoteReference"/>
        </w:rPr>
        <w:footnoteReference w:id="169"/>
      </w:r>
      <w:r w:rsidR="00923A63">
        <w:t xml:space="preserve">  TURN recommends updating the AR methodology either now or in the future to account for these other non-discretionary household expenses.</w:t>
      </w:r>
      <w:r w:rsidR="00923A63">
        <w:rPr>
          <w:rStyle w:val="FootnoteReference"/>
        </w:rPr>
        <w:footnoteReference w:id="170"/>
      </w:r>
      <w:r w:rsidR="00053F20">
        <w:t xml:space="preserve">  The Small LECs supports TURN’s argument that household income should be adjusted to account for tax liabilities before calculating an AR measurement.</w:t>
      </w:r>
      <w:r w:rsidR="00053F20">
        <w:rPr>
          <w:rStyle w:val="FootnoteReference"/>
        </w:rPr>
        <w:footnoteReference w:id="171"/>
      </w:r>
    </w:p>
    <w:p w:rsidR="00A17E53" w:rsidP="00A17E53" w:rsidRDefault="00EA0ED9" w14:paraId="27C21072" w14:textId="77777777">
      <w:pPr>
        <w:pStyle w:val="Standard"/>
      </w:pPr>
      <w:r>
        <w:t xml:space="preserve">UCAN also believes the definition of non-discretionary household expenses is too narrow and recommends </w:t>
      </w:r>
      <w:r w:rsidR="00DD214F">
        <w:t>at least including healthcare costs as an element of non-discretionary household costs.</w:t>
      </w:r>
      <w:r w:rsidR="00DD214F">
        <w:rPr>
          <w:rStyle w:val="FootnoteReference"/>
        </w:rPr>
        <w:footnoteReference w:id="172"/>
      </w:r>
      <w:r w:rsidR="00550C3B">
        <w:t xml:space="preserve">  </w:t>
      </w:r>
      <w:r w:rsidR="009B0E60">
        <w:t>CCTA concurs that the definition of non-discretionary household costs should include more categories</w:t>
      </w:r>
      <w:r w:rsidR="006B73BF">
        <w:t xml:space="preserve"> to ensure an accurate </w:t>
      </w:r>
      <w:r w:rsidR="006B73BF">
        <w:lastRenderedPageBreak/>
        <w:t>assessment of affordability</w:t>
      </w:r>
      <w:r w:rsidR="009B0E60">
        <w:t xml:space="preserve">, such as </w:t>
      </w:r>
      <w:r w:rsidRPr="009B0E60" w:rsidR="009B0E60">
        <w:t>food, clothing, childcare and medical expenses</w:t>
      </w:r>
      <w:r w:rsidR="009B0E60">
        <w:t>.</w:t>
      </w:r>
      <w:r w:rsidR="009B0E60">
        <w:rPr>
          <w:rStyle w:val="FootnoteReference"/>
        </w:rPr>
        <w:footnoteReference w:id="173"/>
      </w:r>
      <w:r w:rsidR="00A17E53">
        <w:t xml:space="preserve">  </w:t>
      </w:r>
    </w:p>
    <w:p w:rsidR="008A3E9A" w:rsidP="003955F3" w:rsidRDefault="00A17E53" w14:paraId="526E9CF5" w14:textId="77777777">
      <w:pPr>
        <w:pStyle w:val="Standard"/>
      </w:pPr>
      <w:proofErr w:type="spellStart"/>
      <w:r>
        <w:t>CforAT</w:t>
      </w:r>
      <w:proofErr w:type="spellEnd"/>
      <w:r>
        <w:t xml:space="preserve"> also recommends exploring the addition of healthcare and childcare costs, and at a minimum noting the exclusion of them from the metric so that the significance of the metric’s measurement could be put in context.  </w:t>
      </w:r>
      <w:proofErr w:type="spellStart"/>
      <w:r>
        <w:t>CforAT</w:t>
      </w:r>
      <w:proofErr w:type="spellEnd"/>
      <w:r>
        <w:t xml:space="preserve"> objects to the characterization of healthcare and childcare as insignificant costs, noting that while these costs may be highly variable, they are likely to be very significant for certain households.</w:t>
      </w:r>
      <w:r>
        <w:rPr>
          <w:rStyle w:val="FootnoteReference"/>
        </w:rPr>
        <w:footnoteReference w:id="174"/>
      </w:r>
      <w:r w:rsidR="003955F3">
        <w:t xml:space="preserve">  </w:t>
      </w:r>
    </w:p>
    <w:p w:rsidR="008A3E9A" w:rsidP="003D7704" w:rsidRDefault="003955F3" w14:paraId="721EB6B3" w14:textId="3855694C">
      <w:pPr>
        <w:pStyle w:val="Standard"/>
      </w:pPr>
      <w:r>
        <w:t>Similarly, NDC criticizes the revised staff proposal for not including other potential non-discretionary expenses such as food, medical costs, and transportation.</w:t>
      </w:r>
      <w:r>
        <w:rPr>
          <w:rStyle w:val="FootnoteReference"/>
        </w:rPr>
        <w:footnoteReference w:id="175"/>
      </w:r>
      <w:r w:rsidR="008A3E9A">
        <w:t xml:space="preserve">  In order to provide useful data for the Commission on these other expenses, NDC recommends using the United Way Real Cost Measure (RCM) to estimate these amounts.</w:t>
      </w:r>
      <w:r w:rsidR="008A3E9A">
        <w:rPr>
          <w:rStyle w:val="FootnoteReference"/>
        </w:rPr>
        <w:footnoteReference w:id="176"/>
      </w:r>
      <w:r w:rsidR="008A3E9A">
        <w:t xml:space="preserve">  NDC claims that the United Way RCM</w:t>
      </w:r>
      <w:r w:rsidR="003D7704">
        <w:t xml:space="preserve"> </w:t>
      </w:r>
      <w:r w:rsidRPr="008A3E9A" w:rsidR="008A3E9A">
        <w:t>calculates the costs of housing, food, health care, and</w:t>
      </w:r>
      <w:r w:rsidR="008A3E9A">
        <w:t xml:space="preserve"> transportation in counties and neighborhoods all across California, for households with up to twenty members of all possible configurations of adults and children – 1,272 individual household budgets per county.  RCM data and workpapers may provide information at a granularity that is sufficient for AR.</w:t>
      </w:r>
      <w:r w:rsidR="008A3E9A">
        <w:rPr>
          <w:rStyle w:val="FootnoteReference"/>
        </w:rPr>
        <w:footnoteReference w:id="177"/>
      </w:r>
      <w:r w:rsidR="008A3E9A">
        <w:t xml:space="preserve">  </w:t>
      </w:r>
    </w:p>
    <w:p w:rsidR="00FA34FD" w:rsidP="00885617" w:rsidRDefault="00885617" w14:paraId="000A5FF7" w14:textId="2E3E0DAC">
      <w:pPr>
        <w:pStyle w:val="Standard"/>
      </w:pPr>
      <w:proofErr w:type="spellStart"/>
      <w:r>
        <w:t>CalCCA</w:t>
      </w:r>
      <w:proofErr w:type="spellEnd"/>
      <w:r>
        <w:t xml:space="preserve"> also believes that other non-discretionary costs should be included, such as food, childcare, and medical costs.  They recommend the commissioning of an “exploratory study that would first evaluate the range of potential non-housing costs to identify a relatively high level of non-housing expense (</w:t>
      </w:r>
      <w:r w:rsidRPr="007612E8">
        <w:rPr>
          <w:i/>
          <w:iCs/>
        </w:rPr>
        <w:t>e.g</w:t>
      </w:r>
      <w:r>
        <w:t xml:space="preserve">., reflecting the </w:t>
      </w:r>
      <w:r>
        <w:lastRenderedPageBreak/>
        <w:t>top 20% of such costs) and add this value to the essential costs in subsequent analyses of affordability.”</w:t>
      </w:r>
      <w:r>
        <w:rPr>
          <w:rStyle w:val="FootnoteReference"/>
        </w:rPr>
        <w:footnoteReference w:id="178"/>
      </w:r>
    </w:p>
    <w:p w:rsidR="00A014E8" w:rsidP="00A014E8" w:rsidRDefault="00A014E8" w14:paraId="4D2FC616" w14:textId="77777777">
      <w:pPr>
        <w:pStyle w:val="Standard"/>
      </w:pPr>
      <w:proofErr w:type="gramStart"/>
      <w:r>
        <w:t>In spite of</w:t>
      </w:r>
      <w:proofErr w:type="gramEnd"/>
      <w:r>
        <w:t xml:space="preserve"> the objections lodged by some parties, it is reasonable to exclude other non-discretionary expenses from the AR analysis for the reasons asserted by staff in the revised staff proposal.</w:t>
      </w:r>
    </w:p>
    <w:p w:rsidRPr="00A014E8" w:rsidR="00A014E8" w:rsidP="00A014E8" w:rsidRDefault="00A014E8" w14:paraId="41F131A6" w14:textId="0893937E">
      <w:pPr>
        <w:pStyle w:val="Standard"/>
      </w:pPr>
      <w:r>
        <w:t>With respect to NDC’s proposed use of the United Way RCM dataset, Commission staff have</w:t>
      </w:r>
      <w:r w:rsidRPr="00A014E8">
        <w:t xml:space="preserve"> examined RCM’s methodology of determining other nondiscretionary expenses to derive county level household budgets.</w:t>
      </w:r>
      <w:r>
        <w:t xml:space="preserve">  </w:t>
      </w:r>
      <w:r w:rsidRPr="00A014E8">
        <w:t>In examining RCM’s household budgets for all 58 counties</w:t>
      </w:r>
      <w:r>
        <w:t xml:space="preserve"> in California</w:t>
      </w:r>
      <w:r w:rsidRPr="00A014E8">
        <w:t xml:space="preserve">, </w:t>
      </w:r>
      <w:r>
        <w:t>Commission staff could not</w:t>
      </w:r>
      <w:r w:rsidRPr="00A014E8">
        <w:t xml:space="preserve"> identify sufficient geographical differences in other nondiscretionary expenses besides housing expense, which AR already captures.</w:t>
      </w:r>
      <w:r>
        <w:t xml:space="preserve">  </w:t>
      </w:r>
      <w:r w:rsidRPr="00A014E8">
        <w:t xml:space="preserve">Differences in these other nondiscretionary expenses are driven mostly by the specific composition of household members and the individual circumstances of each household. </w:t>
      </w:r>
      <w:r>
        <w:t xml:space="preserve"> </w:t>
      </w:r>
      <w:r w:rsidR="00F31417">
        <w:t>T</w:t>
      </w:r>
      <w:r w:rsidRPr="00A014E8">
        <w:t>he goal of t</w:t>
      </w:r>
      <w:r>
        <w:t>he AR</w:t>
      </w:r>
      <w:r w:rsidRPr="00A014E8">
        <w:t xml:space="preserve"> metric is not to characterize the affordability of every individual household in the state, but instead to characterize the general affordability of utility services based on the general economic conditions in various parts of the state</w:t>
      </w:r>
      <w:r w:rsidR="00F31417">
        <w:t xml:space="preserve">.  Including additional nondiscretionary expenses would decrease the denominator of the AR calculation but does not necessarily help </w:t>
      </w:r>
      <w:r w:rsidRPr="00A014E8">
        <w:t>understand the impact of utility rates on household budgets</w:t>
      </w:r>
      <w:r w:rsidR="00F31417">
        <w:t xml:space="preserve">.  It would be more useful to show </w:t>
      </w:r>
      <w:r w:rsidRPr="00A014E8">
        <w:t>comparative affordability of different areas of the state</w:t>
      </w:r>
      <w:r w:rsidR="00F31417">
        <w:t xml:space="preserve"> but there is little geographic difference between the costs of these additional expenses</w:t>
      </w:r>
      <w:r w:rsidRPr="00A014E8">
        <w:t>.</w:t>
      </w:r>
    </w:p>
    <w:p w:rsidR="00027A4E" w:rsidP="00027A4E" w:rsidRDefault="00A014E8" w14:paraId="2B448A90" w14:textId="6816B0DC">
      <w:pPr>
        <w:pStyle w:val="Standard"/>
      </w:pPr>
      <w:r w:rsidRPr="00A014E8">
        <w:t xml:space="preserve">Since </w:t>
      </w:r>
      <w:r w:rsidR="0002472F">
        <w:t xml:space="preserve">the AR metric </w:t>
      </w:r>
      <w:r w:rsidRPr="00A014E8">
        <w:t>represents the percent of a household’s income after housing expense</w:t>
      </w:r>
      <w:r w:rsidR="0002472F">
        <w:t>s</w:t>
      </w:r>
      <w:r w:rsidRPr="00A014E8">
        <w:t xml:space="preserve"> </w:t>
      </w:r>
      <w:r w:rsidR="0002472F">
        <w:t>that are</w:t>
      </w:r>
      <w:r w:rsidRPr="00A014E8">
        <w:t xml:space="preserve"> spent on essential </w:t>
      </w:r>
      <w:r w:rsidR="0002472F">
        <w:t xml:space="preserve">utility </w:t>
      </w:r>
      <w:r w:rsidRPr="00A014E8">
        <w:t>service charge</w:t>
      </w:r>
      <w:r w:rsidR="0002472F">
        <w:t>s</w:t>
      </w:r>
      <w:r w:rsidRPr="00A014E8">
        <w:t xml:space="preserve">, the remaining percent subsequently represents what a household has left to cover other nondiscretionary household expenses, including food, health care, taxes, </w:t>
      </w:r>
      <w:r w:rsidRPr="00A014E8">
        <w:lastRenderedPageBreak/>
        <w:t>transportation, childcare, and other miscellaneous expenses such as clothing.</w:t>
      </w:r>
      <w:r w:rsidR="00482448">
        <w:t xml:space="preserve">  </w:t>
      </w:r>
      <w:r w:rsidR="0002472F">
        <w:t xml:space="preserve">It is reasonable to exclude these other expenses from the AR calculation, </w:t>
      </w:r>
      <w:r w:rsidR="00116EF1">
        <w:t xml:space="preserve">with the understanding that the AR figure </w:t>
      </w:r>
      <w:r w:rsidR="00FE40D0">
        <w:t>is showing t</w:t>
      </w:r>
      <w:r w:rsidR="00AD5438">
        <w:t xml:space="preserve">he percent of a household’s income used for essential utility service </w:t>
      </w:r>
      <w:r w:rsidR="00ED3F13">
        <w:t>with</w:t>
      </w:r>
      <w:r w:rsidR="00FE40D0">
        <w:t xml:space="preserve"> only housing is accounted for.</w:t>
      </w:r>
      <w:r w:rsidR="00F56B26">
        <w:t xml:space="preserve"> </w:t>
      </w:r>
      <w:r w:rsidR="00FD3BC3">
        <w:t xml:space="preserve"> </w:t>
      </w:r>
      <w:r w:rsidR="00F56B26">
        <w:t>It is understood that a</w:t>
      </w:r>
      <w:r w:rsidR="00116EF1">
        <w:t xml:space="preserve"> household must use </w:t>
      </w:r>
      <w:r w:rsidR="00F56B26">
        <w:t xml:space="preserve">its </w:t>
      </w:r>
      <w:r w:rsidR="00116EF1">
        <w:t>remaining income to cover these other non-discretionary expenses</w:t>
      </w:r>
      <w:r w:rsidR="0002472F">
        <w:t xml:space="preserve">. </w:t>
      </w:r>
    </w:p>
    <w:p w:rsidR="00B5007E" w:rsidP="00B5007E" w:rsidRDefault="00B5007E" w14:paraId="5C0D0666" w14:textId="21934ED8">
      <w:pPr>
        <w:pStyle w:val="Heading1"/>
        <w:numPr>
          <w:ilvl w:val="0"/>
          <w:numId w:val="2"/>
        </w:numPr>
      </w:pPr>
      <w:bookmarkStart w:name="_Toc40967166" w:id="75"/>
      <w:bookmarkStart w:name="_Toc46308205" w:id="76"/>
      <w:r>
        <w:t>Implementation</w:t>
      </w:r>
      <w:bookmarkEnd w:id="75"/>
      <w:bookmarkEnd w:id="76"/>
    </w:p>
    <w:p w:rsidR="00DA776E" w:rsidP="00B5007E" w:rsidRDefault="00DA776E" w14:paraId="3CB9F121" w14:textId="7C597468">
      <w:pPr>
        <w:pStyle w:val="Standard"/>
      </w:pPr>
      <w:r>
        <w:t>The second issue for resolution in this proceeding is to determine the m</w:t>
      </w:r>
      <w:r w:rsidRPr="00384202">
        <w:t>ethods and processes for assessing affordability impacts across Commission proceedings, programs, and utility services</w:t>
      </w:r>
      <w:r>
        <w:t>.</w:t>
      </w:r>
      <w:r w:rsidR="000A387F">
        <w:t xml:space="preserve">  </w:t>
      </w:r>
      <w:proofErr w:type="gramStart"/>
      <w:r w:rsidR="000A387F">
        <w:t>In essence, this</w:t>
      </w:r>
      <w:proofErr w:type="gramEnd"/>
      <w:r w:rsidR="000A387F">
        <w:t xml:space="preserve"> issue concerns the implementation of the affordability metrics and methodologies as defined above.</w:t>
      </w:r>
    </w:p>
    <w:p w:rsidR="00B5007E" w:rsidP="00B5007E" w:rsidRDefault="00B5007E" w14:paraId="11ED9859" w14:textId="4F6815CB">
      <w:pPr>
        <w:pStyle w:val="Standard"/>
      </w:pPr>
      <w:r>
        <w:t>The revised staff proposal and parties recommended several approaches to implementing the affordability metrics and methodologies adopted by this decision.</w:t>
      </w:r>
      <w:r w:rsidR="00583165">
        <w:t xml:space="preserve">  </w:t>
      </w:r>
      <w:r w:rsidR="00B82F83">
        <w:t xml:space="preserve">There were a variety of views among the parties concerning the proper pace of implementation.  </w:t>
      </w:r>
      <w:r w:rsidR="00583165">
        <w:t>Some parties, such as CWA and the Small LECs, advocated for more workshops and proposals on implementation issues before the Commission determines how to implement the affordability metrics.</w:t>
      </w:r>
      <w:r w:rsidR="00583165">
        <w:rPr>
          <w:rStyle w:val="FootnoteReference"/>
        </w:rPr>
        <w:footnoteReference w:id="179"/>
      </w:r>
    </w:p>
    <w:p w:rsidR="00B82F83" w:rsidP="00B5007E" w:rsidRDefault="00583165" w14:paraId="5B0635C5" w14:textId="73AD6EF4">
      <w:pPr>
        <w:pStyle w:val="Standard"/>
      </w:pPr>
      <w:r w:rsidRPr="00B82F83">
        <w:t>This decision determines certain issues related to implementation at this time</w:t>
      </w:r>
      <w:r w:rsidR="00B82F83">
        <w:t xml:space="preserve"> based on the record of the proceeding.  These determinations are ripe for consideration at this time as certain implementation options were </w:t>
      </w:r>
      <w:r w:rsidRPr="00B82F83">
        <w:t xml:space="preserve">proposed by staff and </w:t>
      </w:r>
      <w:r w:rsidR="00B82F83">
        <w:t>were</w:t>
      </w:r>
      <w:r w:rsidRPr="00B82F83">
        <w:t xml:space="preserve"> review</w:t>
      </w:r>
      <w:r w:rsidR="00B82F83">
        <w:t xml:space="preserve">ed </w:t>
      </w:r>
      <w:r w:rsidRPr="00B82F83">
        <w:t>by the parties</w:t>
      </w:r>
      <w:r w:rsidR="00B82F83">
        <w:t xml:space="preserve"> in their comments on the revised staff proposal</w:t>
      </w:r>
      <w:r w:rsidRPr="00B82F83">
        <w:t xml:space="preserve">.  </w:t>
      </w:r>
      <w:r w:rsidR="00423263">
        <w:t xml:space="preserve">Moreover, </w:t>
      </w:r>
      <w:r w:rsidR="00C83B81">
        <w:t xml:space="preserve">as </w:t>
      </w:r>
      <w:r w:rsidR="009D3724">
        <w:t>mentioned</w:t>
      </w:r>
      <w:r w:rsidR="00C83B81">
        <w:t xml:space="preserve"> above</w:t>
      </w:r>
      <w:r w:rsidR="00533AEB">
        <w:t>, implemen</w:t>
      </w:r>
      <w:r w:rsidR="00C4121D">
        <w:t xml:space="preserve">ting </w:t>
      </w:r>
      <w:r w:rsidR="001A06E3">
        <w:t>affordability</w:t>
      </w:r>
      <w:r w:rsidR="00C4121D">
        <w:t xml:space="preserve"> metrics is particularly timely and important </w:t>
      </w:r>
      <w:r w:rsidR="009D3724">
        <w:t>right now.</w:t>
      </w:r>
    </w:p>
    <w:p w:rsidR="00583165" w:rsidP="00B5007E" w:rsidRDefault="009856FE" w14:paraId="6083A41C" w14:textId="3708D1F8">
      <w:pPr>
        <w:pStyle w:val="Standard"/>
      </w:pPr>
      <w:r>
        <w:t>I</w:t>
      </w:r>
      <w:r w:rsidR="00B82F83">
        <w:t xml:space="preserve">t is clear from the record of the proceeding that </w:t>
      </w:r>
      <w:r>
        <w:t>f</w:t>
      </w:r>
      <w:r w:rsidRPr="00B82F83">
        <w:t>or some issues</w:t>
      </w:r>
      <w:r>
        <w:t xml:space="preserve"> </w:t>
      </w:r>
      <w:r w:rsidR="00B82F83">
        <w:t xml:space="preserve">further refinement is required before widespread implementation of the affordability </w:t>
      </w:r>
      <w:r w:rsidR="00B82F83">
        <w:lastRenderedPageBreak/>
        <w:t xml:space="preserve">metrics.  This is particularly true </w:t>
      </w:r>
      <w:proofErr w:type="gramStart"/>
      <w:r w:rsidR="00B82F83">
        <w:t>in the area of</w:t>
      </w:r>
      <w:proofErr w:type="gramEnd"/>
      <w:r w:rsidR="00B82F83">
        <w:t xml:space="preserve"> forecasting costs relevant to the AR metric.  For this issue and some other implementation issues, </w:t>
      </w:r>
      <w:r w:rsidRPr="00B82F83" w:rsidR="00583165">
        <w:t>a second phase of this proceeding is created to consider and execute Commission direction.</w:t>
      </w:r>
    </w:p>
    <w:p w:rsidR="00B5007E" w:rsidP="00B5007E" w:rsidRDefault="4EB7E490" w14:paraId="1C1D8AC6" w14:textId="0EA14444">
      <w:pPr>
        <w:pStyle w:val="Heading2"/>
        <w:numPr>
          <w:ilvl w:val="1"/>
          <w:numId w:val="2"/>
        </w:numPr>
      </w:pPr>
      <w:bookmarkStart w:name="_Toc40967167" w:id="77"/>
      <w:bookmarkStart w:name="_Toc46308206" w:id="78"/>
      <w:r>
        <w:t>Us</w:t>
      </w:r>
      <w:r w:rsidR="00B5007E">
        <w:t xml:space="preserve">ing the Metrics in a </w:t>
      </w:r>
      <w:proofErr w:type="spellStart"/>
      <w:r w:rsidR="003C5CD5">
        <w:t>Ratesetting</w:t>
      </w:r>
      <w:proofErr w:type="spellEnd"/>
      <w:r w:rsidR="003C5CD5">
        <w:t xml:space="preserve"> Proceeding</w:t>
      </w:r>
      <w:bookmarkEnd w:id="77"/>
      <w:bookmarkEnd w:id="78"/>
    </w:p>
    <w:p w:rsidR="003C5CD5" w:rsidP="00B5007E" w:rsidRDefault="003C5CD5" w14:paraId="1F223084" w14:textId="0B9B9646">
      <w:pPr>
        <w:pStyle w:val="Standard"/>
      </w:pPr>
      <w:r>
        <w:t xml:space="preserve">The revised staff proposal recommends calculating and presenting the approved affordability metrics to Commission decision-makers in a </w:t>
      </w:r>
      <w:proofErr w:type="spellStart"/>
      <w:r>
        <w:t>ratesetting</w:t>
      </w:r>
      <w:proofErr w:type="spellEnd"/>
      <w:r>
        <w:t xml:space="preserve"> proceeding.  Staff also suggest that “[</w:t>
      </w:r>
      <w:proofErr w:type="spellStart"/>
      <w:r>
        <w:t>i</w:t>
      </w:r>
      <w:proofErr w:type="spellEnd"/>
      <w:r>
        <w:t>]</w:t>
      </w:r>
      <w:r w:rsidRPr="003C5CD5">
        <w:t>n order to provide timely, relevant information to decision-makers, the affordability metrics should be calculated as closely to the projected implementation date as possible using best available data at that time</w:t>
      </w:r>
      <w:r>
        <w:t>.”</w:t>
      </w:r>
      <w:r>
        <w:rPr>
          <w:rStyle w:val="FootnoteReference"/>
        </w:rPr>
        <w:footnoteReference w:id="180"/>
      </w:r>
      <w:r w:rsidR="00653AE0">
        <w:t xml:space="preserve">  The revised staff proposal notes some challenges in using the metrics in a proceeding with multi-year rate impacts, particularly around forecasting the various elements of the HM and AR metrics; but nevertheless staff recommend </w:t>
      </w:r>
      <w:r w:rsidR="4E740950">
        <w:t>apply</w:t>
      </w:r>
      <w:r w:rsidR="00653AE0">
        <w:t xml:space="preserve">ing the affordability metrics in a </w:t>
      </w:r>
      <w:proofErr w:type="spellStart"/>
      <w:r w:rsidR="00653AE0">
        <w:t>ratesetting</w:t>
      </w:r>
      <w:proofErr w:type="spellEnd"/>
      <w:r w:rsidR="00653AE0">
        <w:t xml:space="preserve"> proceeding such as an electric utility’s general rate case.</w:t>
      </w:r>
      <w:r w:rsidR="00653AE0">
        <w:rPr>
          <w:rStyle w:val="FootnoteReference"/>
        </w:rPr>
        <w:footnoteReference w:id="181"/>
      </w:r>
    </w:p>
    <w:p w:rsidR="00A9410C" w:rsidP="004400C8" w:rsidRDefault="00641954" w14:paraId="35FA001E" w14:textId="6718DC51">
      <w:pPr>
        <w:pStyle w:val="Standard"/>
      </w:pPr>
      <w:r>
        <w:t xml:space="preserve">Several parties </w:t>
      </w:r>
      <w:r w:rsidR="00156282">
        <w:t xml:space="preserve">agreed </w:t>
      </w:r>
      <w:r>
        <w:t>that the affordability metrics be tested in a</w:t>
      </w:r>
      <w:r w:rsidR="00C341D6">
        <w:t xml:space="preserve"> </w:t>
      </w:r>
      <w:proofErr w:type="spellStart"/>
      <w:r w:rsidR="00C341D6">
        <w:t>ratesetting</w:t>
      </w:r>
      <w:proofErr w:type="spellEnd"/>
      <w:r w:rsidR="00C341D6">
        <w:t xml:space="preserve"> proceeding.  Cal Advocates </w:t>
      </w:r>
      <w:r w:rsidR="00F863F3">
        <w:t xml:space="preserve">also </w:t>
      </w:r>
      <w:r w:rsidR="00C341D6">
        <w:t xml:space="preserve">recommended using an </w:t>
      </w:r>
      <w:r>
        <w:t>electric utility’s General Rate Case proceeding.</w:t>
      </w:r>
      <w:r w:rsidR="00A9410C">
        <w:t xml:space="preserve">  In that pilot proceeding the utility would be required to provide a “baseline” map showing the affordability measurements given the current revenue requirement, and then updated maps showing affordability measurements if the Commission approved the revenue requirement sought by the utility.</w:t>
      </w:r>
      <w:r w:rsidR="00C341D6">
        <w:rPr>
          <w:rStyle w:val="FootnoteReference"/>
        </w:rPr>
        <w:footnoteReference w:id="182"/>
      </w:r>
      <w:r>
        <w:t xml:space="preserve">  </w:t>
      </w:r>
      <w:r w:rsidR="001D7AEC">
        <w:t xml:space="preserve">Cal Advocates also sought </w:t>
      </w:r>
      <w:r w:rsidR="00464E70">
        <w:t>piloting the affordability metrics in water and communications proceedings as well.</w:t>
      </w:r>
      <w:r w:rsidR="00464E70">
        <w:rPr>
          <w:rStyle w:val="FootnoteReference"/>
        </w:rPr>
        <w:footnoteReference w:id="183"/>
      </w:r>
    </w:p>
    <w:p w:rsidR="00B5007E" w:rsidP="004400C8" w:rsidRDefault="00295B89" w14:paraId="2E27F215" w14:textId="5F67358F">
      <w:pPr>
        <w:pStyle w:val="Standard"/>
      </w:pPr>
      <w:r>
        <w:lastRenderedPageBreak/>
        <w:t xml:space="preserve">SoCalGas and SDG&amp;E supported the pilot approach, but wished to see the metrics calculated and presented by </w:t>
      </w:r>
      <w:r w:rsidR="004400C8">
        <w:t>s</w:t>
      </w:r>
      <w:r>
        <w:t>taff outside of th</w:t>
      </w:r>
      <w:r w:rsidR="004400C8">
        <w:t>e pilot</w:t>
      </w:r>
      <w:r>
        <w:t xml:space="preserve"> proceeding to show the</w:t>
      </w:r>
      <w:r w:rsidR="004400C8">
        <w:t xml:space="preserve"> </w:t>
      </w:r>
      <w:r>
        <w:t>usefulness and effectiveness of each metric</w:t>
      </w:r>
      <w:r w:rsidR="004400C8">
        <w:t>.</w:t>
      </w:r>
      <w:r w:rsidR="004400C8">
        <w:rPr>
          <w:rStyle w:val="FootnoteReference"/>
        </w:rPr>
        <w:footnoteReference w:id="184"/>
      </w:r>
      <w:r w:rsidR="00DF04A4">
        <w:t xml:space="preserve">  </w:t>
      </w:r>
      <w:r w:rsidR="00740408">
        <w:t>PG&amp;E concurred with this argument.</w:t>
      </w:r>
      <w:r w:rsidR="00740408">
        <w:rPr>
          <w:rStyle w:val="FootnoteReference"/>
        </w:rPr>
        <w:footnoteReference w:id="185"/>
      </w:r>
      <w:r w:rsidR="00740408">
        <w:t xml:space="preserve">  </w:t>
      </w:r>
      <w:r w:rsidR="00DF04A4">
        <w:t>SCE did not object to a pilot approach, so long as it was not their currently pending 2021 GRC application.</w:t>
      </w:r>
      <w:r w:rsidR="00DF04A4">
        <w:rPr>
          <w:rStyle w:val="FootnoteReference"/>
        </w:rPr>
        <w:footnoteReference w:id="186"/>
      </w:r>
    </w:p>
    <w:p w:rsidR="007C45E6" w:rsidP="007C45E6" w:rsidRDefault="007C45E6" w14:paraId="54823D99" w14:textId="09FAE6BB">
      <w:pPr>
        <w:pStyle w:val="Standard"/>
      </w:pPr>
      <w:r>
        <w:t>We do not believe the use of this methodology should be limited to a pilot. We acknowledge issues around forecasting and expect to address them in Phase 2 of this proceeding as explained in Section 8.</w:t>
      </w:r>
      <w:r w:rsidR="001A6F8B">
        <w:t>8</w:t>
      </w:r>
      <w:r>
        <w:t xml:space="preserve"> of this decision. However, it is reasonable to start to apply the affordability metrics in </w:t>
      </w:r>
      <w:proofErr w:type="spellStart"/>
      <w:r>
        <w:t>ratesetting</w:t>
      </w:r>
      <w:proofErr w:type="spellEnd"/>
      <w:r>
        <w:t xml:space="preserve"> proceedings. Commission staff will work with the ALJ Division and Commissioner offices to select </w:t>
      </w:r>
      <w:proofErr w:type="spellStart"/>
      <w:r>
        <w:t>ratesetting</w:t>
      </w:r>
      <w:proofErr w:type="spellEnd"/>
      <w:r>
        <w:t xml:space="preserve"> proceedings to apply the affordability metrics. </w:t>
      </w:r>
    </w:p>
    <w:p w:rsidR="005231F5" w:rsidP="005D5BAD" w:rsidRDefault="005231F5" w14:paraId="1F9F8D4D" w14:textId="1BD863DF">
      <w:pPr>
        <w:pStyle w:val="Heading2"/>
        <w:numPr>
          <w:ilvl w:val="1"/>
          <w:numId w:val="2"/>
        </w:numPr>
      </w:pPr>
      <w:bookmarkStart w:name="_Toc40967168" w:id="79"/>
      <w:bookmarkStart w:name="_Toc46308207" w:id="80"/>
      <w:r>
        <w:t>Assessing Affordability Simultaneously Across Multiple Proceedings</w:t>
      </w:r>
      <w:bookmarkEnd w:id="79"/>
      <w:bookmarkEnd w:id="80"/>
    </w:p>
    <w:p w:rsidR="0053455E" w:rsidP="005231F5" w:rsidRDefault="0053455E" w14:paraId="57A5E29D" w14:textId="3DF1EF63">
      <w:pPr>
        <w:pStyle w:val="Standard"/>
      </w:pPr>
      <w:proofErr w:type="spellStart"/>
      <w:r>
        <w:t>CforAT</w:t>
      </w:r>
      <w:proofErr w:type="spellEnd"/>
      <w:r>
        <w:t xml:space="preserve"> sought a broader application of the affordability metrics to any proceeding with a rate impact.</w:t>
      </w:r>
      <w:r>
        <w:rPr>
          <w:rStyle w:val="FootnoteReference"/>
        </w:rPr>
        <w:footnoteReference w:id="187"/>
      </w:r>
      <w:r w:rsidR="005231F5">
        <w:t xml:space="preserve">  They also note the support of some parties for a much broader approach, where the affordability of the cumulative impact of all rate proposals by a utility that are pending at a given time should be considered.  Specifically, </w:t>
      </w:r>
      <w:proofErr w:type="spellStart"/>
      <w:r w:rsidR="005231F5">
        <w:t>CforAT</w:t>
      </w:r>
      <w:proofErr w:type="spellEnd"/>
      <w:r w:rsidR="005231F5">
        <w:t xml:space="preserve"> believes that the Commission should require a utility (in their example, PG&amp;E) “to demonstrate, using the affordability metrics, 1) the effect of each individual application on affordability, and 2) the cumulative effect of all of its </w:t>
      </w:r>
      <w:r w:rsidR="005231F5">
        <w:lastRenderedPageBreak/>
        <w:t>requests on customer affordability.”</w:t>
      </w:r>
      <w:r w:rsidR="005231F5">
        <w:rPr>
          <w:rStyle w:val="FootnoteReference"/>
        </w:rPr>
        <w:footnoteReference w:id="188"/>
      </w:r>
      <w:r w:rsidR="00D64830">
        <w:t xml:space="preserve">  NDC also supported using the affordability metrics in all proceedings with a rate impact.</w:t>
      </w:r>
      <w:r w:rsidR="00D64830">
        <w:rPr>
          <w:rStyle w:val="FootnoteReference"/>
        </w:rPr>
        <w:footnoteReference w:id="189"/>
      </w:r>
    </w:p>
    <w:p w:rsidR="00B015D8" w:rsidP="00B015D8" w:rsidRDefault="00B015D8" w14:paraId="1FF27DA6" w14:textId="77777777">
      <w:pPr>
        <w:pStyle w:val="Standard"/>
      </w:pPr>
      <w:proofErr w:type="spellStart"/>
      <w:r>
        <w:t>CalCCA</w:t>
      </w:r>
      <w:proofErr w:type="spellEnd"/>
      <w:r>
        <w:t xml:space="preserve"> believes that the metrics should be applied in any utility proceeding that leads to a rate increase, even if not a GRC proceeding, and that the manner in which this occurs should be determined in a second phase of this proceeding.</w:t>
      </w:r>
      <w:r>
        <w:rPr>
          <w:rStyle w:val="FootnoteReference"/>
        </w:rPr>
        <w:footnoteReference w:id="190"/>
      </w:r>
    </w:p>
    <w:p w:rsidR="00AB3906" w:rsidP="00AB3906" w:rsidRDefault="00AB3906" w14:paraId="260E66E2" w14:textId="1B8222F0">
      <w:pPr>
        <w:pStyle w:val="Standard"/>
      </w:pPr>
      <w:r>
        <w:t>TURN urges the Commission to apply the affordability metrics in any proceeding with a rate impact, mandating that the utility should have the burden of demonstrating both 1) the effect of the request on the affordability metrics and 2) the cumulative effect of the request and other pending requests for rate increases on the affordability metrics.</w:t>
      </w:r>
      <w:r>
        <w:rPr>
          <w:rStyle w:val="FootnoteReference"/>
        </w:rPr>
        <w:footnoteReference w:id="191"/>
      </w:r>
    </w:p>
    <w:p w:rsidR="004B5522" w:rsidP="005231F5" w:rsidRDefault="004B5522" w14:paraId="700D8E3E" w14:textId="2111BF63">
      <w:pPr>
        <w:pStyle w:val="Standard"/>
      </w:pPr>
      <w:r>
        <w:t>UCAN generally supported annual assessments of affordability rather than assessing it each time a rate change is proposed (e.g., via an advice letter).</w:t>
      </w:r>
      <w:r>
        <w:rPr>
          <w:rStyle w:val="FootnoteReference"/>
        </w:rPr>
        <w:footnoteReference w:id="192"/>
      </w:r>
    </w:p>
    <w:p w:rsidR="00B015D8" w:rsidP="005231F5" w:rsidRDefault="00B015D8" w14:paraId="40E7F79B" w14:textId="510C8977">
      <w:pPr>
        <w:pStyle w:val="Standard"/>
      </w:pPr>
      <w:r>
        <w:t xml:space="preserve">SoCalGas and SDG&amp;E did not support applying the affordability metrics in every </w:t>
      </w:r>
      <w:proofErr w:type="spellStart"/>
      <w:r>
        <w:t>ratesetting</w:t>
      </w:r>
      <w:proofErr w:type="spellEnd"/>
      <w:r>
        <w:t xml:space="preserve"> proceeding, and instead would prefer an annual affordability assessment.  They reason that relying on affordability metrics for decision-making may lead to unintended consequences, including in rate proceedings that affect safety.</w:t>
      </w:r>
      <w:r>
        <w:rPr>
          <w:rStyle w:val="FootnoteReference"/>
        </w:rPr>
        <w:footnoteReference w:id="193"/>
      </w:r>
      <w:r>
        <w:t xml:space="preserve">  SCE also opposes the concept of applying the affordability metrics in every </w:t>
      </w:r>
      <w:proofErr w:type="spellStart"/>
      <w:r>
        <w:t>ratesetting</w:t>
      </w:r>
      <w:proofErr w:type="spellEnd"/>
      <w:r>
        <w:t xml:space="preserve"> proceeding, arguing that doing so would “</w:t>
      </w:r>
      <w:r w:rsidRPr="000D18AE">
        <w:t xml:space="preserve">overwhelm the Commission </w:t>
      </w:r>
      <w:r w:rsidRPr="000D18AE">
        <w:lastRenderedPageBreak/>
        <w:t>and stakeholders with affordability information that is only slightly changed from assessment to assessment.</w:t>
      </w:r>
      <w:r>
        <w:t>”</w:t>
      </w:r>
      <w:r>
        <w:rPr>
          <w:rStyle w:val="FootnoteReference"/>
        </w:rPr>
        <w:footnoteReference w:id="194"/>
      </w:r>
    </w:p>
    <w:p w:rsidR="00B015D8" w:rsidP="00B015D8" w:rsidRDefault="00B015D8" w14:paraId="20E908A8" w14:textId="3C598DDC">
      <w:pPr>
        <w:pStyle w:val="Standard"/>
      </w:pPr>
      <w:r>
        <w:t>CWA does not support using the affordability metrics in a widespread manner at this time, and recommends holding further workshops and soliciting party comment expressly on implementation before applying the metrics to particular proceedings.</w:t>
      </w:r>
      <w:r>
        <w:rPr>
          <w:rStyle w:val="FootnoteReference"/>
        </w:rPr>
        <w:footnoteReference w:id="195"/>
      </w:r>
      <w:r>
        <w:t xml:space="preserve">  CWA points out that without adequate forecasting techniques, it would be inappropriate to apply the affordability metrics to </w:t>
      </w:r>
      <w:proofErr w:type="spellStart"/>
      <w:r>
        <w:t>ratesetting</w:t>
      </w:r>
      <w:proofErr w:type="spellEnd"/>
      <w:r>
        <w:t xml:space="preserve"> proceedings considering several outyears.</w:t>
      </w:r>
      <w:r>
        <w:rPr>
          <w:rStyle w:val="FootnoteReference"/>
        </w:rPr>
        <w:footnoteReference w:id="196"/>
      </w:r>
    </w:p>
    <w:p w:rsidRPr="002D4B70" w:rsidR="002D4B70" w:rsidP="002D4B70" w:rsidRDefault="002D4B70" w14:paraId="4C39211C" w14:textId="1E09D818">
      <w:pPr>
        <w:pStyle w:val="Standard"/>
      </w:pPr>
      <w:r w:rsidRPr="002D4B70">
        <w:t>Cal Advocates refer</w:t>
      </w:r>
      <w:r>
        <w:t>red</w:t>
      </w:r>
      <w:r w:rsidRPr="002D4B70">
        <w:t xml:space="preserve"> to concern </w:t>
      </w:r>
      <w:r>
        <w:t xml:space="preserve">shared by Commission staff that </w:t>
      </w:r>
      <w:r w:rsidRPr="002D4B70">
        <w:t>“we also currently lack a framework to comprehensively analyze the cumulative impact of rate requests and programs across proceedings and industries.”</w:t>
      </w:r>
      <w:r w:rsidRPr="002D4B70">
        <w:rPr>
          <w:vertAlign w:val="superscript"/>
        </w:rPr>
        <w:footnoteReference w:id="197"/>
      </w:r>
      <w:r w:rsidRPr="002D4B70">
        <w:t xml:space="preserve">  Cal Advocates further state</w:t>
      </w:r>
      <w:r>
        <w:t>d</w:t>
      </w:r>
      <w:r w:rsidRPr="002D4B70">
        <w:t xml:space="preserve"> that it supports </w:t>
      </w:r>
      <w:r>
        <w:t>a</w:t>
      </w:r>
      <w:r w:rsidRPr="002D4B70">
        <w:t xml:space="preserve"> prioritization of developing mechanisms to track the cumulative impact of incremental costs on customer rates and bills across Commission processes and proceedings.  While not specifically identifying a mechanism or tool, Cal Advocates note</w:t>
      </w:r>
      <w:r>
        <w:t xml:space="preserve">d that </w:t>
      </w:r>
      <w:r w:rsidRPr="002D4B70">
        <w:t>“[a]</w:t>
      </w:r>
      <w:proofErr w:type="spellStart"/>
      <w:r w:rsidRPr="002D4B70">
        <w:t>ccurately</w:t>
      </w:r>
      <w:proofErr w:type="spellEnd"/>
      <w:r w:rsidRPr="002D4B70">
        <w:t xml:space="preserve"> tallying costs and tracking rate impacts will strengthen the Commission’s ability to make sound decisions.”</w:t>
      </w:r>
      <w:r w:rsidRPr="002D4B70">
        <w:rPr>
          <w:vertAlign w:val="superscript"/>
        </w:rPr>
        <w:footnoteReference w:id="198"/>
      </w:r>
      <w:r w:rsidRPr="002D4B70">
        <w:t xml:space="preserve"> </w:t>
      </w:r>
    </w:p>
    <w:p w:rsidRPr="002D4B70" w:rsidR="002D4B70" w:rsidP="00FD3BC3" w:rsidRDefault="002D4B70" w14:paraId="74EEB1ED" w14:textId="6C9F1702">
      <w:pPr>
        <w:pStyle w:val="Standard"/>
      </w:pPr>
      <w:r w:rsidRPr="002D4B70">
        <w:t xml:space="preserve">In the </w:t>
      </w:r>
      <w:r>
        <w:t>r</w:t>
      </w:r>
      <w:r w:rsidRPr="002D4B70">
        <w:t xml:space="preserve">evised </w:t>
      </w:r>
      <w:r>
        <w:t>s</w:t>
      </w:r>
      <w:r w:rsidRPr="002D4B70">
        <w:t xml:space="preserve">taff </w:t>
      </w:r>
      <w:r>
        <w:t>p</w:t>
      </w:r>
      <w:r w:rsidRPr="002D4B70">
        <w:t xml:space="preserve">roposal, </w:t>
      </w:r>
      <w:r>
        <w:t xml:space="preserve">Commission </w:t>
      </w:r>
      <w:r w:rsidRPr="002D4B70">
        <w:t xml:space="preserve">staff reference a rate and bill tracker tool that is under development by </w:t>
      </w:r>
      <w:r>
        <w:t xml:space="preserve">the Commission’s </w:t>
      </w:r>
      <w:r w:rsidRPr="002D4B70">
        <w:t>Energy Division and the large electric</w:t>
      </w:r>
      <w:r>
        <w:t xml:space="preserve">al corporations </w:t>
      </w:r>
      <w:r w:rsidR="00A223A0">
        <w:t>that</w:t>
      </w:r>
      <w:r w:rsidRPr="002D4B70" w:rsidR="00A223A0">
        <w:t xml:space="preserve"> </w:t>
      </w:r>
      <w:r w:rsidRPr="002D4B70">
        <w:t>models forecasted revenue requirements and resulting projected residential rate and bill impacts</w:t>
      </w:r>
      <w:r>
        <w:t>.  The revised staff proposal also</w:t>
      </w:r>
      <w:r w:rsidRPr="002D4B70">
        <w:t xml:space="preserve"> recommends </w:t>
      </w:r>
      <w:r>
        <w:t xml:space="preserve">that the Commission’s </w:t>
      </w:r>
      <w:r w:rsidRPr="002D4B70">
        <w:t xml:space="preserve">Energy Division continue to issue quarterly data </w:t>
      </w:r>
      <w:r w:rsidRPr="002D4B70">
        <w:lastRenderedPageBreak/>
        <w:t xml:space="preserve">requests </w:t>
      </w:r>
      <w:r>
        <w:t xml:space="preserve">to support </w:t>
      </w:r>
      <w:r w:rsidRPr="002D4B70">
        <w:t>the tool.</w:t>
      </w:r>
      <w:r w:rsidRPr="002D4B70">
        <w:rPr>
          <w:vertAlign w:val="superscript"/>
        </w:rPr>
        <w:footnoteReference w:id="199"/>
      </w:r>
      <w:r w:rsidRPr="002D4B70">
        <w:t xml:space="preserve">  </w:t>
      </w:r>
      <w:r w:rsidR="00F25B02">
        <w:t>T</w:t>
      </w:r>
      <w:r w:rsidRPr="002D4B70">
        <w:t>he projected residential rate and bill impacts produced by the tool on a quarterly basis facilitates tracking of costs, rates, and bill impacts and may meet the needs outlined by Cal Advocates for such a tool.</w:t>
      </w:r>
    </w:p>
    <w:p w:rsidRPr="00F93D26" w:rsidR="00F93D26" w:rsidP="00B015D8" w:rsidRDefault="002D4B70" w14:paraId="063716D6" w14:textId="4B096B9F">
      <w:pPr>
        <w:pStyle w:val="Standard"/>
        <w:rPr>
          <w:b/>
          <w:bCs/>
        </w:rPr>
      </w:pPr>
      <w:r w:rsidRPr="002D4B70">
        <w:t xml:space="preserve">SDG&amp;E and </w:t>
      </w:r>
      <w:r w:rsidR="00F25B02">
        <w:t>SoCalGas</w:t>
      </w:r>
      <w:r w:rsidRPr="002D4B70">
        <w:t xml:space="preserve">, in their </w:t>
      </w:r>
      <w:r w:rsidR="00F25B02">
        <w:t xml:space="preserve">comments on </w:t>
      </w:r>
      <w:r w:rsidRPr="002D4B70">
        <w:t xml:space="preserve">the </w:t>
      </w:r>
      <w:r w:rsidR="00F25B02">
        <w:t>r</w:t>
      </w:r>
      <w:r w:rsidRPr="002D4B70">
        <w:t xml:space="preserve">evised </w:t>
      </w:r>
      <w:r w:rsidR="00F25B02">
        <w:t>s</w:t>
      </w:r>
      <w:r w:rsidRPr="002D4B70">
        <w:t xml:space="preserve">taff </w:t>
      </w:r>
      <w:r w:rsidR="00F25B02">
        <w:t>p</w:t>
      </w:r>
      <w:r w:rsidRPr="002D4B70">
        <w:t xml:space="preserve">roposal, support </w:t>
      </w:r>
      <w:r w:rsidR="00F25B02">
        <w:t xml:space="preserve">the </w:t>
      </w:r>
      <w:r w:rsidRPr="002D4B70">
        <w:t>recommendation of quarterly data requests for the rate and bill tracker tool and further note this requirement will provide the Commission the transparency and incremental</w:t>
      </w:r>
      <w:r w:rsidR="00CB444B">
        <w:t xml:space="preserve"> affordability</w:t>
      </w:r>
      <w:r w:rsidRPr="002D4B70">
        <w:t xml:space="preserve"> information necessary to review and assess each request to change, or increase, rates throughout the year.</w:t>
      </w:r>
      <w:r w:rsidRPr="002D4B70">
        <w:rPr>
          <w:vertAlign w:val="superscript"/>
        </w:rPr>
        <w:footnoteReference w:id="200"/>
      </w:r>
      <w:r w:rsidRPr="002D4B70">
        <w:t xml:space="preserve">  SDG&amp;E and the other two large </w:t>
      </w:r>
      <w:r w:rsidR="00ED4E67">
        <w:t xml:space="preserve">electrical </w:t>
      </w:r>
      <w:r w:rsidR="00CB444B">
        <w:t>investor-owned utilities</w:t>
      </w:r>
      <w:r w:rsidRPr="002D4B70">
        <w:rPr>
          <w:vertAlign w:val="superscript"/>
        </w:rPr>
        <w:footnoteReference w:id="201"/>
      </w:r>
      <w:r w:rsidRPr="002D4B70">
        <w:t xml:space="preserve"> sh</w:t>
      </w:r>
      <w:r w:rsidR="00F25B02">
        <w:t>all</w:t>
      </w:r>
      <w:r w:rsidRPr="002D4B70">
        <w:t xml:space="preserve"> submit quarterly rate and bill tracker tool</w:t>
      </w:r>
      <w:r w:rsidR="00F25B02">
        <w:t xml:space="preserve"> information</w:t>
      </w:r>
      <w:r w:rsidRPr="002D4B70">
        <w:t xml:space="preserve"> to </w:t>
      </w:r>
      <w:r w:rsidR="00F25B02">
        <w:t xml:space="preserve">the Commission’s </w:t>
      </w:r>
      <w:r w:rsidRPr="002D4B70">
        <w:t xml:space="preserve">Energy Division and </w:t>
      </w:r>
      <w:r w:rsidR="00F25B02">
        <w:t xml:space="preserve">shall </w:t>
      </w:r>
      <w:r w:rsidRPr="002D4B70">
        <w:t>work with staff during a second phase of this proceeding with respect to using the rate and bill tracker tool for evaluating affordability metrics</w:t>
      </w:r>
      <w:r w:rsidR="00F25B02">
        <w:t>’</w:t>
      </w:r>
      <w:r w:rsidRPr="002D4B70">
        <w:t xml:space="preserve"> inputs and other ongoing support of the Commission’s work.</w:t>
      </w:r>
    </w:p>
    <w:p w:rsidR="45633FF7" w:rsidP="45633FF7" w:rsidRDefault="27B205B7" w14:paraId="5DBC0262" w14:textId="157B48C7">
      <w:pPr>
        <w:pStyle w:val="Standard"/>
      </w:pPr>
      <w:proofErr w:type="gramStart"/>
      <w:r>
        <w:t>At this time</w:t>
      </w:r>
      <w:proofErr w:type="gramEnd"/>
      <w:r>
        <w:t xml:space="preserve">, this decision seeks to apply the affordability metrics in </w:t>
      </w:r>
      <w:proofErr w:type="spellStart"/>
      <w:r>
        <w:t>ratesetting</w:t>
      </w:r>
      <w:proofErr w:type="spellEnd"/>
      <w:r>
        <w:t xml:space="preserve"> proceeding</w:t>
      </w:r>
      <w:r w:rsidR="008B13A2">
        <w:t>s</w:t>
      </w:r>
      <w:r>
        <w:t xml:space="preserve"> </w:t>
      </w:r>
      <w:r w:rsidR="009E16E8">
        <w:t xml:space="preserve">in as widespread </w:t>
      </w:r>
      <w:r w:rsidR="00FD3FB3">
        <w:t xml:space="preserve">a manner </w:t>
      </w:r>
      <w:r w:rsidR="009E16E8">
        <w:t xml:space="preserve">as </w:t>
      </w:r>
      <w:r w:rsidR="00FD3FB3">
        <w:t xml:space="preserve">the </w:t>
      </w:r>
      <w:r w:rsidR="00713ACB">
        <w:t xml:space="preserve">current </w:t>
      </w:r>
      <w:r w:rsidR="00FD3FB3">
        <w:t>methodology allow</w:t>
      </w:r>
      <w:r w:rsidR="00713ACB">
        <w:t>s</w:t>
      </w:r>
      <w:r w:rsidR="00FD3FB3">
        <w:t xml:space="preserve">. </w:t>
      </w:r>
      <w:r w:rsidR="00FD3BC3">
        <w:t xml:space="preserve"> </w:t>
      </w:r>
      <w:r w:rsidR="00965396">
        <w:t xml:space="preserve">We recognize that certain unresolved issues such as forecasting limit the usefulness of the methodology for proceedings with multi-year rate impacts. </w:t>
      </w:r>
      <w:r w:rsidR="00FD3BC3">
        <w:t xml:space="preserve"> </w:t>
      </w:r>
      <w:r w:rsidR="00FD3FB3">
        <w:t>We will</w:t>
      </w:r>
      <w:r>
        <w:t xml:space="preserve"> </w:t>
      </w:r>
      <w:r w:rsidR="00D513E7">
        <w:t xml:space="preserve">resolve </w:t>
      </w:r>
      <w:r w:rsidR="00965396">
        <w:t xml:space="preserve">this and other </w:t>
      </w:r>
      <w:r>
        <w:t>issues</w:t>
      </w:r>
      <w:r w:rsidR="00713ACB">
        <w:t xml:space="preserve"> </w:t>
      </w:r>
      <w:r>
        <w:t>in a further phase of this proceeding</w:t>
      </w:r>
      <w:r w:rsidR="008E44DC">
        <w:t xml:space="preserve"> as outlined in Section </w:t>
      </w:r>
      <w:r w:rsidR="00B53FD0">
        <w:t>8.8</w:t>
      </w:r>
      <w:r w:rsidR="008E44DC">
        <w:t xml:space="preserve"> below</w:t>
      </w:r>
      <w:r w:rsidR="4904CC3B">
        <w:t>.</w:t>
      </w:r>
      <w:r>
        <w:t xml:space="preserve">  </w:t>
      </w:r>
    </w:p>
    <w:p w:rsidRPr="00B5007E" w:rsidR="003C5CD5" w:rsidP="003C5CD5" w:rsidRDefault="003C5CD5" w14:paraId="5B6793BA" w14:textId="58198A50">
      <w:pPr>
        <w:pStyle w:val="Heading2"/>
        <w:numPr>
          <w:ilvl w:val="1"/>
          <w:numId w:val="2"/>
        </w:numPr>
      </w:pPr>
      <w:bookmarkStart w:name="_Toc40967169" w:id="81"/>
      <w:bookmarkStart w:name="_Toc46308208" w:id="82"/>
      <w:r>
        <w:t>Annual Reporting</w:t>
      </w:r>
      <w:bookmarkEnd w:id="81"/>
      <w:bookmarkEnd w:id="82"/>
    </w:p>
    <w:p w:rsidR="0006631E" w:rsidP="006363E3" w:rsidRDefault="0025471B" w14:paraId="76FCE554" w14:textId="036BD7D2">
      <w:pPr>
        <w:pStyle w:val="Standard"/>
      </w:pPr>
      <w:r>
        <w:t>The revised staff proposal recommends that the Commission publish an annual Affordability Report that would “</w:t>
      </w:r>
      <w:r w:rsidRPr="0025471B">
        <w:t xml:space="preserve">provide a detailed summary of prescribed and observed affordability assessments, including the metrics introduced in this </w:t>
      </w:r>
      <w:r w:rsidRPr="0025471B">
        <w:lastRenderedPageBreak/>
        <w:t>proposal as well as information related to utility service disconnections, arrearages and other metrics of observed hardship</w:t>
      </w:r>
      <w:r>
        <w:t>.”</w:t>
      </w:r>
      <w:r>
        <w:rPr>
          <w:rStyle w:val="FootnoteReference"/>
        </w:rPr>
        <w:footnoteReference w:id="202"/>
      </w:r>
    </w:p>
    <w:p w:rsidR="00586449" w:rsidP="006363E3" w:rsidRDefault="00586449" w14:paraId="5B4352E7" w14:textId="5C231E94">
      <w:pPr>
        <w:pStyle w:val="Standard"/>
      </w:pPr>
      <w:r w:rsidRPr="008D099E">
        <w:t xml:space="preserve">TURN </w:t>
      </w:r>
      <w:r w:rsidRPr="008D099E" w:rsidR="00467CF2">
        <w:t xml:space="preserve">does not necessarily agree that disconnections should be used as a measure of hardship as it relates to affordability, but TURN does </w:t>
      </w:r>
      <w:r w:rsidRPr="008D099E">
        <w:t>propose</w:t>
      </w:r>
      <w:r w:rsidRPr="008D099E" w:rsidR="00467CF2">
        <w:t xml:space="preserve"> collecting data on</w:t>
      </w:r>
      <w:r w:rsidRPr="008D099E">
        <w:t xml:space="preserve"> several hardship metrics that could be </w:t>
      </w:r>
      <w:r w:rsidRPr="008D099E" w:rsidR="00467CF2">
        <w:t>presented</w:t>
      </w:r>
      <w:r w:rsidRPr="008D099E">
        <w:t xml:space="preserve"> in an annual Affordability Report</w:t>
      </w:r>
      <w:r>
        <w:t>.  These are:</w:t>
      </w:r>
    </w:p>
    <w:p w:rsidR="00586449" w:rsidP="00E86E9D" w:rsidRDefault="00586449" w14:paraId="67B9B3AE" w14:textId="77777777">
      <w:pPr>
        <w:pStyle w:val="Standard"/>
        <w:numPr>
          <w:ilvl w:val="0"/>
          <w:numId w:val="20"/>
        </w:numPr>
        <w:spacing w:after="120" w:line="240" w:lineRule="auto"/>
        <w:ind w:right="1858"/>
      </w:pPr>
      <w:r>
        <w:t>Households experiencing multiple disconnections within one year</w:t>
      </w:r>
    </w:p>
    <w:p w:rsidR="00586449" w:rsidP="00E86E9D" w:rsidRDefault="00586449" w14:paraId="175717C8" w14:textId="77777777">
      <w:pPr>
        <w:pStyle w:val="Standard"/>
        <w:numPr>
          <w:ilvl w:val="0"/>
          <w:numId w:val="20"/>
        </w:numPr>
        <w:spacing w:after="120" w:line="240" w:lineRule="auto"/>
        <w:ind w:right="1858"/>
      </w:pPr>
      <w:r>
        <w:t xml:space="preserve">Number of disconnection notices sent </w:t>
      </w:r>
    </w:p>
    <w:p w:rsidR="00586449" w:rsidP="00E86E9D" w:rsidRDefault="00586449" w14:paraId="11C4C6AB" w14:textId="77777777">
      <w:pPr>
        <w:pStyle w:val="Standard"/>
        <w:numPr>
          <w:ilvl w:val="0"/>
          <w:numId w:val="20"/>
        </w:numPr>
        <w:spacing w:after="120" w:line="240" w:lineRule="auto"/>
        <w:ind w:right="1858"/>
      </w:pPr>
      <w:r>
        <w:t xml:space="preserve">Percent of customers receiving disconnection notices </w:t>
      </w:r>
    </w:p>
    <w:p w:rsidR="00586449" w:rsidP="00E86E9D" w:rsidRDefault="00586449" w14:paraId="64870212" w14:textId="77777777">
      <w:pPr>
        <w:pStyle w:val="Standard"/>
        <w:numPr>
          <w:ilvl w:val="0"/>
          <w:numId w:val="20"/>
        </w:numPr>
        <w:spacing w:after="120" w:line="240" w:lineRule="auto"/>
        <w:ind w:right="1858"/>
      </w:pPr>
      <w:r>
        <w:t xml:space="preserve">Customers 60+ days in arrears </w:t>
      </w:r>
    </w:p>
    <w:p w:rsidR="00586449" w:rsidP="00E86E9D" w:rsidRDefault="00586449" w14:paraId="43948FC8" w14:textId="77777777">
      <w:pPr>
        <w:pStyle w:val="Standard"/>
        <w:numPr>
          <w:ilvl w:val="0"/>
          <w:numId w:val="20"/>
        </w:numPr>
        <w:spacing w:after="120" w:line="240" w:lineRule="auto"/>
        <w:ind w:right="1858"/>
      </w:pPr>
      <w:r>
        <w:t xml:space="preserve">Percent of customers 60+ days in arrears </w:t>
      </w:r>
    </w:p>
    <w:p w:rsidR="00586449" w:rsidP="00E86E9D" w:rsidRDefault="00586449" w14:paraId="0C77E650" w14:textId="77777777">
      <w:pPr>
        <w:pStyle w:val="Standard"/>
        <w:numPr>
          <w:ilvl w:val="0"/>
          <w:numId w:val="20"/>
        </w:numPr>
        <w:spacing w:after="120" w:line="240" w:lineRule="auto"/>
        <w:ind w:right="1858"/>
      </w:pPr>
      <w:r>
        <w:t xml:space="preserve">Average length of time between disconnection and reconnection  </w:t>
      </w:r>
    </w:p>
    <w:p w:rsidR="00586449" w:rsidP="00E86E9D" w:rsidRDefault="00586449" w14:paraId="49A46C9D" w14:textId="77777777">
      <w:pPr>
        <w:pStyle w:val="Standard"/>
        <w:numPr>
          <w:ilvl w:val="0"/>
          <w:numId w:val="20"/>
        </w:numPr>
        <w:spacing w:after="120" w:line="240" w:lineRule="auto"/>
        <w:ind w:right="1858"/>
      </w:pPr>
      <w:r>
        <w:t xml:space="preserve">Number of customers for whom service is never re-established after disconnection </w:t>
      </w:r>
    </w:p>
    <w:p w:rsidR="00586449" w:rsidP="00E86E9D" w:rsidRDefault="00586449" w14:paraId="5A6EE0B3" w14:textId="54F892EE">
      <w:pPr>
        <w:pStyle w:val="Standard"/>
        <w:numPr>
          <w:ilvl w:val="0"/>
          <w:numId w:val="20"/>
        </w:numPr>
        <w:spacing w:after="120" w:line="240" w:lineRule="auto"/>
        <w:ind w:right="1858"/>
      </w:pPr>
      <w:r>
        <w:t>Percent of customers for whom service is never re-established after disconnection</w:t>
      </w:r>
      <w:r>
        <w:rPr>
          <w:rStyle w:val="FootnoteReference"/>
        </w:rPr>
        <w:footnoteReference w:id="203"/>
      </w:r>
    </w:p>
    <w:p w:rsidR="00467CF2" w:rsidP="00467CF2" w:rsidRDefault="00467CF2" w14:paraId="5F299E42" w14:textId="6C08EC1E">
      <w:pPr>
        <w:pStyle w:val="Standard"/>
      </w:pPr>
      <w:r>
        <w:t xml:space="preserve">The Small LECs do not support TURN proposal to collect these data, as the Small LECs believe that </w:t>
      </w:r>
      <w:r w:rsidR="008D099E">
        <w:t xml:space="preserve">they </w:t>
      </w:r>
      <w:r>
        <w:t>do not have a sufficient relationship to affordability to be usefully considered in an affordability report.</w:t>
      </w:r>
      <w:r>
        <w:rPr>
          <w:rStyle w:val="FootnoteReference"/>
        </w:rPr>
        <w:footnoteReference w:id="204"/>
      </w:r>
    </w:p>
    <w:p w:rsidR="0033325B" w:rsidP="00586449" w:rsidRDefault="0033325B" w14:paraId="613EF619" w14:textId="35A3CA2B">
      <w:pPr>
        <w:pStyle w:val="Standard"/>
      </w:pPr>
      <w:proofErr w:type="spellStart"/>
      <w:r>
        <w:t>CforAT</w:t>
      </w:r>
      <w:proofErr w:type="spellEnd"/>
      <w:r>
        <w:t xml:space="preserve"> argues against using measures of arrearages or disconnections as measures of affordability, primarily because such measurements may be influenced by non-essential usage.  In other words, someone may be disconnect</w:t>
      </w:r>
      <w:r w:rsidR="006D6727">
        <w:t>ed</w:t>
      </w:r>
      <w:r>
        <w:t xml:space="preserve"> because they </w:t>
      </w:r>
      <w:r>
        <w:lastRenderedPageBreak/>
        <w:t>could not pay a bill that resulted from usage of electricity far beyond what is essential.</w:t>
      </w:r>
      <w:r w:rsidR="00C14E67">
        <w:rPr>
          <w:rStyle w:val="FootnoteReference"/>
        </w:rPr>
        <w:footnoteReference w:id="205"/>
      </w:r>
      <w:r>
        <w:t xml:space="preserve"> </w:t>
      </w:r>
    </w:p>
    <w:p w:rsidR="00586449" w:rsidP="00586449" w:rsidRDefault="006B0796" w14:paraId="29AA95D4" w14:textId="030B3D65">
      <w:pPr>
        <w:pStyle w:val="Standard"/>
      </w:pPr>
      <w:r>
        <w:t>UCAN recommends that an annual Affordability Report also attempt to address non-Commission jurisdictional water charges, potential increases to electricity baselines to account for electric vehicles, and the impact of low-income affordability programs.</w:t>
      </w:r>
      <w:r>
        <w:rPr>
          <w:rStyle w:val="FootnoteReference"/>
        </w:rPr>
        <w:footnoteReference w:id="206"/>
      </w:r>
      <w:r w:rsidR="00EA2310">
        <w:t xml:space="preserve">  With respect to hardship metrics, UCAN recommends looking at a broad range of household costs that are higher in California than the national average, and a focus on the </w:t>
      </w:r>
      <w:r w:rsidRPr="00EA2310" w:rsidR="00EA2310">
        <w:t>incidence of arrearages and disconnections</w:t>
      </w:r>
      <w:r w:rsidR="00EA2310">
        <w:t xml:space="preserve"> for California households.</w:t>
      </w:r>
      <w:r w:rsidR="00EA2310">
        <w:rPr>
          <w:rStyle w:val="FootnoteReference"/>
        </w:rPr>
        <w:footnoteReference w:id="207"/>
      </w:r>
    </w:p>
    <w:p w:rsidR="00CA4C8F" w:rsidP="00CA4C8F" w:rsidRDefault="00CA4C8F" w14:paraId="510CF33A" w14:textId="678F9F39">
      <w:pPr>
        <w:pStyle w:val="Standard"/>
      </w:pPr>
      <w:r>
        <w:t>Cal Advocates supports an annual Affordability Report as proposed by the revised staff proposal, which should summarize affordability findings over time.</w:t>
      </w:r>
      <w:r>
        <w:rPr>
          <w:rStyle w:val="FootnoteReference"/>
        </w:rPr>
        <w:footnoteReference w:id="208"/>
      </w:r>
      <w:r>
        <w:t xml:space="preserve">  However, Cal Advocates does not support examining disconnection rates as a measure of affordability in an annual report, given that there may be many factors that drive disconnections beyond the relative affordability of essential utility services.</w:t>
      </w:r>
      <w:r>
        <w:rPr>
          <w:rStyle w:val="FootnoteReference"/>
        </w:rPr>
        <w:footnoteReference w:id="209"/>
      </w:r>
      <w:r w:rsidR="00A20489">
        <w:t xml:space="preserve">  Like TURN, Cal Advocates argues that disconnection issues should be analyzed in the </w:t>
      </w:r>
      <w:r w:rsidR="00764411">
        <w:t>D</w:t>
      </w:r>
      <w:r w:rsidR="00A20489">
        <w:t xml:space="preserve">isconnections OIR (R.18-07-005), and then reported </w:t>
      </w:r>
      <w:r w:rsidR="00C22CE1">
        <w:t>in</w:t>
      </w:r>
      <w:r w:rsidR="00A20489">
        <w:t xml:space="preserve"> </w:t>
      </w:r>
      <w:r w:rsidR="00C22CE1">
        <w:t>future</w:t>
      </w:r>
      <w:r w:rsidR="00A20489">
        <w:t xml:space="preserve"> annual Affordability Report</w:t>
      </w:r>
      <w:r w:rsidR="00C22CE1">
        <w:t>s</w:t>
      </w:r>
      <w:r w:rsidR="00A20489">
        <w:t>.</w:t>
      </w:r>
      <w:r w:rsidR="00A20489">
        <w:rPr>
          <w:rStyle w:val="FootnoteReference"/>
        </w:rPr>
        <w:footnoteReference w:id="210"/>
      </w:r>
      <w:r w:rsidR="00CA5F72">
        <w:t xml:space="preserve">  SCE </w:t>
      </w:r>
      <w:r w:rsidR="00864058">
        <w:t xml:space="preserve">and PG&amp;E </w:t>
      </w:r>
      <w:r w:rsidR="00CA5F72">
        <w:t>concur that disconnections should not be used as an indicator of affordability.</w:t>
      </w:r>
      <w:r w:rsidR="00CA5F72">
        <w:rPr>
          <w:rStyle w:val="FootnoteReference"/>
        </w:rPr>
        <w:footnoteReference w:id="211"/>
      </w:r>
    </w:p>
    <w:p w:rsidR="00CA4C8F" w:rsidP="00CA4C8F" w:rsidRDefault="00CA4C8F" w14:paraId="1423CB67" w14:textId="78DBDA99">
      <w:pPr>
        <w:pStyle w:val="Standard"/>
      </w:pPr>
      <w:r>
        <w:lastRenderedPageBreak/>
        <w:t>They suggest instead that the Commission could survey other non-utility expenses faced by customers to determine the trade-offs households may make to cover utility expenses.</w:t>
      </w:r>
      <w:r>
        <w:rPr>
          <w:rStyle w:val="FootnoteReference"/>
        </w:rPr>
        <w:footnoteReference w:id="212"/>
      </w:r>
    </w:p>
    <w:p w:rsidR="006A6388" w:rsidP="006A6388" w:rsidRDefault="006A6388" w14:paraId="37A99475" w14:textId="78A8034F">
      <w:pPr>
        <w:pStyle w:val="Standard"/>
      </w:pPr>
      <w:r>
        <w:t>NDC supports annual affordability reporting, and recommends including a retrospective assessment of how affordability in California has changed over a five and 10 year period.</w:t>
      </w:r>
      <w:r>
        <w:rPr>
          <w:rStyle w:val="FootnoteReference"/>
        </w:rPr>
        <w:footnoteReference w:id="213"/>
      </w:r>
      <w:r>
        <w:t xml:space="preserve">  NDC also recommended that the report </w:t>
      </w:r>
      <w:r w:rsidR="00A4742E">
        <w:t>describe</w:t>
      </w:r>
      <w:r>
        <w:t xml:space="preserve"> </w:t>
      </w:r>
      <w:r w:rsidR="00A4742E">
        <w:t xml:space="preserve">the </w:t>
      </w:r>
      <w:r>
        <w:t>percent</w:t>
      </w:r>
      <w:r w:rsidR="00A4742E">
        <w:t>age</w:t>
      </w:r>
      <w:r>
        <w:t xml:space="preserve"> of California households </w:t>
      </w:r>
      <w:r w:rsidR="00A4742E">
        <w:t xml:space="preserve">that </w:t>
      </w:r>
      <w:r>
        <w:t>depend upon income earned at minimum wage for one-third or more of their total household income</w:t>
      </w:r>
      <w:r w:rsidR="00A4742E">
        <w:t>, in order to give context to the HM metric’s measurements.</w:t>
      </w:r>
      <w:r w:rsidR="00A4742E">
        <w:rPr>
          <w:rStyle w:val="FootnoteReference"/>
        </w:rPr>
        <w:footnoteReference w:id="214"/>
      </w:r>
    </w:p>
    <w:p w:rsidR="00FD75C6" w:rsidP="00586449" w:rsidRDefault="00FD75C6" w14:paraId="6C9D53B4" w14:textId="63D13E1F">
      <w:pPr>
        <w:pStyle w:val="Standard"/>
      </w:pPr>
      <w:r>
        <w:t>SoCalGas and SDG&amp;E recommend that the benefits of any applicable low-income assistance programs be included in any evaluation of hardship.</w:t>
      </w:r>
      <w:r>
        <w:rPr>
          <w:rStyle w:val="FootnoteReference"/>
        </w:rPr>
        <w:footnoteReference w:id="215"/>
      </w:r>
      <w:r w:rsidR="008B5926">
        <w:t xml:space="preserve">  They support an annual Affordability Report in general.</w:t>
      </w:r>
      <w:r w:rsidR="008B5926">
        <w:rPr>
          <w:rStyle w:val="FootnoteReference"/>
        </w:rPr>
        <w:footnoteReference w:id="216"/>
      </w:r>
      <w:r w:rsidR="00547829">
        <w:t xml:space="preserve">  SCE also supports an annual Affordability Report.</w:t>
      </w:r>
      <w:r w:rsidR="00547829">
        <w:rPr>
          <w:rStyle w:val="FootnoteReference"/>
        </w:rPr>
        <w:footnoteReference w:id="217"/>
      </w:r>
    </w:p>
    <w:p w:rsidR="00FD31C1" w:rsidP="00586449" w:rsidRDefault="00FD31C1" w14:paraId="46EE35F2" w14:textId="19576DC0">
      <w:pPr>
        <w:pStyle w:val="Standard"/>
      </w:pPr>
      <w:r>
        <w:t>SCE does not support including an analysis of the relationship between affordability and disconnections in an annual report, citing the lack of record development and the existence of a different Commission proceeding examining the disconnections issue.</w:t>
      </w:r>
      <w:r>
        <w:rPr>
          <w:rStyle w:val="FootnoteReference"/>
        </w:rPr>
        <w:footnoteReference w:id="218"/>
      </w:r>
      <w:r w:rsidR="00BC3F67">
        <w:t xml:space="preserve">  SCE further asserts that there may be many reasons for a disconnection, and simply presuming that disconnections are a measure of hardship may be misplaced.</w:t>
      </w:r>
      <w:r w:rsidR="00BC3F67">
        <w:rPr>
          <w:rStyle w:val="FootnoteReference"/>
        </w:rPr>
        <w:footnoteReference w:id="219"/>
      </w:r>
    </w:p>
    <w:p w:rsidR="006F4161" w:rsidP="00586449" w:rsidRDefault="006F4161" w14:paraId="48FD52BD" w14:textId="46ED262D">
      <w:pPr>
        <w:pStyle w:val="Standard"/>
      </w:pPr>
      <w:r>
        <w:lastRenderedPageBreak/>
        <w:t xml:space="preserve">CCTA objects to the production of a stand-alone Affordability Report, citing questions around due process, resources constraints, and </w:t>
      </w:r>
      <w:r w:rsidR="009B0E60">
        <w:t>lack of demonstrated need.</w:t>
      </w:r>
      <w:r w:rsidR="009B0E60">
        <w:rPr>
          <w:rStyle w:val="FootnoteReference"/>
        </w:rPr>
        <w:footnoteReference w:id="220"/>
      </w:r>
    </w:p>
    <w:p w:rsidR="00B7776C" w:rsidP="00586449" w:rsidRDefault="00B7776C" w14:paraId="12DE5B1A" w14:textId="2691D53A">
      <w:pPr>
        <w:pStyle w:val="Standard"/>
      </w:pPr>
      <w:r>
        <w:t xml:space="preserve">PG&amp;E does not oppose an annual Affordability </w:t>
      </w:r>
      <w:proofErr w:type="gramStart"/>
      <w:r>
        <w:t>Report, but</w:t>
      </w:r>
      <w:proofErr w:type="gramEnd"/>
      <w:r>
        <w:t xml:space="preserve"> believes that it should focus on a retrospective assessment of affordability and not seek to draw conclusions about disconnections.</w:t>
      </w:r>
      <w:r>
        <w:rPr>
          <w:rStyle w:val="FootnoteReference"/>
        </w:rPr>
        <w:footnoteReference w:id="221"/>
      </w:r>
    </w:p>
    <w:p w:rsidR="00871D01" w:rsidP="00586449" w:rsidRDefault="00871D01" w14:paraId="3EBB52D4" w14:textId="68F66B05">
      <w:pPr>
        <w:pStyle w:val="Standard"/>
      </w:pPr>
      <w:r>
        <w:t>The Small LECs opine that disconnection rates for Small LEC customers may not be an appropriate measure of affordability.</w:t>
      </w:r>
      <w:r>
        <w:rPr>
          <w:rStyle w:val="FootnoteReference"/>
        </w:rPr>
        <w:footnoteReference w:id="222"/>
      </w:r>
    </w:p>
    <w:p w:rsidR="00EE7BFA" w:rsidP="00EE7BFA" w:rsidRDefault="00EE7BFA" w14:paraId="5074A084" w14:textId="2FCD5DC4">
      <w:pPr>
        <w:pStyle w:val="Standard"/>
      </w:pPr>
      <w:proofErr w:type="spellStart"/>
      <w:r>
        <w:t>CforAT</w:t>
      </w:r>
      <w:proofErr w:type="spellEnd"/>
      <w:r>
        <w:t xml:space="preserve"> recommends that an additional measure of hardship be included that would examine deliberate minimization of utility use </w:t>
      </w:r>
      <w:proofErr w:type="gramStart"/>
      <w:r>
        <w:t>in an effort to</w:t>
      </w:r>
      <w:proofErr w:type="gramEnd"/>
      <w:r>
        <w:t xml:space="preserve"> minimize spending on utility bills.</w:t>
      </w:r>
      <w:r>
        <w:rPr>
          <w:rStyle w:val="FootnoteReference"/>
        </w:rPr>
        <w:footnoteReference w:id="223"/>
      </w:r>
    </w:p>
    <w:p w:rsidR="00C6014A" w:rsidP="00EE7BFA" w:rsidRDefault="00C6014A" w14:paraId="7492F4C7" w14:textId="3DD81FF3">
      <w:pPr>
        <w:pStyle w:val="Standard"/>
      </w:pPr>
      <w:proofErr w:type="spellStart"/>
      <w:r>
        <w:t>CalCCA</w:t>
      </w:r>
      <w:proofErr w:type="spellEnd"/>
      <w:r>
        <w:t xml:space="preserve"> supports annual reporting that retrospectively examines affordability to provide some temporal and geographic baselines upon which to measure trends in affordability.  This include an analysis of the impact of previous Commission decisions on affordability.</w:t>
      </w:r>
      <w:r w:rsidR="0013482C">
        <w:rPr>
          <w:rStyle w:val="FootnoteReference"/>
        </w:rPr>
        <w:footnoteReference w:id="224"/>
      </w:r>
      <w:r>
        <w:t xml:space="preserve">  </w:t>
      </w:r>
    </w:p>
    <w:p w:rsidR="00584942" w:rsidP="00EE7BFA" w:rsidRDefault="00584942" w14:paraId="274E74C3" w14:textId="2BF155AA">
      <w:pPr>
        <w:pStyle w:val="Standard"/>
      </w:pPr>
      <w:r>
        <w:t xml:space="preserve">There is widespread support for annual affordability reports and this decision holds that it is reasonable for Commission staff to create such reports as recommended by the revised staff proposal. </w:t>
      </w:r>
      <w:r w:rsidR="00B951C6">
        <w:t xml:space="preserve"> </w:t>
      </w:r>
      <w:r>
        <w:t xml:space="preserve">The reports will analyze of trends in the relative affordability of essential utility services. </w:t>
      </w:r>
      <w:r w:rsidR="00B951C6">
        <w:t xml:space="preserve"> </w:t>
      </w:r>
      <w:r>
        <w:t>This necessarily means that any data required by staff to create the annual affordability report shall be provided by utilities upon the request of Commission staff.</w:t>
      </w:r>
    </w:p>
    <w:p w:rsidR="00BA10F3" w:rsidP="005D5BAD" w:rsidRDefault="00BA10F3" w14:paraId="261F3C49" w14:textId="1AF6F319">
      <w:pPr>
        <w:pStyle w:val="Heading2"/>
        <w:numPr>
          <w:ilvl w:val="1"/>
          <w:numId w:val="2"/>
        </w:numPr>
      </w:pPr>
      <w:bookmarkStart w:name="_Toc40967170" w:id="83"/>
      <w:bookmarkStart w:name="_Toc46308209" w:id="84"/>
      <w:r>
        <w:lastRenderedPageBreak/>
        <w:t>Absolute Definition of Affordability</w:t>
      </w:r>
      <w:bookmarkEnd w:id="83"/>
      <w:bookmarkEnd w:id="84"/>
    </w:p>
    <w:p w:rsidR="00EE4F13" w:rsidP="00197BCC" w:rsidRDefault="00CF2188" w14:paraId="3877808A" w14:textId="1DC6E1EA">
      <w:pPr>
        <w:pStyle w:val="Standard"/>
      </w:pPr>
      <w:r>
        <w:t>S</w:t>
      </w:r>
      <w:r w:rsidR="00CC4646">
        <w:t>ome</w:t>
      </w:r>
      <w:r>
        <w:t xml:space="preserve"> parties, including UCAN, recommended including some conclusive determination of what constitutes affordable essential utility services in the annual Affordability Report.</w:t>
      </w:r>
      <w:r>
        <w:rPr>
          <w:rStyle w:val="FootnoteReference"/>
        </w:rPr>
        <w:footnoteReference w:id="225"/>
      </w:r>
      <w:r w:rsidR="00E34A7C">
        <w:t xml:space="preserve">  </w:t>
      </w:r>
    </w:p>
    <w:p w:rsidR="00F63414" w:rsidP="00197BCC" w:rsidRDefault="00E34A7C" w14:paraId="2C26D30D" w14:textId="0C16A804">
      <w:pPr>
        <w:pStyle w:val="Standard"/>
      </w:pPr>
      <w:r w:rsidRPr="00F63414">
        <w:t>Other parties</w:t>
      </w:r>
      <w:r w:rsidRPr="00F63414" w:rsidR="00B95AD7">
        <w:t>, including the Small LECs,</w:t>
      </w:r>
      <w:r w:rsidRPr="00F63414">
        <w:t xml:space="preserve"> </w:t>
      </w:r>
      <w:r w:rsidRPr="00F63414" w:rsidR="005408EE">
        <w:t xml:space="preserve">CWA, </w:t>
      </w:r>
      <w:r w:rsidR="00CC4646">
        <w:t xml:space="preserve">PG&amp;E, </w:t>
      </w:r>
      <w:r w:rsidRPr="00F63414" w:rsidR="00F63414">
        <w:t xml:space="preserve">SoCalGas </w:t>
      </w:r>
      <w:r w:rsidRPr="00F63414" w:rsidR="005408EE">
        <w:t xml:space="preserve">and </w:t>
      </w:r>
      <w:r w:rsidRPr="00F63414" w:rsidR="00F63414">
        <w:t>SDG&amp;E</w:t>
      </w:r>
      <w:r w:rsidRPr="00F63414" w:rsidR="005408EE">
        <w:t xml:space="preserve"> </w:t>
      </w:r>
      <w:r w:rsidRPr="00F63414">
        <w:t>disagreed with this approach</w:t>
      </w:r>
      <w:r>
        <w:t>.</w:t>
      </w:r>
      <w:r w:rsidR="00B95AD7">
        <w:rPr>
          <w:rStyle w:val="FootnoteReference"/>
        </w:rPr>
        <w:footnoteReference w:id="226"/>
      </w:r>
      <w:r>
        <w:t xml:space="preserve">  </w:t>
      </w:r>
    </w:p>
    <w:p w:rsidR="00330625" w:rsidP="00197BCC" w:rsidRDefault="00330625" w14:paraId="14F7F175" w14:textId="4E779E4D">
      <w:pPr>
        <w:pStyle w:val="Standard"/>
      </w:pPr>
      <w:r>
        <w:t xml:space="preserve">SCE argued that an absolute definition should not be </w:t>
      </w:r>
      <w:proofErr w:type="gramStart"/>
      <w:r>
        <w:t>employed, and</w:t>
      </w:r>
      <w:proofErr w:type="gramEnd"/>
      <w:r>
        <w:t xml:space="preserve"> agreed with the revised staff proposal that this decision should </w:t>
      </w:r>
      <w:r w:rsidRPr="00330625">
        <w:t xml:space="preserve">“not set forth criteria to determine in absolute terms whether bills are affordable or not.”  Instead, </w:t>
      </w:r>
      <w:r>
        <w:t xml:space="preserve">SCE agrees with the revised staff proposal that </w:t>
      </w:r>
      <w:r w:rsidRPr="00330625">
        <w:t xml:space="preserve">the metrics </w:t>
      </w:r>
      <w:r>
        <w:t>should be</w:t>
      </w:r>
      <w:r w:rsidRPr="00330625">
        <w:t xml:space="preserve"> used to describe “the degree to which essential utility services become more or less affordable due to a proposed rate change, how much the affordability of essential utility service charges has changed over time</w:t>
      </w:r>
      <w:r>
        <w:t xml:space="preserve">, </w:t>
      </w:r>
      <w:r w:rsidRPr="00330625">
        <w:t>and the degree to which essential utility services are more or less affordable in particular geographies</w:t>
      </w:r>
      <w:r>
        <w:t>.”  SCE believes these would be appropriate topics for an annual Affordability Report.</w:t>
      </w:r>
      <w:r>
        <w:rPr>
          <w:rStyle w:val="FootnoteReference"/>
        </w:rPr>
        <w:footnoteReference w:id="227"/>
      </w:r>
    </w:p>
    <w:p w:rsidR="00197BCC" w:rsidP="00197BCC" w:rsidRDefault="00197BCC" w14:paraId="355D1033" w14:textId="46474584">
      <w:pPr>
        <w:pStyle w:val="Standard"/>
      </w:pPr>
      <w:r>
        <w:t>The Small LECs argued that uncertainties with the data sources underlying the affordability metrics meant they should be used as guidelines rather than absolute measures.  They suggested the establishment of “target ranges” of affordability that would account for inherent uncertainties with the data and the methodologies.</w:t>
      </w:r>
      <w:r>
        <w:rPr>
          <w:rStyle w:val="FootnoteReference"/>
        </w:rPr>
        <w:footnoteReference w:id="228"/>
      </w:r>
      <w:r w:rsidR="006F5B6C">
        <w:t xml:space="preserve">  CWA raised similar concerns and argued that other costs beyond the Commission’s control, such as housing and healthcare costs, have more of an impact on affordability tha</w:t>
      </w:r>
      <w:r w:rsidR="008D099E">
        <w:t>n a</w:t>
      </w:r>
      <w:r w:rsidR="006F5B6C">
        <w:t xml:space="preserve"> Commission </w:t>
      </w:r>
      <w:proofErr w:type="spellStart"/>
      <w:r w:rsidR="006F5B6C">
        <w:t>ratesetting</w:t>
      </w:r>
      <w:proofErr w:type="spellEnd"/>
      <w:r w:rsidR="006F5B6C">
        <w:t xml:space="preserve"> proceeding.</w:t>
      </w:r>
      <w:r w:rsidR="006F5B6C">
        <w:rPr>
          <w:rStyle w:val="FootnoteReference"/>
        </w:rPr>
        <w:footnoteReference w:id="229"/>
      </w:r>
    </w:p>
    <w:p w:rsidR="00F63414" w:rsidP="00F63414" w:rsidRDefault="00F63414" w14:paraId="6646E0D4" w14:textId="502E0EE7">
      <w:pPr>
        <w:pStyle w:val="Standard"/>
      </w:pPr>
      <w:r>
        <w:lastRenderedPageBreak/>
        <w:t>SoCalGas and SDG&amp;E argue against “the use of affordability metrics to determine affordability and recommend the incorporation of historical reference to provide the necessary context for the comparative use of affordability metrics.”</w:t>
      </w:r>
      <w:r>
        <w:rPr>
          <w:rStyle w:val="FootnoteReference"/>
        </w:rPr>
        <w:footnoteReference w:id="230"/>
      </w:r>
      <w:r w:rsidR="00D02F6F">
        <w:t xml:space="preserve">  Cal Advocates also argued against making an absolute determination on affordability at this time, reasoning that it would be better to measure trends in the affordability metric measurements over time while keeping in mind that affordability will have a different definition for each household, depending on their circumstances.</w:t>
      </w:r>
      <w:r w:rsidR="00D02F6F">
        <w:rPr>
          <w:rStyle w:val="FootnoteReference"/>
        </w:rPr>
        <w:footnoteReference w:id="231"/>
      </w:r>
    </w:p>
    <w:p w:rsidR="007D4B78" w:rsidP="007D4B78" w:rsidRDefault="007D4B78" w14:paraId="071EDA79" w14:textId="089CAB08">
      <w:pPr>
        <w:pStyle w:val="Standard"/>
      </w:pPr>
      <w:proofErr w:type="spellStart"/>
      <w:r>
        <w:t>CforAT</w:t>
      </w:r>
      <w:proofErr w:type="spellEnd"/>
      <w:r>
        <w:t xml:space="preserve"> took a more nuanced approach, noting that while defining affordability in absolute terms may </w:t>
      </w:r>
      <w:r w:rsidR="00594ABB">
        <w:t>not be feasible</w:t>
      </w:r>
      <w:r>
        <w:t>, it may be helpful for staff to “identify a level of affordability that prompts a more substantial analysis.”</w:t>
      </w:r>
      <w:r>
        <w:rPr>
          <w:rStyle w:val="FootnoteReference"/>
        </w:rPr>
        <w:footnoteReference w:id="232"/>
      </w:r>
      <w:r w:rsidR="00D94B0C">
        <w:t xml:space="preserve">  Similarly, NDC argues that the annual Affordability Report could include a recommendation as to acceptable levels of affordability, for instance by highlighting the most extreme examples of unaffordable rates, while not drawing a bright line between utility rates that are affordable and unaffordable.</w:t>
      </w:r>
      <w:r w:rsidR="00D94B0C">
        <w:rPr>
          <w:rStyle w:val="FootnoteReference"/>
        </w:rPr>
        <w:footnoteReference w:id="233"/>
      </w:r>
      <w:r w:rsidR="00D94B0C">
        <w:t xml:space="preserve">  </w:t>
      </w:r>
    </w:p>
    <w:p w:rsidR="00CF2188" w:rsidP="00586449" w:rsidRDefault="00E34A7C" w14:paraId="700A9F89" w14:textId="62B57A18">
      <w:pPr>
        <w:pStyle w:val="Standard"/>
      </w:pPr>
      <w:r>
        <w:t>The scope of th</w:t>
      </w:r>
      <w:r w:rsidR="008D099E">
        <w:t>is proceeding</w:t>
      </w:r>
      <w:r>
        <w:t xml:space="preserve"> is not to define in absolute terms what makes for affordable essential utility services.  Rather, the objective of this decision is to define metrics and methodologies to track relative affordability of essential utility services over time</w:t>
      </w:r>
      <w:r w:rsidR="009F248B">
        <w:t>, and to set out a path of future implementation of those metrics and methodologies</w:t>
      </w:r>
      <w:r w:rsidR="002757CA">
        <w:t xml:space="preserve">.  The determination of whether any </w:t>
      </w:r>
      <w:proofErr w:type="gramStart"/>
      <w:r w:rsidR="002757CA">
        <w:t>particular measurement</w:t>
      </w:r>
      <w:proofErr w:type="gramEnd"/>
      <w:r w:rsidR="002757CA">
        <w:t xml:space="preserve"> of affordability using the metrics adopted by this decision should be used to find that a</w:t>
      </w:r>
      <w:r w:rsidR="00050454">
        <w:t xml:space="preserve">n </w:t>
      </w:r>
      <w:r w:rsidR="002757CA">
        <w:t>essential utility service is affordable is left for a future Commission.</w:t>
      </w:r>
    </w:p>
    <w:p w:rsidR="0089651A" w:rsidP="00D3515A" w:rsidRDefault="002F7D73" w14:paraId="5E8B5A34" w14:textId="49FEA83B">
      <w:pPr>
        <w:pStyle w:val="Standard"/>
      </w:pPr>
      <w:r>
        <w:lastRenderedPageBreak/>
        <w:t>It is worth noting that, i</w:t>
      </w:r>
      <w:r w:rsidR="004B0758">
        <w:t xml:space="preserve">n its Disconnections Rulemaking (R.18-07-005), the Commission </w:t>
      </w:r>
      <w:r w:rsidR="00C43119">
        <w:t xml:space="preserve">is also looking at questions related to affordability. </w:t>
      </w:r>
      <w:r w:rsidR="00FD3BC3">
        <w:t xml:space="preserve"> </w:t>
      </w:r>
      <w:r w:rsidR="00C43119">
        <w:t>O</w:t>
      </w:r>
      <w:r w:rsidR="0074512B">
        <w:t>n May 6, 2020</w:t>
      </w:r>
      <w:r w:rsidR="00B65711">
        <w:t>,</w:t>
      </w:r>
      <w:r w:rsidR="0074512B">
        <w:t xml:space="preserve"> the Commission issued a Proposed Decision in th</w:t>
      </w:r>
      <w:r w:rsidR="00B65711">
        <w:t>at proceeding that</w:t>
      </w:r>
      <w:r w:rsidR="00054603">
        <w:t xml:space="preserve"> </w:t>
      </w:r>
      <w:r w:rsidR="007A363B">
        <w:t>would establish a cap on the bills of the lowest income customers.</w:t>
      </w:r>
      <w:r w:rsidR="00AB3C4B">
        <w:rPr>
          <w:rStyle w:val="FootnoteReference"/>
        </w:rPr>
        <w:footnoteReference w:id="234"/>
      </w:r>
      <w:r w:rsidR="007A363B">
        <w:t xml:space="preserve"> </w:t>
      </w:r>
      <w:r w:rsidR="00FD3BC3">
        <w:t xml:space="preserve"> </w:t>
      </w:r>
      <w:r w:rsidR="007A363B">
        <w:t>The cap is measured as a percentage of the</w:t>
      </w:r>
      <w:r w:rsidR="004921B8">
        <w:t xml:space="preserve"> household’s</w:t>
      </w:r>
      <w:r w:rsidR="007A363B">
        <w:t xml:space="preserve"> income</w:t>
      </w:r>
      <w:r w:rsidR="004921B8">
        <w:t>.</w:t>
      </w:r>
      <w:r w:rsidR="00052AF1">
        <w:t xml:space="preserve"> </w:t>
      </w:r>
      <w:r w:rsidR="00FD3BC3">
        <w:t xml:space="preserve"> </w:t>
      </w:r>
      <w:r w:rsidR="00052AF1">
        <w:t>T</w:t>
      </w:r>
      <w:r w:rsidR="007A363B">
        <w:t>he</w:t>
      </w:r>
      <w:r w:rsidR="00EB45C0">
        <w:t xml:space="preserve"> bills of</w:t>
      </w:r>
      <w:r w:rsidR="007A363B">
        <w:t xml:space="preserve"> </w:t>
      </w:r>
      <w:r w:rsidR="00052AF1">
        <w:t xml:space="preserve">the </w:t>
      </w:r>
      <w:r w:rsidR="007A363B">
        <w:t>lo</w:t>
      </w:r>
      <w:r w:rsidR="00C500DB">
        <w:t>west income</w:t>
      </w:r>
      <w:r w:rsidR="00EB45C0">
        <w:t xml:space="preserve"> </w:t>
      </w:r>
      <w:r w:rsidR="00944A68">
        <w:br/>
      </w:r>
      <w:r w:rsidR="00EB45C0">
        <w:t xml:space="preserve">households – those earning 0-50% of the Federal Poverty Line – </w:t>
      </w:r>
      <w:r w:rsidR="002E6CBF">
        <w:t xml:space="preserve">would be </w:t>
      </w:r>
      <w:r w:rsidR="00EB45C0">
        <w:t>capped at 2%</w:t>
      </w:r>
      <w:r w:rsidR="008A2F60">
        <w:t xml:space="preserve"> of their income.</w:t>
      </w:r>
      <w:r w:rsidR="008A2F60">
        <w:rPr>
          <w:rStyle w:val="FootnoteReference"/>
        </w:rPr>
        <w:footnoteReference w:id="235"/>
      </w:r>
      <w:r w:rsidR="00FD3BC3">
        <w:t xml:space="preserve">  </w:t>
      </w:r>
      <w:r w:rsidR="002E6CBF">
        <w:t>This is intended to provide</w:t>
      </w:r>
      <w:r w:rsidR="005E28C6">
        <w:t xml:space="preserve"> </w:t>
      </w:r>
      <w:r w:rsidR="00440E18">
        <w:t>ratepayers with</w:t>
      </w:r>
      <w:r w:rsidR="00F97432">
        <w:t xml:space="preserve"> additional protections </w:t>
      </w:r>
      <w:r w:rsidR="005B44F8">
        <w:t>against disconnections</w:t>
      </w:r>
      <w:r w:rsidR="00112F9D">
        <w:t>.</w:t>
      </w:r>
      <w:r w:rsidR="00440E18">
        <w:t xml:space="preserve"> </w:t>
      </w:r>
      <w:r w:rsidR="00054603">
        <w:t xml:space="preserve"> </w:t>
      </w:r>
      <w:r w:rsidR="00E076A5">
        <w:t xml:space="preserve"> </w:t>
      </w:r>
    </w:p>
    <w:p w:rsidR="00571368" w:rsidP="00FD3BC3" w:rsidRDefault="00571368" w14:paraId="6719D62A" w14:textId="5C14F4A5">
      <w:pPr>
        <w:pStyle w:val="Standard"/>
      </w:pPr>
      <w:r>
        <w:t>It should</w:t>
      </w:r>
      <w:r w:rsidR="00D2694E">
        <w:t xml:space="preserve"> also</w:t>
      </w:r>
      <w:r>
        <w:t xml:space="preserve"> be noted that as part of the work in creating an annual Affordability Report, Commission staff may explore ways to provide objective context for the affordability metrics, for example by relating them to empirical measures of hardship.</w:t>
      </w:r>
    </w:p>
    <w:p w:rsidR="00BE0FD3" w:rsidP="00F351BA" w:rsidRDefault="00F351BA" w14:paraId="4363E133" w14:textId="1BB47F6C">
      <w:pPr>
        <w:pStyle w:val="Heading2"/>
        <w:numPr>
          <w:ilvl w:val="1"/>
          <w:numId w:val="2"/>
        </w:numPr>
      </w:pPr>
      <w:bookmarkStart w:name="_Toc40967171" w:id="85"/>
      <w:bookmarkStart w:name="_Toc46308210" w:id="86"/>
      <w:r w:rsidRPr="00F351BA">
        <w:t>Data Procurement, Analysis, and Presentation</w:t>
      </w:r>
      <w:bookmarkEnd w:id="85"/>
      <w:bookmarkEnd w:id="86"/>
    </w:p>
    <w:p w:rsidR="00F351BA" w:rsidP="008B5926" w:rsidRDefault="00F351BA" w14:paraId="76890136" w14:textId="130598A7">
      <w:pPr>
        <w:pStyle w:val="Standard"/>
      </w:pPr>
      <w:r>
        <w:t xml:space="preserve">In order to provide up-to-date affordability information in an annual report or in a given Commission proceeding, the revised staff proposal recommends that there be standing data requests to the utilities for information that is relevant to the affordability metric calculations.  </w:t>
      </w:r>
      <w:r w:rsidR="008B5926">
        <w:t xml:space="preserve">In particular the revised staff proposal recommends that the Commission’s Energy Division continue to issue quarterly data requests to the large electric </w:t>
      </w:r>
      <w:r w:rsidR="00FD3BC3">
        <w:t xml:space="preserve">corporations </w:t>
      </w:r>
      <w:r w:rsidR="008B5926">
        <w:t>for the rate and bill tracker tool that models forecasted revenue requirements and their projected residential rate and bill impacts.</w:t>
      </w:r>
    </w:p>
    <w:p w:rsidR="00025D9E" w:rsidP="008B5926" w:rsidRDefault="00025D9E" w14:paraId="21CB6ED2" w14:textId="55E56774">
      <w:pPr>
        <w:pStyle w:val="Standard"/>
      </w:pPr>
      <w:r>
        <w:t>Cal Advocates generally supports the revised staff proposal</w:t>
      </w:r>
      <w:r w:rsidR="008D099E">
        <w:t>’s approach to data collection</w:t>
      </w:r>
      <w:r>
        <w:t xml:space="preserve">, but seeks clarification that Commission staff will </w:t>
      </w:r>
      <w:r w:rsidRPr="00025D9E">
        <w:t xml:space="preserve">provide the workpapers and the computed metrics of the </w:t>
      </w:r>
      <w:r>
        <w:t>r</w:t>
      </w:r>
      <w:r w:rsidRPr="00025D9E">
        <w:t xml:space="preserve">evised </w:t>
      </w:r>
      <w:r>
        <w:t>s</w:t>
      </w:r>
      <w:r w:rsidRPr="00025D9E">
        <w:t xml:space="preserve">taff </w:t>
      </w:r>
      <w:r>
        <w:t>p</w:t>
      </w:r>
      <w:r w:rsidRPr="00025D9E">
        <w:t>roposal based on the</w:t>
      </w:r>
      <w:r>
        <w:t xml:space="preserve"> </w:t>
      </w:r>
      <w:r w:rsidRPr="00025D9E">
        <w:lastRenderedPageBreak/>
        <w:t>Commission’s final adopted methods and metrics to the parties involved in this proceeding</w:t>
      </w:r>
      <w:r>
        <w:t>.</w:t>
      </w:r>
      <w:r>
        <w:rPr>
          <w:rStyle w:val="FootnoteReference"/>
        </w:rPr>
        <w:footnoteReference w:id="236"/>
      </w:r>
    </w:p>
    <w:p w:rsidR="004C7ED9" w:rsidP="00F351BA" w:rsidRDefault="004C7ED9" w14:paraId="7996A448" w14:textId="01E057BC">
      <w:pPr>
        <w:pStyle w:val="Standard"/>
      </w:pPr>
      <w:r>
        <w:t>AT&amp;T does not support annual updates to the affordability metrics, including an annual reporting obligation for utilities, and instead proposes updating relevant data every three to five years.</w:t>
      </w:r>
      <w:r>
        <w:rPr>
          <w:rStyle w:val="FootnoteReference"/>
        </w:rPr>
        <w:footnoteReference w:id="237"/>
      </w:r>
    </w:p>
    <w:p w:rsidR="00F50C8D" w:rsidP="00FE1734" w:rsidRDefault="00FE1734" w14:paraId="2B86257D" w14:textId="2484EFD4">
      <w:pPr>
        <w:pStyle w:val="Standard"/>
      </w:pPr>
      <w:r>
        <w:t xml:space="preserve">CCTA objects to the revised staff proposal’s recommendation that broadband providers be required to provide the </w:t>
      </w:r>
      <w:r w:rsidR="00C42C99">
        <w:t>official advertised price</w:t>
      </w:r>
      <w:r>
        <w:t xml:space="preserve"> to the existing Request for Broadband Deployment and Subscription Data</w:t>
      </w:r>
      <w:r w:rsidR="00F50C8D">
        <w:t xml:space="preserve"> </w:t>
      </w:r>
      <w:r>
        <w:t xml:space="preserve">that the </w:t>
      </w:r>
      <w:r w:rsidR="00F50C8D">
        <w:t xml:space="preserve">Commission’s </w:t>
      </w:r>
      <w:r>
        <w:t>Communications Division issues to California broadband service providers annually.</w:t>
      </w:r>
      <w:r w:rsidR="00F50C8D">
        <w:t xml:space="preserve">  CCTA asserts that the recommendation is flawed because there is no information on “where it originates from” nor how the data will be used.</w:t>
      </w:r>
      <w:r w:rsidR="00F50C8D">
        <w:rPr>
          <w:rStyle w:val="FootnoteReference"/>
        </w:rPr>
        <w:footnoteReference w:id="238"/>
      </w:r>
      <w:r w:rsidR="00467CF2">
        <w:t xml:space="preserve">  The Small LECs agree and argue that due to purported jurisdictional issues, the collection of data on broadband service should not occur.</w:t>
      </w:r>
      <w:r w:rsidR="00467CF2">
        <w:rPr>
          <w:rStyle w:val="FootnoteReference"/>
        </w:rPr>
        <w:footnoteReference w:id="239"/>
      </w:r>
    </w:p>
    <w:p w:rsidR="008B5926" w:rsidP="00FE1734" w:rsidRDefault="008B5926" w14:paraId="0F232182" w14:textId="57116B56">
      <w:pPr>
        <w:pStyle w:val="Standard"/>
      </w:pPr>
      <w:r>
        <w:t>SoCalGas and SDG&amp;E support the continued use of quarterly data requests to the large electric IOUs for the rate and bill tracker tool that models forecasted revenue requirements and their projected residential rate and bill impacts.</w:t>
      </w:r>
      <w:r>
        <w:rPr>
          <w:rStyle w:val="FootnoteReference"/>
        </w:rPr>
        <w:footnoteReference w:id="240"/>
      </w:r>
      <w:r w:rsidR="00D2273F">
        <w:t xml:space="preserve">  PG&amp;E recommends reporting affordability measurements at the climate zone level of granularity, rather than attempting to make the measurements more finely grained in light of the “</w:t>
      </w:r>
      <w:r w:rsidRPr="00D2273F" w:rsidR="00D2273F">
        <w:t>complexity and uncertainty associated with calculating and comparing metrics at more granular levels</w:t>
      </w:r>
      <w:r w:rsidR="00D2273F">
        <w:t>.”</w:t>
      </w:r>
      <w:r w:rsidR="00D2273F">
        <w:rPr>
          <w:rStyle w:val="FootnoteReference"/>
        </w:rPr>
        <w:footnoteReference w:id="241"/>
      </w:r>
    </w:p>
    <w:p w:rsidR="0059555F" w:rsidP="00FE1734" w:rsidRDefault="0059555F" w14:paraId="524F951D" w14:textId="1A067AC3">
      <w:pPr>
        <w:pStyle w:val="Standard"/>
      </w:pPr>
      <w:r>
        <w:lastRenderedPageBreak/>
        <w:t>As held previously in this decision, it is necessary for Commission to staff to collect data to support the creation of an annual affordability report mandated by this decision.  Therefore, the annual data reporting requested by staff to support the annual reporting is reasonable and approved.</w:t>
      </w:r>
      <w:r w:rsidR="008D099E">
        <w:t xml:space="preserve">  The utilities shall respond in a timely manner to all staff data requests related to information needed to produce annual affordability reports.</w:t>
      </w:r>
    </w:p>
    <w:p w:rsidR="00403236" w:rsidP="00403236" w:rsidRDefault="00403236" w14:paraId="4187DAF2" w14:textId="6A7E8D38">
      <w:pPr>
        <w:pStyle w:val="Heading2"/>
        <w:numPr>
          <w:ilvl w:val="1"/>
          <w:numId w:val="2"/>
        </w:numPr>
      </w:pPr>
      <w:bookmarkStart w:name="_Toc40967172" w:id="87"/>
      <w:bookmarkStart w:name="_Toc46308211" w:id="88"/>
      <w:r>
        <w:t>Forecasting</w:t>
      </w:r>
      <w:bookmarkEnd w:id="87"/>
      <w:bookmarkEnd w:id="88"/>
    </w:p>
    <w:p w:rsidR="00403236" w:rsidP="00403236" w:rsidRDefault="00403236" w14:paraId="13FC8952" w14:textId="3D350BE2">
      <w:pPr>
        <w:pStyle w:val="Standard"/>
      </w:pPr>
      <w:r>
        <w:t xml:space="preserve">The revised staff proposal noted that </w:t>
      </w:r>
      <w:proofErr w:type="gramStart"/>
      <w:r>
        <w:t>in order to</w:t>
      </w:r>
      <w:proofErr w:type="gramEnd"/>
      <w:r>
        <w:t xml:space="preserve"> provide useful information to decision-makers and stakeholders, it would be necessary to forecast some of the data used to calculate the affordability metrics.  This would especially be the case i</w:t>
      </w:r>
      <w:r w:rsidR="00AE3A47">
        <w:t>f the affordability metrics were applied to a General Rate Case where revenue requirements may not take effect for several years after a decision is rendered.</w:t>
      </w:r>
      <w:r w:rsidR="00AE3A47">
        <w:rPr>
          <w:rStyle w:val="FootnoteReference"/>
        </w:rPr>
        <w:footnoteReference w:id="242"/>
      </w:r>
    </w:p>
    <w:p w:rsidR="00050454" w:rsidP="00403236" w:rsidRDefault="00AE3A47" w14:paraId="2BB880B8" w14:textId="77777777">
      <w:pPr>
        <w:pStyle w:val="Standard"/>
      </w:pPr>
      <w:r>
        <w:t>TURN recognizes the potential importance of forecasting, but suggests that the focus of th</w:t>
      </w:r>
      <w:r w:rsidR="00B93F46">
        <w:t>e current phase of this</w:t>
      </w:r>
      <w:r>
        <w:t xml:space="preserve"> proceeding should be on creating a strong methodological foundation for gauging affordability.</w:t>
      </w:r>
      <w:r>
        <w:rPr>
          <w:rStyle w:val="FootnoteReference"/>
        </w:rPr>
        <w:footnoteReference w:id="243"/>
      </w:r>
      <w:r w:rsidR="00B93F46">
        <w:t xml:space="preserve">  TURN suggests delaying detailed forecasting techniques until a later phase of this proceeding after pilots have been conducted.</w:t>
      </w:r>
      <w:r w:rsidR="00B93F46">
        <w:rPr>
          <w:rStyle w:val="FootnoteReference"/>
        </w:rPr>
        <w:footnoteReference w:id="244"/>
      </w:r>
      <w:r w:rsidR="00050454">
        <w:t xml:space="preserve">  </w:t>
      </w:r>
    </w:p>
    <w:p w:rsidR="00AE3A47" w:rsidP="00D94B0C" w:rsidRDefault="00050454" w14:paraId="3715B944" w14:textId="741FD690">
      <w:pPr>
        <w:pStyle w:val="Standard"/>
      </w:pPr>
      <w:r>
        <w:t>UCAN supports using publicly available data to forecast many of the variables underlying the affordability metrics</w:t>
      </w:r>
      <w:r w:rsidR="00204144">
        <w:t xml:space="preserve">, including regional variation in </w:t>
      </w:r>
      <w:r w:rsidR="00C42C99">
        <w:t>some variables such as income and housing</w:t>
      </w:r>
      <w:r>
        <w:t xml:space="preserve">.  In particular, UCAN supports using the </w:t>
      </w:r>
      <w:r w:rsidRPr="00050454">
        <w:t>Estimates of Non-labor and Wage Escalation Rates</w:t>
      </w:r>
      <w:r>
        <w:t xml:space="preserve"> published by Cal Advocates, as </w:t>
      </w:r>
      <w:r>
        <w:lastRenderedPageBreak/>
        <w:t>well as estimates of potential healthcare cost increases.</w:t>
      </w:r>
      <w:r>
        <w:rPr>
          <w:rStyle w:val="FootnoteReference"/>
        </w:rPr>
        <w:footnoteReference w:id="245"/>
      </w:r>
      <w:r w:rsidR="00D94B0C">
        <w:t xml:space="preserve">  NDC agrees that forecasting is essential to the operation of the affordability metrics, and argues that income and non-discretionary expenses can be forecasted using rates of inflation, unemployment, and changes to the consumer price index.</w:t>
      </w:r>
      <w:r w:rsidR="00D94B0C">
        <w:rPr>
          <w:rStyle w:val="FootnoteReference"/>
        </w:rPr>
        <w:footnoteReference w:id="246"/>
      </w:r>
    </w:p>
    <w:p w:rsidR="00CC4646" w:rsidP="00403236" w:rsidRDefault="002E705E" w14:paraId="2A3F1C68" w14:textId="2C7563B3">
      <w:pPr>
        <w:pStyle w:val="Standard"/>
      </w:pPr>
      <w:r>
        <w:t xml:space="preserve">In general, </w:t>
      </w:r>
      <w:r w:rsidR="00CC4646">
        <w:t>PG&amp;E does not support forecasting</w:t>
      </w:r>
      <w:r>
        <w:t xml:space="preserve"> of any kind.</w:t>
      </w:r>
      <w:r>
        <w:rPr>
          <w:rStyle w:val="FootnoteReference"/>
        </w:rPr>
        <w:footnoteReference w:id="247"/>
      </w:r>
      <w:r>
        <w:t xml:space="preserve">  Particularly</w:t>
      </w:r>
      <w:r w:rsidR="00CC4646">
        <w:t xml:space="preserve"> in the context of a utility’s GRC</w:t>
      </w:r>
      <w:r>
        <w:t xml:space="preserve">, </w:t>
      </w:r>
      <w:r w:rsidRPr="00CC4646" w:rsidR="00CC4646">
        <w:t xml:space="preserve">PG&amp;E </w:t>
      </w:r>
      <w:r w:rsidR="00CC4646">
        <w:t>argues that</w:t>
      </w:r>
      <w:r w:rsidRPr="00CC4646" w:rsidR="00CC4646">
        <w:t xml:space="preserve"> </w:t>
      </w:r>
      <w:r w:rsidR="00CC4646">
        <w:t>“</w:t>
      </w:r>
      <w:r w:rsidRPr="00CC4646" w:rsidR="00CC4646">
        <w:t xml:space="preserve">it is inappropriate to assess a utility’s GRC based on forecasts of non-utility costs, particularly when </w:t>
      </w:r>
      <w:r w:rsidR="00CC4646">
        <w:t>[s</w:t>
      </w:r>
      <w:r w:rsidRPr="00CC4646" w:rsidR="00CC4646">
        <w:t>taff</w:t>
      </w:r>
      <w:r w:rsidR="00CC4646">
        <w:t>]</w:t>
      </w:r>
      <w:r w:rsidRPr="00CC4646" w:rsidR="00CC4646">
        <w:t xml:space="preserve"> already propose to derive</w:t>
      </w:r>
      <w:r w:rsidR="00CC4646">
        <w:t xml:space="preserve"> </w:t>
      </w:r>
      <w:r w:rsidRPr="00CC4646" w:rsidR="00CC4646">
        <w:t>some of these costs for prior years using complex and potentially unreliable statistical analyses (e.g. housing costs for a given level of income)</w:t>
      </w:r>
      <w:r w:rsidR="00CC4646">
        <w:t>.”</w:t>
      </w:r>
      <w:r w:rsidR="00CC4646">
        <w:rPr>
          <w:rStyle w:val="FootnoteReference"/>
        </w:rPr>
        <w:footnoteReference w:id="248"/>
      </w:r>
    </w:p>
    <w:p w:rsidR="00EE4F13" w:rsidP="00403236" w:rsidRDefault="00EE4F13" w14:paraId="7DD5031C" w14:textId="73CA99ED">
      <w:pPr>
        <w:pStyle w:val="Standard"/>
      </w:pPr>
      <w:r>
        <w:t xml:space="preserve">The Small LECs do not support forecasting costs for local telephone service as rate cases for Small LECs generally concern rates at issue for a year or two, rather than several years out.  In particular, they do not support using the </w:t>
      </w:r>
      <w:r w:rsidRPr="00050454">
        <w:t>Estimates of Non-labor and Wage Escalation Rates</w:t>
      </w:r>
      <w:r>
        <w:t xml:space="preserve"> </w:t>
      </w:r>
      <w:r w:rsidR="006F5B6C">
        <w:t>publi</w:t>
      </w:r>
      <w:r>
        <w:t>shed by Cal Advocates.</w:t>
      </w:r>
      <w:r>
        <w:rPr>
          <w:rStyle w:val="FootnoteReference"/>
        </w:rPr>
        <w:footnoteReference w:id="249"/>
      </w:r>
      <w:r>
        <w:t xml:space="preserve">  </w:t>
      </w:r>
      <w:r w:rsidR="006F5B6C">
        <w:t xml:space="preserve">CWA also argues against </w:t>
      </w:r>
      <w:proofErr w:type="gramStart"/>
      <w:r w:rsidR="006F5B6C">
        <w:t>forecasting, and</w:t>
      </w:r>
      <w:proofErr w:type="gramEnd"/>
      <w:r w:rsidR="006F5B6C">
        <w:t xml:space="preserve"> opposes the Cal Advocates estimates.  CWA claims that not enough data have been provided to allow for a useful assessment of affordability into the future, and that any forecasts currently undertaken would likely be inaccurate.</w:t>
      </w:r>
      <w:r w:rsidR="006F5B6C">
        <w:rPr>
          <w:rStyle w:val="FootnoteReference"/>
        </w:rPr>
        <w:footnoteReference w:id="250"/>
      </w:r>
      <w:r w:rsidR="006F5B6C">
        <w:t xml:space="preserve"> </w:t>
      </w:r>
    </w:p>
    <w:p w:rsidR="006A0C81" w:rsidP="00403236" w:rsidRDefault="006A0C81" w14:paraId="3E801D6C" w14:textId="1C07EFF9">
      <w:pPr>
        <w:pStyle w:val="Standard"/>
      </w:pPr>
      <w:proofErr w:type="spellStart"/>
      <w:r>
        <w:lastRenderedPageBreak/>
        <w:t>CalCCA</w:t>
      </w:r>
      <w:proofErr w:type="spellEnd"/>
      <w:r>
        <w:t xml:space="preserve"> believes that forecasting issues may be addressed in a second phase of this proceeding, which would include an evaluation of Cal Advocates’ estimates and potential regional variations.</w:t>
      </w:r>
      <w:r>
        <w:rPr>
          <w:rStyle w:val="FootnoteReference"/>
        </w:rPr>
        <w:footnoteReference w:id="251"/>
      </w:r>
    </w:p>
    <w:p w:rsidR="00C10F6F" w:rsidP="00403236" w:rsidRDefault="00C10F6F" w14:paraId="5D72FD43" w14:textId="309AB422">
      <w:pPr>
        <w:pStyle w:val="Standard"/>
      </w:pPr>
      <w:r>
        <w:t xml:space="preserve">SoCalGas and SDG&amp;E do not support forecasting efforts, </w:t>
      </w:r>
      <w:r w:rsidR="00FE67CF">
        <w:t xml:space="preserve">including the estimates provided by Cal Advocates, </w:t>
      </w:r>
      <w:r>
        <w:t>and believe attempting to do so would compound the potential inaccuracies already present in the affordability metric measurements.  They instead propose that proceeding-specific forecasting be employed if necessary</w:t>
      </w:r>
      <w:r w:rsidR="00FE67CF">
        <w:t>.</w:t>
      </w:r>
      <w:r>
        <w:rPr>
          <w:rStyle w:val="FootnoteReference"/>
        </w:rPr>
        <w:footnoteReference w:id="252"/>
      </w:r>
      <w:r w:rsidR="00BC5690">
        <w:t xml:space="preserve">  SCE concurs that in general forecasting should not be employed.</w:t>
      </w:r>
      <w:r w:rsidR="00BC5690">
        <w:rPr>
          <w:rStyle w:val="FootnoteReference"/>
        </w:rPr>
        <w:footnoteReference w:id="253"/>
      </w:r>
    </w:p>
    <w:p w:rsidR="008D099E" w:rsidP="00403236" w:rsidRDefault="008D099E" w14:paraId="2E2501E4" w14:textId="77777777">
      <w:pPr>
        <w:pStyle w:val="Standard"/>
      </w:pPr>
      <w:r>
        <w:t xml:space="preserve"> It does not appear that forecasting capabilities are sufficiently developed at this time to adopt specific forecasting methodologies in this decision.  However, this decision finds that it is reasonable to require some form of a forecasting so that the affordability metrics may be used prospectively in Commission proceedings.  For example, some forecasting will be required for the affordability metrics to be usefully applied to a </w:t>
      </w:r>
      <w:proofErr w:type="spellStart"/>
      <w:r>
        <w:t>ratesetting</w:t>
      </w:r>
      <w:proofErr w:type="spellEnd"/>
      <w:r>
        <w:t xml:space="preserve"> proceeding setting rates for several years in the future.</w:t>
      </w:r>
    </w:p>
    <w:p w:rsidRPr="008D099E" w:rsidR="0062478D" w:rsidP="00403236" w:rsidRDefault="008D099E" w14:paraId="39FD3E37" w14:textId="18849E2F">
      <w:pPr>
        <w:pStyle w:val="Standard"/>
      </w:pPr>
      <w:r>
        <w:t xml:space="preserve">Therefore, this decision holds it is reasonable to develop forecasting techniques for the affordability metrics adopted by this decision in a later phase of this proceeding.  Parties will have the opportunity to comment on </w:t>
      </w:r>
      <w:r w:rsidR="00EF76C3">
        <w:t>staff proposals for forecasting methodologies at that time.</w:t>
      </w:r>
    </w:p>
    <w:p w:rsidR="00D96C5B" w:rsidP="00790791" w:rsidRDefault="00EF1AE1" w14:paraId="1C698973" w14:textId="66D8C76B">
      <w:pPr>
        <w:pStyle w:val="Heading2"/>
        <w:numPr>
          <w:ilvl w:val="1"/>
          <w:numId w:val="2"/>
        </w:numPr>
      </w:pPr>
      <w:bookmarkStart w:name="_Toc40967173" w:id="89"/>
      <w:bookmarkStart w:name="_Toc46308212" w:id="90"/>
      <w:r>
        <w:lastRenderedPageBreak/>
        <w:t xml:space="preserve">Broader Criticisms of </w:t>
      </w:r>
      <w:r w:rsidR="00D96C5B">
        <w:t>Uncertainty</w:t>
      </w:r>
      <w:r w:rsidR="00D669B3">
        <w:t xml:space="preserve"> </w:t>
      </w:r>
      <w:r>
        <w:t>in Affordability Metrics</w:t>
      </w:r>
      <w:bookmarkEnd w:id="89"/>
      <w:bookmarkEnd w:id="90"/>
    </w:p>
    <w:p w:rsidR="00D96C5B" w:rsidP="00790791" w:rsidRDefault="00D96C5B" w14:paraId="7F4A6A14" w14:textId="0DDBA974">
      <w:pPr>
        <w:pStyle w:val="Standard"/>
        <w:keepNext/>
        <w:keepLines/>
      </w:pPr>
      <w:r>
        <w:t>In reply comments, CCTA attacks the foundation of the Commission’s affordability analysis as uncertain and likely to produce affordability measurements that “ignore reality.”</w:t>
      </w:r>
      <w:r w:rsidR="00447727">
        <w:t xml:space="preserve">  CCTA selectively cites from the comments of other parties to assert that there is widely-held skepticism of the revised staff proposal’s approach to assessing affordability.</w:t>
      </w:r>
      <w:r>
        <w:rPr>
          <w:rStyle w:val="FootnoteReference"/>
        </w:rPr>
        <w:footnoteReference w:id="254"/>
      </w:r>
      <w:r>
        <w:t xml:space="preserve">  </w:t>
      </w:r>
      <w:r w:rsidR="00420477">
        <w:t xml:space="preserve">The original and revised staff proposals grant that there is inherent uncertainty to making calculations of the affordability of essential utility services.  At no point have Commission staff or stakeholders blinded themselves to the idea that </w:t>
      </w:r>
      <w:r w:rsidR="00273C37">
        <w:t xml:space="preserve">the Commission’s affordability analysis would rely on data with certain limitations.  The Commission staff’s transparency on this point is a matter of record, as is </w:t>
      </w:r>
      <w:r w:rsidR="00A6317B">
        <w:t>their</w:t>
      </w:r>
      <w:r w:rsidR="00273C37">
        <w:t xml:space="preserve"> determination to propose a framework that </w:t>
      </w:r>
      <w:r w:rsidRPr="7A591E96" w:rsidR="00273C37">
        <w:rPr>
          <w:i/>
          <w:iCs/>
        </w:rPr>
        <w:t>reasonably</w:t>
      </w:r>
      <w:r w:rsidR="00273C37">
        <w:t xml:space="preserve"> measures the affordability of essential utility services </w:t>
      </w:r>
      <w:proofErr w:type="gramStart"/>
      <w:r w:rsidR="00273C37">
        <w:t>in spite of</w:t>
      </w:r>
      <w:proofErr w:type="gramEnd"/>
      <w:r w:rsidR="00273C37">
        <w:t xml:space="preserve"> these limitations.</w:t>
      </w:r>
    </w:p>
    <w:p w:rsidR="00D96C5B" w:rsidP="00D96C5B" w:rsidRDefault="00D96C5B" w14:paraId="584904F8" w14:textId="45E2993C">
      <w:pPr>
        <w:pStyle w:val="Standard"/>
      </w:pPr>
      <w:r>
        <w:t xml:space="preserve">CCTA mistakes uncertainty for </w:t>
      </w:r>
      <w:r w:rsidR="0045501A">
        <w:t>infeasib</w:t>
      </w:r>
      <w:r w:rsidR="00541333">
        <w:t>i</w:t>
      </w:r>
      <w:r w:rsidR="0045501A">
        <w:t>lity</w:t>
      </w:r>
      <w:r>
        <w:t xml:space="preserve">.  The Commission’s holding in this decision is that </w:t>
      </w:r>
      <w:r w:rsidR="003721B1">
        <w:t xml:space="preserve">it </w:t>
      </w:r>
      <w:r>
        <w:t xml:space="preserve">is appropriate for the Commission to begin tracking and analyzing the affordability of essential utility services, as defined by the decision, in order to assist the Commission in fulfilling various statutory duties.  CCTA is correct that there is dispute among the parties </w:t>
      </w:r>
      <w:r w:rsidR="0045501A">
        <w:t xml:space="preserve">over </w:t>
      </w:r>
      <w:r>
        <w:t xml:space="preserve">how to define some of the inputs to the affordability metrics, but this debate and the inherent uncertainty of the measurements to be conducted does </w:t>
      </w:r>
      <w:r w:rsidR="00C42C99">
        <w:t xml:space="preserve">not </w:t>
      </w:r>
      <w:r w:rsidR="004A04B4">
        <w:t xml:space="preserve">mean that </w:t>
      </w:r>
      <w:r>
        <w:t xml:space="preserve">the Commission </w:t>
      </w:r>
      <w:r w:rsidR="004A04B4">
        <w:t xml:space="preserve">lacks </w:t>
      </w:r>
      <w:r w:rsidR="00273C37">
        <w:t xml:space="preserve">reasonably </w:t>
      </w:r>
      <w:r w:rsidR="00447727">
        <w:t xml:space="preserve">reliable </w:t>
      </w:r>
      <w:r>
        <w:t xml:space="preserve">information that can assist it in fulfilling its duties.  </w:t>
      </w:r>
    </w:p>
    <w:p w:rsidR="00447727" w:rsidP="00D96C5B" w:rsidRDefault="00420477" w14:paraId="41F763A0" w14:textId="2E36D594">
      <w:pPr>
        <w:pStyle w:val="Standard"/>
      </w:pPr>
      <w:r>
        <w:t>It is evident</w:t>
      </w:r>
      <w:r w:rsidR="00447727">
        <w:t xml:space="preserve"> that parties have differing views regarding the methodologies that should be employed to measure affordability.</w:t>
      </w:r>
      <w:r w:rsidR="00D669B3">
        <w:t xml:space="preserve"> </w:t>
      </w:r>
      <w:r w:rsidR="009936E0">
        <w:t xml:space="preserve"> This is to be expected with policy analysis that is novel and complex.</w:t>
      </w:r>
      <w:r w:rsidR="00D669B3">
        <w:t xml:space="preserve"> </w:t>
      </w:r>
      <w:r w:rsidR="009936E0">
        <w:t xml:space="preserve"> Throughout this proceeding, we have gathered </w:t>
      </w:r>
      <w:r w:rsidR="00FD6E80">
        <w:t>input on a variety of options for methodologies to calculate affordability.</w:t>
      </w:r>
      <w:r w:rsidR="00447727">
        <w:t xml:space="preserve">  However, </w:t>
      </w:r>
      <w:r w:rsidR="00447727">
        <w:lastRenderedPageBreak/>
        <w:t>reasonable differences of opinion should not be allowed to prevent analysis of the affordability of essential utility services.  In this decision the Commission holds that the metrics and methodologies adopted to measure affordability are reasonable</w:t>
      </w:r>
      <w:r w:rsidR="00273C37">
        <w:t xml:space="preserve"> </w:t>
      </w:r>
      <w:proofErr w:type="gramStart"/>
      <w:r w:rsidR="00273C37">
        <w:t>in spite of</w:t>
      </w:r>
      <w:proofErr w:type="gramEnd"/>
      <w:r w:rsidR="00273C37">
        <w:t xml:space="preserve"> acknowledged limitations with the data used</w:t>
      </w:r>
      <w:r w:rsidR="00447727">
        <w:t>, and that such adoption assists the Commission in executing its statutory duties.  Reasonable debate among the parties does not deal a fatal blow to that holding</w:t>
      </w:r>
      <w:r>
        <w:t>;</w:t>
      </w:r>
      <w:r w:rsidR="00447727">
        <w:t xml:space="preserve"> </w:t>
      </w:r>
      <w:proofErr w:type="gramStart"/>
      <w:r w:rsidR="00447727">
        <w:t>instead</w:t>
      </w:r>
      <w:proofErr w:type="gramEnd"/>
      <w:r w:rsidR="00447727">
        <w:t xml:space="preserve"> such debate will continue to inform the Commission’s analysis of affordability </w:t>
      </w:r>
      <w:r>
        <w:t xml:space="preserve">in the future </w:t>
      </w:r>
      <w:r w:rsidR="00447727">
        <w:t xml:space="preserve">and provide opportunities for consideration of </w:t>
      </w:r>
      <w:r>
        <w:t>potential</w:t>
      </w:r>
      <w:r w:rsidR="00447727">
        <w:t xml:space="preserve"> refinements.</w:t>
      </w:r>
    </w:p>
    <w:p w:rsidR="00C73025" w:rsidP="00C73025" w:rsidRDefault="00C73025" w14:paraId="2CB2A89B" w14:textId="71C19246">
      <w:pPr>
        <w:pStyle w:val="Heading2"/>
        <w:numPr>
          <w:ilvl w:val="1"/>
          <w:numId w:val="2"/>
        </w:numPr>
      </w:pPr>
      <w:bookmarkStart w:name="_Toc40967174" w:id="91"/>
      <w:bookmarkStart w:name="_Toc46308213" w:id="92"/>
      <w:r>
        <w:t>Phase 2 Issues</w:t>
      </w:r>
      <w:bookmarkEnd w:id="91"/>
      <w:bookmarkEnd w:id="92"/>
    </w:p>
    <w:p w:rsidR="00C73025" w:rsidP="00C73025" w:rsidRDefault="00C73025" w14:paraId="2FEB1739" w14:textId="2133F6AD">
      <w:pPr>
        <w:pStyle w:val="Standard"/>
      </w:pPr>
      <w:r>
        <w:t xml:space="preserve">Throughout this decision, reference is made to certain issues related to the calculation of affordability metrics that will continue to be investigated and refined in a second phase of this proceeding. </w:t>
      </w:r>
      <w:r w:rsidR="002A6264">
        <w:t xml:space="preserve"> We expect to issue an amended scoping memo to </w:t>
      </w:r>
      <w:r w:rsidR="00904A89">
        <w:t xml:space="preserve">further </w:t>
      </w:r>
      <w:r w:rsidR="00F63D74">
        <w:t>outline th</w:t>
      </w:r>
      <w:r w:rsidR="00E8751B">
        <w:t>e</w:t>
      </w:r>
      <w:r w:rsidR="00F63D74">
        <w:t>se issues and extend the statutory deadline for this proceeding.</w:t>
      </w:r>
      <w:r>
        <w:t xml:space="preserve"> </w:t>
      </w:r>
    </w:p>
    <w:p w:rsidR="00C73025" w:rsidP="00C73025" w:rsidRDefault="00C73025" w14:paraId="1CFF2919" w14:textId="492AEB17">
      <w:pPr>
        <w:pStyle w:val="Standard"/>
      </w:pPr>
      <w:r>
        <w:t>The</w:t>
      </w:r>
      <w:r w:rsidR="004E3EFA">
        <w:t xml:space="preserve"> non-exclusive</w:t>
      </w:r>
      <w:r>
        <w:t xml:space="preserve"> list below summarizes </w:t>
      </w:r>
      <w:r w:rsidR="004E3EFA">
        <w:t xml:space="preserve">some of </w:t>
      </w:r>
      <w:r>
        <w:t xml:space="preserve">the issues that will be addressed in Phase 2.  </w:t>
      </w:r>
    </w:p>
    <w:p w:rsidR="00C73025" w:rsidP="00894A49" w:rsidRDefault="004E3EFA" w14:paraId="164E604C" w14:textId="5B619D95">
      <w:pPr>
        <w:pStyle w:val="Standard"/>
        <w:numPr>
          <w:ilvl w:val="0"/>
          <w:numId w:val="21"/>
        </w:numPr>
        <w:spacing w:after="120" w:line="240" w:lineRule="auto"/>
        <w:ind w:right="1858"/>
      </w:pPr>
      <w:r>
        <w:t>Forecasting of variables used to calculate the affordability metrics.</w:t>
      </w:r>
    </w:p>
    <w:p w:rsidR="00C73025" w:rsidP="00894A49" w:rsidRDefault="004E3EFA" w14:paraId="20AEB003" w14:textId="314AAE47">
      <w:pPr>
        <w:pStyle w:val="Standard"/>
        <w:numPr>
          <w:ilvl w:val="0"/>
          <w:numId w:val="21"/>
        </w:numPr>
        <w:spacing w:after="120" w:line="240" w:lineRule="auto"/>
        <w:ind w:right="1858"/>
      </w:pPr>
      <w:r>
        <w:t>Proxy values for essential utility service cost data</w:t>
      </w:r>
      <w:r w:rsidR="00AB4903">
        <w:t xml:space="preserve"> that is</w:t>
      </w:r>
      <w:r w:rsidRPr="00AB4903" w:rsidR="00AB4903">
        <w:t xml:space="preserve"> </w:t>
      </w:r>
      <w:r w:rsidR="00AB4903">
        <w:t>unavailable</w:t>
      </w:r>
      <w:r>
        <w:t>.</w:t>
      </w:r>
    </w:p>
    <w:p w:rsidR="00C73025" w:rsidP="00894A49" w:rsidRDefault="004E3EFA" w14:paraId="5BD38BAC" w14:textId="06FAA937">
      <w:pPr>
        <w:pStyle w:val="Standard"/>
        <w:numPr>
          <w:ilvl w:val="0"/>
          <w:numId w:val="21"/>
        </w:numPr>
        <w:spacing w:after="120" w:line="240" w:lineRule="auto"/>
        <w:ind w:right="1858"/>
      </w:pPr>
      <w:r>
        <w:t>Procedural pathways for implementation of the affordability metrics generally (</w:t>
      </w:r>
      <w:r w:rsidRPr="00935927">
        <w:rPr>
          <w:i/>
          <w:iCs/>
        </w:rPr>
        <w:t>i.e</w:t>
      </w:r>
      <w:r>
        <w:t xml:space="preserve">., </w:t>
      </w:r>
      <w:r w:rsidR="003D0B04">
        <w:t xml:space="preserve">how broadly and in which </w:t>
      </w:r>
      <w:r>
        <w:t xml:space="preserve">proceedings to incorporate the metrics </w:t>
      </w:r>
      <w:r w:rsidR="003D0B04">
        <w:t xml:space="preserve">as well as the </w:t>
      </w:r>
      <w:r>
        <w:t>process used to publish information).</w:t>
      </w:r>
    </w:p>
    <w:p w:rsidR="00C73025" w:rsidP="00894A49" w:rsidRDefault="004E3EFA" w14:paraId="358FEA38" w14:textId="71C6EAD6">
      <w:pPr>
        <w:pStyle w:val="Standard"/>
        <w:numPr>
          <w:ilvl w:val="0"/>
          <w:numId w:val="21"/>
        </w:numPr>
        <w:spacing w:after="120" w:line="240" w:lineRule="auto"/>
        <w:ind w:right="1858"/>
      </w:pPr>
      <w:r>
        <w:t>Designing and publishing an annual Affordability Report.</w:t>
      </w:r>
    </w:p>
    <w:p w:rsidR="00C73025" w:rsidP="00894A49" w:rsidRDefault="004E3EFA" w14:paraId="45D17B2B" w14:textId="5124F914">
      <w:pPr>
        <w:pStyle w:val="Standard"/>
        <w:numPr>
          <w:ilvl w:val="0"/>
          <w:numId w:val="21"/>
        </w:numPr>
        <w:spacing w:after="120" w:line="240" w:lineRule="auto"/>
        <w:ind w:right="1858"/>
      </w:pPr>
      <w:r>
        <w:t>Refining methodologies for calculating the affordability metrics.</w:t>
      </w:r>
    </w:p>
    <w:p w:rsidR="00C73025" w:rsidP="00894A49" w:rsidRDefault="004E3EFA" w14:paraId="3A8357B8" w14:textId="61E82D3E">
      <w:pPr>
        <w:pStyle w:val="Standard"/>
        <w:numPr>
          <w:ilvl w:val="0"/>
          <w:numId w:val="21"/>
        </w:numPr>
        <w:spacing w:after="120" w:line="240" w:lineRule="auto"/>
        <w:ind w:right="1858"/>
      </w:pPr>
      <w:r>
        <w:t>Interactions between the affordability metrics and the rate and bill tracker tool under development by the Commission’s Energy Division.</w:t>
      </w:r>
    </w:p>
    <w:p w:rsidR="004E3EFA" w:rsidP="00894A49" w:rsidRDefault="004E3EFA" w14:paraId="231C951E" w14:textId="0C8A7DA7">
      <w:pPr>
        <w:pStyle w:val="Standard"/>
        <w:numPr>
          <w:ilvl w:val="0"/>
          <w:numId w:val="21"/>
        </w:numPr>
        <w:spacing w:after="120" w:line="240" w:lineRule="auto"/>
        <w:ind w:right="1858"/>
      </w:pPr>
      <w:r>
        <w:lastRenderedPageBreak/>
        <w:t>Coordination of ongoing data requests for information related to the affordability metrics.</w:t>
      </w:r>
    </w:p>
    <w:p w:rsidR="00C81C91" w:rsidP="00894A49" w:rsidRDefault="00C81C91" w14:paraId="380335F4" w14:textId="179562C3">
      <w:pPr>
        <w:pStyle w:val="Standard"/>
        <w:numPr>
          <w:ilvl w:val="0"/>
          <w:numId w:val="21"/>
        </w:numPr>
        <w:spacing w:after="120" w:line="240" w:lineRule="auto"/>
        <w:ind w:right="1858"/>
      </w:pPr>
      <w:r>
        <w:t>Developing and maintaining tools for calculating the affordability metrics.</w:t>
      </w:r>
    </w:p>
    <w:p w:rsidR="00C81C91" w:rsidP="00894A49" w:rsidRDefault="0029208D" w14:paraId="58FA826B" w14:textId="2D951DDE">
      <w:pPr>
        <w:pStyle w:val="Standard"/>
        <w:numPr>
          <w:ilvl w:val="0"/>
          <w:numId w:val="21"/>
        </w:numPr>
        <w:spacing w:after="120" w:line="240" w:lineRule="auto"/>
        <w:ind w:right="1858"/>
      </w:pPr>
      <w:r>
        <w:t xml:space="preserve">Making </w:t>
      </w:r>
      <w:r w:rsidR="00C81C91">
        <w:t xml:space="preserve">affordability metrics </w:t>
      </w:r>
      <w:r>
        <w:t>publicly available and accessible</w:t>
      </w:r>
      <w:r w:rsidR="00C81C91">
        <w:t>.</w:t>
      </w:r>
    </w:p>
    <w:p w:rsidR="00E5775E" w:rsidP="00894A49" w:rsidRDefault="00E5775E" w14:paraId="01394387" w14:textId="1C6A600C">
      <w:pPr>
        <w:pStyle w:val="Standard"/>
        <w:numPr>
          <w:ilvl w:val="0"/>
          <w:numId w:val="21"/>
        </w:numPr>
        <w:spacing w:after="120" w:line="240" w:lineRule="auto"/>
        <w:ind w:right="1858"/>
        <w:rPr>
          <w:rFonts w:asciiTheme="minorHAnsi" w:hAnsiTheme="minorHAnsi" w:eastAsiaTheme="minorEastAsia"/>
          <w:szCs w:val="26"/>
        </w:rPr>
      </w:pPr>
      <w:r>
        <w:t xml:space="preserve">Explore overlap between </w:t>
      </w:r>
      <w:r w:rsidR="00764411">
        <w:t xml:space="preserve">the </w:t>
      </w:r>
      <w:r w:rsidR="006400A7">
        <w:t xml:space="preserve">issues in the </w:t>
      </w:r>
      <w:r w:rsidR="00764411">
        <w:t>D</w:t>
      </w:r>
      <w:r>
        <w:t>isconnections</w:t>
      </w:r>
      <w:r w:rsidR="00764411">
        <w:t xml:space="preserve"> OIR</w:t>
      </w:r>
      <w:r w:rsidR="006400A7">
        <w:t xml:space="preserve"> and this OIR</w:t>
      </w:r>
      <w:r w:rsidR="005A1BB1">
        <w:t>.</w:t>
      </w:r>
    </w:p>
    <w:p w:rsidR="00FE67CF" w:rsidP="00894A49" w:rsidRDefault="00C81C91" w14:paraId="0993E4AC" w14:textId="1A72DAC0">
      <w:pPr>
        <w:pStyle w:val="Standard"/>
        <w:numPr>
          <w:ilvl w:val="0"/>
          <w:numId w:val="21"/>
        </w:numPr>
        <w:spacing w:after="120" w:line="240" w:lineRule="auto"/>
        <w:ind w:right="1858"/>
      </w:pPr>
      <w:r>
        <w:t>Incorporation of any approved essential usage study from A.19-11-019.</w:t>
      </w:r>
    </w:p>
    <w:p w:rsidR="00FA1B4F" w:rsidP="005F3B0A" w:rsidRDefault="00F062BB" w14:paraId="38549EC9" w14:textId="7517AE0F">
      <w:pPr>
        <w:pStyle w:val="Heading1"/>
        <w:numPr>
          <w:ilvl w:val="0"/>
          <w:numId w:val="2"/>
        </w:numPr>
      </w:pPr>
      <w:bookmarkStart w:name="_Toc40967175" w:id="93"/>
      <w:bookmarkStart w:name="_Toc46308214" w:id="94"/>
      <w:r>
        <w:t>Recommendations of the Revised Staff Proposal Adopted Unless Otherwise Modified</w:t>
      </w:r>
      <w:bookmarkEnd w:id="93"/>
      <w:bookmarkEnd w:id="94"/>
    </w:p>
    <w:p w:rsidRPr="00343E5C" w:rsidR="00343E5C" w:rsidP="00343E5C" w:rsidRDefault="00F062BB" w14:paraId="215C4E3A" w14:textId="15ABBCAC">
      <w:pPr>
        <w:pStyle w:val="Standard"/>
      </w:pPr>
      <w:r>
        <w:t>To ensure clarity of the record, the recommendations of the revised staff proposal attached as Appendix A are adopted by this decision unless otherwise modified by the findings, conclusions, or orders of this decision</w:t>
      </w:r>
      <w:r w:rsidR="00343E5C">
        <w:t>.</w:t>
      </w:r>
    </w:p>
    <w:p w:rsidR="005939A5" w:rsidP="005F3B0A" w:rsidRDefault="005939A5" w14:paraId="6D31CC4D" w14:textId="77777777">
      <w:pPr>
        <w:pStyle w:val="Heading1"/>
        <w:numPr>
          <w:ilvl w:val="0"/>
          <w:numId w:val="2"/>
        </w:numPr>
      </w:pPr>
      <w:bookmarkStart w:name="_Toc8123723" w:id="95"/>
      <w:bookmarkStart w:name="_Toc40967176" w:id="96"/>
      <w:bookmarkStart w:name="_Toc46308215" w:id="97"/>
      <w:r>
        <w:t>Comments on Proposed Decision</w:t>
      </w:r>
      <w:bookmarkEnd w:id="95"/>
      <w:bookmarkEnd w:id="96"/>
      <w:bookmarkEnd w:id="97"/>
    </w:p>
    <w:p w:rsidR="00AF5064" w:rsidP="00AF5064" w:rsidRDefault="00AF5064" w14:paraId="7F8A5E8B" w14:textId="6096ADC7">
      <w:pPr>
        <w:pStyle w:val="Standard"/>
      </w:pPr>
      <w:r>
        <w:t xml:space="preserve">The </w:t>
      </w:r>
      <w:r w:rsidRPr="00AF5064">
        <w:t xml:space="preserve">Proposed Decision of </w:t>
      </w:r>
      <w:r>
        <w:t xml:space="preserve">Commissioner </w:t>
      </w:r>
      <w:proofErr w:type="spellStart"/>
      <w:r>
        <w:t>Rechtschaffen</w:t>
      </w:r>
      <w:proofErr w:type="spellEnd"/>
      <w:r w:rsidRPr="00AF5064">
        <w:t xml:space="preserve"> in this matter was mailed to the parties in accordance with Section 311 of the Public Utilities Code and comments were allowed under Rule 14.3 of the Commission’s Rules of Practice and Procedure (Rules).  Comments were filed on </w:t>
      </w:r>
      <w:r w:rsidR="00A333F8">
        <w:t xml:space="preserve">June 24, 2020 </w:t>
      </w:r>
      <w:r w:rsidRPr="00AF5064">
        <w:t>by</w:t>
      </w:r>
      <w:r w:rsidR="00A333F8">
        <w:t xml:space="preserve"> SCE, </w:t>
      </w:r>
      <w:proofErr w:type="spellStart"/>
      <w:r w:rsidR="00A333F8">
        <w:t>CforAT</w:t>
      </w:r>
      <w:proofErr w:type="spellEnd"/>
      <w:r w:rsidR="00A333F8">
        <w:t xml:space="preserve">, PG&amp;E, CWA, NDC, TURN, Cal Advocates, UCAN, SoCalGas and SDG&amp;E, the Small LECs, Consolidated Communications Company of California, CCTA, Great Oaks Water Company, and </w:t>
      </w:r>
      <w:proofErr w:type="spellStart"/>
      <w:r w:rsidR="00A333F8">
        <w:t>CalCCA</w:t>
      </w:r>
      <w:proofErr w:type="spellEnd"/>
      <w:r w:rsidRPr="00AF5064">
        <w:t xml:space="preserve">.  </w:t>
      </w:r>
      <w:r>
        <w:t>Reply c</w:t>
      </w:r>
      <w:r w:rsidRPr="00AF5064">
        <w:t xml:space="preserve">omments were filed on </w:t>
      </w:r>
      <w:r w:rsidR="00A333F8">
        <w:t>June 29, 2020</w:t>
      </w:r>
      <w:r w:rsidRPr="00AF5064">
        <w:t xml:space="preserve"> by </w:t>
      </w:r>
      <w:r w:rsidR="00A333F8">
        <w:t>SCE, UCAN, NDC, CWA, SoCalGas and SDG&amp;E, TURN, Cal Advocates, the Small LECs, CCTA, and PG&amp;E</w:t>
      </w:r>
      <w:r w:rsidRPr="00AF5064">
        <w:t xml:space="preserve">.  </w:t>
      </w:r>
      <w:bookmarkStart w:name="_Toc8123724" w:id="98"/>
    </w:p>
    <w:p w:rsidR="00A333F8" w:rsidP="00AF5064" w:rsidRDefault="00A333F8" w14:paraId="346933C2" w14:textId="07DAD338">
      <w:pPr>
        <w:pStyle w:val="Standard"/>
      </w:pPr>
      <w:r>
        <w:t xml:space="preserve">Changes have been made throughout the decision in response to party comments.  In </w:t>
      </w:r>
      <w:r w:rsidR="00D8206C">
        <w:t>response to certain questions raised by parties regarding the definition of essential broadband communications service</w:t>
      </w:r>
      <w:r>
        <w:t xml:space="preserve">, this decision reiterates that it adopts the holdings of the revised staff proposal unless modified by this </w:t>
      </w:r>
      <w:r>
        <w:lastRenderedPageBreak/>
        <w:t xml:space="preserve">decision.  Therefore, this decision adopts the revised staff proposal’s recommendations that </w:t>
      </w:r>
      <w:r w:rsidR="00D8206C">
        <w:t xml:space="preserve">the definition of essential communications service includes fixed broadband service with a </w:t>
      </w:r>
      <w:r w:rsidRPr="00D8206C" w:rsidR="00D8206C">
        <w:t>capacity of 1</w:t>
      </w:r>
      <w:r w:rsidR="00D8206C">
        <w:t>,</w:t>
      </w:r>
      <w:r w:rsidRPr="00D8206C" w:rsidR="00D8206C">
        <w:t>024 GB per month</w:t>
      </w:r>
      <w:r w:rsidR="00D8206C">
        <w:t>, and that the fixed broadband minimum connection speed and capacity standards be subject to annual reassessment by staff.</w:t>
      </w:r>
      <w:r w:rsidR="00D8206C">
        <w:rPr>
          <w:rStyle w:val="FootnoteReference"/>
        </w:rPr>
        <w:footnoteReference w:id="255"/>
      </w:r>
    </w:p>
    <w:p w:rsidR="005939A5" w:rsidP="00AF5064" w:rsidRDefault="005939A5" w14:paraId="4A3D68F5" w14:textId="02728CA6">
      <w:pPr>
        <w:pStyle w:val="Heading1"/>
        <w:numPr>
          <w:ilvl w:val="0"/>
          <w:numId w:val="2"/>
        </w:numPr>
      </w:pPr>
      <w:bookmarkStart w:name="_Toc40967177" w:id="99"/>
      <w:bookmarkStart w:name="_Toc46308216" w:id="100"/>
      <w:r>
        <w:t>Assignment of Proceeding</w:t>
      </w:r>
      <w:bookmarkEnd w:id="98"/>
      <w:bookmarkEnd w:id="99"/>
      <w:bookmarkEnd w:id="100"/>
    </w:p>
    <w:p w:rsidR="005939A5" w:rsidP="006E6574" w:rsidRDefault="00F34E2D" w14:paraId="30F06043" w14:textId="0C8005A2">
      <w:pPr>
        <w:pStyle w:val="Standard"/>
      </w:pPr>
      <w:r>
        <w:t xml:space="preserve">Clifford </w:t>
      </w:r>
      <w:proofErr w:type="spellStart"/>
      <w:r>
        <w:t>Rechtschaffen</w:t>
      </w:r>
      <w:proofErr w:type="spellEnd"/>
      <w:r w:rsidR="005939A5">
        <w:t xml:space="preserve"> is the assigned Commissioner and </w:t>
      </w:r>
      <w:r>
        <w:t>Patrick Doherty</w:t>
      </w:r>
      <w:r w:rsidR="005939A5">
        <w:t xml:space="preserve"> is the assigned Administrative Law Judge in this proceeding.</w:t>
      </w:r>
    </w:p>
    <w:p w:rsidR="005939A5" w:rsidP="005939A5" w:rsidRDefault="005939A5" w14:paraId="10A9BB57" w14:textId="6384EAA2">
      <w:pPr>
        <w:pStyle w:val="Dummy"/>
      </w:pPr>
      <w:bookmarkStart w:name="_Toc8123725" w:id="101"/>
      <w:bookmarkStart w:name="_Toc40967178" w:id="102"/>
      <w:bookmarkStart w:name="_Toc46308217" w:id="103"/>
      <w:r>
        <w:t>Findings of Fact</w:t>
      </w:r>
      <w:bookmarkEnd w:id="101"/>
      <w:bookmarkEnd w:id="102"/>
      <w:bookmarkEnd w:id="103"/>
    </w:p>
    <w:p w:rsidRPr="00C87773" w:rsidR="0031559C" w:rsidP="003C363B" w:rsidRDefault="00C70086" w14:paraId="026C33E8" w14:textId="2D515FAF">
      <w:pPr>
        <w:pStyle w:val="FoF"/>
        <w:numPr>
          <w:ilvl w:val="6"/>
          <w:numId w:val="2"/>
        </w:numPr>
        <w:tabs>
          <w:tab w:val="clear" w:pos="1080"/>
        </w:tabs>
        <w:ind w:left="0" w:firstLine="540"/>
      </w:pPr>
      <w:r w:rsidRPr="00C87773">
        <w:t>The use of three independent, but related, metrics will create a more complete picture of affordability than any one metric on its own that provides limited insight into the affordability of utility costs</w:t>
      </w:r>
      <w:r w:rsidRPr="00C87773" w:rsidR="0031559C">
        <w:t>.</w:t>
      </w:r>
    </w:p>
    <w:p w:rsidRPr="00C87773" w:rsidR="0031559C" w:rsidP="00C87773" w:rsidRDefault="00C87773" w14:paraId="30AEF646" w14:textId="35B396C2">
      <w:pPr>
        <w:pStyle w:val="FoF"/>
      </w:pPr>
      <w:r>
        <w:t>2.</w:t>
      </w:r>
      <w:r w:rsidR="003C363B">
        <w:tab/>
      </w:r>
      <w:r w:rsidRPr="00C87773" w:rsidR="0031559C">
        <w:t>The HM metric allows the Commission and stakeholders to conceive of essential utility bills in terms of something most people can relate to – hours of labor.</w:t>
      </w:r>
    </w:p>
    <w:p w:rsidRPr="00C87773" w:rsidR="0031559C" w:rsidP="00C87773" w:rsidRDefault="00C87773" w14:paraId="24F3EB32" w14:textId="73C88D0E">
      <w:pPr>
        <w:pStyle w:val="FoF"/>
      </w:pPr>
      <w:r>
        <w:t>3.</w:t>
      </w:r>
      <w:r>
        <w:tab/>
      </w:r>
      <w:r w:rsidRPr="00C87773" w:rsidR="0031559C">
        <w:t xml:space="preserve">The use of the minimum wage in the HM metric accounts for the lowest wages legally available </w:t>
      </w:r>
      <w:proofErr w:type="gramStart"/>
      <w:r w:rsidRPr="00C87773" w:rsidR="0031559C">
        <w:t>in a given</w:t>
      </w:r>
      <w:proofErr w:type="gramEnd"/>
      <w:r w:rsidRPr="00C87773" w:rsidR="0031559C">
        <w:t xml:space="preserve"> location, and as a result implicitly considers the impact of utility bills on lower-income customers.</w:t>
      </w:r>
    </w:p>
    <w:p w:rsidRPr="00C87773" w:rsidR="007C3590" w:rsidP="00C87773" w:rsidRDefault="00C87773" w14:paraId="56B0C34C" w14:textId="72D5371D">
      <w:pPr>
        <w:pStyle w:val="FoF"/>
      </w:pPr>
      <w:r>
        <w:t>4.</w:t>
      </w:r>
      <w:r>
        <w:tab/>
      </w:r>
      <w:r w:rsidRPr="00C87773" w:rsidR="007C3590">
        <w:t>The SEVI metric describes the relative socioeconomic characteristics of communities in terms of poverty, unemployment, educational attainment, linguistic isolation, and percent of income spent on housing, which allows for consideration of how the same rate impact may affect one community’s ability to pay more than another’s.</w:t>
      </w:r>
    </w:p>
    <w:p w:rsidRPr="00C87773" w:rsidR="0031559C" w:rsidP="00790791" w:rsidRDefault="00C87773" w14:paraId="2738490D" w14:textId="38A37F0F">
      <w:pPr>
        <w:pStyle w:val="FoF"/>
        <w:keepNext/>
        <w:keepLines/>
        <w:ind w:firstLine="547"/>
      </w:pPr>
      <w:r>
        <w:lastRenderedPageBreak/>
        <w:t>5.</w:t>
      </w:r>
      <w:r>
        <w:tab/>
      </w:r>
      <w:r w:rsidRPr="00C87773" w:rsidR="007C3590">
        <w:t>The SEVI metric allows for an affordability assessment that is independent of the absolute value of essential utility service charges.</w:t>
      </w:r>
      <w:r w:rsidRPr="00C87773" w:rsidR="0031559C">
        <w:t xml:space="preserve"> </w:t>
      </w:r>
    </w:p>
    <w:p w:rsidRPr="00C87773" w:rsidR="00121E88" w:rsidP="00790791" w:rsidRDefault="00C87773" w14:paraId="2AD95233" w14:textId="02B049C7">
      <w:pPr>
        <w:pStyle w:val="FoF"/>
        <w:keepNext/>
        <w:keepLines/>
        <w:ind w:firstLine="547"/>
      </w:pPr>
      <w:r>
        <w:t>6.</w:t>
      </w:r>
      <w:r>
        <w:tab/>
      </w:r>
      <w:r w:rsidRPr="00C87773" w:rsidR="007C3590">
        <w:t>The SEVI metric illustrates potential inequities and disadvantageous socioeconomic conditions in a utility’s service territory in an easily understood form (</w:t>
      </w:r>
      <w:r w:rsidRPr="00C87773" w:rsidR="007C3590">
        <w:rPr>
          <w:i/>
          <w:iCs/>
        </w:rPr>
        <w:t>i.e</w:t>
      </w:r>
      <w:r w:rsidRPr="00C87773" w:rsidR="007C3590">
        <w:t xml:space="preserve">., a map) and does so in a geographically granular form that can be used to better </w:t>
      </w:r>
      <w:r w:rsidRPr="00C87773" w:rsidR="005018E8">
        <w:t>understand</w:t>
      </w:r>
      <w:r w:rsidRPr="00C87773" w:rsidR="007C3590">
        <w:t xml:space="preserve"> affordability concerns.</w:t>
      </w:r>
    </w:p>
    <w:p w:rsidRPr="00C87773" w:rsidR="00497A8E" w:rsidP="00C87773" w:rsidRDefault="00C87773" w14:paraId="300F496E" w14:textId="60691402">
      <w:pPr>
        <w:pStyle w:val="FoF"/>
      </w:pPr>
      <w:r>
        <w:t>7.</w:t>
      </w:r>
      <w:r>
        <w:tab/>
      </w:r>
      <w:r w:rsidRPr="00C87773" w:rsidR="00497A8E">
        <w:t>The AR metric seeks to quantify the percent of a household’s income that is required to pay for an essential utility service after non-discretionary costs such as housing and other essential utility services are removed from the household’s income, and it may be calculated for any given income level.</w:t>
      </w:r>
    </w:p>
    <w:p w:rsidRPr="00C87773" w:rsidR="00497A8E" w:rsidP="00C87773" w:rsidRDefault="00C87773" w14:paraId="557F8ADA" w14:textId="1277D02E">
      <w:pPr>
        <w:pStyle w:val="FoF"/>
      </w:pPr>
      <w:r>
        <w:t>8.</w:t>
      </w:r>
      <w:r>
        <w:tab/>
      </w:r>
      <w:r w:rsidRPr="00C87773" w:rsidR="00497A8E">
        <w:t xml:space="preserve">Unlike the HM and SEVI metrics, AR can be tailored to answer the affordability question for a household in any given income range, which allows for affordability examinations </w:t>
      </w:r>
      <w:r w:rsidRPr="00C87773" w:rsidR="00856FC3">
        <w:t xml:space="preserve">of </w:t>
      </w:r>
      <w:r w:rsidRPr="00C87773" w:rsidR="00497A8E">
        <w:t>households that may be lower-income but still not qualify for low-income assistance programs.</w:t>
      </w:r>
    </w:p>
    <w:p w:rsidRPr="00C87773" w:rsidR="00497A8E" w:rsidP="00C87773" w:rsidRDefault="00C87773" w14:paraId="0A5150F1" w14:textId="4A7C21C9">
      <w:pPr>
        <w:pStyle w:val="FoF"/>
      </w:pPr>
      <w:r>
        <w:t>9.</w:t>
      </w:r>
      <w:r>
        <w:tab/>
      </w:r>
      <w:r w:rsidRPr="00C87773" w:rsidR="00497A8E">
        <w:t>The AR metric is sensitive to geographic variations in cost-of-living, which can impact the amount of income available to pay for essential utility services.</w:t>
      </w:r>
    </w:p>
    <w:p w:rsidRPr="00C87773" w:rsidR="00426C25" w:rsidP="00C87773" w:rsidRDefault="00C87773" w14:paraId="2025C6AB" w14:textId="4BD3DB8D">
      <w:pPr>
        <w:pStyle w:val="FoF"/>
      </w:pPr>
      <w:r>
        <w:t>10.</w:t>
      </w:r>
      <w:r>
        <w:tab/>
      </w:r>
      <w:r w:rsidRPr="00C87773" w:rsidR="00426C25">
        <w:t xml:space="preserve">Essential utility service cost data is </w:t>
      </w:r>
      <w:r w:rsidRPr="00C87773" w:rsidR="00A12DF0">
        <w:t>unavailable</w:t>
      </w:r>
      <w:r w:rsidRPr="00C87773" w:rsidR="00426C25">
        <w:t xml:space="preserve"> in several different contexts.  </w:t>
      </w:r>
    </w:p>
    <w:p w:rsidRPr="00C87773" w:rsidR="00ED0CB8" w:rsidP="00C87773" w:rsidRDefault="00C87773" w14:paraId="5D241AC8" w14:textId="17E63D53">
      <w:pPr>
        <w:pStyle w:val="FoF"/>
      </w:pPr>
      <w:r>
        <w:t>11.</w:t>
      </w:r>
      <w:r>
        <w:tab/>
      </w:r>
      <w:r w:rsidRPr="00C87773" w:rsidR="00ED0CB8">
        <w:t xml:space="preserve">Baseline amounts of electricity are </w:t>
      </w:r>
      <w:r w:rsidRPr="00C87773" w:rsidR="005105E8">
        <w:t>required to be set at between 50-</w:t>
      </w:r>
      <w:r w:rsidRPr="00C87773" w:rsidR="00ED0CB8">
        <w:t xml:space="preserve">60% of the average household usage </w:t>
      </w:r>
      <w:proofErr w:type="gramStart"/>
      <w:r w:rsidRPr="00C87773" w:rsidR="00ED0CB8">
        <w:t>in a given</w:t>
      </w:r>
      <w:proofErr w:type="gramEnd"/>
      <w:r w:rsidRPr="00C87773" w:rsidR="00ED0CB8">
        <w:t xml:space="preserve"> climate zone</w:t>
      </w:r>
      <w:r w:rsidRPr="00C87773" w:rsidR="005105E8">
        <w:t xml:space="preserve"> for dual-fuel customers and between 60-70% of the average usage for all-electric customers</w:t>
      </w:r>
      <w:r w:rsidRPr="00C87773" w:rsidR="00ED0CB8">
        <w:t xml:space="preserve">.  </w:t>
      </w:r>
      <w:r w:rsidRPr="00C87773" w:rsidR="005B39FD">
        <w:t>B</w:t>
      </w:r>
      <w:r w:rsidRPr="00C87773" w:rsidR="00ED0CB8">
        <w:t xml:space="preserve">aseline amounts </w:t>
      </w:r>
      <w:r w:rsidRPr="00C87773" w:rsidR="00FE5DA1">
        <w:t xml:space="preserve">are </w:t>
      </w:r>
      <w:r w:rsidRPr="00C87773" w:rsidR="00ED0CB8">
        <w:t xml:space="preserve">higher in </w:t>
      </w:r>
      <w:r w:rsidRPr="00C87773" w:rsidR="005105E8">
        <w:t xml:space="preserve">hot climate zones, which are </w:t>
      </w:r>
      <w:r w:rsidRPr="00C87773" w:rsidR="00ED0CB8">
        <w:t xml:space="preserve">areas with warmer weather and larger air conditioning loads.  </w:t>
      </w:r>
    </w:p>
    <w:p w:rsidRPr="00C87773" w:rsidR="00F062BB" w:rsidP="00C87773" w:rsidRDefault="00C87773" w14:paraId="02F09B3F" w14:textId="04E586B2">
      <w:pPr>
        <w:pStyle w:val="FoF"/>
      </w:pPr>
      <w:r>
        <w:t>12.</w:t>
      </w:r>
      <w:r>
        <w:tab/>
      </w:r>
      <w:r w:rsidRPr="00C87773" w:rsidR="00F062BB">
        <w:t>The 600 cubic feet per household per month figure for essential water usage align</w:t>
      </w:r>
      <w:r w:rsidRPr="00C87773" w:rsidR="005B39FD">
        <w:t>s</w:t>
      </w:r>
      <w:r w:rsidRPr="00C87773" w:rsidR="00F062BB">
        <w:t xml:space="preserve"> with essential water service amounts under development by other state agencies.</w:t>
      </w:r>
    </w:p>
    <w:p w:rsidRPr="00C87773" w:rsidR="00F062BB" w:rsidP="00C87773" w:rsidRDefault="00C87773" w14:paraId="1AD4CCC7" w14:textId="0AC658D5">
      <w:pPr>
        <w:pStyle w:val="FoF"/>
      </w:pPr>
      <w:r>
        <w:lastRenderedPageBreak/>
        <w:t>13.</w:t>
      </w:r>
      <w:r>
        <w:tab/>
      </w:r>
      <w:r w:rsidRPr="00C87773" w:rsidR="00F062BB">
        <w:t>Commission decisions have long established unlimited local calling as an essential element of voice telephone service, and it also provides access to services such as 911 for emergencies and 2-1-1 information services.</w:t>
      </w:r>
    </w:p>
    <w:p w:rsidRPr="00C87773" w:rsidR="00F062BB" w:rsidP="00C87773" w:rsidRDefault="00C87773" w14:paraId="5FE21A5E" w14:textId="0604059F">
      <w:pPr>
        <w:pStyle w:val="FoF"/>
      </w:pPr>
      <w:r>
        <w:t>14.</w:t>
      </w:r>
      <w:r>
        <w:tab/>
      </w:r>
      <w:r w:rsidRPr="00C87773" w:rsidR="00F062BB">
        <w:t>1,000 minutes per month of mobile telephone service meets the Federal Lifeline minimum service standards for voice communications.</w:t>
      </w:r>
    </w:p>
    <w:p w:rsidRPr="00C87773" w:rsidR="00F062BB" w:rsidP="00C87773" w:rsidRDefault="00C87773" w14:paraId="27418CF6" w14:textId="5C5061D8">
      <w:pPr>
        <w:pStyle w:val="FoF"/>
      </w:pPr>
      <w:r>
        <w:t>15.</w:t>
      </w:r>
      <w:r>
        <w:tab/>
      </w:r>
      <w:r w:rsidRPr="00C87773" w:rsidR="00F062BB">
        <w:t>Since 2015</w:t>
      </w:r>
      <w:r w:rsidRPr="00C87773" w:rsidR="00EE706E">
        <w:t>,</w:t>
      </w:r>
      <w:r w:rsidRPr="00C87773" w:rsidR="00F062BB">
        <w:t xml:space="preserve"> the FCC has </w:t>
      </w:r>
      <w:r w:rsidRPr="00C87773" w:rsidR="00C431A7">
        <w:t xml:space="preserve">used </w:t>
      </w:r>
      <w:r w:rsidRPr="00C87773" w:rsidR="00F062BB">
        <w:t>a speed</w:t>
      </w:r>
      <w:r w:rsidRPr="00C87773" w:rsidR="00B23FAB">
        <w:t xml:space="preserve"> benchmark</w:t>
      </w:r>
      <w:r w:rsidRPr="00C87773" w:rsidR="00F062BB">
        <w:t xml:space="preserve"> of 25 Mbps downstream / 3 Mbps upstream for fixed broadband service to meet the standard of “advanced telecommunications capability” as defined by the federal Telecommunications Act of 1996.</w:t>
      </w:r>
    </w:p>
    <w:p w:rsidRPr="00C87773" w:rsidR="000A21AB" w:rsidP="00C87773" w:rsidRDefault="00C87773" w14:paraId="7C3AF25A" w14:textId="6604CAF4">
      <w:pPr>
        <w:pStyle w:val="FoF"/>
      </w:pPr>
      <w:r>
        <w:t>16.</w:t>
      </w:r>
      <w:r>
        <w:tab/>
      </w:r>
      <w:r w:rsidRPr="00C87773" w:rsidR="000A21AB">
        <w:t>The revised staff proposal’s recommended methodology accurately calculates the HM metric across a range of minimum wages and locations.</w:t>
      </w:r>
    </w:p>
    <w:p w:rsidRPr="00C87773" w:rsidR="000A21AB" w:rsidP="00C87773" w:rsidRDefault="00C87773" w14:paraId="711C3E90" w14:textId="34826578">
      <w:pPr>
        <w:pStyle w:val="FoF"/>
      </w:pPr>
      <w:r>
        <w:t>17.</w:t>
      </w:r>
      <w:r>
        <w:tab/>
      </w:r>
      <w:r w:rsidRPr="00C87773" w:rsidR="000A21AB">
        <w:t>The revised staff proposal’s recommended methodology for mapping the SEVI affordability metric accurately represents the socioeconomically vulnerable communities that will be most affected by affordability concerns.</w:t>
      </w:r>
    </w:p>
    <w:p w:rsidRPr="00C87773" w:rsidR="0017083A" w:rsidP="00C87773" w:rsidRDefault="00C87773" w14:paraId="05960624" w14:textId="58ADC11D">
      <w:pPr>
        <w:pStyle w:val="FoF"/>
      </w:pPr>
      <w:r>
        <w:t>18.</w:t>
      </w:r>
      <w:r>
        <w:tab/>
      </w:r>
      <w:r w:rsidRPr="00C87773" w:rsidR="0017083A">
        <w:t>There is a large degree of housing cost variance within any given subset of data for each PUMA.  For example, in PUMA 101 in California, households between the 15th and 25th income percentiles display a wide degree of variation in housing costs with a range of approximately $4000/month.</w:t>
      </w:r>
    </w:p>
    <w:p w:rsidRPr="00C87773" w:rsidR="0017083A" w:rsidP="00C87773" w:rsidRDefault="00C87773" w14:paraId="5BC0DD05" w14:textId="446C5096">
      <w:pPr>
        <w:pStyle w:val="FoF"/>
      </w:pPr>
      <w:r>
        <w:t>19.</w:t>
      </w:r>
      <w:r>
        <w:tab/>
      </w:r>
      <w:r w:rsidRPr="00C87773" w:rsidR="0017083A">
        <w:t xml:space="preserve">The regression approach recommended by the revised staff proposal averages housing costs for households at a given income level and utilizes the full set of housing cost data </w:t>
      </w:r>
      <w:proofErr w:type="gramStart"/>
      <w:r w:rsidRPr="00C87773" w:rsidR="0017083A">
        <w:t>in a given</w:t>
      </w:r>
      <w:proofErr w:type="gramEnd"/>
      <w:r w:rsidRPr="00C87773" w:rsidR="0017083A">
        <w:t xml:space="preserve"> PUMA.</w:t>
      </w:r>
    </w:p>
    <w:p w:rsidRPr="00C87773" w:rsidR="000B3405" w:rsidP="00C87773" w:rsidRDefault="00C87773" w14:paraId="45EE4EF3" w14:textId="24765535">
      <w:pPr>
        <w:pStyle w:val="FoF"/>
      </w:pPr>
      <w:r>
        <w:t>20.</w:t>
      </w:r>
      <w:r>
        <w:tab/>
      </w:r>
      <w:r w:rsidRPr="00C87773" w:rsidR="000B3405">
        <w:t xml:space="preserve">The housing cost for a given household’s income level in a PUMA is required </w:t>
      </w:r>
      <w:proofErr w:type="gramStart"/>
      <w:r w:rsidRPr="00C87773" w:rsidR="000B3405">
        <w:t>in order to</w:t>
      </w:r>
      <w:proofErr w:type="gramEnd"/>
      <w:r w:rsidRPr="00C87773" w:rsidR="000B3405">
        <w:t xml:space="preserve"> complete an AR calculation.</w:t>
      </w:r>
    </w:p>
    <w:p w:rsidRPr="00C87773" w:rsidR="00AB6659" w:rsidP="00C87773" w:rsidRDefault="00C87773" w14:paraId="7CC64E0B" w14:textId="20C120FE">
      <w:pPr>
        <w:pStyle w:val="FoF"/>
      </w:pPr>
      <w:r>
        <w:t>21.</w:t>
      </w:r>
      <w:r>
        <w:tab/>
      </w:r>
      <w:r w:rsidRPr="00C87773" w:rsidR="00AB6659">
        <w:t xml:space="preserve">There are overlapping boundaries of utility service areas and </w:t>
      </w:r>
      <w:r w:rsidRPr="00C87773" w:rsidR="5AFBF335">
        <w:t>census blocks</w:t>
      </w:r>
      <w:r w:rsidRPr="00C87773" w:rsidR="00AB6659">
        <w:t xml:space="preserve"> used as the geographic foundation of the AR methodology.</w:t>
      </w:r>
    </w:p>
    <w:p w:rsidRPr="00C87773" w:rsidR="00AB6659" w:rsidP="00790791" w:rsidRDefault="00C87773" w14:paraId="71352ECC" w14:textId="7DBA1FDC">
      <w:pPr>
        <w:pStyle w:val="FoF"/>
        <w:keepNext/>
        <w:keepLines/>
        <w:ind w:firstLine="547"/>
      </w:pPr>
      <w:r>
        <w:lastRenderedPageBreak/>
        <w:t>22.</w:t>
      </w:r>
      <w:r>
        <w:tab/>
      </w:r>
      <w:r w:rsidRPr="00C87773" w:rsidR="00AB6659">
        <w:t xml:space="preserve">It is necessary to correct for the mismatched boundaries between utility service areas and </w:t>
      </w:r>
      <w:r w:rsidRPr="00C87773" w:rsidR="51217DC2">
        <w:t>census geographies</w:t>
      </w:r>
      <w:r w:rsidRPr="00C87773" w:rsidR="00AB6659">
        <w:t xml:space="preserve"> to allow for the AR to be calculated.</w:t>
      </w:r>
    </w:p>
    <w:p w:rsidRPr="00C87773" w:rsidR="000B3405" w:rsidP="00790791" w:rsidRDefault="00C87773" w14:paraId="0D270A8D" w14:textId="58DB9122">
      <w:pPr>
        <w:pStyle w:val="FoF"/>
        <w:keepNext/>
        <w:keepLines/>
        <w:ind w:firstLine="547"/>
      </w:pPr>
      <w:r>
        <w:t>23.</w:t>
      </w:r>
      <w:r>
        <w:tab/>
      </w:r>
      <w:r w:rsidRPr="00C87773" w:rsidR="00116EF1">
        <w:t>Essential service charges may comprise 100 percent of income after other nondiscretionary household expenses, whether due to negative income after nondiscretionary expenses, or due to the household’s essential service charges being greater than available income.</w:t>
      </w:r>
    </w:p>
    <w:p w:rsidRPr="00C87773" w:rsidR="00116EF1" w:rsidP="00C87773" w:rsidRDefault="00C87773" w14:paraId="0F67E116" w14:textId="5C214FAB">
      <w:pPr>
        <w:pStyle w:val="FoF"/>
      </w:pPr>
      <w:r>
        <w:t>24.</w:t>
      </w:r>
      <w:r>
        <w:tab/>
      </w:r>
      <w:r w:rsidRPr="00C87773" w:rsidR="00116EF1">
        <w:t xml:space="preserve">The measurement of the affordability of essential utility services is not affected by top-coding.  Instead, </w:t>
      </w:r>
      <w:proofErr w:type="gramStart"/>
      <w:r w:rsidRPr="00C87773" w:rsidR="00116EF1">
        <w:t>top-coding</w:t>
      </w:r>
      <w:proofErr w:type="gramEnd"/>
      <w:r w:rsidRPr="00C87773" w:rsidR="00116EF1">
        <w:t xml:space="preserve"> removes absurd or illogical results from the AR calculation results and allows for aggregation and other forms of subsequent AR analysis.</w:t>
      </w:r>
    </w:p>
    <w:p w:rsidRPr="00C87773" w:rsidR="00116EF1" w:rsidP="00C87773" w:rsidRDefault="00C87773" w14:paraId="540FF372" w14:textId="0237051C">
      <w:pPr>
        <w:pStyle w:val="FoF"/>
      </w:pPr>
      <w:r>
        <w:t>25.</w:t>
      </w:r>
      <w:r>
        <w:tab/>
      </w:r>
      <w:r w:rsidRPr="00C87773" w:rsidR="00116EF1">
        <w:t>The AR metric represents the percent of a household’s income after housing expenses that are spent on essential utility service charges, and the remaining percent subsequently represents what a household has left to cover other nondiscretionary household expenses, including food, health care, taxes, transportation, childcare, and other miscellaneous expenses such as clothing.</w:t>
      </w:r>
    </w:p>
    <w:p w:rsidRPr="00C87773" w:rsidR="00402E73" w:rsidP="00C87773" w:rsidRDefault="00C87773" w14:paraId="197982A2" w14:textId="4C93EEA6">
      <w:pPr>
        <w:pStyle w:val="FoF"/>
      </w:pPr>
      <w:r>
        <w:t>26.</w:t>
      </w:r>
      <w:r>
        <w:tab/>
      </w:r>
      <w:r w:rsidRPr="00C87773" w:rsidR="00402E73">
        <w:t xml:space="preserve">A rate and bill tracker tool </w:t>
      </w:r>
      <w:proofErr w:type="gramStart"/>
      <w:r w:rsidRPr="00C87773" w:rsidR="00402E73">
        <w:t>is</w:t>
      </w:r>
      <w:proofErr w:type="gramEnd"/>
      <w:r w:rsidRPr="00C87773" w:rsidR="00402E73">
        <w:t xml:space="preserve"> under development by the Commission’s Energy Division and the large electrical corporations which models forecasted revenue requirements and resulting projected residential rate and bill impacts.  The projected residential rate and bill impacts produced by the tool on a quarterly basis facilitates tracking of costs, rates, and bill impacts and may strengthen the Commission’s decision-making abilities.</w:t>
      </w:r>
    </w:p>
    <w:p w:rsidRPr="00C87773" w:rsidR="00D45F37" w:rsidP="00C87773" w:rsidRDefault="00C87773" w14:paraId="7EF5D5B2" w14:textId="6F20FE44">
      <w:pPr>
        <w:pStyle w:val="FoF"/>
      </w:pPr>
      <w:r>
        <w:t>27.</w:t>
      </w:r>
      <w:r>
        <w:tab/>
      </w:r>
      <w:r w:rsidRPr="00C87773" w:rsidR="00EF656A">
        <w:t>It is useful to issue</w:t>
      </w:r>
      <w:r w:rsidRPr="00C87773" w:rsidR="00D45F37">
        <w:t xml:space="preserve"> an annual Affordability Report to create an analysis of trends in the relative affordability of essential utility services.</w:t>
      </w:r>
    </w:p>
    <w:p w:rsidRPr="00C87773" w:rsidR="00087742" w:rsidP="00790791" w:rsidRDefault="00C87773" w14:paraId="169F9520" w14:textId="447051B6">
      <w:pPr>
        <w:pStyle w:val="FoF"/>
        <w:keepNext/>
        <w:keepLines/>
      </w:pPr>
      <w:r>
        <w:lastRenderedPageBreak/>
        <w:t>28.</w:t>
      </w:r>
      <w:r>
        <w:tab/>
      </w:r>
      <w:r w:rsidRPr="00C87773" w:rsidR="00087742">
        <w:t>Forecasting capabilities are insufficiently developed at this time to adopt specific forecasting methodologies in this decision.</w:t>
      </w:r>
    </w:p>
    <w:p w:rsidR="005939A5" w:rsidP="00790791" w:rsidRDefault="005939A5" w14:paraId="6778B4B5" w14:textId="77777777">
      <w:pPr>
        <w:pStyle w:val="Dummy"/>
      </w:pPr>
      <w:bookmarkStart w:name="_Toc8123726" w:id="104"/>
      <w:bookmarkStart w:name="_Toc40967179" w:id="105"/>
      <w:bookmarkStart w:name="_Toc46308218" w:id="106"/>
      <w:r>
        <w:t>Conclusions of Law</w:t>
      </w:r>
      <w:bookmarkEnd w:id="104"/>
      <w:bookmarkEnd w:id="105"/>
      <w:bookmarkEnd w:id="106"/>
    </w:p>
    <w:p w:rsidRPr="00EF3EC7" w:rsidR="002C3878" w:rsidP="00790791" w:rsidRDefault="00EF3EC7" w14:paraId="744454F4" w14:textId="60A79E95">
      <w:pPr>
        <w:pStyle w:val="CoL"/>
        <w:keepNext/>
        <w:keepLines/>
      </w:pPr>
      <w:r>
        <w:t>1.</w:t>
      </w:r>
      <w:r>
        <w:tab/>
      </w:r>
      <w:r w:rsidRPr="00EF3EC7" w:rsidR="002C3878">
        <w:t xml:space="preserve">The Commission is generally charged with making certain levels of energy, water, and communications service affordable under various sections of the Public Utilities Code, including Section 739(d)(2), Section 382, Section 739.8(a), and Section 871.5.  </w:t>
      </w:r>
    </w:p>
    <w:p w:rsidRPr="00EF3EC7" w:rsidR="002C3878" w:rsidP="00EF3EC7" w:rsidRDefault="00EF3EC7" w14:paraId="183FE1C9" w14:textId="125B0C32">
      <w:pPr>
        <w:pStyle w:val="CoL"/>
      </w:pPr>
      <w:r>
        <w:t>2.</w:t>
      </w:r>
      <w:r>
        <w:tab/>
      </w:r>
      <w:r w:rsidRPr="00EF3EC7" w:rsidR="002C3878">
        <w:t>This rulemaking and decision help to advance the Commission’s analysis and understanding of the affordability of certain levels of energy, water, and communications services, and are therefore properly within the scope of the Commission’s lawful authority.</w:t>
      </w:r>
    </w:p>
    <w:p w:rsidRPr="00EF3EC7" w:rsidR="00193A5D" w:rsidP="00EF3EC7" w:rsidRDefault="00EF3EC7" w14:paraId="78516721" w14:textId="2F6D4E79">
      <w:pPr>
        <w:pStyle w:val="CoL"/>
      </w:pPr>
      <w:r>
        <w:t>3.</w:t>
      </w:r>
      <w:r>
        <w:tab/>
      </w:r>
      <w:r w:rsidRPr="00EF3EC7" w:rsidR="002C3878">
        <w:t xml:space="preserve">Pub. Util. Code Sections 709, 280, 281, 275.6, and the Moore Act all demonstrate that the Legislature contemplated a significant role for the Commission in closing the digital divide in California and bringing advanced communications services, including broadband internet access, to all Californians.  </w:t>
      </w:r>
    </w:p>
    <w:p w:rsidRPr="00EF3EC7" w:rsidR="002C3878" w:rsidP="00EF3EC7" w:rsidRDefault="00EF3EC7" w14:paraId="130CB023" w14:textId="72C4D421">
      <w:pPr>
        <w:pStyle w:val="CoL"/>
      </w:pPr>
      <w:r>
        <w:t>4.</w:t>
      </w:r>
      <w:r>
        <w:tab/>
      </w:r>
      <w:r w:rsidRPr="00EF3EC7" w:rsidR="002C3878">
        <w:t xml:space="preserve">This proceeding may assist </w:t>
      </w:r>
      <w:r w:rsidRPr="00EF3EC7" w:rsidR="00193A5D">
        <w:t xml:space="preserve">the Commission in closing the digital divide in California and bringing advanced communications services, including broadband internet access, to all Californians, </w:t>
      </w:r>
      <w:r w:rsidRPr="00EF3EC7" w:rsidR="002C3878">
        <w:t>and therefore this decision affirms that the Commission has jurisdiction to consider metrics to assess the affordability of communications services, including broadband service, in this proceeding</w:t>
      </w:r>
      <w:r w:rsidRPr="00EF3EC7" w:rsidR="00193A5D">
        <w:t>.</w:t>
      </w:r>
    </w:p>
    <w:p w:rsidRPr="00EF3EC7" w:rsidR="0067460F" w:rsidP="00EF3EC7" w:rsidRDefault="00EF3EC7" w14:paraId="50B991B3" w14:textId="00FE7382">
      <w:pPr>
        <w:pStyle w:val="CoL"/>
      </w:pPr>
      <w:r>
        <w:t>5.</w:t>
      </w:r>
      <w:r>
        <w:tab/>
      </w:r>
      <w:r w:rsidRPr="00EF3EC7" w:rsidR="0067460F">
        <w:t>The Commission should define metrics to measure the relative affordability of essential utility services as this will allow Commission decision-makers and stakeholders to consider the impact of Commission decisions on the relative affordability of these services, and help the Commission to meet statutory requirements to consider affordability as a goal when designing rates for essential utility services.</w:t>
      </w:r>
    </w:p>
    <w:p w:rsidRPr="00EF3EC7" w:rsidR="00C62132" w:rsidP="00EF3EC7" w:rsidRDefault="00EF3EC7" w14:paraId="1C73C11E" w14:textId="1B8ABCC4">
      <w:pPr>
        <w:pStyle w:val="CoL"/>
      </w:pPr>
      <w:r>
        <w:lastRenderedPageBreak/>
        <w:t>6.</w:t>
      </w:r>
      <w:r>
        <w:tab/>
      </w:r>
      <w:r w:rsidRPr="00EF3EC7" w:rsidR="00C62132">
        <w:t xml:space="preserve">It is reasonable for affordability to be defined as the degree to which a representative household </w:t>
      </w:r>
      <w:proofErr w:type="gramStart"/>
      <w:r w:rsidRPr="00EF3EC7" w:rsidR="00C62132">
        <w:t>is able to</w:t>
      </w:r>
      <w:proofErr w:type="gramEnd"/>
      <w:r w:rsidRPr="00EF3EC7" w:rsidR="00C62132">
        <w:t xml:space="preserve"> pay for an essential utility service charge, given its socioeconomic status.</w:t>
      </w:r>
    </w:p>
    <w:p w:rsidRPr="00EF3EC7" w:rsidR="00C62132" w:rsidP="00EF3EC7" w:rsidRDefault="00EF3EC7" w14:paraId="3864325C" w14:textId="6242A89D">
      <w:pPr>
        <w:pStyle w:val="CoL"/>
      </w:pPr>
      <w:r>
        <w:t>7.</w:t>
      </w:r>
      <w:r>
        <w:tab/>
      </w:r>
      <w:r w:rsidRPr="00EF3EC7" w:rsidR="00C62132">
        <w:t>The Commission should consider affordability for a representative household, rather than households in general, as this recognizes that households will have a wide variety of experiences that cannot be perfectly captured by depicting a single household.</w:t>
      </w:r>
    </w:p>
    <w:p w:rsidRPr="00EF3EC7" w:rsidR="00F10B24" w:rsidP="00EF3EC7" w:rsidRDefault="00EF3EC7" w14:paraId="6866EA2B" w14:textId="21C97B58">
      <w:pPr>
        <w:pStyle w:val="CoL"/>
      </w:pPr>
      <w:r>
        <w:t>8.</w:t>
      </w:r>
      <w:r>
        <w:tab/>
      </w:r>
      <w:r w:rsidRPr="00EF3EC7" w:rsidR="00F10B24">
        <w:t>It is reasonable to adopt HM as an affordability metric.</w:t>
      </w:r>
    </w:p>
    <w:p w:rsidR="004B18C6" w:rsidP="004B18C6" w:rsidRDefault="000535F3" w14:paraId="396276B6" w14:textId="77777777">
      <w:pPr>
        <w:pStyle w:val="CoL"/>
      </w:pPr>
      <w:r>
        <w:t>9.</w:t>
      </w:r>
      <w:r>
        <w:tab/>
      </w:r>
      <w:r w:rsidRPr="00EF3EC7" w:rsidR="007C3590">
        <w:t>It is reasonable to adopt the SEVI as an affordability metric.</w:t>
      </w:r>
    </w:p>
    <w:p w:rsidRPr="00EF3EC7" w:rsidR="00497A8E" w:rsidP="004B18C6" w:rsidRDefault="004B18C6" w14:paraId="2DC8792F" w14:textId="7DF6E4C1">
      <w:pPr>
        <w:pStyle w:val="CoL"/>
      </w:pPr>
      <w:r>
        <w:t>10.</w:t>
      </w:r>
      <w:r>
        <w:tab/>
      </w:r>
      <w:r w:rsidRPr="00EF3EC7" w:rsidR="00497A8E">
        <w:t>It is reasonable to adopt AR as an affordability metric even if the particular methodology for determining an AR score is modified over time</w:t>
      </w:r>
      <w:r w:rsidRPr="00EF3EC7" w:rsidR="00E47E31">
        <w:t>.</w:t>
      </w:r>
    </w:p>
    <w:p w:rsidRPr="00EF3EC7" w:rsidR="00E47E31" w:rsidP="00EF3EC7" w:rsidRDefault="007C6CF4" w14:paraId="49244389" w14:textId="35B19295">
      <w:pPr>
        <w:pStyle w:val="CoL"/>
      </w:pPr>
      <w:r w:rsidRPr="00EF3EC7">
        <w:t xml:space="preserve"> </w:t>
      </w:r>
      <w:r w:rsidR="000535F3">
        <w:t>11.</w:t>
      </w:r>
      <w:r w:rsidR="000535F3">
        <w:tab/>
      </w:r>
      <w:proofErr w:type="gramStart"/>
      <w:r w:rsidRPr="00EF3EC7" w:rsidR="00E47E31">
        <w:t>In spite of</w:t>
      </w:r>
      <w:proofErr w:type="gramEnd"/>
      <w:r w:rsidRPr="00EF3EC7" w:rsidR="00E47E31">
        <w:t xml:space="preserve"> the ambiguities inherent in the term “essential utility services,” it is necessary to give the term some definition in order to make the adopted affordability metrics operable.  </w:t>
      </w:r>
    </w:p>
    <w:p w:rsidRPr="00EF3EC7" w:rsidR="00E47E31" w:rsidP="00EF3EC7" w:rsidRDefault="000535F3" w14:paraId="0A09BC55" w14:textId="341B9664">
      <w:pPr>
        <w:pStyle w:val="CoL"/>
      </w:pPr>
      <w:r>
        <w:t>12.</w:t>
      </w:r>
      <w:r>
        <w:tab/>
      </w:r>
      <w:r w:rsidRPr="00EF3EC7" w:rsidR="005A1BB1">
        <w:t>T</w:t>
      </w:r>
      <w:r w:rsidRPr="00EF3EC7" w:rsidR="00E47E31">
        <w:t xml:space="preserve">he affordability metrics adopted by this decision </w:t>
      </w:r>
      <w:r w:rsidRPr="00EF3EC7" w:rsidR="005A1BB1">
        <w:t xml:space="preserve">should </w:t>
      </w:r>
      <w:r w:rsidRPr="00EF3EC7" w:rsidR="00E47E31">
        <w:t>measure the</w:t>
      </w:r>
      <w:r w:rsidRPr="00EF3EC7" w:rsidR="005A1BB1">
        <w:t xml:space="preserve"> </w:t>
      </w:r>
      <w:r w:rsidRPr="00EF3EC7" w:rsidR="00E47E31">
        <w:t xml:space="preserve">affordability of the essential utility services in general, </w:t>
      </w:r>
      <w:r w:rsidRPr="00EF3EC7" w:rsidR="005A1BB1">
        <w:t xml:space="preserve">not the effect of </w:t>
      </w:r>
      <w:r w:rsidRPr="00EF3EC7" w:rsidR="00E47E31">
        <w:t>low-income subsidy programs</w:t>
      </w:r>
      <w:r w:rsidRPr="00EF3EC7" w:rsidR="005A1BB1">
        <w:t xml:space="preserve"> on affordability</w:t>
      </w:r>
      <w:r w:rsidRPr="00EF3EC7" w:rsidR="00E47E31">
        <w:t xml:space="preserve">.  </w:t>
      </w:r>
    </w:p>
    <w:p w:rsidRPr="00EF3EC7" w:rsidR="00E47E31" w:rsidP="00EF3EC7" w:rsidRDefault="007C6CF4" w14:paraId="5BB926EC" w14:textId="07D8BBA6">
      <w:pPr>
        <w:pStyle w:val="CoL"/>
      </w:pPr>
      <w:r w:rsidRPr="00EF3EC7">
        <w:t xml:space="preserve"> </w:t>
      </w:r>
      <w:r w:rsidR="000535F3">
        <w:t>13.</w:t>
      </w:r>
      <w:r w:rsidR="000535F3">
        <w:tab/>
      </w:r>
      <w:r w:rsidRPr="00EF3EC7" w:rsidR="00E47E31">
        <w:t>Including the effect of low-income subsidy programs would be a de facto evaluation of their impact on affordability and would therefore conflict with the scoping memo’s ruling on this matter.</w:t>
      </w:r>
    </w:p>
    <w:p w:rsidRPr="00EF3EC7" w:rsidR="00E47E31" w:rsidP="00EF3EC7" w:rsidRDefault="000535F3" w14:paraId="6EE238D6" w14:textId="44D2B9E0">
      <w:pPr>
        <w:pStyle w:val="CoL"/>
      </w:pPr>
      <w:r>
        <w:t>14.</w:t>
      </w:r>
      <w:r>
        <w:tab/>
      </w:r>
      <w:r w:rsidRPr="00EF3EC7" w:rsidR="00E47E31">
        <w:t>It is reasonable to exclude the effect of low-income subsidy programs from the calculation of the cost of essential utility services.</w:t>
      </w:r>
    </w:p>
    <w:p w:rsidRPr="00EF3EC7" w:rsidR="00426C25" w:rsidP="00EF3EC7" w:rsidRDefault="007C6CF4" w14:paraId="33CDD089" w14:textId="461C90E9">
      <w:pPr>
        <w:pStyle w:val="CoL"/>
      </w:pPr>
      <w:r w:rsidRPr="00EF3EC7">
        <w:t xml:space="preserve"> </w:t>
      </w:r>
      <w:r w:rsidR="000535F3">
        <w:t>15.</w:t>
      </w:r>
      <w:r w:rsidR="000535F3">
        <w:tab/>
      </w:r>
      <w:r w:rsidRPr="00EF3EC7" w:rsidR="00A12DF0">
        <w:t>Unavailable</w:t>
      </w:r>
      <w:r w:rsidRPr="00EF3EC7" w:rsidR="00426C25">
        <w:t xml:space="preserve"> utility service data should be supplemented by proxy values developed in a future phase of this proceeding rather than using a value of $0.</w:t>
      </w:r>
    </w:p>
    <w:p w:rsidRPr="00EF3EC7" w:rsidR="00426C25" w:rsidP="00EF3EC7" w:rsidRDefault="007C6CF4" w14:paraId="0BA88A0B" w14:textId="6D09A2F8">
      <w:pPr>
        <w:pStyle w:val="CoL"/>
      </w:pPr>
      <w:r w:rsidRPr="00EF3EC7">
        <w:t xml:space="preserve"> </w:t>
      </w:r>
      <w:r w:rsidR="000535F3">
        <w:t>16.</w:t>
      </w:r>
      <w:r w:rsidR="000535F3">
        <w:tab/>
      </w:r>
      <w:r w:rsidRPr="00EF3EC7" w:rsidR="00426C25">
        <w:t xml:space="preserve">It is reasonable to </w:t>
      </w:r>
      <w:r w:rsidRPr="00EF3EC7" w:rsidR="2A5EFC7B">
        <w:t xml:space="preserve">assess </w:t>
      </w:r>
      <w:r w:rsidRPr="00EF3EC7" w:rsidR="00426C25">
        <w:t xml:space="preserve">methodologies for estimating proxy values for </w:t>
      </w:r>
      <w:r w:rsidRPr="00EF3EC7" w:rsidR="00A12DF0">
        <w:t>unavailable</w:t>
      </w:r>
      <w:r w:rsidRPr="00EF3EC7" w:rsidR="00426C25">
        <w:t xml:space="preserve"> essential utility service data in </w:t>
      </w:r>
      <w:proofErr w:type="spellStart"/>
      <w:r w:rsidRPr="00EF3EC7" w:rsidR="00426C25">
        <w:t>ratesetting</w:t>
      </w:r>
      <w:proofErr w:type="spellEnd"/>
      <w:r w:rsidRPr="00EF3EC7" w:rsidR="00426C25">
        <w:t xml:space="preserve"> proceedings as part of the </w:t>
      </w:r>
      <w:r w:rsidRPr="00EF3EC7" w:rsidR="00426C25">
        <w:lastRenderedPageBreak/>
        <w:t>final development of these methodologies in a later phase of this proceeding, which will allow Commission staff and parties to analyze the effectiveness of the proxy values in an actual Commission proceeding.</w:t>
      </w:r>
    </w:p>
    <w:p w:rsidRPr="00EF3EC7" w:rsidR="00ED0CB8" w:rsidP="00EF3EC7" w:rsidRDefault="007C6CF4" w14:paraId="2BC1BE6C" w14:textId="31038060">
      <w:pPr>
        <w:pStyle w:val="CoL"/>
      </w:pPr>
      <w:r w:rsidRPr="00EF3EC7">
        <w:t xml:space="preserve"> </w:t>
      </w:r>
      <w:r w:rsidR="000535F3">
        <w:t>17.</w:t>
      </w:r>
      <w:r w:rsidR="000535F3">
        <w:tab/>
      </w:r>
      <w:r w:rsidRPr="00EF3EC7" w:rsidR="00ED0CB8">
        <w:t xml:space="preserve">It is reasonable to use baseline prices for electricity as the price for essential electric utility service at this time, although the essential usage study under consideration in PG&amp;E’s current GRC Phase 2 proceeding (A.19-11-019) may be used to refine the value used for essential electricity service in a later phase of this proceeding.  </w:t>
      </w:r>
    </w:p>
    <w:p w:rsidRPr="00EF3EC7" w:rsidR="00F062BB" w:rsidP="004B18C6" w:rsidRDefault="007C6CF4" w14:paraId="712149D7" w14:textId="469B7F0A">
      <w:pPr>
        <w:pStyle w:val="CoL"/>
        <w:keepNext/>
        <w:keepLines/>
      </w:pPr>
      <w:r w:rsidRPr="00EF3EC7">
        <w:t xml:space="preserve"> </w:t>
      </w:r>
      <w:r w:rsidR="000535F3">
        <w:t>18.</w:t>
      </w:r>
      <w:r w:rsidR="000535F3">
        <w:tab/>
      </w:r>
      <w:r w:rsidRPr="00EF3EC7" w:rsidR="00F062BB">
        <w:t>The definition of essential water service as recommended by the revised staff proposal is reasonable and should be adopted.</w:t>
      </w:r>
    </w:p>
    <w:p w:rsidRPr="00EF3EC7" w:rsidR="00F062BB" w:rsidP="004B18C6" w:rsidRDefault="007C6CF4" w14:paraId="3F4288B6" w14:textId="0631D1D3">
      <w:pPr>
        <w:pStyle w:val="CoL"/>
        <w:keepNext/>
        <w:keepLines/>
      </w:pPr>
      <w:r w:rsidRPr="00EF3EC7">
        <w:t xml:space="preserve"> </w:t>
      </w:r>
      <w:r w:rsidR="000535F3">
        <w:t>19.</w:t>
      </w:r>
      <w:r w:rsidR="000535F3">
        <w:tab/>
      </w:r>
      <w:r w:rsidRPr="00EF3EC7" w:rsidR="00F062BB">
        <w:t xml:space="preserve">The definition of essential voice telephone communications </w:t>
      </w:r>
      <w:proofErr w:type="gramStart"/>
      <w:r w:rsidRPr="00EF3EC7" w:rsidR="00F062BB">
        <w:t>service</w:t>
      </w:r>
      <w:proofErr w:type="gramEnd"/>
      <w:r w:rsidRPr="00EF3EC7" w:rsidR="00F062BB">
        <w:t xml:space="preserve"> as contained in the revised staff proposal is reasonable and should be adopted.</w:t>
      </w:r>
    </w:p>
    <w:p w:rsidRPr="00EF3EC7" w:rsidR="00F062BB" w:rsidP="00EF3EC7" w:rsidRDefault="007C6CF4" w14:paraId="1DEB0913" w14:textId="1E00960A">
      <w:pPr>
        <w:pStyle w:val="CoL"/>
      </w:pPr>
      <w:r w:rsidRPr="00EF3EC7">
        <w:t xml:space="preserve"> </w:t>
      </w:r>
      <w:r w:rsidR="000535F3">
        <w:t>20.</w:t>
      </w:r>
      <w:r w:rsidR="000535F3">
        <w:tab/>
      </w:r>
      <w:r w:rsidRPr="00EF3EC7" w:rsidR="00F062BB">
        <w:t xml:space="preserve">It is reasonable for the Commission to set a minimum speed for fixed broadband service to can be used to assess the affordability of essential communications services, </w:t>
      </w:r>
      <w:proofErr w:type="gramStart"/>
      <w:r w:rsidRPr="00EF3EC7" w:rsidR="00F062BB">
        <w:t>in light of</w:t>
      </w:r>
      <w:proofErr w:type="gramEnd"/>
      <w:r w:rsidRPr="00EF3EC7" w:rsidR="00F062BB">
        <w:t xml:space="preserve"> the Commission’s statutory obligations.</w:t>
      </w:r>
    </w:p>
    <w:p w:rsidRPr="00EF3EC7" w:rsidR="00F062BB" w:rsidP="00EF3EC7" w:rsidRDefault="007C6CF4" w14:paraId="74C7B57D" w14:textId="0C73EB0B">
      <w:pPr>
        <w:pStyle w:val="CoL"/>
      </w:pPr>
      <w:r w:rsidRPr="00EF3EC7">
        <w:t xml:space="preserve"> </w:t>
      </w:r>
      <w:r w:rsidR="000535F3">
        <w:t>21.</w:t>
      </w:r>
      <w:r w:rsidR="000535F3">
        <w:tab/>
      </w:r>
      <w:r w:rsidRPr="00EF3EC7" w:rsidR="006905BE">
        <w:t>It is reasonable to use 25 Mbps / 3 Mbps to determine the fixed broadband component of essential communications service that is used in the Commission’s affordability analysis</w:t>
      </w:r>
      <w:r w:rsidRPr="00EF3EC7" w:rsidR="00F062BB">
        <w:t>.</w:t>
      </w:r>
    </w:p>
    <w:p w:rsidRPr="00EF3EC7" w:rsidR="00F062BB" w:rsidP="00EF3EC7" w:rsidRDefault="007C6CF4" w14:paraId="5C6B050C" w14:textId="71A8E5A8">
      <w:pPr>
        <w:pStyle w:val="CoL"/>
      </w:pPr>
      <w:r w:rsidRPr="00EF3EC7">
        <w:t xml:space="preserve"> </w:t>
      </w:r>
      <w:r w:rsidR="000535F3">
        <w:t>22.</w:t>
      </w:r>
      <w:r w:rsidR="000535F3">
        <w:tab/>
      </w:r>
      <w:r w:rsidRPr="00EF3EC7" w:rsidR="00C37B9C">
        <w:t>No law or state or federal regulation forbids the Commission from accessing and analyzing broadband service prices</w:t>
      </w:r>
      <w:r w:rsidRPr="00EF3EC7" w:rsidR="00F062BB">
        <w:t>.</w:t>
      </w:r>
    </w:p>
    <w:p w:rsidRPr="00EF3EC7" w:rsidR="000A21AB" w:rsidP="00EF3EC7" w:rsidRDefault="007C6CF4" w14:paraId="188BAA17" w14:textId="0CFC1227">
      <w:pPr>
        <w:pStyle w:val="CoL"/>
      </w:pPr>
      <w:r w:rsidRPr="00EF3EC7">
        <w:t xml:space="preserve"> </w:t>
      </w:r>
      <w:r w:rsidR="000535F3">
        <w:t>23.</w:t>
      </w:r>
      <w:r w:rsidR="000535F3">
        <w:tab/>
      </w:r>
      <w:r w:rsidRPr="00EF3EC7" w:rsidR="000A21AB">
        <w:t>The revised staff proposal’s recommended methodology for calculating the HM affordability metric is reasonable and should be adopted.</w:t>
      </w:r>
    </w:p>
    <w:p w:rsidRPr="00EF3EC7" w:rsidR="000A21AB" w:rsidP="00EF3EC7" w:rsidRDefault="007C6CF4" w14:paraId="3C837A12" w14:textId="6A7EF377">
      <w:pPr>
        <w:pStyle w:val="CoL"/>
      </w:pPr>
      <w:r w:rsidRPr="00EF3EC7">
        <w:t xml:space="preserve"> </w:t>
      </w:r>
      <w:r w:rsidR="000535F3">
        <w:t>24.</w:t>
      </w:r>
      <w:r w:rsidR="000535F3">
        <w:tab/>
      </w:r>
      <w:r w:rsidRPr="00EF3EC7" w:rsidR="000A21AB">
        <w:t>The revised staff proposal’s recommended methodology for calculating and mapping the SEVI affordability metric is reasonable and should be adopted</w:t>
      </w:r>
      <w:r w:rsidRPr="00EF3EC7" w:rsidR="0017083A">
        <w:t>.</w:t>
      </w:r>
    </w:p>
    <w:p w:rsidRPr="00EF3EC7" w:rsidR="0017083A" w:rsidP="00EF3EC7" w:rsidRDefault="007C6CF4" w14:paraId="67A9F74A" w14:textId="70B98F89">
      <w:pPr>
        <w:pStyle w:val="CoL"/>
      </w:pPr>
      <w:r w:rsidRPr="00EF3EC7">
        <w:t xml:space="preserve"> </w:t>
      </w:r>
      <w:r w:rsidR="000535F3">
        <w:t>25.</w:t>
      </w:r>
      <w:r w:rsidR="000535F3">
        <w:tab/>
      </w:r>
      <w:r w:rsidRPr="00EF3EC7" w:rsidR="0017083A">
        <w:t xml:space="preserve">The revised staff proposal’s </w:t>
      </w:r>
      <w:r w:rsidRPr="00EF3EC7" w:rsidR="000B3405">
        <w:t>regression approach for estimating housing costs to be used in the AR metric calculation is reasonable and should be adopted</w:t>
      </w:r>
      <w:r w:rsidRPr="00EF3EC7" w:rsidR="0017083A">
        <w:t>.</w:t>
      </w:r>
    </w:p>
    <w:p w:rsidRPr="00EF3EC7" w:rsidR="00AB6659" w:rsidP="00EF3EC7" w:rsidRDefault="007C6CF4" w14:paraId="1475A746" w14:textId="449AF95D">
      <w:pPr>
        <w:pStyle w:val="CoL"/>
      </w:pPr>
      <w:r w:rsidRPr="00EF3EC7">
        <w:lastRenderedPageBreak/>
        <w:t xml:space="preserve"> </w:t>
      </w:r>
      <w:r w:rsidR="000535F3">
        <w:t>26.</w:t>
      </w:r>
      <w:r w:rsidR="000535F3">
        <w:tab/>
      </w:r>
      <w:r w:rsidRPr="00EF3EC7" w:rsidR="00AB6659">
        <w:t>The revised staff proposal’s aggregation technique to account for overlapping boundaries of utility service areas and the PUMAs in the context of the AR metric calculation is reasonable and should be adopted.</w:t>
      </w:r>
    </w:p>
    <w:p w:rsidRPr="00EF3EC7" w:rsidR="00116EF1" w:rsidP="00EF3EC7" w:rsidRDefault="007C6CF4" w14:paraId="29C5DA6D" w14:textId="228CE4C8">
      <w:pPr>
        <w:pStyle w:val="CoL"/>
      </w:pPr>
      <w:r w:rsidRPr="00EF3EC7">
        <w:t xml:space="preserve"> </w:t>
      </w:r>
      <w:r w:rsidR="000535F3">
        <w:t>27.</w:t>
      </w:r>
      <w:r w:rsidR="000535F3">
        <w:tab/>
      </w:r>
      <w:r w:rsidRPr="00EF3EC7" w:rsidR="00116EF1">
        <w:t>The revised staff proposal’s use of the top-coding technique is reasonable and should be adopted.</w:t>
      </w:r>
    </w:p>
    <w:p w:rsidRPr="00EF3EC7" w:rsidR="00116EF1" w:rsidP="00EF3EC7" w:rsidRDefault="007C6CF4" w14:paraId="478E1CA6" w14:textId="1E9C4BED">
      <w:pPr>
        <w:pStyle w:val="CoL"/>
      </w:pPr>
      <w:r w:rsidRPr="00EF3EC7">
        <w:t xml:space="preserve"> </w:t>
      </w:r>
      <w:r w:rsidR="000535F3">
        <w:t>28.</w:t>
      </w:r>
      <w:r w:rsidR="000535F3">
        <w:tab/>
      </w:r>
      <w:r w:rsidRPr="00EF3EC7" w:rsidR="00116EF1">
        <w:t>It is reasonable to exclude non-discretionary expenses other than housing costs from the AR analysis for the reasons asserted by staff in the revised staff proposal, with the understanding that the AR figure can be contextualized to acknowledge that a representative household at a given income level must use their remaining income to cover these other non-discretionary expenses.</w:t>
      </w:r>
    </w:p>
    <w:p w:rsidRPr="00EF3EC7" w:rsidR="00402E73" w:rsidP="00EF3EC7" w:rsidRDefault="007C6CF4" w14:paraId="0D950298" w14:textId="2747E0F1">
      <w:pPr>
        <w:pStyle w:val="CoL"/>
      </w:pPr>
      <w:r w:rsidRPr="00EF3EC7">
        <w:t xml:space="preserve"> </w:t>
      </w:r>
      <w:r w:rsidR="000535F3">
        <w:t>29.</w:t>
      </w:r>
      <w:r w:rsidR="000535F3">
        <w:tab/>
      </w:r>
      <w:r w:rsidRPr="00EF3EC7" w:rsidR="00957B3F">
        <w:t>I</w:t>
      </w:r>
      <w:r w:rsidRPr="00EF3EC7" w:rsidR="00402E73">
        <w:t xml:space="preserve">t is reasonable to </w:t>
      </w:r>
      <w:r w:rsidRPr="00EF3EC7" w:rsidR="76CC74F9">
        <w:t>apply</w:t>
      </w:r>
      <w:r w:rsidRPr="00EF3EC7" w:rsidR="00402E73">
        <w:t xml:space="preserve"> the affordability metrics in </w:t>
      </w:r>
      <w:proofErr w:type="spellStart"/>
      <w:r w:rsidRPr="00EF3EC7" w:rsidR="00402E73">
        <w:t>ratesetting</w:t>
      </w:r>
      <w:proofErr w:type="spellEnd"/>
      <w:r w:rsidRPr="00EF3EC7" w:rsidR="00402E73">
        <w:t xml:space="preserve"> proceeding</w:t>
      </w:r>
      <w:r w:rsidRPr="00EF3EC7" w:rsidR="002C25F1">
        <w:t>s</w:t>
      </w:r>
      <w:r w:rsidRPr="00EF3EC7" w:rsidR="00402E73">
        <w:t>.</w:t>
      </w:r>
    </w:p>
    <w:p w:rsidRPr="00EF3EC7" w:rsidR="00402E73" w:rsidP="00EF3EC7" w:rsidRDefault="007C6CF4" w14:paraId="3D17D42C" w14:textId="780ED1A7">
      <w:pPr>
        <w:pStyle w:val="CoL"/>
      </w:pPr>
      <w:r w:rsidRPr="00EF3EC7">
        <w:t xml:space="preserve"> </w:t>
      </w:r>
      <w:r w:rsidR="000535F3">
        <w:t>30.</w:t>
      </w:r>
      <w:r w:rsidR="000535F3">
        <w:tab/>
      </w:r>
      <w:r w:rsidRPr="00EF3EC7" w:rsidR="00957B3F">
        <w:t>It is reasonable</w:t>
      </w:r>
      <w:r w:rsidRPr="00EF3EC7" w:rsidR="00402E73">
        <w:t xml:space="preserve"> to </w:t>
      </w:r>
      <w:r w:rsidRPr="00EF3EC7" w:rsidR="29228CD0">
        <w:t>apply</w:t>
      </w:r>
      <w:r w:rsidRPr="00EF3EC7" w:rsidR="00402E73">
        <w:t xml:space="preserve"> the affordability metrics in </w:t>
      </w:r>
      <w:proofErr w:type="spellStart"/>
      <w:r w:rsidRPr="00EF3EC7" w:rsidR="00402E73">
        <w:t>ratesetting</w:t>
      </w:r>
      <w:proofErr w:type="spellEnd"/>
      <w:r w:rsidRPr="00EF3EC7" w:rsidR="00402E73">
        <w:t xml:space="preserve"> proceeding </w:t>
      </w:r>
      <w:r w:rsidRPr="00EF3EC7" w:rsidR="004F67B1">
        <w:t xml:space="preserve">in as widespread a manner as possible given the current limitations of the methodology. </w:t>
      </w:r>
    </w:p>
    <w:p w:rsidRPr="00EF3EC7" w:rsidR="00D45F37" w:rsidP="00EF3EC7" w:rsidRDefault="007C6CF4" w14:paraId="34A6C357" w14:textId="2CC33FF6">
      <w:pPr>
        <w:pStyle w:val="CoL"/>
      </w:pPr>
      <w:r w:rsidRPr="00EF3EC7">
        <w:t xml:space="preserve"> </w:t>
      </w:r>
      <w:r w:rsidR="000535F3">
        <w:t>31.</w:t>
      </w:r>
      <w:r w:rsidR="000535F3">
        <w:tab/>
      </w:r>
      <w:r w:rsidRPr="00EF3EC7" w:rsidR="00D45F37">
        <w:t>It is reasonable for Commission staff to create an Affordability Report on an annual basis as recommended by the revised staff proposal.</w:t>
      </w:r>
      <w:r w:rsidRPr="00EF3EC7" w:rsidR="00D57001">
        <w:t xml:space="preserve">  That report will include calculations of all </w:t>
      </w:r>
      <w:proofErr w:type="gramStart"/>
      <w:r w:rsidRPr="00EF3EC7" w:rsidR="00D57001">
        <w:t>three affordability</w:t>
      </w:r>
      <w:proofErr w:type="gramEnd"/>
      <w:r w:rsidRPr="00EF3EC7" w:rsidR="00D57001">
        <w:t xml:space="preserve"> metrics using the most recent data available.</w:t>
      </w:r>
    </w:p>
    <w:p w:rsidRPr="00EF3EC7" w:rsidR="00D43ED7" w:rsidP="00EF3EC7" w:rsidRDefault="007C6CF4" w14:paraId="37E35B4C" w14:textId="0EE91D09">
      <w:pPr>
        <w:pStyle w:val="CoL"/>
      </w:pPr>
      <w:r w:rsidRPr="00EF3EC7">
        <w:t xml:space="preserve"> </w:t>
      </w:r>
      <w:r w:rsidR="000535F3">
        <w:t>32.</w:t>
      </w:r>
      <w:r w:rsidR="000535F3">
        <w:tab/>
      </w:r>
      <w:r w:rsidRPr="00EF3EC7" w:rsidR="00D43ED7">
        <w:t>The scope of this proceeding is not to define in absolute terms what makes for affordable essential utility services.  Rather, the objective of this decision is to define metrics and methodologies to track relative affordability of essential utility services over time, and to set out a path of future implementation of those metrics and methodologies.</w:t>
      </w:r>
    </w:p>
    <w:p w:rsidRPr="00EF3EC7" w:rsidR="00B03E42" w:rsidP="00EF3EC7" w:rsidRDefault="007C6CF4" w14:paraId="2953B828" w14:textId="6388814E">
      <w:pPr>
        <w:pStyle w:val="CoL"/>
      </w:pPr>
      <w:r w:rsidRPr="00EF3EC7">
        <w:t xml:space="preserve"> </w:t>
      </w:r>
      <w:r w:rsidR="000535F3">
        <w:t>33.</w:t>
      </w:r>
      <w:r w:rsidR="000535F3">
        <w:tab/>
      </w:r>
      <w:r w:rsidRPr="00EF3EC7" w:rsidR="00B03E42">
        <w:t>Annual data reporting requested by Commission staff to support annual affordability reporting is reasonable and approved.</w:t>
      </w:r>
    </w:p>
    <w:p w:rsidRPr="00EF3EC7" w:rsidR="00087742" w:rsidP="00EF3EC7" w:rsidRDefault="007C6CF4" w14:paraId="250510C0" w14:textId="7B89C298">
      <w:pPr>
        <w:pStyle w:val="CoL"/>
      </w:pPr>
      <w:r w:rsidRPr="00EF3EC7">
        <w:lastRenderedPageBreak/>
        <w:t xml:space="preserve"> </w:t>
      </w:r>
      <w:r w:rsidR="000535F3">
        <w:t>34.</w:t>
      </w:r>
      <w:r w:rsidR="000535F3">
        <w:tab/>
      </w:r>
      <w:r w:rsidRPr="00EF3EC7" w:rsidR="00087742">
        <w:t>It is reasonable to require some form of forecasting so that the affordability metrics may be used prospectively in Commission proceedings.</w:t>
      </w:r>
    </w:p>
    <w:p w:rsidRPr="00EF3EC7" w:rsidR="00087742" w:rsidP="00EF3EC7" w:rsidRDefault="007C6CF4" w14:paraId="14478F2E" w14:textId="71FBCC8C">
      <w:pPr>
        <w:pStyle w:val="CoL"/>
      </w:pPr>
      <w:r w:rsidRPr="00EF3EC7">
        <w:t xml:space="preserve"> </w:t>
      </w:r>
      <w:r w:rsidR="000535F3">
        <w:t>35.</w:t>
      </w:r>
      <w:r w:rsidR="000535F3">
        <w:tab/>
      </w:r>
      <w:r w:rsidRPr="00EF3EC7" w:rsidR="00087742">
        <w:t>It is reasonable to develop forecasting techniques for the affordability metrics adopted by this decision in a later phase of this proceeding.</w:t>
      </w:r>
    </w:p>
    <w:p w:rsidRPr="00EF3EC7" w:rsidR="00087742" w:rsidP="00EF3EC7" w:rsidRDefault="007C6CF4" w14:paraId="10DBDBA3" w14:textId="630B1B9F">
      <w:pPr>
        <w:pStyle w:val="CoL"/>
      </w:pPr>
      <w:r w:rsidRPr="00EF3EC7">
        <w:t xml:space="preserve"> </w:t>
      </w:r>
      <w:r w:rsidR="000535F3">
        <w:t>36.</w:t>
      </w:r>
      <w:r w:rsidR="000535F3">
        <w:tab/>
      </w:r>
      <w:r w:rsidRPr="00EF3EC7" w:rsidR="00087742">
        <w:t xml:space="preserve">It is appropriate for the Commission to begin tracking and analyzing the affordability of essential utility services, as defined by this decision, </w:t>
      </w:r>
      <w:proofErr w:type="gramStart"/>
      <w:r w:rsidRPr="00EF3EC7" w:rsidR="00087742">
        <w:t>in order to</w:t>
      </w:r>
      <w:proofErr w:type="gramEnd"/>
      <w:r w:rsidRPr="00EF3EC7" w:rsidR="00087742">
        <w:t xml:space="preserve"> assist the Commission in fulfilling various statutory duties.</w:t>
      </w:r>
    </w:p>
    <w:p w:rsidRPr="00EF3EC7" w:rsidR="00087742" w:rsidP="004B18C6" w:rsidRDefault="007C6CF4" w14:paraId="08EFCF5F" w14:textId="4630B621">
      <w:pPr>
        <w:pStyle w:val="CoL"/>
        <w:keepNext/>
        <w:keepLines/>
      </w:pPr>
      <w:r w:rsidRPr="00EF3EC7">
        <w:t xml:space="preserve"> </w:t>
      </w:r>
      <w:r w:rsidR="000535F3">
        <w:t>37.</w:t>
      </w:r>
      <w:r w:rsidR="000535F3">
        <w:tab/>
      </w:r>
      <w:r w:rsidRPr="00EF3EC7" w:rsidR="00087742">
        <w:t xml:space="preserve">The metrics and methodologies adopted to measure affordability are reasonable </w:t>
      </w:r>
      <w:proofErr w:type="gramStart"/>
      <w:r w:rsidRPr="00EF3EC7" w:rsidR="00087742">
        <w:t>in spite of</w:t>
      </w:r>
      <w:proofErr w:type="gramEnd"/>
      <w:r w:rsidRPr="00EF3EC7" w:rsidR="00087742">
        <w:t xml:space="preserve"> acknowledged limitations with the data used, and such adoption assists the Commission in executing its statutory duties.</w:t>
      </w:r>
    </w:p>
    <w:p w:rsidRPr="00EF3EC7" w:rsidR="00EA0A5D" w:rsidP="004B18C6" w:rsidRDefault="000535F3" w14:paraId="6FF24FB2" w14:textId="5EF5F59B">
      <w:pPr>
        <w:pStyle w:val="CoL"/>
        <w:keepNext/>
        <w:keepLines/>
      </w:pPr>
      <w:r>
        <w:t>38.</w:t>
      </w:r>
      <w:r>
        <w:tab/>
      </w:r>
      <w:r w:rsidRPr="00EF3EC7" w:rsidR="00EA0A5D">
        <w:t>In Phase 2 of this proceeding the Commission may refine the methodologies for calculating the affordability metrics.</w:t>
      </w:r>
    </w:p>
    <w:p w:rsidRPr="00957B3F" w:rsidR="00F062BB" w:rsidP="004B18C6" w:rsidRDefault="007C6CF4" w14:paraId="546C61E1" w14:textId="26BA73C6">
      <w:pPr>
        <w:pStyle w:val="CoL"/>
        <w:keepNext/>
        <w:keepLines/>
      </w:pPr>
      <w:r w:rsidRPr="00EF3EC7">
        <w:t xml:space="preserve"> </w:t>
      </w:r>
      <w:r w:rsidR="000535F3">
        <w:t>39.</w:t>
      </w:r>
      <w:r w:rsidR="000535F3">
        <w:tab/>
      </w:r>
      <w:r w:rsidRPr="00EF3EC7" w:rsidR="00F062BB">
        <w:t>The recommendations of the revised staff proposal attached as Appendix A are adopted by this decision unless otherwise modified by the findings, conclusions, or orders of this decision.</w:t>
      </w:r>
    </w:p>
    <w:p w:rsidR="00BB0243" w:rsidP="000A6E05" w:rsidRDefault="005939A5" w14:paraId="31820936" w14:textId="77777777">
      <w:pPr>
        <w:pStyle w:val="Mainex"/>
      </w:pPr>
      <w:bookmarkStart w:name="_Toc40967180" w:id="107"/>
      <w:bookmarkStart w:name="_Toc46308219" w:id="108"/>
      <w:r>
        <w:t>O</w:t>
      </w:r>
      <w:r w:rsidR="00722850">
        <w:t>RDER</w:t>
      </w:r>
      <w:bookmarkEnd w:id="107"/>
      <w:bookmarkEnd w:id="108"/>
    </w:p>
    <w:p w:rsidR="00BB0243" w:rsidP="000A6E05" w:rsidRDefault="00BB0243" w14:paraId="64A82F1C" w14:textId="77777777">
      <w:pPr>
        <w:keepNext/>
      </w:pPr>
      <w:r w:rsidRPr="00BB0243">
        <w:rPr>
          <w:b/>
        </w:rPr>
        <w:t>IT IS ORDERED</w:t>
      </w:r>
      <w:r>
        <w:t xml:space="preserve"> that:</w:t>
      </w:r>
    </w:p>
    <w:p w:rsidRPr="000535F3" w:rsidR="00957B3F" w:rsidP="000535F3" w:rsidRDefault="00957B3F" w14:paraId="7F94CC68" w14:textId="43E3326F">
      <w:pPr>
        <w:pStyle w:val="OP"/>
      </w:pPr>
      <w:r>
        <w:t>1</w:t>
      </w:r>
      <w:r w:rsidRPr="000535F3">
        <w:t>.</w:t>
      </w:r>
      <w:r w:rsidR="005B7C92">
        <w:tab/>
      </w:r>
      <w:r w:rsidRPr="000535F3" w:rsidR="00402E73">
        <w:t>San Diego Gas &amp; Electric Company, Southern California Edison Company, and Pacific Gas and Electric Company shall each submit quarterly rate and bill tracker tool information to the Commission’s Energy Division and shall work with staff during a second phase of this proceeding with respect to using the rate and bill tracker tool for evaluating affordability metrics’ inputs and other ongoing support of the Commission’s work</w:t>
      </w:r>
      <w:r w:rsidRPr="000535F3" w:rsidR="000A6E05">
        <w:t>.</w:t>
      </w:r>
      <w:r w:rsidRPr="000535F3" w:rsidR="00A90AC9">
        <w:t xml:space="preserve"> </w:t>
      </w:r>
      <w:r w:rsidRPr="000535F3" w:rsidR="007C6CF4">
        <w:t xml:space="preserve"> </w:t>
      </w:r>
      <w:r w:rsidRPr="000535F3" w:rsidR="00A90AC9">
        <w:t>The Director of the Energy Division may change the frequency</w:t>
      </w:r>
      <w:r w:rsidRPr="000535F3" w:rsidR="00AD0925">
        <w:t>, format,</w:t>
      </w:r>
      <w:r w:rsidRPr="000535F3" w:rsidR="00A90AC9">
        <w:t xml:space="preserve"> or content of the </w:t>
      </w:r>
      <w:r w:rsidRPr="000535F3" w:rsidR="00971A18">
        <w:t>rate and bill tracker tool.</w:t>
      </w:r>
    </w:p>
    <w:p w:rsidRPr="000535F3" w:rsidR="00D45F37" w:rsidP="000535F3" w:rsidRDefault="00957B3F" w14:paraId="7CE30EB9" w14:textId="72107DC1">
      <w:pPr>
        <w:pStyle w:val="OP"/>
      </w:pPr>
      <w:r w:rsidRPr="000535F3">
        <w:t>2.</w:t>
      </w:r>
      <w:r w:rsidR="005B7C92">
        <w:tab/>
      </w:r>
      <w:r w:rsidRPr="000535F3">
        <w:t>A</w:t>
      </w:r>
      <w:r w:rsidRPr="000535F3" w:rsidR="00D45F37">
        <w:t xml:space="preserve">ny data required by Commission staff to create the annual Affordability Report shall be provided </w:t>
      </w:r>
      <w:r w:rsidRPr="000535F3" w:rsidR="00D43ED7">
        <w:t xml:space="preserve">in a timely manner </w:t>
      </w:r>
      <w:r w:rsidRPr="000535F3" w:rsidR="00D45F37">
        <w:t>upon the request of Commission staff.</w:t>
      </w:r>
    </w:p>
    <w:p w:rsidRPr="000535F3" w:rsidR="00D57001" w:rsidP="000535F3" w:rsidRDefault="00D57001" w14:paraId="5E989B1F" w14:textId="31AB0035">
      <w:pPr>
        <w:pStyle w:val="OP"/>
      </w:pPr>
      <w:r w:rsidRPr="000535F3">
        <w:lastRenderedPageBreak/>
        <w:t>3.</w:t>
      </w:r>
      <w:bookmarkStart w:name="_Hlk40266580" w:id="109"/>
      <w:r w:rsidR="005B7C92">
        <w:tab/>
      </w:r>
      <w:r w:rsidRPr="000535F3">
        <w:t xml:space="preserve">The affordability metrics as defined by this decision are adopted and shall be used to generate an annual </w:t>
      </w:r>
      <w:r w:rsidRPr="000535F3" w:rsidR="00DB2215">
        <w:t>A</w:t>
      </w:r>
      <w:r w:rsidRPr="000535F3">
        <w:t xml:space="preserve">ffordability </w:t>
      </w:r>
      <w:r w:rsidRPr="000535F3" w:rsidR="00DB2215">
        <w:t>R</w:t>
      </w:r>
      <w:r w:rsidRPr="000535F3">
        <w:t xml:space="preserve">eport until such time as the Commission concludes that no further annual </w:t>
      </w:r>
      <w:r w:rsidRPr="000535F3" w:rsidR="00DB2215">
        <w:t>A</w:t>
      </w:r>
      <w:r w:rsidRPr="000535F3">
        <w:t xml:space="preserve">ffordability </w:t>
      </w:r>
      <w:r w:rsidRPr="000535F3" w:rsidR="00DB2215">
        <w:t>R</w:t>
      </w:r>
      <w:r w:rsidRPr="000535F3">
        <w:t>eports should be produced.</w:t>
      </w:r>
      <w:bookmarkEnd w:id="109"/>
    </w:p>
    <w:p w:rsidR="008F0116" w:rsidP="00E61049" w:rsidRDefault="008F0116" w14:paraId="533A0003" w14:textId="77777777">
      <w:pPr>
        <w:keepNext/>
        <w:keepLines/>
      </w:pPr>
      <w:r>
        <w:t>This order is effective today.</w:t>
      </w:r>
    </w:p>
    <w:p w:rsidR="00EB70E1" w:rsidP="00E61049" w:rsidRDefault="008F0116" w14:paraId="53C9E605" w14:textId="77777777">
      <w:pPr>
        <w:keepNext/>
        <w:keepLines/>
      </w:pPr>
      <w:r>
        <w:t xml:space="preserve">Dated </w:t>
      </w:r>
      <w:r w:rsidR="004B18C6">
        <w:t>July 16, 2020</w:t>
      </w:r>
      <w:r>
        <w:t>, at San Francisco, California</w:t>
      </w:r>
      <w:r w:rsidR="00FF110C">
        <w:t>.</w:t>
      </w:r>
      <w:r w:rsidR="00EB70E1">
        <w:t xml:space="preserve"> </w:t>
      </w:r>
    </w:p>
    <w:p w:rsidR="004B18C6" w:rsidP="00E61049" w:rsidRDefault="004B18C6" w14:paraId="69E31E60" w14:textId="77777777">
      <w:pPr>
        <w:keepNext/>
        <w:keepLines/>
      </w:pPr>
    </w:p>
    <w:p w:rsidR="004B18C6" w:rsidP="004B18C6" w:rsidRDefault="004B18C6" w14:paraId="3D004FD8" w14:textId="77777777">
      <w:pPr>
        <w:autoSpaceDE w:val="0"/>
        <w:autoSpaceDN w:val="0"/>
        <w:adjustRightInd w:val="0"/>
        <w:spacing w:line="240" w:lineRule="auto"/>
        <w:ind w:left="4320"/>
        <w:jc w:val="both"/>
        <w:rPr>
          <w:rFonts w:cs="Palatino"/>
          <w:szCs w:val="26"/>
        </w:rPr>
      </w:pPr>
      <w:r>
        <w:rPr>
          <w:rFonts w:cs="Palatino"/>
          <w:szCs w:val="26"/>
        </w:rPr>
        <w:t>MARYBEL BATJER</w:t>
      </w:r>
    </w:p>
    <w:p w:rsidRPr="00283E5F" w:rsidR="004B18C6" w:rsidP="004B18C6" w:rsidRDefault="004B18C6" w14:paraId="5003D56E" w14:textId="77777777">
      <w:pPr>
        <w:autoSpaceDE w:val="0"/>
        <w:autoSpaceDN w:val="0"/>
        <w:adjustRightInd w:val="0"/>
        <w:spacing w:line="240" w:lineRule="auto"/>
        <w:ind w:left="4320"/>
        <w:jc w:val="both"/>
        <w:rPr>
          <w:rFonts w:cs="Courier New"/>
          <w:szCs w:val="26"/>
        </w:rPr>
      </w:pPr>
      <w:r>
        <w:rPr>
          <w:rFonts w:cs="Palatino"/>
          <w:szCs w:val="26"/>
        </w:rPr>
        <w:t xml:space="preserve">                  </w:t>
      </w:r>
      <w:r w:rsidRPr="00283E5F">
        <w:rPr>
          <w:rFonts w:cs="Courier New"/>
          <w:szCs w:val="26"/>
        </w:rPr>
        <w:t>President</w:t>
      </w:r>
    </w:p>
    <w:p w:rsidR="004B18C6" w:rsidP="004B18C6" w:rsidRDefault="004B18C6" w14:paraId="3E1FAD22" w14:textId="77777777">
      <w:pPr>
        <w:autoSpaceDE w:val="0"/>
        <w:autoSpaceDN w:val="0"/>
        <w:adjustRightInd w:val="0"/>
        <w:spacing w:line="240" w:lineRule="auto"/>
        <w:ind w:left="4320"/>
        <w:jc w:val="both"/>
        <w:rPr>
          <w:rFonts w:cs="Courier New"/>
          <w:szCs w:val="26"/>
        </w:rPr>
      </w:pPr>
      <w:r>
        <w:rPr>
          <w:rFonts w:cs="Courier New"/>
          <w:szCs w:val="26"/>
        </w:rPr>
        <w:t>LIANE M. RANDOLPH</w:t>
      </w:r>
    </w:p>
    <w:p w:rsidRPr="00283E5F" w:rsidR="004B18C6" w:rsidP="004B18C6" w:rsidRDefault="004B18C6" w14:paraId="6041D8D3" w14:textId="77777777">
      <w:pPr>
        <w:autoSpaceDE w:val="0"/>
        <w:autoSpaceDN w:val="0"/>
        <w:adjustRightInd w:val="0"/>
        <w:spacing w:line="240" w:lineRule="auto"/>
        <w:ind w:left="4320"/>
        <w:jc w:val="both"/>
        <w:rPr>
          <w:rFonts w:cs="Courier New"/>
          <w:szCs w:val="26"/>
        </w:rPr>
      </w:pPr>
      <w:r w:rsidRPr="00283E5F">
        <w:rPr>
          <w:rFonts w:cs="Courier New"/>
          <w:szCs w:val="26"/>
        </w:rPr>
        <w:t>MARTHA GUZMAN ACEVES</w:t>
      </w:r>
    </w:p>
    <w:p w:rsidRPr="00283E5F" w:rsidR="004B18C6" w:rsidP="004B18C6" w:rsidRDefault="004B18C6" w14:paraId="592810EF" w14:textId="77777777">
      <w:pPr>
        <w:autoSpaceDE w:val="0"/>
        <w:autoSpaceDN w:val="0"/>
        <w:adjustRightInd w:val="0"/>
        <w:spacing w:line="240" w:lineRule="auto"/>
        <w:ind w:left="4320"/>
        <w:jc w:val="both"/>
        <w:rPr>
          <w:rFonts w:cs="Courier New"/>
          <w:szCs w:val="26"/>
        </w:rPr>
      </w:pPr>
      <w:r w:rsidRPr="00283E5F">
        <w:rPr>
          <w:rFonts w:cs="Courier New"/>
          <w:szCs w:val="26"/>
        </w:rPr>
        <w:t>CLIFFORD RECHTSCHAFFEN</w:t>
      </w:r>
    </w:p>
    <w:p w:rsidRPr="00283E5F" w:rsidR="004B18C6" w:rsidP="004B18C6" w:rsidRDefault="004B18C6" w14:paraId="711E8B72" w14:textId="77777777">
      <w:pPr>
        <w:autoSpaceDE w:val="0"/>
        <w:autoSpaceDN w:val="0"/>
        <w:adjustRightInd w:val="0"/>
        <w:spacing w:line="240" w:lineRule="auto"/>
        <w:ind w:left="4320"/>
        <w:jc w:val="both"/>
        <w:rPr>
          <w:rFonts w:cs="Courier New"/>
          <w:szCs w:val="26"/>
        </w:rPr>
      </w:pPr>
      <w:r w:rsidRPr="00283E5F">
        <w:rPr>
          <w:rFonts w:cs="Courier New"/>
          <w:szCs w:val="26"/>
        </w:rPr>
        <w:t>GENEVIEVE SHIROMA</w:t>
      </w:r>
    </w:p>
    <w:p w:rsidR="004B18C6" w:rsidP="004B18C6" w:rsidRDefault="004B18C6" w14:paraId="373035CF" w14:textId="3BD88076">
      <w:pPr>
        <w:keepNext/>
        <w:keepLines/>
        <w:spacing w:line="240" w:lineRule="auto"/>
        <w:ind w:firstLine="6030"/>
      </w:pPr>
      <w:r w:rsidRPr="00283E5F">
        <w:rPr>
          <w:rFonts w:cs="Courier New"/>
          <w:szCs w:val="26"/>
        </w:rPr>
        <w:t xml:space="preserve"> Commissioners</w:t>
      </w:r>
    </w:p>
    <w:p w:rsidR="004B18C6" w:rsidP="00E61049" w:rsidRDefault="004B18C6" w14:paraId="73639931" w14:textId="77777777">
      <w:pPr>
        <w:keepNext/>
        <w:keepLines/>
      </w:pPr>
    </w:p>
    <w:p w:rsidR="004B18C6" w:rsidP="00E61049" w:rsidRDefault="004B18C6" w14:paraId="08F2188F" w14:textId="4F8D1B78">
      <w:pPr>
        <w:keepNext/>
        <w:keepLines/>
        <w:sectPr w:rsidR="004B18C6" w:rsidSect="00DF2F45">
          <w:headerReference w:type="default" r:id="rId14"/>
          <w:footerReference w:type="default" r:id="rId15"/>
          <w:pgSz w:w="12240" w:h="15840"/>
          <w:pgMar w:top="720" w:right="1320" w:bottom="1240" w:left="1140" w:header="520" w:footer="1056" w:gutter="0"/>
          <w:pgNumType w:start="2"/>
          <w:cols w:space="720"/>
        </w:sectPr>
      </w:pPr>
    </w:p>
    <w:p w:rsidR="00F04011" w:rsidP="00EB70E1" w:rsidRDefault="00F04011" w14:paraId="1EFA0CCA" w14:textId="7FA0BC49">
      <w:pPr>
        <w:keepNext/>
        <w:keepLines/>
        <w:rPr>
          <w:sz w:val="20"/>
        </w:rPr>
      </w:pPr>
    </w:p>
    <w:p w:rsidR="00EB70E1" w:rsidP="00EB70E1" w:rsidRDefault="00EB70E1" w14:paraId="546447F6" w14:textId="2629838F">
      <w:pPr>
        <w:keepNext/>
        <w:keepLines/>
        <w:rPr>
          <w:sz w:val="20"/>
        </w:rPr>
      </w:pPr>
    </w:p>
    <w:p w:rsidR="00EB70E1" w:rsidP="00EB70E1" w:rsidRDefault="00EB70E1" w14:paraId="3B04FC58" w14:textId="77777777">
      <w:pPr>
        <w:keepNext/>
        <w:keepLines/>
        <w:jc w:val="center"/>
        <w:rPr>
          <w:b/>
          <w:bCs/>
          <w:sz w:val="32"/>
          <w:szCs w:val="32"/>
        </w:rPr>
      </w:pPr>
    </w:p>
    <w:p w:rsidR="00EB70E1" w:rsidP="00EB70E1" w:rsidRDefault="00EB70E1" w14:paraId="5B5167D5" w14:textId="77777777">
      <w:pPr>
        <w:keepNext/>
        <w:keepLines/>
        <w:jc w:val="center"/>
        <w:rPr>
          <w:b/>
          <w:bCs/>
          <w:sz w:val="32"/>
          <w:szCs w:val="32"/>
        </w:rPr>
      </w:pPr>
    </w:p>
    <w:p w:rsidR="00EB70E1" w:rsidP="00EB70E1" w:rsidRDefault="00EB70E1" w14:paraId="4862B9C9" w14:textId="77777777">
      <w:pPr>
        <w:keepNext/>
        <w:keepLines/>
        <w:jc w:val="center"/>
        <w:rPr>
          <w:b/>
          <w:bCs/>
          <w:sz w:val="32"/>
          <w:szCs w:val="32"/>
        </w:rPr>
      </w:pPr>
    </w:p>
    <w:p w:rsidR="00EB70E1" w:rsidP="00EB70E1" w:rsidRDefault="00EB70E1" w14:paraId="1B22120B" w14:textId="77777777">
      <w:pPr>
        <w:keepNext/>
        <w:keepLines/>
        <w:jc w:val="center"/>
        <w:rPr>
          <w:b/>
          <w:bCs/>
          <w:sz w:val="32"/>
          <w:szCs w:val="32"/>
        </w:rPr>
      </w:pPr>
    </w:p>
    <w:p w:rsidRPr="00EB70E1" w:rsidR="00EB70E1" w:rsidP="00EB70E1" w:rsidRDefault="00EB70E1" w14:paraId="21A8BA9A" w14:textId="0E7E3774">
      <w:pPr>
        <w:keepNext/>
        <w:keepLines/>
        <w:jc w:val="center"/>
        <w:rPr>
          <w:b/>
          <w:bCs/>
          <w:sz w:val="32"/>
          <w:szCs w:val="32"/>
        </w:rPr>
      </w:pPr>
      <w:r w:rsidRPr="00EB70E1">
        <w:rPr>
          <w:b/>
          <w:bCs/>
          <w:sz w:val="32"/>
          <w:szCs w:val="32"/>
        </w:rPr>
        <w:t>APPENDIX A &amp; B</w:t>
      </w:r>
    </w:p>
    <w:sectPr w:rsidRPr="00EB70E1" w:rsidR="00EB70E1" w:rsidSect="00DF2F45">
      <w:headerReference w:type="default" r:id="rId16"/>
      <w:footerReference w:type="default" r:id="rId17"/>
      <w:pgSz w:w="12240" w:h="15840"/>
      <w:pgMar w:top="720" w:right="1320" w:bottom="1240" w:left="1140" w:header="520" w:footer="1056" w:gutter="0"/>
      <w:pgNumType w:start="2"/>
      <w:cols w:space="720"/>
    </w:sectPr>
    <w:p>
      <w:r>
        <w:t xml:space="preserve"/>
      </w:r>
    </w:p>
    <w:p>
      <w:r>
        <w:t xml:space="preserve">Attachment 1: </w:t>
      </w:r>
    </w:p>
    <w:p>
      <w:hyperlink w:history="true" r:id="R718f6f360229483a">
        <w:r w:rsidRPr="00CB1292">
          <w:rPr>
            <w:rStyle w:val="Hyperlink"/>
            <w:color w:val="2E74B5" w:themeColor="accent1" w:themeShade="BF"/>
            <w:u w:val="single"/>
          </w:rPr>
          <w:t>R1807006 Appendix A &amp; B.pdf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BC3AD" w14:textId="77777777" w:rsidR="00595D9E" w:rsidRDefault="00595D9E" w:rsidP="0098138E">
      <w:pPr>
        <w:spacing w:line="240" w:lineRule="auto"/>
      </w:pPr>
      <w:r>
        <w:separator/>
      </w:r>
    </w:p>
  </w:endnote>
  <w:endnote w:type="continuationSeparator" w:id="0">
    <w:p w14:paraId="5CF51242" w14:textId="77777777" w:rsidR="00595D9E" w:rsidRDefault="00595D9E" w:rsidP="0098138E">
      <w:pPr>
        <w:spacing w:line="240" w:lineRule="auto"/>
      </w:pPr>
      <w:r>
        <w:continuationSeparator/>
      </w:r>
    </w:p>
  </w:endnote>
  <w:endnote w:type="continuationNotice" w:id="1">
    <w:p w14:paraId="2DE98F4D" w14:textId="77777777" w:rsidR="00595D9E" w:rsidRDefault="00595D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A1AD7" w14:textId="6782BAF0" w:rsidR="00A41C80" w:rsidRDefault="00A41C80" w:rsidP="007D5F5F">
    <w:pPr>
      <w:tabs>
        <w:tab w:val="left" w:pos="3195"/>
        <w:tab w:val="center" w:pos="4680"/>
      </w:tabs>
      <w:ind w:firstLine="0"/>
      <w:rPr>
        <w:noProof/>
      </w:rPr>
    </w:pPr>
    <w:r w:rsidRPr="00D2534C">
      <w:rPr>
        <w:sz w:val="16"/>
        <w:szCs w:val="16"/>
      </w:rPr>
      <w:t>344049206</w:t>
    </w:r>
    <w:sdt>
      <w:sdtPr>
        <w:id w:val="1986045588"/>
        <w:docPartObj>
          <w:docPartGallery w:val="Page Numbers (Bottom of Page)"/>
          <w:docPartUnique/>
        </w:docPartObj>
      </w:sdtPr>
      <w:sdtEndPr>
        <w:rPr>
          <w:noProof/>
        </w:rPr>
      </w:sdtEndPr>
      <w:sdtContent>
        <w:r>
          <w:rPr>
            <w:rFonts w:ascii="Arial" w:hAnsi="Arial" w:cs="Arial"/>
            <w:sz w:val="16"/>
            <w:szCs w:val="16"/>
          </w:rPr>
          <w:tab/>
        </w:r>
        <w:r>
          <w:rPr>
            <w:rFonts w:ascii="Arial" w:hAnsi="Arial" w:cs="Arial"/>
            <w:sz w:val="16"/>
            <w:szCs w:val="16"/>
          </w:rPr>
          <w:tab/>
        </w:r>
        <w:r>
          <w:t xml:space="preserve">- </w:t>
        </w:r>
        <w:r>
          <w:rPr>
            <w:noProof/>
          </w:rPr>
          <w:t>1</w:t>
        </w:r>
      </w:sdtContent>
    </w:sdt>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5A739" w14:textId="77777777" w:rsidR="00A41C80" w:rsidRDefault="00A41C80">
    <w:pPr>
      <w:pStyle w:val="Footer"/>
      <w:jc w:val="center"/>
    </w:pPr>
  </w:p>
  <w:p w14:paraId="642CFF0F" w14:textId="77777777" w:rsidR="00A41C80" w:rsidRDefault="00A41C80" w:rsidP="007D5F5F">
    <w:pPr>
      <w:tabs>
        <w:tab w:val="left" w:pos="6405"/>
        <w:tab w:val="right" w:pos="9360"/>
      </w:tabs>
      <w:ind w:firstLine="0"/>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B002" w14:textId="0C9F5A2C" w:rsidR="00A41C80" w:rsidRPr="00775BF9" w:rsidRDefault="00A41C80" w:rsidP="00775BF9">
    <w:pPr>
      <w:pStyle w:val="Footer"/>
      <w:jc w:val="center"/>
    </w:pPr>
    <w:r>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A4ED5" w14:textId="146F41CF" w:rsidR="00A41C80" w:rsidRPr="00EB70E1" w:rsidRDefault="00A41C80" w:rsidP="00EB7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961CE" w14:textId="77777777" w:rsidR="00595D9E" w:rsidRDefault="00595D9E" w:rsidP="00DF58E7">
      <w:pPr>
        <w:spacing w:line="240" w:lineRule="auto"/>
        <w:ind w:firstLine="0"/>
      </w:pPr>
      <w:r>
        <w:separator/>
      </w:r>
    </w:p>
  </w:footnote>
  <w:footnote w:type="continuationSeparator" w:id="0">
    <w:p w14:paraId="57C6A8B3" w14:textId="77777777" w:rsidR="00595D9E" w:rsidRDefault="00595D9E" w:rsidP="00DF58E7">
      <w:pPr>
        <w:spacing w:line="240" w:lineRule="auto"/>
        <w:ind w:firstLine="0"/>
      </w:pPr>
      <w:r>
        <w:continuationSeparator/>
      </w:r>
    </w:p>
  </w:footnote>
  <w:footnote w:type="continuationNotice" w:id="1">
    <w:p w14:paraId="4CAAF195" w14:textId="77777777" w:rsidR="00595D9E" w:rsidRPr="00DF58E7" w:rsidRDefault="00595D9E" w:rsidP="00DF58E7">
      <w:pPr>
        <w:spacing w:line="240" w:lineRule="auto"/>
        <w:ind w:firstLine="0"/>
        <w:jc w:val="right"/>
        <w:rPr>
          <w:i/>
          <w:sz w:val="22"/>
        </w:rPr>
      </w:pPr>
    </w:p>
  </w:footnote>
  <w:footnote w:id="2">
    <w:p w14:paraId="0E6BBFC3" w14:textId="407AFF4A" w:rsidR="00A41C80" w:rsidRDefault="00A41C80">
      <w:pPr>
        <w:pStyle w:val="FootnoteText"/>
      </w:pPr>
      <w:r>
        <w:rPr>
          <w:rStyle w:val="FootnoteReference"/>
        </w:rPr>
        <w:footnoteRef/>
      </w:r>
      <w:r>
        <w:t xml:space="preserve"> Consisting of Kerman Telephone Co., </w:t>
      </w:r>
      <w:proofErr w:type="spellStart"/>
      <w:r>
        <w:t>Winterhaven</w:t>
      </w:r>
      <w:proofErr w:type="spellEnd"/>
      <w:r>
        <w:t xml:space="preserve"> Telephone Company, Cal-Ore Telephone Co., The Ponderosa Telephone Co., Foresthill Telephone Co., Sierra Telephone Company, Inc., Volcano Telephone Company, </w:t>
      </w:r>
      <w:proofErr w:type="spellStart"/>
      <w:r>
        <w:t>Ducor</w:t>
      </w:r>
      <w:proofErr w:type="spellEnd"/>
      <w:r>
        <w:t xml:space="preserve"> Telephone Company, Happy Valley Telephone Company, Hornitos Telephone Company, Pinnacles Telephone Co., The Siskiyou Telephone Company, and Calaveras Telephone Company.</w:t>
      </w:r>
    </w:p>
  </w:footnote>
  <w:footnote w:id="3">
    <w:p w14:paraId="0C1C97CA" w14:textId="7BFDEE4C" w:rsidR="00A41C80" w:rsidRDefault="00A41C80">
      <w:pPr>
        <w:pStyle w:val="FootnoteText"/>
      </w:pPr>
      <w:r>
        <w:rPr>
          <w:rStyle w:val="FootnoteReference"/>
        </w:rPr>
        <w:footnoteRef/>
      </w:r>
      <w:r>
        <w:t xml:space="preserve"> All references hereafter to “section” refer to sections of the California Public Utilities Code.</w:t>
      </w:r>
    </w:p>
  </w:footnote>
  <w:footnote w:id="4">
    <w:p w14:paraId="3C5DB4D1" w14:textId="1E2DC397" w:rsidR="00A41C80" w:rsidRDefault="00A41C80">
      <w:pPr>
        <w:pStyle w:val="FootnoteText"/>
      </w:pPr>
      <w:r>
        <w:rPr>
          <w:rStyle w:val="FootnoteReference"/>
        </w:rPr>
        <w:footnoteRef/>
      </w:r>
      <w:r>
        <w:t xml:space="preserve"> Revised staff proposal at 6.</w:t>
      </w:r>
    </w:p>
  </w:footnote>
  <w:footnote w:id="5">
    <w:p w14:paraId="58BFC64B" w14:textId="44961B8E" w:rsidR="00A41C80" w:rsidRPr="00D76D7D" w:rsidRDefault="00A41C80">
      <w:pPr>
        <w:pStyle w:val="FootnoteText"/>
        <w:rPr>
          <w:i/>
          <w:iCs/>
        </w:rPr>
      </w:pPr>
      <w:r>
        <w:rPr>
          <w:rStyle w:val="FootnoteReference"/>
        </w:rPr>
        <w:footnoteRef/>
      </w:r>
      <w:r>
        <w:t xml:space="preserve"> </w:t>
      </w:r>
      <w:r>
        <w:rPr>
          <w:i/>
          <w:iCs/>
        </w:rPr>
        <w:t>Id.</w:t>
      </w:r>
    </w:p>
  </w:footnote>
  <w:footnote w:id="6">
    <w:p w14:paraId="1450E83D" w14:textId="133AFEA7" w:rsidR="00A41C80" w:rsidRDefault="00A41C80">
      <w:pPr>
        <w:pStyle w:val="FootnoteText"/>
      </w:pPr>
      <w:r>
        <w:rPr>
          <w:rStyle w:val="FootnoteReference"/>
        </w:rPr>
        <w:footnoteRef/>
      </w:r>
      <w:r>
        <w:t xml:space="preserve"> SCE opening comments at 11-12.</w:t>
      </w:r>
    </w:p>
  </w:footnote>
  <w:footnote w:id="7">
    <w:p w14:paraId="7DBF61CD" w14:textId="70BD0CC2" w:rsidR="00A41C80" w:rsidRDefault="00A41C80">
      <w:pPr>
        <w:pStyle w:val="FootnoteText"/>
      </w:pPr>
      <w:r>
        <w:rPr>
          <w:rStyle w:val="FootnoteReference"/>
        </w:rPr>
        <w:footnoteRef/>
      </w:r>
      <w:r>
        <w:t xml:space="preserve"> PG&amp;E reply comments at 3-4.</w:t>
      </w:r>
    </w:p>
  </w:footnote>
  <w:footnote w:id="8">
    <w:p w14:paraId="39E27FEE" w14:textId="44977C9A" w:rsidR="00A41C80" w:rsidRDefault="00A41C80">
      <w:pPr>
        <w:pStyle w:val="FootnoteText"/>
      </w:pPr>
      <w:r>
        <w:rPr>
          <w:rStyle w:val="FootnoteReference"/>
        </w:rPr>
        <w:footnoteRef/>
      </w:r>
      <w:r>
        <w:t xml:space="preserve"> SoCalGas and SDG&amp;E reply comments at 1-3.</w:t>
      </w:r>
    </w:p>
  </w:footnote>
  <w:footnote w:id="9">
    <w:p w14:paraId="720CA91C" w14:textId="636B6DB6" w:rsidR="00A41C80" w:rsidRDefault="00A41C80">
      <w:pPr>
        <w:pStyle w:val="FootnoteText"/>
      </w:pPr>
      <w:r>
        <w:rPr>
          <w:rStyle w:val="FootnoteReference"/>
        </w:rPr>
        <w:footnoteRef/>
      </w:r>
      <w:r>
        <w:t xml:space="preserve"> NDC reply comments at 5.</w:t>
      </w:r>
    </w:p>
  </w:footnote>
  <w:footnote w:id="10">
    <w:p w14:paraId="2DD2AABB" w14:textId="4D6DFDDF" w:rsidR="00A41C80" w:rsidRDefault="00A41C80" w:rsidP="008A7D1B">
      <w:pPr>
        <w:pStyle w:val="FootnoteText"/>
      </w:pPr>
      <w:r>
        <w:rPr>
          <w:rStyle w:val="FootnoteReference"/>
        </w:rPr>
        <w:footnoteRef/>
      </w:r>
      <w:r>
        <w:t xml:space="preserve"> SCE comments at 12; PG&amp;E reply comments at 3; NDC reply comments at 5.</w:t>
      </w:r>
    </w:p>
  </w:footnote>
  <w:footnote w:id="11">
    <w:p w14:paraId="4D5D1C57" w14:textId="32096E00" w:rsidR="00A41C80" w:rsidRDefault="00A41C80">
      <w:pPr>
        <w:pStyle w:val="FootnoteText"/>
      </w:pPr>
      <w:r>
        <w:rPr>
          <w:rStyle w:val="FootnoteReference"/>
        </w:rPr>
        <w:footnoteRef/>
      </w:r>
      <w:r>
        <w:t xml:space="preserve"> Revised staff proposal at 29.</w:t>
      </w:r>
    </w:p>
  </w:footnote>
  <w:footnote w:id="12">
    <w:p w14:paraId="142380CB" w14:textId="68000221" w:rsidR="00A41C80" w:rsidRPr="006E71AE" w:rsidRDefault="00A41C80">
      <w:pPr>
        <w:pStyle w:val="FootnoteText"/>
      </w:pPr>
      <w:r>
        <w:rPr>
          <w:rStyle w:val="FootnoteReference"/>
        </w:rPr>
        <w:footnoteRef/>
      </w:r>
      <w:r>
        <w:t xml:space="preserve"> </w:t>
      </w:r>
      <w:r>
        <w:rPr>
          <w:i/>
          <w:iCs/>
        </w:rPr>
        <w:t>Id.</w:t>
      </w:r>
    </w:p>
  </w:footnote>
  <w:footnote w:id="13">
    <w:p w14:paraId="28843135" w14:textId="40AB9709" w:rsidR="00A41C80" w:rsidRDefault="00A41C80">
      <w:pPr>
        <w:pStyle w:val="FootnoteText"/>
      </w:pPr>
      <w:r>
        <w:rPr>
          <w:rStyle w:val="FootnoteReference"/>
        </w:rPr>
        <w:footnoteRef/>
      </w:r>
      <w:r>
        <w:t xml:space="preserve"> Revised staff proposal at 31, figures revised to reflect accurate calculations.</w:t>
      </w:r>
    </w:p>
  </w:footnote>
  <w:footnote w:id="14">
    <w:p w14:paraId="1F3FEB3C" w14:textId="6524B72F" w:rsidR="00A41C80" w:rsidRDefault="00A41C80">
      <w:pPr>
        <w:pStyle w:val="FootnoteText"/>
      </w:pPr>
      <w:r>
        <w:rPr>
          <w:rStyle w:val="FootnoteReference"/>
        </w:rPr>
        <w:footnoteRef/>
      </w:r>
      <w:r>
        <w:t xml:space="preserve"> TURN opening comments at 11.</w:t>
      </w:r>
    </w:p>
  </w:footnote>
  <w:footnote w:id="15">
    <w:p w14:paraId="40BE005D" w14:textId="21F0A43B" w:rsidR="00A41C80" w:rsidRDefault="00A41C80">
      <w:pPr>
        <w:pStyle w:val="FootnoteText"/>
      </w:pPr>
      <w:r>
        <w:rPr>
          <w:rStyle w:val="FootnoteReference"/>
        </w:rPr>
        <w:footnoteRef/>
      </w:r>
      <w:r>
        <w:t xml:space="preserve"> PG&amp;E opening comments at 12.</w:t>
      </w:r>
    </w:p>
  </w:footnote>
  <w:footnote w:id="16">
    <w:p w14:paraId="1F4F3F95" w14:textId="2D538BD3" w:rsidR="00A41C80" w:rsidRDefault="00A41C80">
      <w:pPr>
        <w:pStyle w:val="FootnoteText"/>
      </w:pPr>
      <w:r>
        <w:rPr>
          <w:rStyle w:val="FootnoteReference"/>
        </w:rPr>
        <w:footnoteRef/>
      </w:r>
      <w:r>
        <w:t xml:space="preserve"> NDC opening comments at 13.</w:t>
      </w:r>
    </w:p>
  </w:footnote>
  <w:footnote w:id="17">
    <w:p w14:paraId="2CEBE0DF" w14:textId="608E2163" w:rsidR="00A41C80" w:rsidRDefault="00A41C80">
      <w:pPr>
        <w:pStyle w:val="FootnoteText"/>
      </w:pPr>
      <w:r>
        <w:rPr>
          <w:rStyle w:val="FootnoteReference"/>
        </w:rPr>
        <w:footnoteRef/>
      </w:r>
      <w:r>
        <w:t xml:space="preserve"> </w:t>
      </w:r>
      <w:proofErr w:type="spellStart"/>
      <w:r>
        <w:t>CalCCA</w:t>
      </w:r>
      <w:proofErr w:type="spellEnd"/>
      <w:r>
        <w:t xml:space="preserve"> opening comments at 11.</w:t>
      </w:r>
    </w:p>
  </w:footnote>
  <w:footnote w:id="18">
    <w:p w14:paraId="477F73A0" w14:textId="05934F18" w:rsidR="00A41C80" w:rsidRDefault="00A41C80">
      <w:pPr>
        <w:pStyle w:val="FootnoteText"/>
      </w:pPr>
      <w:r>
        <w:rPr>
          <w:rStyle w:val="FootnoteReference"/>
        </w:rPr>
        <w:footnoteRef/>
      </w:r>
      <w:r>
        <w:t xml:space="preserve"> Cal Advocates reply comments at 5.</w:t>
      </w:r>
    </w:p>
  </w:footnote>
  <w:footnote w:id="19">
    <w:p w14:paraId="3C3BF76C" w14:textId="2A86310F" w:rsidR="00A41C80" w:rsidRDefault="00A41C80">
      <w:pPr>
        <w:pStyle w:val="FootnoteText"/>
      </w:pPr>
      <w:r>
        <w:rPr>
          <w:rStyle w:val="FootnoteReference"/>
        </w:rPr>
        <w:footnoteRef/>
      </w:r>
      <w:r>
        <w:t xml:space="preserve"> UCAN opening comments at 16.</w:t>
      </w:r>
    </w:p>
  </w:footnote>
  <w:footnote w:id="20">
    <w:p w14:paraId="423D9FAE" w14:textId="7711C70B" w:rsidR="00A41C80" w:rsidRDefault="00A41C80">
      <w:pPr>
        <w:pStyle w:val="FootnoteText"/>
      </w:pPr>
      <w:r>
        <w:rPr>
          <w:rStyle w:val="FootnoteReference"/>
        </w:rPr>
        <w:footnoteRef/>
      </w:r>
      <w:r>
        <w:t xml:space="preserve"> Revised staff proposal at 7.</w:t>
      </w:r>
    </w:p>
  </w:footnote>
  <w:footnote w:id="21">
    <w:p w14:paraId="3F351D98" w14:textId="41825FF3" w:rsidR="00A41C80" w:rsidRDefault="00A41C80">
      <w:pPr>
        <w:pStyle w:val="FootnoteText"/>
      </w:pPr>
      <w:r>
        <w:rPr>
          <w:rStyle w:val="FootnoteReference"/>
        </w:rPr>
        <w:footnoteRef/>
      </w:r>
      <w:r>
        <w:t xml:space="preserve"> Revised staff proposal at 32.</w:t>
      </w:r>
    </w:p>
  </w:footnote>
  <w:footnote w:id="22">
    <w:p w14:paraId="567365EC" w14:textId="5EB5FBEC" w:rsidR="00A41C80" w:rsidRDefault="00A41C80">
      <w:pPr>
        <w:pStyle w:val="FootnoteText"/>
      </w:pPr>
      <w:r>
        <w:rPr>
          <w:rStyle w:val="FootnoteReference"/>
        </w:rPr>
        <w:footnoteRef/>
      </w:r>
      <w:r>
        <w:t xml:space="preserve"> Revised staff proposal at 34.</w:t>
      </w:r>
    </w:p>
  </w:footnote>
  <w:footnote w:id="23">
    <w:p w14:paraId="615233BA" w14:textId="315E2E58" w:rsidR="00A41C80" w:rsidRDefault="00A41C80">
      <w:pPr>
        <w:pStyle w:val="FootnoteText"/>
      </w:pPr>
      <w:r>
        <w:rPr>
          <w:rStyle w:val="FootnoteReference"/>
        </w:rPr>
        <w:footnoteRef/>
      </w:r>
      <w:r>
        <w:t xml:space="preserve"> TURN opening comments at 3.</w:t>
      </w:r>
    </w:p>
  </w:footnote>
  <w:footnote w:id="24">
    <w:p w14:paraId="2545C3D2" w14:textId="04FCD6AC" w:rsidR="00A41C80" w:rsidRDefault="00A41C80">
      <w:pPr>
        <w:pStyle w:val="FootnoteText"/>
      </w:pPr>
      <w:r>
        <w:rPr>
          <w:rStyle w:val="FootnoteReference"/>
        </w:rPr>
        <w:footnoteRef/>
      </w:r>
      <w:r>
        <w:t xml:space="preserve"> UCAN opening comments at 3.</w:t>
      </w:r>
    </w:p>
  </w:footnote>
  <w:footnote w:id="25">
    <w:p w14:paraId="70246FF8" w14:textId="69F45706" w:rsidR="00A41C80" w:rsidRDefault="00A41C80">
      <w:pPr>
        <w:pStyle w:val="FootnoteText"/>
      </w:pPr>
      <w:r>
        <w:rPr>
          <w:rStyle w:val="FootnoteReference"/>
        </w:rPr>
        <w:footnoteRef/>
      </w:r>
      <w:r>
        <w:t xml:space="preserve"> Small LECs opening comments at 2 (noting some accuracy issues with the underlying data).</w:t>
      </w:r>
    </w:p>
  </w:footnote>
  <w:footnote w:id="26">
    <w:p w14:paraId="320376D3" w14:textId="7628FF96" w:rsidR="00A41C80" w:rsidRDefault="00A41C80">
      <w:pPr>
        <w:pStyle w:val="FootnoteText"/>
      </w:pPr>
      <w:r>
        <w:rPr>
          <w:rStyle w:val="FootnoteReference"/>
        </w:rPr>
        <w:footnoteRef/>
      </w:r>
      <w:r>
        <w:t xml:space="preserve"> SoCalGas and SDG&amp;E joint opening comments at 2-3 (assuming annual updates).</w:t>
      </w:r>
    </w:p>
  </w:footnote>
  <w:footnote w:id="27">
    <w:p w14:paraId="26F3A458" w14:textId="3B253B97" w:rsidR="00A41C80" w:rsidRDefault="00A41C80">
      <w:pPr>
        <w:pStyle w:val="FootnoteText"/>
      </w:pPr>
      <w:r>
        <w:rPr>
          <w:rStyle w:val="FootnoteReference"/>
        </w:rPr>
        <w:footnoteRef/>
      </w:r>
      <w:r>
        <w:t xml:space="preserve"> SCE opening comments at 2.</w:t>
      </w:r>
    </w:p>
  </w:footnote>
  <w:footnote w:id="28">
    <w:p w14:paraId="0E1506F2" w14:textId="27A60DF3" w:rsidR="00A41C80" w:rsidRDefault="00A41C80">
      <w:pPr>
        <w:pStyle w:val="FootnoteText"/>
      </w:pPr>
      <w:r>
        <w:rPr>
          <w:rStyle w:val="FootnoteReference"/>
        </w:rPr>
        <w:footnoteRef/>
      </w:r>
      <w:r>
        <w:t xml:space="preserve"> PG&amp;E opening comments at 5-6.</w:t>
      </w:r>
    </w:p>
  </w:footnote>
  <w:footnote w:id="29">
    <w:p w14:paraId="20CEEEF5" w14:textId="4C985B4A" w:rsidR="00A41C80" w:rsidRDefault="00A41C80">
      <w:pPr>
        <w:pStyle w:val="FootnoteText"/>
      </w:pPr>
      <w:r>
        <w:rPr>
          <w:rStyle w:val="FootnoteReference"/>
        </w:rPr>
        <w:footnoteRef/>
      </w:r>
      <w:r>
        <w:t xml:space="preserve"> NDC opening comments at 2.</w:t>
      </w:r>
    </w:p>
  </w:footnote>
  <w:footnote w:id="30">
    <w:p w14:paraId="55BEC4C1" w14:textId="0612BFBD" w:rsidR="00A41C80" w:rsidRDefault="00A41C80">
      <w:pPr>
        <w:pStyle w:val="FootnoteText"/>
      </w:pPr>
      <w:r>
        <w:rPr>
          <w:rStyle w:val="FootnoteReference"/>
        </w:rPr>
        <w:footnoteRef/>
      </w:r>
      <w:r>
        <w:t xml:space="preserve"> </w:t>
      </w:r>
      <w:proofErr w:type="spellStart"/>
      <w:r>
        <w:t>CforAT</w:t>
      </w:r>
      <w:proofErr w:type="spellEnd"/>
      <w:r>
        <w:t xml:space="preserve"> opening comments at 1-2.</w:t>
      </w:r>
    </w:p>
  </w:footnote>
  <w:footnote w:id="31">
    <w:p w14:paraId="708B8CDB" w14:textId="01D5D2CF" w:rsidR="00A41C80" w:rsidRDefault="00A41C80">
      <w:pPr>
        <w:pStyle w:val="FootnoteText"/>
      </w:pPr>
      <w:r>
        <w:rPr>
          <w:rStyle w:val="FootnoteReference"/>
        </w:rPr>
        <w:footnoteRef/>
      </w:r>
      <w:r>
        <w:t xml:space="preserve"> NDC opening comments at 3.</w:t>
      </w:r>
    </w:p>
  </w:footnote>
  <w:footnote w:id="32">
    <w:p w14:paraId="492A62CB" w14:textId="27948D48" w:rsidR="00A41C80" w:rsidRDefault="00A41C80">
      <w:pPr>
        <w:pStyle w:val="FootnoteText"/>
      </w:pPr>
      <w:r>
        <w:rPr>
          <w:rStyle w:val="FootnoteReference"/>
        </w:rPr>
        <w:footnoteRef/>
      </w:r>
      <w:r>
        <w:t xml:space="preserve"> </w:t>
      </w:r>
      <w:proofErr w:type="spellStart"/>
      <w:r>
        <w:t>CalCCA</w:t>
      </w:r>
      <w:proofErr w:type="spellEnd"/>
      <w:r>
        <w:t xml:space="preserve"> opening comments at 5-6.</w:t>
      </w:r>
    </w:p>
  </w:footnote>
  <w:footnote w:id="33">
    <w:p w14:paraId="6A68A831" w14:textId="1EED667E" w:rsidR="00A41C80" w:rsidRDefault="00A41C80">
      <w:pPr>
        <w:pStyle w:val="FootnoteText"/>
      </w:pPr>
      <w:r>
        <w:rPr>
          <w:rStyle w:val="FootnoteReference"/>
        </w:rPr>
        <w:footnoteRef/>
      </w:r>
      <w:r>
        <w:t xml:space="preserve"> SCE opening comments at 9.</w:t>
      </w:r>
    </w:p>
  </w:footnote>
  <w:footnote w:id="34">
    <w:p w14:paraId="09073D7D" w14:textId="1DB6F29B" w:rsidR="00A41C80" w:rsidRDefault="00A41C80">
      <w:pPr>
        <w:pStyle w:val="FootnoteText"/>
      </w:pPr>
      <w:r>
        <w:rPr>
          <w:rStyle w:val="FootnoteReference"/>
        </w:rPr>
        <w:footnoteRef/>
      </w:r>
      <w:r>
        <w:t xml:space="preserve"> Cal Advocates opening comments at 7.</w:t>
      </w:r>
    </w:p>
  </w:footnote>
  <w:footnote w:id="35">
    <w:p w14:paraId="4E52D134" w14:textId="2D7AF030" w:rsidR="00A41C80" w:rsidRDefault="00A41C80">
      <w:pPr>
        <w:pStyle w:val="FootnoteText"/>
      </w:pPr>
      <w:r>
        <w:rPr>
          <w:rStyle w:val="FootnoteReference"/>
        </w:rPr>
        <w:footnoteRef/>
      </w:r>
      <w:r>
        <w:t xml:space="preserve"> Cal Advocates reply comments at 5-6.</w:t>
      </w:r>
    </w:p>
  </w:footnote>
  <w:footnote w:id="36">
    <w:p w14:paraId="145D099A" w14:textId="5FBFF4C4" w:rsidR="00A41C80" w:rsidRDefault="00A41C80">
      <w:pPr>
        <w:pStyle w:val="FootnoteText"/>
      </w:pPr>
      <w:r>
        <w:rPr>
          <w:rStyle w:val="FootnoteReference"/>
        </w:rPr>
        <w:footnoteRef/>
      </w:r>
      <w:r>
        <w:t xml:space="preserve"> Revised staff proposal at 35.</w:t>
      </w:r>
    </w:p>
  </w:footnote>
  <w:footnote w:id="37">
    <w:p w14:paraId="5B07CE2A" w14:textId="364B9858" w:rsidR="00A41C80" w:rsidRPr="006B4B6D" w:rsidRDefault="00A41C80">
      <w:pPr>
        <w:pStyle w:val="FootnoteText"/>
      </w:pPr>
      <w:r>
        <w:rPr>
          <w:rStyle w:val="FootnoteReference"/>
        </w:rPr>
        <w:footnoteRef/>
      </w:r>
      <w:r>
        <w:t xml:space="preserve"> </w:t>
      </w:r>
      <w:r>
        <w:rPr>
          <w:i/>
          <w:iCs/>
        </w:rPr>
        <w:t>See, e.g.</w:t>
      </w:r>
      <w:r>
        <w:t xml:space="preserve">, </w:t>
      </w:r>
      <w:proofErr w:type="spellStart"/>
      <w:r>
        <w:t>CforAT</w:t>
      </w:r>
      <w:proofErr w:type="spellEnd"/>
      <w:r>
        <w:t xml:space="preserve"> opening comments at 5.</w:t>
      </w:r>
    </w:p>
  </w:footnote>
  <w:footnote w:id="38">
    <w:p w14:paraId="2A748A45" w14:textId="4AE2E3E8" w:rsidR="00A41C80" w:rsidRDefault="00A41C80">
      <w:pPr>
        <w:pStyle w:val="FootnoteText"/>
      </w:pPr>
      <w:r>
        <w:rPr>
          <w:rStyle w:val="FootnoteReference"/>
        </w:rPr>
        <w:footnoteRef/>
      </w:r>
      <w:r>
        <w:t xml:space="preserve"> Cal Advocates reply comments at 5.</w:t>
      </w:r>
    </w:p>
  </w:footnote>
  <w:footnote w:id="39">
    <w:p w14:paraId="1F887499" w14:textId="551C18E0" w:rsidR="00A41C80" w:rsidRDefault="00A41C80">
      <w:pPr>
        <w:pStyle w:val="FootnoteText"/>
      </w:pPr>
      <w:r>
        <w:rPr>
          <w:rStyle w:val="FootnoteReference"/>
        </w:rPr>
        <w:footnoteRef/>
      </w:r>
      <w:r>
        <w:t xml:space="preserve"> SoCalGas and SDG&amp;E opening comments at 3-4.</w:t>
      </w:r>
    </w:p>
  </w:footnote>
  <w:footnote w:id="40">
    <w:p w14:paraId="451827AE" w14:textId="36647A64" w:rsidR="00A41C80" w:rsidRDefault="00A41C80">
      <w:pPr>
        <w:pStyle w:val="FootnoteText"/>
      </w:pPr>
      <w:r>
        <w:rPr>
          <w:rStyle w:val="FootnoteReference"/>
        </w:rPr>
        <w:footnoteRef/>
      </w:r>
      <w:r>
        <w:t xml:space="preserve"> SoCalGas and SDG&amp;E opening comments at 14.</w:t>
      </w:r>
    </w:p>
  </w:footnote>
  <w:footnote w:id="41">
    <w:p w14:paraId="7A5F4F05" w14:textId="30F039B5" w:rsidR="00A41C80" w:rsidRDefault="00A41C80">
      <w:pPr>
        <w:pStyle w:val="FootnoteText"/>
      </w:pPr>
      <w:r>
        <w:rPr>
          <w:rStyle w:val="FootnoteReference"/>
        </w:rPr>
        <w:footnoteRef/>
      </w:r>
      <w:r>
        <w:t xml:space="preserve"> SCE opening comments at 3.</w:t>
      </w:r>
    </w:p>
  </w:footnote>
  <w:footnote w:id="42">
    <w:p w14:paraId="78336FB1" w14:textId="02D411C0" w:rsidR="00A41C80" w:rsidRDefault="00A41C80">
      <w:pPr>
        <w:pStyle w:val="FootnoteText"/>
      </w:pPr>
      <w:r>
        <w:rPr>
          <w:rStyle w:val="FootnoteReference"/>
        </w:rPr>
        <w:footnoteRef/>
      </w:r>
      <w:r>
        <w:t xml:space="preserve"> NDC reply comments at 2.</w:t>
      </w:r>
    </w:p>
  </w:footnote>
  <w:footnote w:id="43">
    <w:p w14:paraId="59D56C93" w14:textId="16E1E6A0" w:rsidR="00A41C80" w:rsidRDefault="00A41C80">
      <w:pPr>
        <w:pStyle w:val="FootnoteText"/>
      </w:pPr>
      <w:r>
        <w:rPr>
          <w:rStyle w:val="FootnoteReference"/>
        </w:rPr>
        <w:footnoteRef/>
      </w:r>
      <w:r>
        <w:t xml:space="preserve"> Small LECs opening comments at 3.</w:t>
      </w:r>
    </w:p>
  </w:footnote>
  <w:footnote w:id="44">
    <w:p w14:paraId="425308BC" w14:textId="1AC7193D" w:rsidR="00A41C80" w:rsidRDefault="00A41C80">
      <w:pPr>
        <w:pStyle w:val="FootnoteText"/>
      </w:pPr>
      <w:r>
        <w:rPr>
          <w:rStyle w:val="FootnoteReference"/>
        </w:rPr>
        <w:footnoteRef/>
      </w:r>
      <w:r>
        <w:t xml:space="preserve"> UCAN reply comments at 2.</w:t>
      </w:r>
    </w:p>
  </w:footnote>
  <w:footnote w:id="45">
    <w:p w14:paraId="43AFE750" w14:textId="16E21920" w:rsidR="00A41C80" w:rsidRPr="00101AEA" w:rsidRDefault="00A41C80">
      <w:pPr>
        <w:pStyle w:val="FootnoteText"/>
      </w:pPr>
      <w:r>
        <w:rPr>
          <w:rStyle w:val="FootnoteReference"/>
        </w:rPr>
        <w:footnoteRef/>
      </w:r>
      <w:r>
        <w:t xml:space="preserve"> </w:t>
      </w:r>
      <w:r>
        <w:rPr>
          <w:i/>
          <w:iCs/>
        </w:rPr>
        <w:t>Id.</w:t>
      </w:r>
      <w:r>
        <w:t xml:space="preserve">  Notably, the revised staff proposal uses the term “service” is used instead of “usage” </w:t>
      </w:r>
      <w:proofErr w:type="gramStart"/>
      <w:r>
        <w:t>in order to</w:t>
      </w:r>
      <w:proofErr w:type="gramEnd"/>
      <w:r>
        <w:t xml:space="preserve"> distinguish between a communications service that may be essential, the usage within a communications service bundle that may not be.  The revised staff proposal states that “service” and “usage” are generally equivalent terms in the electricity, gas, and water sectors.</w:t>
      </w:r>
    </w:p>
  </w:footnote>
  <w:footnote w:id="46">
    <w:p w14:paraId="06D20893" w14:textId="54960876" w:rsidR="00A41C80" w:rsidRDefault="00A41C80">
      <w:pPr>
        <w:pStyle w:val="FootnoteText"/>
      </w:pPr>
      <w:r>
        <w:rPr>
          <w:rStyle w:val="FootnoteReference"/>
        </w:rPr>
        <w:footnoteRef/>
      </w:r>
      <w:r>
        <w:t xml:space="preserve"> PG&amp;E opening comments at 1-2.</w:t>
      </w:r>
    </w:p>
  </w:footnote>
  <w:footnote w:id="47">
    <w:p w14:paraId="3606CED9" w14:textId="77777777" w:rsidR="00A41C80" w:rsidRDefault="00A41C80" w:rsidP="008966E4">
      <w:pPr>
        <w:pStyle w:val="FootnoteText"/>
      </w:pPr>
      <w:r>
        <w:rPr>
          <w:rStyle w:val="FootnoteReference"/>
        </w:rPr>
        <w:footnoteRef/>
      </w:r>
      <w:r>
        <w:t xml:space="preserve"> UCAN opening comments at 7.</w:t>
      </w:r>
    </w:p>
  </w:footnote>
  <w:footnote w:id="48">
    <w:p w14:paraId="43164C7A" w14:textId="5700F06A" w:rsidR="00A41C80" w:rsidRDefault="00A41C80" w:rsidP="7A591E96">
      <w:pPr>
        <w:pStyle w:val="FootnoteText"/>
      </w:pPr>
      <w:r w:rsidRPr="7A591E96">
        <w:rPr>
          <w:rStyle w:val="FootnoteReference"/>
        </w:rPr>
        <w:footnoteRef/>
      </w:r>
      <w:r>
        <w:t xml:space="preserve"> PG&amp;E opening comments at 3-4.</w:t>
      </w:r>
    </w:p>
  </w:footnote>
  <w:footnote w:id="49">
    <w:p w14:paraId="3116EBFA" w14:textId="1C0558D6" w:rsidR="00A41C80" w:rsidRDefault="00A41C80" w:rsidP="7A591E96">
      <w:pPr>
        <w:pStyle w:val="FootnoteText"/>
      </w:pPr>
      <w:r w:rsidRPr="7A591E96">
        <w:rPr>
          <w:rStyle w:val="FootnoteReference"/>
        </w:rPr>
        <w:footnoteRef/>
      </w:r>
      <w:r>
        <w:t xml:space="preserve"> Revised staff proposal at 19.</w:t>
      </w:r>
    </w:p>
  </w:footnote>
  <w:footnote w:id="50">
    <w:p w14:paraId="78BA2D3A" w14:textId="27101B90" w:rsidR="00A41C80" w:rsidRDefault="00A41C80" w:rsidP="7A591E96">
      <w:pPr>
        <w:pStyle w:val="FootnoteText"/>
      </w:pPr>
      <w:r w:rsidRPr="7A591E96">
        <w:rPr>
          <w:rStyle w:val="FootnoteReference"/>
        </w:rPr>
        <w:footnoteRef/>
      </w:r>
      <w:r>
        <w:t xml:space="preserve"> Revised staff proposal at 19.</w:t>
      </w:r>
    </w:p>
  </w:footnote>
  <w:footnote w:id="51">
    <w:p w14:paraId="0522E489" w14:textId="0C624973" w:rsidR="00A41C80" w:rsidRDefault="00A41C80" w:rsidP="7A591E96">
      <w:pPr>
        <w:pStyle w:val="FootnoteText"/>
      </w:pPr>
      <w:r w:rsidRPr="7A591E96">
        <w:rPr>
          <w:rStyle w:val="FootnoteReference"/>
        </w:rPr>
        <w:footnoteRef/>
      </w:r>
      <w:r>
        <w:t xml:space="preserve"> Revised staff proposal at 19.</w:t>
      </w:r>
    </w:p>
  </w:footnote>
  <w:footnote w:id="52">
    <w:p w14:paraId="52F32740" w14:textId="46E9E15E" w:rsidR="00A41C80" w:rsidRDefault="00A41C80" w:rsidP="7A591E96">
      <w:pPr>
        <w:pStyle w:val="FootnoteText"/>
      </w:pPr>
      <w:r w:rsidRPr="7A591E96">
        <w:rPr>
          <w:rStyle w:val="FootnoteReference"/>
        </w:rPr>
        <w:footnoteRef/>
      </w:r>
      <w:r>
        <w:t xml:space="preserve"> Revised staff proposal at 19-20.</w:t>
      </w:r>
    </w:p>
  </w:footnote>
  <w:footnote w:id="53">
    <w:p w14:paraId="4E8B8195" w14:textId="210595A6" w:rsidR="00A41C80" w:rsidRDefault="00A41C80" w:rsidP="7A591E96">
      <w:pPr>
        <w:pStyle w:val="FootnoteText"/>
      </w:pPr>
      <w:r w:rsidRPr="7A591E96">
        <w:rPr>
          <w:rStyle w:val="FootnoteReference"/>
        </w:rPr>
        <w:footnoteRef/>
      </w:r>
      <w:r>
        <w:t xml:space="preserve"> TURN opening comments at 3.</w:t>
      </w:r>
    </w:p>
  </w:footnote>
  <w:footnote w:id="54">
    <w:p w14:paraId="15C5DFFC" w14:textId="64265552" w:rsidR="00A41C80" w:rsidRDefault="00A41C80" w:rsidP="7A591E96">
      <w:pPr>
        <w:pStyle w:val="FootnoteText"/>
      </w:pPr>
      <w:r w:rsidRPr="7A591E96">
        <w:rPr>
          <w:rStyle w:val="FootnoteReference"/>
        </w:rPr>
        <w:footnoteRef/>
      </w:r>
      <w:r>
        <w:t xml:space="preserve"> </w:t>
      </w:r>
      <w:r w:rsidRPr="7A591E96">
        <w:rPr>
          <w:i/>
          <w:iCs/>
        </w:rPr>
        <w:t>See, e.g.</w:t>
      </w:r>
      <w:r>
        <w:t>, Cal Advocates opening comments at 8.</w:t>
      </w:r>
    </w:p>
  </w:footnote>
  <w:footnote w:id="55">
    <w:p w14:paraId="5B969688" w14:textId="33160C6D" w:rsidR="00A41C80" w:rsidRDefault="00A41C80" w:rsidP="7A591E96">
      <w:pPr>
        <w:pStyle w:val="FootnoteText"/>
      </w:pPr>
      <w:r w:rsidRPr="7A591E96">
        <w:rPr>
          <w:rStyle w:val="FootnoteReference"/>
        </w:rPr>
        <w:footnoteRef/>
      </w:r>
      <w:r>
        <w:t xml:space="preserve"> UCAN opening comments at 4.</w:t>
      </w:r>
    </w:p>
  </w:footnote>
  <w:footnote w:id="56">
    <w:p w14:paraId="60021CCD" w14:textId="79435108" w:rsidR="00A41C80" w:rsidRDefault="00A41C80" w:rsidP="7A591E96">
      <w:pPr>
        <w:pStyle w:val="FootnoteText"/>
      </w:pPr>
      <w:r w:rsidRPr="7A591E96">
        <w:rPr>
          <w:rStyle w:val="FootnoteReference"/>
        </w:rPr>
        <w:footnoteRef/>
      </w:r>
      <w:r>
        <w:t xml:space="preserve"> Cal Advocates opening comments at 9.</w:t>
      </w:r>
    </w:p>
  </w:footnote>
  <w:footnote w:id="57">
    <w:p w14:paraId="41366319" w14:textId="26ADEA33" w:rsidR="00A41C80" w:rsidRDefault="00A41C80" w:rsidP="7A591E96">
      <w:pPr>
        <w:pStyle w:val="FootnoteText"/>
      </w:pPr>
      <w:r w:rsidRPr="7A591E96">
        <w:rPr>
          <w:rStyle w:val="FootnoteReference"/>
        </w:rPr>
        <w:footnoteRef/>
      </w:r>
      <w:r>
        <w:t xml:space="preserve"> </w:t>
      </w:r>
      <w:proofErr w:type="spellStart"/>
      <w:r>
        <w:t>CforAT</w:t>
      </w:r>
      <w:proofErr w:type="spellEnd"/>
      <w:r>
        <w:t xml:space="preserve"> reply comments at 5-6.</w:t>
      </w:r>
    </w:p>
  </w:footnote>
  <w:footnote w:id="58">
    <w:p w14:paraId="57771BF3" w14:textId="670EE1F4" w:rsidR="00A41C80" w:rsidRDefault="00A41C80" w:rsidP="7A591E96">
      <w:pPr>
        <w:pStyle w:val="FootnoteText"/>
      </w:pPr>
      <w:r w:rsidRPr="7A591E96">
        <w:rPr>
          <w:rStyle w:val="FootnoteReference"/>
        </w:rPr>
        <w:footnoteRef/>
      </w:r>
      <w:r>
        <w:t xml:space="preserve"> CWA opening comments at 5.</w:t>
      </w:r>
    </w:p>
  </w:footnote>
  <w:footnote w:id="59">
    <w:p w14:paraId="55916A91" w14:textId="5FEF5935" w:rsidR="00A41C80" w:rsidRDefault="00A41C80" w:rsidP="7A591E96">
      <w:pPr>
        <w:pStyle w:val="FootnoteText"/>
      </w:pPr>
      <w:r w:rsidRPr="7A591E96">
        <w:rPr>
          <w:rStyle w:val="FootnoteReference"/>
        </w:rPr>
        <w:footnoteRef/>
      </w:r>
      <w:r>
        <w:t xml:space="preserve"> </w:t>
      </w:r>
      <w:proofErr w:type="spellStart"/>
      <w:r>
        <w:t>CforAT</w:t>
      </w:r>
      <w:proofErr w:type="spellEnd"/>
      <w:r>
        <w:t xml:space="preserve"> opening comments at 4.</w:t>
      </w:r>
    </w:p>
  </w:footnote>
  <w:footnote w:id="60">
    <w:p w14:paraId="0EBA6E2F" w14:textId="4E43078C" w:rsidR="00A41C80" w:rsidRDefault="00A41C80" w:rsidP="7A591E96">
      <w:pPr>
        <w:pStyle w:val="FootnoteText"/>
      </w:pPr>
      <w:r w:rsidRPr="7A591E96">
        <w:rPr>
          <w:rStyle w:val="FootnoteReference"/>
        </w:rPr>
        <w:footnoteRef/>
      </w:r>
      <w:r>
        <w:t xml:space="preserve"> </w:t>
      </w:r>
      <w:proofErr w:type="spellStart"/>
      <w:r>
        <w:t>CforAT</w:t>
      </w:r>
      <w:proofErr w:type="spellEnd"/>
      <w:r>
        <w:t xml:space="preserve"> reply comments at 6.</w:t>
      </w:r>
    </w:p>
  </w:footnote>
  <w:footnote w:id="61">
    <w:p w14:paraId="2F13DA7B" w14:textId="1F4E898D" w:rsidR="00A41C80" w:rsidRDefault="00A41C80" w:rsidP="7A591E96">
      <w:pPr>
        <w:pStyle w:val="FootnoteText"/>
      </w:pPr>
      <w:r w:rsidRPr="7A591E96">
        <w:rPr>
          <w:rStyle w:val="FootnoteReference"/>
        </w:rPr>
        <w:footnoteRef/>
      </w:r>
      <w:r>
        <w:t xml:space="preserve"> SCE opening comments at 3.</w:t>
      </w:r>
    </w:p>
  </w:footnote>
  <w:footnote w:id="62">
    <w:p w14:paraId="49F4A403" w14:textId="0415857F" w:rsidR="00A41C80" w:rsidRDefault="00A41C80" w:rsidP="7A591E96">
      <w:pPr>
        <w:pStyle w:val="FootnoteText"/>
      </w:pPr>
      <w:r w:rsidRPr="7A591E96">
        <w:rPr>
          <w:rStyle w:val="FootnoteReference"/>
        </w:rPr>
        <w:footnoteRef/>
      </w:r>
      <w:r>
        <w:t xml:space="preserve"> TURN opening comments at 15-16.</w:t>
      </w:r>
    </w:p>
  </w:footnote>
  <w:footnote w:id="63">
    <w:p w14:paraId="532C24E6" w14:textId="77777777" w:rsidR="00A41C80" w:rsidRDefault="00A41C80" w:rsidP="7A591E96">
      <w:pPr>
        <w:pStyle w:val="FootnoteText"/>
      </w:pPr>
      <w:r w:rsidRPr="7A591E96">
        <w:rPr>
          <w:rStyle w:val="FootnoteReference"/>
        </w:rPr>
        <w:footnoteRef/>
      </w:r>
      <w:r>
        <w:t xml:space="preserve"> UCAN opening comments at 3.</w:t>
      </w:r>
    </w:p>
  </w:footnote>
  <w:footnote w:id="64">
    <w:p w14:paraId="6FE02672" w14:textId="77777777" w:rsidR="00A41C80" w:rsidRDefault="00A41C80" w:rsidP="7A591E96">
      <w:pPr>
        <w:pStyle w:val="FootnoteText"/>
      </w:pPr>
      <w:r w:rsidRPr="7A591E96">
        <w:rPr>
          <w:rStyle w:val="FootnoteReference"/>
        </w:rPr>
        <w:footnoteRef/>
      </w:r>
      <w:r>
        <w:t xml:space="preserve"> AT&amp;T opening comments at 2.</w:t>
      </w:r>
    </w:p>
  </w:footnote>
  <w:footnote w:id="65">
    <w:p w14:paraId="4F473017" w14:textId="77777777" w:rsidR="00A41C80" w:rsidRDefault="00A41C80" w:rsidP="00C86AD1">
      <w:pPr>
        <w:pStyle w:val="FootnoteText"/>
      </w:pPr>
      <w:r>
        <w:rPr>
          <w:rStyle w:val="FootnoteReference"/>
        </w:rPr>
        <w:footnoteRef/>
      </w:r>
      <w:r>
        <w:t xml:space="preserve"> </w:t>
      </w:r>
      <w:r w:rsidRPr="005B4B99">
        <w:rPr>
          <w:i/>
          <w:iCs/>
        </w:rPr>
        <w:t xml:space="preserve">See </w:t>
      </w:r>
      <w:r>
        <w:t>D.16-12-025 at p 11.</w:t>
      </w:r>
    </w:p>
  </w:footnote>
  <w:footnote w:id="66">
    <w:p w14:paraId="36550DAE" w14:textId="3ABF58F7" w:rsidR="00A41C80" w:rsidRDefault="00A41C80" w:rsidP="00C14628">
      <w:pPr>
        <w:pStyle w:val="FootnoteText"/>
      </w:pPr>
      <w:r>
        <w:rPr>
          <w:rStyle w:val="FootnoteReference"/>
        </w:rPr>
        <w:footnoteRef/>
      </w:r>
      <w:r>
        <w:t xml:space="preserve"> Governor’s January 10, 2020 Proposed 2020-2021 Budget Summary, at 195.  This population estimate is based on a minimum threshold of 100 Mbps downstream.</w:t>
      </w:r>
    </w:p>
  </w:footnote>
  <w:footnote w:id="67">
    <w:p w14:paraId="16068019" w14:textId="77777777" w:rsidR="00A41C80" w:rsidRDefault="00A41C80" w:rsidP="7A591E96">
      <w:pPr>
        <w:pStyle w:val="FootnoteText"/>
      </w:pPr>
      <w:r w:rsidRPr="7A591E96">
        <w:rPr>
          <w:rStyle w:val="FootnoteReference"/>
        </w:rPr>
        <w:footnoteRef/>
      </w:r>
      <w:r>
        <w:t xml:space="preserve"> Revised staff proposal at 22.</w:t>
      </w:r>
    </w:p>
  </w:footnote>
  <w:footnote w:id="68">
    <w:p w14:paraId="22A62E4C" w14:textId="77777777" w:rsidR="00A41C80" w:rsidRDefault="00A41C80" w:rsidP="7A591E96">
      <w:pPr>
        <w:pStyle w:val="FootnoteText"/>
      </w:pPr>
      <w:r w:rsidRPr="7A591E96">
        <w:rPr>
          <w:rStyle w:val="FootnoteReference"/>
        </w:rPr>
        <w:footnoteRef/>
      </w:r>
      <w:r>
        <w:t xml:space="preserve"> Revised staff proposal at 22-24.</w:t>
      </w:r>
    </w:p>
  </w:footnote>
  <w:footnote w:id="69">
    <w:p w14:paraId="0D7137F0" w14:textId="77777777" w:rsidR="00A41C80" w:rsidRDefault="00A41C80" w:rsidP="7A591E96">
      <w:pPr>
        <w:pStyle w:val="FootnoteText"/>
      </w:pPr>
      <w:r w:rsidRPr="7A591E96">
        <w:rPr>
          <w:rStyle w:val="FootnoteReference"/>
        </w:rPr>
        <w:footnoteRef/>
      </w:r>
      <w:r>
        <w:t xml:space="preserve"> Revised staff proposal at 24.</w:t>
      </w:r>
    </w:p>
  </w:footnote>
  <w:footnote w:id="70">
    <w:p w14:paraId="1E3E5D60" w14:textId="62D74BF0" w:rsidR="00A41C80" w:rsidRDefault="00A41C80" w:rsidP="7A591E96">
      <w:pPr>
        <w:pStyle w:val="FootnoteText"/>
      </w:pPr>
      <w:r w:rsidRPr="7A591E96">
        <w:rPr>
          <w:rStyle w:val="FootnoteReference"/>
        </w:rPr>
        <w:footnoteRef/>
      </w:r>
      <w:r>
        <w:t xml:space="preserve"> FCC Order 15-10 at 3.  </w:t>
      </w:r>
      <w:r w:rsidRPr="7A591E96">
        <w:rPr>
          <w:i/>
          <w:iCs/>
        </w:rPr>
        <w:t xml:space="preserve">See also </w:t>
      </w:r>
      <w:r>
        <w:t>FCC Order 19-44 at 5, affirming that as of 2019 the FCC “conclude[s] that the current speed benchmark of 25 Mbps/3 Mbps remains an appropriate measure by which to assess whether a fixed service is providing advanced telecommunications capability.”</w:t>
      </w:r>
    </w:p>
  </w:footnote>
  <w:footnote w:id="71">
    <w:p w14:paraId="403E069E" w14:textId="22EB9FF2" w:rsidR="00A41C80" w:rsidRDefault="00A41C80" w:rsidP="7A591E96">
      <w:pPr>
        <w:pStyle w:val="FootnoteText"/>
      </w:pPr>
      <w:r w:rsidRPr="7A591E96">
        <w:rPr>
          <w:rStyle w:val="FootnoteReference"/>
        </w:rPr>
        <w:footnoteRef/>
      </w:r>
      <w:r>
        <w:t xml:space="preserve"> FCC Order 19-44 at 6.</w:t>
      </w:r>
    </w:p>
  </w:footnote>
  <w:footnote w:id="72">
    <w:p w14:paraId="6B319401" w14:textId="77777777" w:rsidR="00A41C80" w:rsidRDefault="00A41C80" w:rsidP="7A591E96">
      <w:pPr>
        <w:pStyle w:val="FootnoteText"/>
      </w:pPr>
      <w:r w:rsidRPr="7A591E96">
        <w:rPr>
          <w:rStyle w:val="FootnoteReference"/>
        </w:rPr>
        <w:footnoteRef/>
      </w:r>
      <w:r>
        <w:t xml:space="preserve"> FCC Measuring Fixed Broadband – Eighth Report </w:t>
      </w:r>
    </w:p>
  </w:footnote>
  <w:footnote w:id="73">
    <w:p w14:paraId="2D961928" w14:textId="06CB3365" w:rsidR="00A41C80" w:rsidRDefault="00A41C80">
      <w:pPr>
        <w:pStyle w:val="FootnoteText"/>
      </w:pPr>
      <w:r>
        <w:rPr>
          <w:rStyle w:val="FootnoteReference"/>
        </w:rPr>
        <w:footnoteRef/>
      </w:r>
      <w:r>
        <w:t xml:space="preserve"> TURN opening comments on Revised Staff Proposal, February 21, 2020, at 16-20.</w:t>
      </w:r>
    </w:p>
  </w:footnote>
  <w:footnote w:id="74">
    <w:p w14:paraId="5F8A6CF2" w14:textId="104299D8" w:rsidR="00A41C80" w:rsidRDefault="00A41C80" w:rsidP="7A591E96">
      <w:pPr>
        <w:pStyle w:val="FootnoteText"/>
      </w:pPr>
      <w:r w:rsidRPr="7A591E96">
        <w:rPr>
          <w:rStyle w:val="FootnoteReference"/>
        </w:rPr>
        <w:footnoteRef/>
      </w:r>
      <w:r>
        <w:t xml:space="preserve"> TURN opening comments at 18.</w:t>
      </w:r>
    </w:p>
  </w:footnote>
  <w:footnote w:id="75">
    <w:p w14:paraId="05915A69" w14:textId="415F8654" w:rsidR="00A41C80" w:rsidRDefault="00A41C80" w:rsidP="7A591E96">
      <w:pPr>
        <w:pStyle w:val="FootnoteText"/>
      </w:pPr>
      <w:r w:rsidRPr="7A591E96">
        <w:rPr>
          <w:rStyle w:val="FootnoteReference"/>
        </w:rPr>
        <w:footnoteRef/>
      </w:r>
      <w:r>
        <w:t xml:space="preserve"> TURN opening comments at 20.</w:t>
      </w:r>
    </w:p>
  </w:footnote>
  <w:footnote w:id="76">
    <w:p w14:paraId="03BF1D28" w14:textId="6D189DC6" w:rsidR="00A41C80" w:rsidRDefault="00A41C80" w:rsidP="7A591E96">
      <w:pPr>
        <w:pStyle w:val="FootnoteText"/>
      </w:pPr>
      <w:r w:rsidRPr="7A591E96">
        <w:rPr>
          <w:rStyle w:val="FootnoteReference"/>
        </w:rPr>
        <w:footnoteRef/>
      </w:r>
      <w:r>
        <w:t xml:space="preserve"> UCAN reply comments at 3-4.</w:t>
      </w:r>
    </w:p>
  </w:footnote>
  <w:footnote w:id="77">
    <w:p w14:paraId="7C156F25" w14:textId="77777777" w:rsidR="00A41C80" w:rsidRDefault="00A41C80" w:rsidP="7A591E96">
      <w:pPr>
        <w:pStyle w:val="FootnoteText"/>
      </w:pPr>
      <w:r w:rsidRPr="7A591E96">
        <w:rPr>
          <w:rStyle w:val="FootnoteReference"/>
        </w:rPr>
        <w:footnoteRef/>
      </w:r>
      <w:r>
        <w:t xml:space="preserve"> UCAN reply comments at 10.</w:t>
      </w:r>
    </w:p>
  </w:footnote>
  <w:footnote w:id="78">
    <w:p w14:paraId="4A003162" w14:textId="453F7192" w:rsidR="00A41C80" w:rsidRDefault="00A41C80" w:rsidP="7A591E96">
      <w:pPr>
        <w:pStyle w:val="FootnoteText"/>
      </w:pPr>
      <w:r w:rsidRPr="7A591E96">
        <w:rPr>
          <w:rStyle w:val="FootnoteReference"/>
        </w:rPr>
        <w:footnoteRef/>
      </w:r>
      <w:r>
        <w:t xml:space="preserve"> CCTA opening comments at 13-15.</w:t>
      </w:r>
    </w:p>
  </w:footnote>
  <w:footnote w:id="79">
    <w:p w14:paraId="10F30062" w14:textId="3750D57C" w:rsidR="00A41C80" w:rsidRDefault="00A41C80" w:rsidP="7A591E96">
      <w:pPr>
        <w:pStyle w:val="FootnoteText"/>
      </w:pPr>
      <w:r w:rsidRPr="7A591E96">
        <w:rPr>
          <w:rStyle w:val="FootnoteReference"/>
        </w:rPr>
        <w:footnoteRef/>
      </w:r>
      <w:r>
        <w:t xml:space="preserve"> AT&amp;T opening comments at 4.</w:t>
      </w:r>
    </w:p>
  </w:footnote>
  <w:footnote w:id="80">
    <w:p w14:paraId="6C184EEE" w14:textId="55F288C1" w:rsidR="00A41C80" w:rsidRDefault="00A41C80" w:rsidP="7A591E96">
      <w:pPr>
        <w:pStyle w:val="FootnoteText"/>
      </w:pPr>
      <w:r w:rsidRPr="7A591E96">
        <w:rPr>
          <w:rStyle w:val="FootnoteReference"/>
        </w:rPr>
        <w:footnoteRef/>
      </w:r>
      <w:r>
        <w:t xml:space="preserve"> AT&amp;T opening comments at 5.</w:t>
      </w:r>
    </w:p>
  </w:footnote>
  <w:footnote w:id="81">
    <w:p w14:paraId="1400EF45" w14:textId="3A595E64" w:rsidR="00A41C80" w:rsidRDefault="00A41C80" w:rsidP="7A591E96">
      <w:pPr>
        <w:pStyle w:val="FootnoteText"/>
      </w:pPr>
      <w:r w:rsidRPr="7A591E96">
        <w:rPr>
          <w:rStyle w:val="FootnoteReference"/>
        </w:rPr>
        <w:footnoteRef/>
      </w:r>
      <w:r>
        <w:t xml:space="preserve"> AT&amp;T reply comments at 3.</w:t>
      </w:r>
    </w:p>
  </w:footnote>
  <w:footnote w:id="82">
    <w:p w14:paraId="5FAA3411" w14:textId="57632A27" w:rsidR="00A41C80" w:rsidRDefault="00A41C80" w:rsidP="7A591E96">
      <w:pPr>
        <w:pStyle w:val="FootnoteText"/>
      </w:pPr>
      <w:r w:rsidRPr="7A591E96">
        <w:rPr>
          <w:rStyle w:val="FootnoteReference"/>
        </w:rPr>
        <w:footnoteRef/>
      </w:r>
      <w:r>
        <w:t xml:space="preserve"> TURN reply comments at 7.</w:t>
      </w:r>
    </w:p>
  </w:footnote>
  <w:footnote w:id="83">
    <w:p w14:paraId="0BEEA0CB" w14:textId="3FB7E88E" w:rsidR="00A41C80" w:rsidRDefault="00A41C80" w:rsidP="7A591E96">
      <w:pPr>
        <w:pStyle w:val="FootnoteText"/>
      </w:pPr>
      <w:r w:rsidRPr="7A591E96">
        <w:rPr>
          <w:rStyle w:val="FootnoteReference"/>
        </w:rPr>
        <w:footnoteRef/>
      </w:r>
      <w:r>
        <w:t xml:space="preserve"> Cal Advocates reply comments at 4.</w:t>
      </w:r>
    </w:p>
  </w:footnote>
  <w:footnote w:id="84">
    <w:p w14:paraId="5B552D4D" w14:textId="0FB51A38" w:rsidR="00A41C80" w:rsidRDefault="00A41C80" w:rsidP="7A591E96">
      <w:pPr>
        <w:pStyle w:val="FootnoteText"/>
      </w:pPr>
      <w:r w:rsidRPr="7A591E96">
        <w:rPr>
          <w:rStyle w:val="FootnoteReference"/>
        </w:rPr>
        <w:footnoteRef/>
      </w:r>
      <w:r>
        <w:t xml:space="preserve"> Cal Advocates reply comments at 2-3.</w:t>
      </w:r>
    </w:p>
  </w:footnote>
  <w:footnote w:id="85">
    <w:p w14:paraId="6A886500" w14:textId="77777777" w:rsidR="00A41C80" w:rsidRDefault="00A41C80" w:rsidP="006868B5">
      <w:pPr>
        <w:pStyle w:val="FootnoteText"/>
      </w:pPr>
      <w:r>
        <w:rPr>
          <w:rStyle w:val="FootnoteReference"/>
        </w:rPr>
        <w:footnoteRef/>
      </w:r>
      <w:r>
        <w:t xml:space="preserve"> </w:t>
      </w:r>
      <w:r w:rsidRPr="003542D9">
        <w:t>https://www.cpuc.ca.gov/uploadedFiles/CPUCWebsite/Content/News_Room/NewsUpdates/2020/CPUC%20Letter%20to%20ISPs%20regarding%20Affordable%20Plans.pdf</w:t>
      </w:r>
    </w:p>
  </w:footnote>
  <w:footnote w:id="86">
    <w:p w14:paraId="17740D96" w14:textId="210329F1" w:rsidR="00A41C80" w:rsidRDefault="00A41C80" w:rsidP="7A591E96">
      <w:pPr>
        <w:pStyle w:val="FootnoteText"/>
      </w:pPr>
      <w:r w:rsidRPr="7A591E96">
        <w:rPr>
          <w:rStyle w:val="FootnoteReference"/>
        </w:rPr>
        <w:footnoteRef/>
      </w:r>
      <w:r>
        <w:t xml:space="preserve"> CCTA opening comments, </w:t>
      </w:r>
      <w:r w:rsidRPr="7A591E96">
        <w:rPr>
          <w:i/>
          <w:iCs/>
        </w:rPr>
        <w:t>passim</w:t>
      </w:r>
      <w:r>
        <w:t>.</w:t>
      </w:r>
    </w:p>
  </w:footnote>
  <w:footnote w:id="87">
    <w:p w14:paraId="40F8C608" w14:textId="289305C2" w:rsidR="00A41C80" w:rsidRDefault="00A41C80" w:rsidP="7A591E96">
      <w:pPr>
        <w:pStyle w:val="FootnoteText"/>
      </w:pPr>
      <w:r w:rsidRPr="7A591E96">
        <w:rPr>
          <w:rStyle w:val="FootnoteReference"/>
        </w:rPr>
        <w:footnoteRef/>
      </w:r>
      <w:r>
        <w:t xml:space="preserve"> AT&amp;T reply comments at 2.</w:t>
      </w:r>
    </w:p>
  </w:footnote>
  <w:footnote w:id="88">
    <w:p w14:paraId="35073419" w14:textId="0843602C" w:rsidR="00A41C80" w:rsidRDefault="00A41C80" w:rsidP="7A591E96">
      <w:pPr>
        <w:pStyle w:val="FootnoteText"/>
      </w:pPr>
      <w:r w:rsidRPr="7A591E96">
        <w:rPr>
          <w:rStyle w:val="FootnoteReference"/>
        </w:rPr>
        <w:footnoteRef/>
      </w:r>
      <w:r>
        <w:t xml:space="preserve"> UCAN reply comments at 1-2.</w:t>
      </w:r>
    </w:p>
  </w:footnote>
  <w:footnote w:id="89">
    <w:p w14:paraId="69C6265D" w14:textId="2F0B9573" w:rsidR="00A41C80" w:rsidRDefault="00A41C80" w:rsidP="7A591E96">
      <w:pPr>
        <w:pStyle w:val="FootnoteText"/>
      </w:pPr>
      <w:r w:rsidRPr="7A591E96">
        <w:rPr>
          <w:rStyle w:val="FootnoteReference"/>
        </w:rPr>
        <w:footnoteRef/>
      </w:r>
      <w:r>
        <w:t xml:space="preserve"> TURN reply comments at 9.</w:t>
      </w:r>
    </w:p>
  </w:footnote>
  <w:footnote w:id="90">
    <w:p w14:paraId="1E940C51" w14:textId="4631226C" w:rsidR="00A41C80" w:rsidRDefault="00A41C80">
      <w:pPr>
        <w:pStyle w:val="FootnoteText"/>
      </w:pPr>
      <w:r>
        <w:rPr>
          <w:rStyle w:val="FootnoteReference"/>
        </w:rPr>
        <w:footnoteRef/>
      </w:r>
      <w:r>
        <w:t xml:space="preserve"> </w:t>
      </w:r>
      <w:r w:rsidRPr="003F4907">
        <w:rPr>
          <w:i/>
          <w:iCs/>
        </w:rPr>
        <w:t>See</w:t>
      </w:r>
      <w:r>
        <w:t xml:space="preserve"> Governor’s January 10, 2020 Proposed 2020-2021 Budget Summary, section titled “Broadband for All”, at 195.  </w:t>
      </w:r>
    </w:p>
  </w:footnote>
  <w:footnote w:id="91">
    <w:p w14:paraId="6A51A0AA" w14:textId="2E5438BA" w:rsidR="00A41C80" w:rsidRDefault="00A41C80" w:rsidP="7A591E96">
      <w:pPr>
        <w:pStyle w:val="FootnoteText"/>
      </w:pPr>
      <w:r w:rsidRPr="7A591E96">
        <w:rPr>
          <w:rStyle w:val="FootnoteReference"/>
        </w:rPr>
        <w:footnoteRef/>
      </w:r>
      <w:r>
        <w:t xml:space="preserve"> TURN reply comments at 9-10 (“[t]he Commission’s ability to achieve [its] statutory objectives hinges on information regarding the status of broadband availability and adoption in the state, and this information is best obtained from data collection directly from broadband providers”).  S</w:t>
      </w:r>
      <w:r w:rsidRPr="7A591E96">
        <w:rPr>
          <w:i/>
          <w:iCs/>
        </w:rPr>
        <w:t xml:space="preserve">ee also </w:t>
      </w:r>
      <w:r>
        <w:t>Greenlining reply comments at 2-3 (“[m]</w:t>
      </w:r>
      <w:proofErr w:type="spellStart"/>
      <w:r>
        <w:t>easuring</w:t>
      </w:r>
      <w:proofErr w:type="spellEnd"/>
      <w:r>
        <w:t xml:space="preserve"> Californian’s ability to pay for services, and creating a minimum services levels is included in [the Commission’s] authority does not implicate common carrier regulation because it does not regulate broadband companies – the Commission is merely compiling data around broadband usage to better tailor its proceedings”).</w:t>
      </w:r>
    </w:p>
  </w:footnote>
  <w:footnote w:id="92">
    <w:p w14:paraId="706DBB56" w14:textId="41C88990" w:rsidR="00A41C80" w:rsidRDefault="00A41C80" w:rsidP="7A591E96">
      <w:pPr>
        <w:pStyle w:val="FootnoteText"/>
      </w:pPr>
      <w:r w:rsidRPr="7A591E96">
        <w:rPr>
          <w:rStyle w:val="FootnoteReference"/>
        </w:rPr>
        <w:footnoteRef/>
      </w:r>
      <w:r>
        <w:t xml:space="preserve"> TURN reply comments at 12 (“CCTA provides no citation to which federal laws are being violated [by the data collection requirements]”). </w:t>
      </w:r>
    </w:p>
  </w:footnote>
  <w:footnote w:id="93">
    <w:p w14:paraId="13685EDB" w14:textId="0A3A9CC2" w:rsidR="00A41C80" w:rsidRDefault="00A41C80" w:rsidP="000C11FE">
      <w:pPr>
        <w:pStyle w:val="FootnoteText"/>
      </w:pPr>
      <w:r>
        <w:rPr>
          <w:rStyle w:val="FootnoteReference"/>
        </w:rPr>
        <w:footnoteRef/>
      </w:r>
      <w:r>
        <w:t xml:space="preserve"> Revised staff proposal at 53-54.</w:t>
      </w:r>
    </w:p>
  </w:footnote>
  <w:footnote w:id="94">
    <w:p w14:paraId="624153F9" w14:textId="30654668" w:rsidR="00A41C80" w:rsidRDefault="00A41C80">
      <w:pPr>
        <w:pStyle w:val="FootnoteText"/>
      </w:pPr>
      <w:r>
        <w:rPr>
          <w:rStyle w:val="FootnoteReference"/>
        </w:rPr>
        <w:footnoteRef/>
      </w:r>
      <w:r>
        <w:t xml:space="preserve"> PUMAs are geographic areas defined by the U.S. Census Bureau for the collection of data.  More information on PUMAs is provided in Section 7.3 of this decision.</w:t>
      </w:r>
    </w:p>
  </w:footnote>
  <w:footnote w:id="95">
    <w:p w14:paraId="5925CD86" w14:textId="3EFF9388" w:rsidR="00A41C80" w:rsidRDefault="00A41C80">
      <w:pPr>
        <w:pStyle w:val="FootnoteText"/>
      </w:pPr>
      <w:r>
        <w:rPr>
          <w:rStyle w:val="FootnoteReference"/>
        </w:rPr>
        <w:footnoteRef/>
      </w:r>
      <w:r>
        <w:t xml:space="preserve"> TURN opening comments at 9.</w:t>
      </w:r>
    </w:p>
  </w:footnote>
  <w:footnote w:id="96">
    <w:p w14:paraId="1B616E6B" w14:textId="1044C70C" w:rsidR="00A41C80" w:rsidRDefault="00A41C80">
      <w:pPr>
        <w:pStyle w:val="FootnoteText"/>
      </w:pPr>
      <w:r>
        <w:rPr>
          <w:rStyle w:val="FootnoteReference"/>
        </w:rPr>
        <w:footnoteRef/>
      </w:r>
      <w:r>
        <w:t xml:space="preserve"> Cal Advocates opening comments at 16, 18.</w:t>
      </w:r>
    </w:p>
  </w:footnote>
  <w:footnote w:id="97">
    <w:p w14:paraId="59D96DAD" w14:textId="712A8766" w:rsidR="00A41C80" w:rsidRDefault="00A41C80">
      <w:pPr>
        <w:pStyle w:val="FootnoteText"/>
      </w:pPr>
      <w:r>
        <w:rPr>
          <w:rStyle w:val="FootnoteReference"/>
        </w:rPr>
        <w:footnoteRef/>
      </w:r>
      <w:r>
        <w:t xml:space="preserve"> UCAN opening comments at 10-11.</w:t>
      </w:r>
    </w:p>
  </w:footnote>
  <w:footnote w:id="98">
    <w:p w14:paraId="11E3106D" w14:textId="758EADCF" w:rsidR="00A41C80" w:rsidRDefault="00A41C80">
      <w:pPr>
        <w:pStyle w:val="FootnoteText"/>
      </w:pPr>
      <w:r>
        <w:rPr>
          <w:rStyle w:val="FootnoteReference"/>
        </w:rPr>
        <w:footnoteRef/>
      </w:r>
      <w:r>
        <w:t xml:space="preserve"> SCE opening comments at 5.</w:t>
      </w:r>
    </w:p>
  </w:footnote>
  <w:footnote w:id="99">
    <w:p w14:paraId="4AE5DA6F" w14:textId="09253C64" w:rsidR="00A41C80" w:rsidRDefault="00A41C80">
      <w:pPr>
        <w:pStyle w:val="FootnoteText"/>
      </w:pPr>
      <w:r>
        <w:rPr>
          <w:rStyle w:val="FootnoteReference"/>
        </w:rPr>
        <w:footnoteRef/>
      </w:r>
      <w:r>
        <w:t xml:space="preserve"> SCE opening comments at 6.</w:t>
      </w:r>
    </w:p>
  </w:footnote>
  <w:footnote w:id="100">
    <w:p w14:paraId="6CD14377" w14:textId="61769CCE" w:rsidR="00A41C80" w:rsidRDefault="00A41C80">
      <w:pPr>
        <w:pStyle w:val="FootnoteText"/>
      </w:pPr>
      <w:r>
        <w:rPr>
          <w:rStyle w:val="FootnoteReference"/>
        </w:rPr>
        <w:footnoteRef/>
      </w:r>
      <w:r>
        <w:t xml:space="preserve"> SoCalGas and SDG&amp;E reply comments at 3-4.</w:t>
      </w:r>
    </w:p>
  </w:footnote>
  <w:footnote w:id="101">
    <w:p w14:paraId="096EFFD7" w14:textId="4D13FF82" w:rsidR="00A41C80" w:rsidRDefault="00A41C80">
      <w:pPr>
        <w:pStyle w:val="FootnoteText"/>
      </w:pPr>
      <w:r>
        <w:rPr>
          <w:rStyle w:val="FootnoteReference"/>
        </w:rPr>
        <w:footnoteRef/>
      </w:r>
      <w:r>
        <w:t xml:space="preserve"> PG&amp;E opening comments at 7-8.</w:t>
      </w:r>
    </w:p>
  </w:footnote>
  <w:footnote w:id="102">
    <w:p w14:paraId="3E0B0E24" w14:textId="5BCB0844" w:rsidR="00A41C80" w:rsidRDefault="00A41C80">
      <w:pPr>
        <w:pStyle w:val="FootnoteText"/>
      </w:pPr>
      <w:r>
        <w:rPr>
          <w:rStyle w:val="FootnoteReference"/>
        </w:rPr>
        <w:footnoteRef/>
      </w:r>
      <w:r>
        <w:t xml:space="preserve"> PG&amp;E opening comments at 9.</w:t>
      </w:r>
    </w:p>
  </w:footnote>
  <w:footnote w:id="103">
    <w:p w14:paraId="5B6A875D" w14:textId="778AF008" w:rsidR="00A41C80" w:rsidRDefault="00A41C80">
      <w:pPr>
        <w:pStyle w:val="FootnoteText"/>
      </w:pPr>
      <w:r>
        <w:rPr>
          <w:rStyle w:val="FootnoteReference"/>
        </w:rPr>
        <w:footnoteRef/>
      </w:r>
      <w:r>
        <w:t xml:space="preserve"> </w:t>
      </w:r>
      <w:proofErr w:type="spellStart"/>
      <w:r>
        <w:t>CalCCA</w:t>
      </w:r>
      <w:proofErr w:type="spellEnd"/>
      <w:r>
        <w:t xml:space="preserve"> opening comments at 2.</w:t>
      </w:r>
    </w:p>
  </w:footnote>
  <w:footnote w:id="104">
    <w:p w14:paraId="20C602A5" w14:textId="178C4A5A" w:rsidR="00A41C80" w:rsidRDefault="00A41C80">
      <w:pPr>
        <w:pStyle w:val="FootnoteText"/>
      </w:pPr>
      <w:r>
        <w:rPr>
          <w:rStyle w:val="FootnoteReference"/>
        </w:rPr>
        <w:footnoteRef/>
      </w:r>
      <w:r>
        <w:t xml:space="preserve"> </w:t>
      </w:r>
      <w:proofErr w:type="spellStart"/>
      <w:r>
        <w:t>CalCCA</w:t>
      </w:r>
      <w:proofErr w:type="spellEnd"/>
      <w:r>
        <w:t xml:space="preserve"> opening comments at 9.</w:t>
      </w:r>
    </w:p>
  </w:footnote>
  <w:footnote w:id="105">
    <w:p w14:paraId="2B3E4599" w14:textId="06C22F85" w:rsidR="00A41C80" w:rsidRDefault="00A41C80">
      <w:pPr>
        <w:pStyle w:val="FootnoteText"/>
      </w:pPr>
      <w:r>
        <w:rPr>
          <w:rStyle w:val="FootnoteReference"/>
        </w:rPr>
        <w:footnoteRef/>
      </w:r>
      <w:r>
        <w:t xml:space="preserve"> </w:t>
      </w:r>
      <w:proofErr w:type="spellStart"/>
      <w:r>
        <w:t>CalCCA</w:t>
      </w:r>
      <w:proofErr w:type="spellEnd"/>
      <w:r>
        <w:t xml:space="preserve"> opening comments at 10.</w:t>
      </w:r>
    </w:p>
  </w:footnote>
  <w:footnote w:id="106">
    <w:p w14:paraId="172E5220" w14:textId="5D147E02" w:rsidR="00A41C80" w:rsidRDefault="00A41C80">
      <w:pPr>
        <w:pStyle w:val="FootnoteText"/>
      </w:pPr>
      <w:r>
        <w:rPr>
          <w:rStyle w:val="FootnoteReference"/>
        </w:rPr>
        <w:footnoteRef/>
      </w:r>
      <w:r>
        <w:t xml:space="preserve"> UCAN opening comments at 2-3.</w:t>
      </w:r>
    </w:p>
  </w:footnote>
  <w:footnote w:id="107">
    <w:p w14:paraId="0B4AD697" w14:textId="30771010" w:rsidR="00A41C80" w:rsidRDefault="00A41C80">
      <w:pPr>
        <w:pStyle w:val="FootnoteText"/>
      </w:pPr>
      <w:r>
        <w:rPr>
          <w:rStyle w:val="FootnoteReference"/>
        </w:rPr>
        <w:footnoteRef/>
      </w:r>
      <w:r>
        <w:t xml:space="preserve"> UCAN opening comments at 7-8.</w:t>
      </w:r>
    </w:p>
  </w:footnote>
  <w:footnote w:id="108">
    <w:p w14:paraId="3F50C8A0" w14:textId="28B7C78D" w:rsidR="00A41C80" w:rsidRDefault="00A41C80">
      <w:pPr>
        <w:pStyle w:val="FootnoteText"/>
      </w:pPr>
      <w:r>
        <w:rPr>
          <w:rStyle w:val="FootnoteReference"/>
        </w:rPr>
        <w:footnoteRef/>
      </w:r>
      <w:r>
        <w:t xml:space="preserve"> Cal Advocates opening comments at 15.</w:t>
      </w:r>
    </w:p>
  </w:footnote>
  <w:footnote w:id="109">
    <w:p w14:paraId="5B0B9954" w14:textId="2F94F7B5" w:rsidR="00A41C80" w:rsidRDefault="00A41C80">
      <w:pPr>
        <w:pStyle w:val="FootnoteText"/>
      </w:pPr>
      <w:r>
        <w:rPr>
          <w:rStyle w:val="FootnoteReference"/>
        </w:rPr>
        <w:footnoteRef/>
      </w:r>
      <w:r>
        <w:t xml:space="preserve"> Cal Advocates opening comments at 16.</w:t>
      </w:r>
    </w:p>
  </w:footnote>
  <w:footnote w:id="110">
    <w:p w14:paraId="55C6EE6C" w14:textId="739EE92E" w:rsidR="00A41C80" w:rsidRDefault="00A41C80">
      <w:pPr>
        <w:pStyle w:val="FootnoteText"/>
      </w:pPr>
      <w:r>
        <w:rPr>
          <w:rStyle w:val="FootnoteReference"/>
        </w:rPr>
        <w:footnoteRef/>
      </w:r>
      <w:r>
        <w:t xml:space="preserve"> SoCalGas and SDG&amp;E opening comments at 7-8.</w:t>
      </w:r>
    </w:p>
  </w:footnote>
  <w:footnote w:id="111">
    <w:p w14:paraId="0789C15F" w14:textId="77777777" w:rsidR="00A41C80" w:rsidRDefault="00A41C80" w:rsidP="008577B8">
      <w:pPr>
        <w:pStyle w:val="FootnoteText"/>
      </w:pPr>
      <w:r>
        <w:rPr>
          <w:rStyle w:val="FootnoteReference"/>
        </w:rPr>
        <w:footnoteRef/>
      </w:r>
      <w:r>
        <w:t xml:space="preserve"> SoCalGas and SDG&amp;E opening comments at 8.</w:t>
      </w:r>
    </w:p>
  </w:footnote>
  <w:footnote w:id="112">
    <w:p w14:paraId="5EE80ED4" w14:textId="582554DD" w:rsidR="00A41C80" w:rsidRDefault="00A41C80">
      <w:pPr>
        <w:pStyle w:val="FootnoteText"/>
      </w:pPr>
      <w:r>
        <w:rPr>
          <w:rStyle w:val="FootnoteReference"/>
        </w:rPr>
        <w:footnoteRef/>
      </w:r>
      <w:r>
        <w:t xml:space="preserve"> SoCalGas and SDG&amp;E opening comments at 14.</w:t>
      </w:r>
    </w:p>
  </w:footnote>
  <w:footnote w:id="113">
    <w:p w14:paraId="21FF3A66" w14:textId="77777777" w:rsidR="00A41C80" w:rsidRDefault="00A41C80" w:rsidP="00D118E2">
      <w:pPr>
        <w:pStyle w:val="FootnoteText"/>
      </w:pPr>
      <w:r>
        <w:rPr>
          <w:rStyle w:val="FootnoteReference"/>
        </w:rPr>
        <w:footnoteRef/>
      </w:r>
      <w:r>
        <w:t xml:space="preserve"> PG&amp;E opening comments at 8-9.</w:t>
      </w:r>
    </w:p>
  </w:footnote>
  <w:footnote w:id="114">
    <w:p w14:paraId="01E76B3E" w14:textId="2D18CD6D" w:rsidR="00A41C80" w:rsidRDefault="00A41C80">
      <w:pPr>
        <w:pStyle w:val="FootnoteText"/>
      </w:pPr>
      <w:r>
        <w:rPr>
          <w:rStyle w:val="FootnoteReference"/>
        </w:rPr>
        <w:footnoteRef/>
      </w:r>
      <w:r>
        <w:t xml:space="preserve"> </w:t>
      </w:r>
      <w:proofErr w:type="spellStart"/>
      <w:r>
        <w:t>CalCCA</w:t>
      </w:r>
      <w:proofErr w:type="spellEnd"/>
      <w:r>
        <w:t xml:space="preserve"> opening comments at 8-9</w:t>
      </w:r>
    </w:p>
  </w:footnote>
  <w:footnote w:id="115">
    <w:p w14:paraId="285945F5" w14:textId="1AD40E5C" w:rsidR="00A41C80" w:rsidRDefault="00A41C80" w:rsidP="00896C9C">
      <w:pPr>
        <w:pStyle w:val="FootnoteText"/>
        <w:rPr>
          <w:rFonts w:ascii="Garamond" w:hAnsi="Garamond"/>
          <w:color w:val="000000"/>
          <w:shd w:val="clear" w:color="auto" w:fill="FFFFFF"/>
        </w:rPr>
      </w:pPr>
      <w:r>
        <w:rPr>
          <w:rStyle w:val="FootnoteReference"/>
        </w:rPr>
        <w:footnoteRef/>
      </w:r>
      <w:r>
        <w:t xml:space="preserve"> Cal Advocated opening comments at 17.</w:t>
      </w:r>
    </w:p>
  </w:footnote>
  <w:footnote w:id="116">
    <w:p w14:paraId="03DD8EAA" w14:textId="18CB3EB1" w:rsidR="00A41C80" w:rsidRDefault="00A41C80" w:rsidP="00896C9C">
      <w:pPr>
        <w:pStyle w:val="FootnoteText"/>
      </w:pPr>
      <w:r>
        <w:rPr>
          <w:rStyle w:val="FootnoteReference"/>
        </w:rPr>
        <w:footnoteRef/>
      </w:r>
      <w:r>
        <w:t xml:space="preserve"> Cal Advocates opening comments at 16.</w:t>
      </w:r>
    </w:p>
  </w:footnote>
  <w:footnote w:id="117">
    <w:p w14:paraId="65B6CE3F" w14:textId="2997C4F8" w:rsidR="00A41C80" w:rsidRDefault="00A41C80" w:rsidP="00896C9C">
      <w:pPr>
        <w:pStyle w:val="FootnoteText"/>
      </w:pPr>
      <w:r>
        <w:rPr>
          <w:rStyle w:val="FootnoteReference"/>
        </w:rPr>
        <w:footnoteRef/>
      </w:r>
      <w:r>
        <w:t xml:space="preserve"> UCAN opening comments at 7-8.</w:t>
      </w:r>
    </w:p>
  </w:footnote>
  <w:footnote w:id="118">
    <w:p w14:paraId="31133376" w14:textId="2D44AC4F" w:rsidR="00A41C80" w:rsidRDefault="00A41C80" w:rsidP="00896C9C">
      <w:pPr>
        <w:pStyle w:val="FootnoteText"/>
      </w:pPr>
      <w:r>
        <w:rPr>
          <w:rStyle w:val="FootnoteReference"/>
        </w:rPr>
        <w:footnoteRef/>
      </w:r>
      <w:r>
        <w:t xml:space="preserve"> </w:t>
      </w:r>
      <w:proofErr w:type="spellStart"/>
      <w:r>
        <w:t>CalCCA</w:t>
      </w:r>
      <w:proofErr w:type="spellEnd"/>
      <w:r>
        <w:t xml:space="preserve"> opening comments at 8-9.</w:t>
      </w:r>
    </w:p>
  </w:footnote>
  <w:footnote w:id="119">
    <w:p w14:paraId="48A9F0E9" w14:textId="5C7CB7ED" w:rsidR="00A41C80" w:rsidRDefault="00A41C80" w:rsidP="00896C9C">
      <w:pPr>
        <w:pStyle w:val="FootnoteText"/>
      </w:pPr>
      <w:r>
        <w:rPr>
          <w:rStyle w:val="FootnoteReference"/>
        </w:rPr>
        <w:footnoteRef/>
      </w:r>
      <w:r>
        <w:t xml:space="preserve"> Cal Advocates opening comments at 15-16.</w:t>
      </w:r>
    </w:p>
  </w:footnote>
  <w:footnote w:id="120">
    <w:p w14:paraId="3A8BF994" w14:textId="317CBC3E" w:rsidR="00A41C80" w:rsidRDefault="00A41C80" w:rsidP="00896C9C">
      <w:pPr>
        <w:pStyle w:val="FootnoteText"/>
      </w:pPr>
      <w:r>
        <w:rPr>
          <w:rStyle w:val="FootnoteReference"/>
        </w:rPr>
        <w:footnoteRef/>
      </w:r>
      <w:r>
        <w:t xml:space="preserve"> </w:t>
      </w:r>
      <w:proofErr w:type="gramStart"/>
      <w:r>
        <w:t>2018 California Gas Report,</w:t>
      </w:r>
      <w:proofErr w:type="gramEnd"/>
      <w:r>
        <w:t xml:space="preserve"> prepared by the California Gas and Electric Utilities.</w:t>
      </w:r>
    </w:p>
  </w:footnote>
  <w:footnote w:id="121">
    <w:p w14:paraId="26F281ED" w14:textId="77777777" w:rsidR="00A41C80" w:rsidRDefault="00A41C80" w:rsidP="00896C9C">
      <w:pPr>
        <w:pStyle w:val="FootnoteText"/>
      </w:pPr>
      <w:r>
        <w:rPr>
          <w:rStyle w:val="FootnoteReference"/>
        </w:rPr>
        <w:footnoteRef/>
      </w:r>
      <w:r>
        <w:t xml:space="preserve"> </w:t>
      </w:r>
      <w:r>
        <w:rPr>
          <w:rFonts w:ascii="TimesNewRomanPSMT" w:hAnsi="TimesNewRomanPSMT" w:cs="TimesNewRomanPSMT"/>
          <w:color w:val="1E37FF"/>
        </w:rPr>
        <w:t>https://www.amerigas.com/amerigas-blog/2012/march/geeking-out-over-propane</w:t>
      </w:r>
    </w:p>
  </w:footnote>
  <w:footnote w:id="122">
    <w:p w14:paraId="406F2ECC" w14:textId="77777777" w:rsidR="00A41C80" w:rsidRDefault="00A41C80" w:rsidP="00896C9C">
      <w:pPr>
        <w:pStyle w:val="FootnoteText"/>
      </w:pPr>
      <w:r>
        <w:rPr>
          <w:rStyle w:val="FootnoteReference"/>
        </w:rPr>
        <w:footnoteRef/>
      </w:r>
      <w:r>
        <w:t xml:space="preserve"> Energy Information Administration, Rocky Mountain (PADD 4) Propane Residential Price, </w:t>
      </w:r>
      <w:hyperlink r:id="rId1" w:history="1">
        <w:r>
          <w:rPr>
            <w:rStyle w:val="Hyperlink"/>
          </w:rPr>
          <w:t>https://www.eia.gov/dnav/pet/hist/LeafHandler.ashx?n=PET&amp;s=M_EPLLPA_PRS_R40_DPG&amp;f=M</w:t>
        </w:r>
      </w:hyperlink>
    </w:p>
  </w:footnote>
  <w:footnote w:id="123">
    <w:p w14:paraId="607EB659" w14:textId="7284D32A" w:rsidR="00A41C80" w:rsidRDefault="00A41C80">
      <w:pPr>
        <w:pStyle w:val="FootnoteText"/>
      </w:pPr>
      <w:r>
        <w:rPr>
          <w:rStyle w:val="FootnoteReference"/>
        </w:rPr>
        <w:footnoteRef/>
      </w:r>
      <w:r>
        <w:t xml:space="preserve"> UCAN opening comments at 9.</w:t>
      </w:r>
    </w:p>
  </w:footnote>
  <w:footnote w:id="124">
    <w:p w14:paraId="31BAE7F4" w14:textId="5E19D178" w:rsidR="00A41C80" w:rsidRDefault="00A41C80">
      <w:pPr>
        <w:pStyle w:val="FootnoteText"/>
      </w:pPr>
      <w:r>
        <w:rPr>
          <w:rStyle w:val="FootnoteReference"/>
        </w:rPr>
        <w:footnoteRef/>
      </w:r>
      <w:r>
        <w:t xml:space="preserve"> Cal Advocates opening comments at 18-19.</w:t>
      </w:r>
    </w:p>
  </w:footnote>
  <w:footnote w:id="125">
    <w:p w14:paraId="14DD471F" w14:textId="77777777" w:rsidR="00A41C80" w:rsidRDefault="00A41C80" w:rsidP="00D858DD">
      <w:pPr>
        <w:pStyle w:val="FootnoteText"/>
      </w:pPr>
      <w:r>
        <w:rPr>
          <w:rStyle w:val="FootnoteReference"/>
        </w:rPr>
        <w:footnoteRef/>
      </w:r>
      <w:hyperlink r:id="rId2" w:history="1">
        <w:r>
          <w:rPr>
            <w:rStyle w:val="Hyperlink"/>
          </w:rPr>
          <w:t>https://www.watersystemscouncil.org/download/wellcare_information_sheets/basic_well_information_sheets/WELL%20PUMP_FINAL.pdf</w:t>
        </w:r>
      </w:hyperlink>
      <w:r>
        <w:t xml:space="preserve"> </w:t>
      </w:r>
    </w:p>
  </w:footnote>
  <w:footnote w:id="126">
    <w:p w14:paraId="07FE3F04" w14:textId="77777777" w:rsidR="00A41C80" w:rsidRDefault="00A41C80" w:rsidP="00D858DD">
      <w:pPr>
        <w:pStyle w:val="FootnoteText"/>
      </w:pPr>
      <w:r>
        <w:rPr>
          <w:rStyle w:val="FootnoteReference"/>
        </w:rPr>
        <w:footnoteRef/>
      </w:r>
      <w:r>
        <w:t xml:space="preserve"> </w:t>
      </w:r>
      <w:hyperlink r:id="rId3" w:history="1">
        <w:r>
          <w:rPr>
            <w:rStyle w:val="Hyperlink"/>
          </w:rPr>
          <w:t>https://www.waterpumpsdirect.com/manuals/LG_SubDW_12Gpm_Spec.pdf</w:t>
        </w:r>
      </w:hyperlink>
      <w:r>
        <w:t xml:space="preserve">; </w:t>
      </w:r>
      <w:hyperlink r:id="rId4" w:history="1">
        <w:r>
          <w:rPr>
            <w:rStyle w:val="Hyperlink"/>
          </w:rPr>
          <w:t>http://documentlibrary.xylemappliedwater.com/wp-content/blogs.dir/22/files/2017/04/HSSPEC-R4.pdf</w:t>
        </w:r>
      </w:hyperlink>
      <w:r>
        <w:t xml:space="preserve">; </w:t>
      </w:r>
      <w:hyperlink r:id="rId5" w:history="1">
        <w:r>
          <w:rPr>
            <w:rStyle w:val="Hyperlink"/>
          </w:rPr>
          <w:t>https://www.aquascience.net/goulds-13gs10422c-13gpm-1hp-230v-2-wire-4-stainless-steel-submersible-well-pump</w:t>
        </w:r>
      </w:hyperlink>
      <w:r>
        <w:t xml:space="preserve">  </w:t>
      </w:r>
    </w:p>
  </w:footnote>
  <w:footnote w:id="127">
    <w:p w14:paraId="3B761860" w14:textId="0689F4A2" w:rsidR="00A41C80" w:rsidRDefault="00A41C80">
      <w:pPr>
        <w:pStyle w:val="FootnoteText"/>
      </w:pPr>
      <w:r>
        <w:rPr>
          <w:rStyle w:val="FootnoteReference"/>
        </w:rPr>
        <w:footnoteRef/>
      </w:r>
      <w:r>
        <w:t xml:space="preserve"> UCAN opening comments at 9-10.</w:t>
      </w:r>
    </w:p>
  </w:footnote>
  <w:footnote w:id="128">
    <w:p w14:paraId="5A137A01" w14:textId="46CF7CB6" w:rsidR="00A41C80" w:rsidRDefault="00A41C80">
      <w:pPr>
        <w:pStyle w:val="FootnoteText"/>
      </w:pPr>
      <w:r>
        <w:rPr>
          <w:rStyle w:val="FootnoteReference"/>
        </w:rPr>
        <w:footnoteRef/>
      </w:r>
      <w:r>
        <w:t xml:space="preserve"> Cal Advocates opening comments at 19-20.</w:t>
      </w:r>
    </w:p>
  </w:footnote>
  <w:footnote w:id="129">
    <w:p w14:paraId="349F6B50" w14:textId="77777777" w:rsidR="00A41C80" w:rsidRDefault="00A41C80" w:rsidP="00821122">
      <w:pPr>
        <w:pStyle w:val="FootnoteText"/>
      </w:pPr>
      <w:r>
        <w:rPr>
          <w:rStyle w:val="FootnoteReference"/>
        </w:rPr>
        <w:footnoteRef/>
      </w:r>
      <w:r>
        <w:t xml:space="preserve"> SoCalGas and SDG&amp;E opening comments at 7-8.</w:t>
      </w:r>
    </w:p>
  </w:footnote>
  <w:footnote w:id="130">
    <w:p w14:paraId="4A3E135B" w14:textId="49999985" w:rsidR="00A41C80" w:rsidRDefault="00A41C80">
      <w:pPr>
        <w:pStyle w:val="FootnoteText"/>
      </w:pPr>
      <w:r>
        <w:rPr>
          <w:rStyle w:val="FootnoteReference"/>
        </w:rPr>
        <w:footnoteRef/>
      </w:r>
      <w:r>
        <w:t xml:space="preserve"> SoCalGas and SDG&amp;E opening comments at 8.</w:t>
      </w:r>
    </w:p>
  </w:footnote>
  <w:footnote w:id="131">
    <w:p w14:paraId="3A0162F7" w14:textId="011334D2" w:rsidR="00A41C80" w:rsidRDefault="00A41C80">
      <w:pPr>
        <w:pStyle w:val="FootnoteText"/>
      </w:pPr>
      <w:r>
        <w:rPr>
          <w:rStyle w:val="FootnoteReference"/>
        </w:rPr>
        <w:footnoteRef/>
      </w:r>
      <w:r>
        <w:t xml:space="preserve"> Revised staff proposal at 29.</w:t>
      </w:r>
    </w:p>
  </w:footnote>
  <w:footnote w:id="132">
    <w:p w14:paraId="74C0C048" w14:textId="6E0A3821" w:rsidR="00A41C80" w:rsidRDefault="00A41C80">
      <w:pPr>
        <w:pStyle w:val="FootnoteText"/>
      </w:pPr>
      <w:r>
        <w:rPr>
          <w:rStyle w:val="FootnoteReference"/>
        </w:rPr>
        <w:footnoteRef/>
      </w:r>
      <w:r>
        <w:t xml:space="preserve"> Revised staff proposal at 29-30.</w:t>
      </w:r>
    </w:p>
  </w:footnote>
  <w:footnote w:id="133">
    <w:p w14:paraId="1E6A8101" w14:textId="47FA5CB9" w:rsidR="00A41C80" w:rsidRDefault="00A41C80">
      <w:pPr>
        <w:pStyle w:val="FootnoteText"/>
      </w:pPr>
      <w:r>
        <w:rPr>
          <w:rStyle w:val="FootnoteReference"/>
        </w:rPr>
        <w:footnoteRef/>
      </w:r>
      <w:r>
        <w:t xml:space="preserve"> Cal Advocates reply comments at 5.</w:t>
      </w:r>
    </w:p>
  </w:footnote>
  <w:footnote w:id="134">
    <w:p w14:paraId="03CEF1B8" w14:textId="756B997E" w:rsidR="00A41C80" w:rsidRDefault="00A41C80">
      <w:pPr>
        <w:pStyle w:val="FootnoteText"/>
      </w:pPr>
      <w:r>
        <w:rPr>
          <w:rStyle w:val="FootnoteReference"/>
        </w:rPr>
        <w:footnoteRef/>
      </w:r>
      <w:r>
        <w:t xml:space="preserve"> Revised staff proposal at 32.</w:t>
      </w:r>
    </w:p>
  </w:footnote>
  <w:footnote w:id="135">
    <w:p w14:paraId="0A8D2060" w14:textId="6D3B7B5E" w:rsidR="00A41C80" w:rsidRDefault="00A41C80">
      <w:pPr>
        <w:pStyle w:val="FootnoteText"/>
      </w:pPr>
      <w:r>
        <w:rPr>
          <w:rStyle w:val="FootnoteReference"/>
        </w:rPr>
        <w:footnoteRef/>
      </w:r>
      <w:r>
        <w:t xml:space="preserve"> TURN opening comments at 2.</w:t>
      </w:r>
    </w:p>
  </w:footnote>
  <w:footnote w:id="136">
    <w:p w14:paraId="7F4AF60A" w14:textId="1B602F14" w:rsidR="00A41C80" w:rsidRDefault="00A41C80" w:rsidP="7D21E9D8">
      <w:pPr>
        <w:pStyle w:val="FootnoteText"/>
      </w:pPr>
      <w:r w:rsidRPr="7D21E9D8">
        <w:rPr>
          <w:rStyle w:val="FootnoteReference"/>
        </w:rPr>
        <w:footnoteRef/>
      </w:r>
      <w:r>
        <w:t xml:space="preserve"> Available at: &lt;</w:t>
      </w:r>
      <w:hyperlink r:id="rId6">
        <w:r w:rsidRPr="7D21E9D8">
          <w:rPr>
            <w:rStyle w:val="Hyperlink"/>
          </w:rPr>
          <w:t>https://www.census.gov/programs-surveys/geography/guidance/geo-areas/pumas.html</w:t>
        </w:r>
      </w:hyperlink>
      <w:r>
        <w:t>&gt;. Last accessed March 12, 2020.</w:t>
      </w:r>
    </w:p>
  </w:footnote>
  <w:footnote w:id="137">
    <w:p w14:paraId="345C9930" w14:textId="17147999" w:rsidR="00A41C80" w:rsidRDefault="00A41C80" w:rsidP="7D21E9D8">
      <w:pPr>
        <w:pStyle w:val="FootnoteText"/>
      </w:pPr>
      <w:r w:rsidRPr="7D21E9D8">
        <w:rPr>
          <w:rStyle w:val="FootnoteReference"/>
        </w:rPr>
        <w:footnoteRef/>
      </w:r>
      <w:r>
        <w:t xml:space="preserve"> UCAN opening comments at 15.</w:t>
      </w:r>
    </w:p>
  </w:footnote>
  <w:footnote w:id="138">
    <w:p w14:paraId="00EC331D" w14:textId="4D5CEE9C" w:rsidR="00A41C80" w:rsidRDefault="00A41C80">
      <w:pPr>
        <w:pStyle w:val="FootnoteText"/>
      </w:pPr>
      <w:r>
        <w:rPr>
          <w:rStyle w:val="FootnoteReference"/>
        </w:rPr>
        <w:footnoteRef/>
      </w:r>
      <w:r>
        <w:t xml:space="preserve"> TURN opening comments at 6-7.</w:t>
      </w:r>
    </w:p>
  </w:footnote>
  <w:footnote w:id="139">
    <w:p w14:paraId="67314AB7" w14:textId="3E1F8ECD" w:rsidR="00A41C80" w:rsidRDefault="00A41C80">
      <w:pPr>
        <w:pStyle w:val="FootnoteText"/>
      </w:pPr>
      <w:r>
        <w:rPr>
          <w:rStyle w:val="FootnoteReference"/>
        </w:rPr>
        <w:footnoteRef/>
      </w:r>
      <w:r>
        <w:t xml:space="preserve"> SoCalGas and SDG&amp;E opening comments at 4-5.</w:t>
      </w:r>
    </w:p>
  </w:footnote>
  <w:footnote w:id="140">
    <w:p w14:paraId="0875BEE8" w14:textId="254744F5" w:rsidR="00A41C80" w:rsidRDefault="00A41C80">
      <w:pPr>
        <w:pStyle w:val="FootnoteText"/>
      </w:pPr>
      <w:r>
        <w:rPr>
          <w:rStyle w:val="FootnoteReference"/>
        </w:rPr>
        <w:footnoteRef/>
      </w:r>
      <w:r>
        <w:t xml:space="preserve"> SCE opening comments at 3-4.</w:t>
      </w:r>
    </w:p>
  </w:footnote>
  <w:footnote w:id="141">
    <w:p w14:paraId="351A5D1B" w14:textId="537E733B" w:rsidR="00A41C80" w:rsidRDefault="00A41C80">
      <w:pPr>
        <w:pStyle w:val="FootnoteText"/>
      </w:pPr>
      <w:r>
        <w:rPr>
          <w:rStyle w:val="FootnoteReference"/>
        </w:rPr>
        <w:footnoteRef/>
      </w:r>
      <w:r>
        <w:t xml:space="preserve"> TURN reply comments at 1-2.</w:t>
      </w:r>
    </w:p>
  </w:footnote>
  <w:footnote w:id="142">
    <w:p w14:paraId="25369215" w14:textId="161FF4ED" w:rsidR="00A41C80" w:rsidRDefault="00A41C80">
      <w:pPr>
        <w:pStyle w:val="FootnoteText"/>
      </w:pPr>
      <w:r>
        <w:rPr>
          <w:rStyle w:val="FootnoteReference"/>
        </w:rPr>
        <w:footnoteRef/>
      </w:r>
      <w:r>
        <w:t xml:space="preserve"> Cal Advocates opening comments at 11-13.</w:t>
      </w:r>
    </w:p>
  </w:footnote>
  <w:footnote w:id="143">
    <w:p w14:paraId="220A72AC" w14:textId="658A69A8" w:rsidR="00A41C80" w:rsidRDefault="00A41C80">
      <w:pPr>
        <w:pStyle w:val="FootnoteText"/>
      </w:pPr>
      <w:r>
        <w:rPr>
          <w:rStyle w:val="FootnoteReference"/>
        </w:rPr>
        <w:footnoteRef/>
      </w:r>
      <w:r>
        <w:t xml:space="preserve"> NDC reply comments at 6.</w:t>
      </w:r>
    </w:p>
  </w:footnote>
  <w:footnote w:id="144">
    <w:p w14:paraId="026E30A2" w14:textId="43E47B22" w:rsidR="00A41C80" w:rsidRDefault="00A41C80">
      <w:pPr>
        <w:pStyle w:val="FootnoteText"/>
      </w:pPr>
      <w:r>
        <w:rPr>
          <w:rStyle w:val="FootnoteReference"/>
        </w:rPr>
        <w:footnoteRef/>
      </w:r>
      <w:r>
        <w:t xml:space="preserve"> PG&amp;E opening comments at 6-7.</w:t>
      </w:r>
    </w:p>
  </w:footnote>
  <w:footnote w:id="145">
    <w:p w14:paraId="11BC68CE" w14:textId="38E632A4" w:rsidR="00A41C80" w:rsidRDefault="00A41C80">
      <w:pPr>
        <w:pStyle w:val="FootnoteText"/>
      </w:pPr>
      <w:r>
        <w:rPr>
          <w:rStyle w:val="FootnoteReference"/>
        </w:rPr>
        <w:footnoteRef/>
      </w:r>
      <w:r>
        <w:t xml:space="preserve"> NDC opening comments at 10-11.</w:t>
      </w:r>
    </w:p>
  </w:footnote>
  <w:footnote w:id="146">
    <w:p w14:paraId="6C1CFF66" w14:textId="3E1629AF" w:rsidR="00A41C80" w:rsidRDefault="00A41C80">
      <w:pPr>
        <w:pStyle w:val="FootnoteText"/>
      </w:pPr>
      <w:r>
        <w:rPr>
          <w:rStyle w:val="FootnoteReference"/>
        </w:rPr>
        <w:footnoteRef/>
      </w:r>
      <w:r>
        <w:t xml:space="preserve"> UCAN opening comments at 5.</w:t>
      </w:r>
    </w:p>
  </w:footnote>
  <w:footnote w:id="147">
    <w:p w14:paraId="72BFAB88" w14:textId="0E7A5401" w:rsidR="00A41C80" w:rsidRDefault="00A41C80">
      <w:pPr>
        <w:pStyle w:val="FootnoteText"/>
      </w:pPr>
      <w:r>
        <w:rPr>
          <w:rStyle w:val="FootnoteReference"/>
        </w:rPr>
        <w:footnoteRef/>
      </w:r>
      <w:r>
        <w:t xml:space="preserve"> UCAN reply comments at 7.</w:t>
      </w:r>
    </w:p>
  </w:footnote>
  <w:footnote w:id="148">
    <w:p w14:paraId="6643E228" w14:textId="6470F034" w:rsidR="00A41C80" w:rsidRDefault="00A41C80">
      <w:pPr>
        <w:pStyle w:val="FootnoteText"/>
      </w:pPr>
      <w:r>
        <w:rPr>
          <w:rStyle w:val="FootnoteReference"/>
        </w:rPr>
        <w:footnoteRef/>
      </w:r>
      <w:r>
        <w:t xml:space="preserve"> </w:t>
      </w:r>
      <w:proofErr w:type="spellStart"/>
      <w:r>
        <w:t>CforAT</w:t>
      </w:r>
      <w:proofErr w:type="spellEnd"/>
      <w:r>
        <w:t xml:space="preserve"> opening comments at 5-6.</w:t>
      </w:r>
    </w:p>
  </w:footnote>
  <w:footnote w:id="149">
    <w:p w14:paraId="3CA82E9F" w14:textId="1D2290DC" w:rsidR="00A41C80" w:rsidRDefault="00A41C80">
      <w:pPr>
        <w:pStyle w:val="FootnoteText"/>
      </w:pPr>
      <w:r>
        <w:rPr>
          <w:rStyle w:val="FootnoteReference"/>
        </w:rPr>
        <w:footnoteRef/>
      </w:r>
      <w:r>
        <w:t xml:space="preserve"> Small LECs opening comments at 4.</w:t>
      </w:r>
    </w:p>
  </w:footnote>
  <w:footnote w:id="150">
    <w:p w14:paraId="16FB5B33" w14:textId="029EFA03" w:rsidR="00A41C80" w:rsidRDefault="00A41C80">
      <w:pPr>
        <w:pStyle w:val="FootnoteText"/>
      </w:pPr>
      <w:r>
        <w:rPr>
          <w:rStyle w:val="FootnoteReference"/>
        </w:rPr>
        <w:footnoteRef/>
      </w:r>
      <w:r>
        <w:t xml:space="preserve"> Small LECs opening comments at 5.</w:t>
      </w:r>
    </w:p>
  </w:footnote>
  <w:footnote w:id="151">
    <w:p w14:paraId="7FED88D4" w14:textId="06D2E192" w:rsidR="00A41C80" w:rsidRDefault="00A41C80">
      <w:pPr>
        <w:pStyle w:val="FootnoteText"/>
      </w:pPr>
      <w:r>
        <w:rPr>
          <w:rStyle w:val="FootnoteReference"/>
        </w:rPr>
        <w:footnoteRef/>
      </w:r>
      <w:r>
        <w:t xml:space="preserve"> </w:t>
      </w:r>
      <w:proofErr w:type="spellStart"/>
      <w:r>
        <w:t>CalCCA</w:t>
      </w:r>
      <w:proofErr w:type="spellEnd"/>
      <w:r>
        <w:t xml:space="preserve"> opening comments at 6.</w:t>
      </w:r>
    </w:p>
  </w:footnote>
  <w:footnote w:id="152">
    <w:p w14:paraId="4147DBB5" w14:textId="428E7B85" w:rsidR="00A41C80" w:rsidRDefault="00A41C80">
      <w:pPr>
        <w:pStyle w:val="FootnoteText"/>
      </w:pPr>
      <w:r>
        <w:rPr>
          <w:rStyle w:val="FootnoteReference"/>
        </w:rPr>
        <w:footnoteRef/>
      </w:r>
      <w:r>
        <w:t xml:space="preserve"> Revised staff proposal at 40-41.</w:t>
      </w:r>
    </w:p>
  </w:footnote>
  <w:footnote w:id="153">
    <w:p w14:paraId="1862DA80" w14:textId="77777777" w:rsidR="00A41C80" w:rsidRDefault="00A41C80" w:rsidP="00AB35A7">
      <w:pPr>
        <w:pStyle w:val="FootnoteText"/>
      </w:pPr>
      <w:r>
        <w:rPr>
          <w:rStyle w:val="FootnoteReference"/>
        </w:rPr>
        <w:footnoteRef/>
      </w:r>
      <w:r>
        <w:t xml:space="preserve"> Revised staff proposal at 36.</w:t>
      </w:r>
    </w:p>
  </w:footnote>
  <w:footnote w:id="154">
    <w:p w14:paraId="390C8CE0" w14:textId="3EA19853" w:rsidR="00A41C80" w:rsidRDefault="00A41C80">
      <w:pPr>
        <w:pStyle w:val="FootnoteText"/>
      </w:pPr>
      <w:r>
        <w:rPr>
          <w:rStyle w:val="FootnoteReference"/>
        </w:rPr>
        <w:footnoteRef/>
      </w:r>
      <w:r>
        <w:t xml:space="preserve"> Revised staff proposal at 41.</w:t>
      </w:r>
    </w:p>
  </w:footnote>
  <w:footnote w:id="155">
    <w:p w14:paraId="606D2C0E" w14:textId="1744FADF" w:rsidR="00A41C80" w:rsidRDefault="00A41C80">
      <w:pPr>
        <w:pStyle w:val="FootnoteText"/>
      </w:pPr>
      <w:r>
        <w:rPr>
          <w:rStyle w:val="FootnoteReference"/>
        </w:rPr>
        <w:footnoteRef/>
      </w:r>
      <w:r>
        <w:t xml:space="preserve"> Revised staff proposal at 42-43.</w:t>
      </w:r>
    </w:p>
  </w:footnote>
  <w:footnote w:id="156">
    <w:p w14:paraId="294A1FE9" w14:textId="6F56CDE9" w:rsidR="00A41C80" w:rsidRDefault="00A41C80">
      <w:pPr>
        <w:pStyle w:val="FootnoteText"/>
      </w:pPr>
      <w:r>
        <w:rPr>
          <w:rStyle w:val="FootnoteReference"/>
        </w:rPr>
        <w:footnoteRef/>
      </w:r>
      <w:r>
        <w:t xml:space="preserve"> Revised staff proposal at 43.</w:t>
      </w:r>
    </w:p>
  </w:footnote>
  <w:footnote w:id="157">
    <w:p w14:paraId="7F02F4D7" w14:textId="045CB50C" w:rsidR="00A41C80" w:rsidRDefault="00A41C80">
      <w:pPr>
        <w:pStyle w:val="FootnoteText"/>
      </w:pPr>
      <w:r>
        <w:rPr>
          <w:rStyle w:val="FootnoteReference"/>
        </w:rPr>
        <w:footnoteRef/>
      </w:r>
      <w:r>
        <w:t xml:space="preserve"> TURN opening comments at 7-8.</w:t>
      </w:r>
    </w:p>
  </w:footnote>
  <w:footnote w:id="158">
    <w:p w14:paraId="148038A1" w14:textId="27293EDD" w:rsidR="00A41C80" w:rsidRDefault="00A41C80">
      <w:pPr>
        <w:pStyle w:val="FootnoteText"/>
      </w:pPr>
      <w:r>
        <w:rPr>
          <w:rStyle w:val="FootnoteReference"/>
        </w:rPr>
        <w:footnoteRef/>
      </w:r>
      <w:r>
        <w:t xml:space="preserve"> UCAN opening comments at 6.</w:t>
      </w:r>
    </w:p>
  </w:footnote>
  <w:footnote w:id="159">
    <w:p w14:paraId="221EDC7E" w14:textId="4D62BA13" w:rsidR="00A41C80" w:rsidRPr="009326AE" w:rsidRDefault="00A41C80">
      <w:pPr>
        <w:pStyle w:val="FootnoteText"/>
      </w:pPr>
      <w:r>
        <w:rPr>
          <w:rStyle w:val="FootnoteReference"/>
        </w:rPr>
        <w:footnoteRef/>
      </w:r>
      <w:r>
        <w:t xml:space="preserve"> </w:t>
      </w:r>
      <w:r>
        <w:rPr>
          <w:i/>
          <w:iCs/>
        </w:rPr>
        <w:t>See, e.g.</w:t>
      </w:r>
      <w:r>
        <w:t>, SoCalGas and SDG&amp;E opening comments at 5.</w:t>
      </w:r>
    </w:p>
  </w:footnote>
  <w:footnote w:id="160">
    <w:p w14:paraId="45CBAEBE" w14:textId="6B791189" w:rsidR="00A41C80" w:rsidRPr="004533FC" w:rsidRDefault="00A41C80">
      <w:pPr>
        <w:pStyle w:val="FootnoteText"/>
      </w:pPr>
      <w:r>
        <w:rPr>
          <w:rStyle w:val="FootnoteReference"/>
        </w:rPr>
        <w:footnoteRef/>
      </w:r>
      <w:r>
        <w:t xml:space="preserve"> </w:t>
      </w:r>
      <w:r>
        <w:rPr>
          <w:i/>
          <w:iCs/>
        </w:rPr>
        <w:t>See, e.g.</w:t>
      </w:r>
      <w:r>
        <w:t>, Small LECs opening comments at 5.</w:t>
      </w:r>
    </w:p>
  </w:footnote>
  <w:footnote w:id="161">
    <w:p w14:paraId="4B2CC427" w14:textId="2F78D456" w:rsidR="00A41C80" w:rsidRDefault="00A41C80">
      <w:pPr>
        <w:pStyle w:val="FootnoteText"/>
      </w:pPr>
      <w:r>
        <w:rPr>
          <w:rStyle w:val="FootnoteReference"/>
        </w:rPr>
        <w:footnoteRef/>
      </w:r>
      <w:r>
        <w:t xml:space="preserve"> Cal Advocates opening comments at 14.</w:t>
      </w:r>
    </w:p>
  </w:footnote>
  <w:footnote w:id="162">
    <w:p w14:paraId="48B58632" w14:textId="7C843962" w:rsidR="00A41C80" w:rsidRDefault="00A41C80">
      <w:pPr>
        <w:pStyle w:val="FootnoteText"/>
      </w:pPr>
      <w:r>
        <w:rPr>
          <w:rStyle w:val="FootnoteReference"/>
        </w:rPr>
        <w:footnoteRef/>
      </w:r>
      <w:r>
        <w:t xml:space="preserve"> PG&amp;E opening comments at 7.</w:t>
      </w:r>
    </w:p>
  </w:footnote>
  <w:footnote w:id="163">
    <w:p w14:paraId="087B6693" w14:textId="56A5AA2B" w:rsidR="00A41C80" w:rsidRDefault="00A41C80">
      <w:pPr>
        <w:pStyle w:val="FootnoteText"/>
      </w:pPr>
      <w:r>
        <w:rPr>
          <w:rStyle w:val="FootnoteReference"/>
        </w:rPr>
        <w:footnoteRef/>
      </w:r>
      <w:r>
        <w:t xml:space="preserve"> </w:t>
      </w:r>
      <w:proofErr w:type="spellStart"/>
      <w:r>
        <w:t>CalCCA</w:t>
      </w:r>
      <w:proofErr w:type="spellEnd"/>
      <w:r>
        <w:t xml:space="preserve"> opening comments at 6-7.</w:t>
      </w:r>
    </w:p>
  </w:footnote>
  <w:footnote w:id="164">
    <w:p w14:paraId="3D1ECD3D" w14:textId="73281F14" w:rsidR="00A41C80" w:rsidRDefault="00A41C80">
      <w:pPr>
        <w:pStyle w:val="FootnoteText"/>
      </w:pPr>
      <w:r>
        <w:rPr>
          <w:rStyle w:val="FootnoteReference"/>
        </w:rPr>
        <w:footnoteRef/>
      </w:r>
      <w:r>
        <w:t xml:space="preserve"> Revised staff proposal at 41.</w:t>
      </w:r>
    </w:p>
  </w:footnote>
  <w:footnote w:id="165">
    <w:p w14:paraId="28C765AF" w14:textId="722D463D" w:rsidR="00A41C80" w:rsidRDefault="00A41C80">
      <w:pPr>
        <w:pStyle w:val="FootnoteText"/>
      </w:pPr>
      <w:r>
        <w:rPr>
          <w:rStyle w:val="FootnoteReference"/>
        </w:rPr>
        <w:footnoteRef/>
      </w:r>
      <w:r>
        <w:t xml:space="preserve"> </w:t>
      </w:r>
      <w:proofErr w:type="spellStart"/>
      <w:r>
        <w:t>CalCCA</w:t>
      </w:r>
      <w:proofErr w:type="spellEnd"/>
      <w:r>
        <w:t xml:space="preserve"> opening comments at 7.</w:t>
      </w:r>
    </w:p>
  </w:footnote>
  <w:footnote w:id="166">
    <w:p w14:paraId="03070016" w14:textId="08937C0A" w:rsidR="00A41C80" w:rsidRDefault="00A41C80">
      <w:pPr>
        <w:pStyle w:val="FootnoteText"/>
      </w:pPr>
      <w:r>
        <w:rPr>
          <w:rStyle w:val="FootnoteReference"/>
        </w:rPr>
        <w:footnoteRef/>
      </w:r>
      <w:r>
        <w:t xml:space="preserve"> Revised staff proposal at 28.</w:t>
      </w:r>
    </w:p>
  </w:footnote>
  <w:footnote w:id="167">
    <w:p w14:paraId="4536E6FD" w14:textId="77777777" w:rsidR="00A41C80" w:rsidRDefault="00A41C80" w:rsidP="008A3E9A">
      <w:pPr>
        <w:pStyle w:val="FootnoteText"/>
      </w:pPr>
      <w:r>
        <w:rPr>
          <w:rStyle w:val="FootnoteReference"/>
        </w:rPr>
        <w:footnoteRef/>
      </w:r>
      <w:r>
        <w:t xml:space="preserve"> SCE opening comments at 12.</w:t>
      </w:r>
    </w:p>
  </w:footnote>
  <w:footnote w:id="168">
    <w:p w14:paraId="3B7FEDD1" w14:textId="666E702B" w:rsidR="00A41C80" w:rsidRDefault="00A41C80">
      <w:pPr>
        <w:pStyle w:val="FootnoteText"/>
      </w:pPr>
      <w:r>
        <w:rPr>
          <w:rStyle w:val="FootnoteReference"/>
        </w:rPr>
        <w:footnoteRef/>
      </w:r>
      <w:r>
        <w:t xml:space="preserve"> TURN opening comments at 4-5.</w:t>
      </w:r>
    </w:p>
  </w:footnote>
  <w:footnote w:id="169">
    <w:p w14:paraId="0B96E737" w14:textId="21879917" w:rsidR="00A41C80" w:rsidRDefault="00A41C80">
      <w:pPr>
        <w:pStyle w:val="FootnoteText"/>
      </w:pPr>
      <w:r>
        <w:rPr>
          <w:rStyle w:val="FootnoteReference"/>
        </w:rPr>
        <w:footnoteRef/>
      </w:r>
      <w:r>
        <w:t xml:space="preserve"> TURN opening comments at 5-6.</w:t>
      </w:r>
    </w:p>
  </w:footnote>
  <w:footnote w:id="170">
    <w:p w14:paraId="4700F31B" w14:textId="14451DFC" w:rsidR="00A41C80" w:rsidRDefault="00A41C80">
      <w:pPr>
        <w:pStyle w:val="FootnoteText"/>
      </w:pPr>
      <w:r>
        <w:rPr>
          <w:rStyle w:val="FootnoteReference"/>
        </w:rPr>
        <w:footnoteRef/>
      </w:r>
      <w:r>
        <w:t xml:space="preserve"> TURN opening comments at 6.</w:t>
      </w:r>
    </w:p>
  </w:footnote>
  <w:footnote w:id="171">
    <w:p w14:paraId="5AC9D538" w14:textId="44211AA3" w:rsidR="00A41C80" w:rsidRDefault="00A41C80">
      <w:pPr>
        <w:pStyle w:val="FootnoteText"/>
      </w:pPr>
      <w:r>
        <w:rPr>
          <w:rStyle w:val="FootnoteReference"/>
        </w:rPr>
        <w:footnoteRef/>
      </w:r>
      <w:r>
        <w:t xml:space="preserve"> Small LECs reply comments at 4.</w:t>
      </w:r>
    </w:p>
  </w:footnote>
  <w:footnote w:id="172">
    <w:p w14:paraId="5546C867" w14:textId="2A7D2191" w:rsidR="00A41C80" w:rsidRDefault="00A41C80">
      <w:pPr>
        <w:pStyle w:val="FootnoteText"/>
      </w:pPr>
      <w:r>
        <w:rPr>
          <w:rStyle w:val="FootnoteReference"/>
        </w:rPr>
        <w:footnoteRef/>
      </w:r>
      <w:r>
        <w:t xml:space="preserve"> UCAN opening comments at 2.</w:t>
      </w:r>
    </w:p>
  </w:footnote>
  <w:footnote w:id="173">
    <w:p w14:paraId="5DC4BE92" w14:textId="1F879A3F" w:rsidR="00A41C80" w:rsidRDefault="00A41C80">
      <w:pPr>
        <w:pStyle w:val="FootnoteText"/>
      </w:pPr>
      <w:r>
        <w:rPr>
          <w:rStyle w:val="FootnoteReference"/>
        </w:rPr>
        <w:footnoteRef/>
      </w:r>
      <w:r>
        <w:t xml:space="preserve"> CCTA opening comments at 18.</w:t>
      </w:r>
    </w:p>
  </w:footnote>
  <w:footnote w:id="174">
    <w:p w14:paraId="5CC95171" w14:textId="235B7D9B" w:rsidR="00A41C80" w:rsidRDefault="00A41C80">
      <w:pPr>
        <w:pStyle w:val="FootnoteText"/>
      </w:pPr>
      <w:r>
        <w:rPr>
          <w:rStyle w:val="FootnoteReference"/>
        </w:rPr>
        <w:footnoteRef/>
      </w:r>
      <w:r>
        <w:t xml:space="preserve"> </w:t>
      </w:r>
      <w:proofErr w:type="spellStart"/>
      <w:r>
        <w:t>CforAT</w:t>
      </w:r>
      <w:proofErr w:type="spellEnd"/>
      <w:r>
        <w:t xml:space="preserve"> opening comments at 9-12.</w:t>
      </w:r>
    </w:p>
  </w:footnote>
  <w:footnote w:id="175">
    <w:p w14:paraId="78C5A5D2" w14:textId="36E4B87E" w:rsidR="00A41C80" w:rsidRDefault="00A41C80">
      <w:pPr>
        <w:pStyle w:val="FootnoteText"/>
      </w:pPr>
      <w:r>
        <w:rPr>
          <w:rStyle w:val="FootnoteReference"/>
        </w:rPr>
        <w:footnoteRef/>
      </w:r>
      <w:r>
        <w:t xml:space="preserve"> NDC opening comments at 6.</w:t>
      </w:r>
    </w:p>
  </w:footnote>
  <w:footnote w:id="176">
    <w:p w14:paraId="0D42FFB1" w14:textId="61FD2AD5" w:rsidR="00A41C80" w:rsidRDefault="00A41C80">
      <w:pPr>
        <w:pStyle w:val="FootnoteText"/>
      </w:pPr>
      <w:r>
        <w:rPr>
          <w:rStyle w:val="FootnoteReference"/>
        </w:rPr>
        <w:footnoteRef/>
      </w:r>
      <w:r>
        <w:t xml:space="preserve"> NDC opening comments at 7-8.</w:t>
      </w:r>
    </w:p>
  </w:footnote>
  <w:footnote w:id="177">
    <w:p w14:paraId="25500702" w14:textId="52063279" w:rsidR="00A41C80" w:rsidRDefault="00A41C80">
      <w:pPr>
        <w:pStyle w:val="FootnoteText"/>
      </w:pPr>
      <w:r>
        <w:rPr>
          <w:rStyle w:val="FootnoteReference"/>
        </w:rPr>
        <w:footnoteRef/>
      </w:r>
      <w:r>
        <w:t xml:space="preserve"> NDC opening comments at 8.</w:t>
      </w:r>
    </w:p>
  </w:footnote>
  <w:footnote w:id="178">
    <w:p w14:paraId="21595276" w14:textId="726E5DFA" w:rsidR="00A41C80" w:rsidRDefault="00A41C80">
      <w:pPr>
        <w:pStyle w:val="FootnoteText"/>
      </w:pPr>
      <w:r>
        <w:rPr>
          <w:rStyle w:val="FootnoteReference"/>
        </w:rPr>
        <w:footnoteRef/>
      </w:r>
      <w:r>
        <w:t xml:space="preserve"> </w:t>
      </w:r>
      <w:proofErr w:type="spellStart"/>
      <w:r>
        <w:t>CalCCA</w:t>
      </w:r>
      <w:proofErr w:type="spellEnd"/>
      <w:r>
        <w:t xml:space="preserve"> opening comments at 3-4.</w:t>
      </w:r>
    </w:p>
  </w:footnote>
  <w:footnote w:id="179">
    <w:p w14:paraId="6E00EEE3" w14:textId="4752D620" w:rsidR="00A41C80" w:rsidRDefault="00A41C80">
      <w:pPr>
        <w:pStyle w:val="FootnoteText"/>
      </w:pPr>
      <w:r>
        <w:rPr>
          <w:rStyle w:val="FootnoteReference"/>
        </w:rPr>
        <w:footnoteRef/>
      </w:r>
      <w:r>
        <w:t xml:space="preserve"> Small LECs reply comments at 3.</w:t>
      </w:r>
    </w:p>
  </w:footnote>
  <w:footnote w:id="180">
    <w:p w14:paraId="195880E7" w14:textId="25097EFE" w:rsidR="00A41C80" w:rsidRDefault="00A41C80">
      <w:pPr>
        <w:pStyle w:val="FootnoteText"/>
      </w:pPr>
      <w:r>
        <w:rPr>
          <w:rStyle w:val="FootnoteReference"/>
        </w:rPr>
        <w:footnoteRef/>
      </w:r>
      <w:r>
        <w:t xml:space="preserve"> Revised staff proposal at 47.</w:t>
      </w:r>
    </w:p>
  </w:footnote>
  <w:footnote w:id="181">
    <w:p w14:paraId="3F515E20" w14:textId="4A98045F" w:rsidR="00A41C80" w:rsidRDefault="00A41C80">
      <w:pPr>
        <w:pStyle w:val="FootnoteText"/>
      </w:pPr>
      <w:r>
        <w:rPr>
          <w:rStyle w:val="FootnoteReference"/>
        </w:rPr>
        <w:footnoteRef/>
      </w:r>
      <w:r>
        <w:t xml:space="preserve"> Revised staff proposal at 48.</w:t>
      </w:r>
    </w:p>
  </w:footnote>
  <w:footnote w:id="182">
    <w:p w14:paraId="05B462DD" w14:textId="5D0A294F" w:rsidR="00A41C80" w:rsidRDefault="00A41C80">
      <w:pPr>
        <w:pStyle w:val="FootnoteText"/>
      </w:pPr>
      <w:r>
        <w:rPr>
          <w:rStyle w:val="FootnoteReference"/>
        </w:rPr>
        <w:footnoteRef/>
      </w:r>
      <w:r>
        <w:t xml:space="preserve"> Cal Advocates opening comments at 5</w:t>
      </w:r>
      <w:r w:rsidRPr="00A9410C">
        <w:t>.</w:t>
      </w:r>
    </w:p>
  </w:footnote>
  <w:footnote w:id="183">
    <w:p w14:paraId="39AB44FB" w14:textId="449A9A9F" w:rsidR="00A41C80" w:rsidRDefault="00A41C80">
      <w:pPr>
        <w:pStyle w:val="FootnoteText"/>
      </w:pPr>
      <w:r>
        <w:rPr>
          <w:rStyle w:val="FootnoteReference"/>
        </w:rPr>
        <w:footnoteRef/>
      </w:r>
      <w:r>
        <w:t xml:space="preserve"> Cal Advocates opening comments at 6.</w:t>
      </w:r>
    </w:p>
  </w:footnote>
  <w:footnote w:id="184">
    <w:p w14:paraId="6739BDE2" w14:textId="71C54B39" w:rsidR="00A41C80" w:rsidRDefault="00A41C80">
      <w:pPr>
        <w:pStyle w:val="FootnoteText"/>
      </w:pPr>
      <w:r>
        <w:rPr>
          <w:rStyle w:val="FootnoteReference"/>
        </w:rPr>
        <w:footnoteRef/>
      </w:r>
      <w:r>
        <w:t xml:space="preserve"> SoCalGas and SDG&amp;E opening comments at 15.</w:t>
      </w:r>
    </w:p>
  </w:footnote>
  <w:footnote w:id="185">
    <w:p w14:paraId="414E7E83" w14:textId="2E088225" w:rsidR="00A41C80" w:rsidRDefault="00A41C80">
      <w:pPr>
        <w:pStyle w:val="FootnoteText"/>
      </w:pPr>
      <w:r>
        <w:rPr>
          <w:rStyle w:val="FootnoteReference"/>
        </w:rPr>
        <w:footnoteRef/>
      </w:r>
      <w:r>
        <w:t xml:space="preserve"> PG&amp;E reply comments at 4.</w:t>
      </w:r>
    </w:p>
  </w:footnote>
  <w:footnote w:id="186">
    <w:p w14:paraId="3EE397D9" w14:textId="2C223F2D" w:rsidR="00A41C80" w:rsidRDefault="00A41C80">
      <w:pPr>
        <w:pStyle w:val="FootnoteText"/>
      </w:pPr>
      <w:r>
        <w:rPr>
          <w:rStyle w:val="FootnoteReference"/>
        </w:rPr>
        <w:footnoteRef/>
      </w:r>
      <w:r>
        <w:t xml:space="preserve"> SCE opening comments at 14.</w:t>
      </w:r>
    </w:p>
  </w:footnote>
  <w:footnote w:id="187">
    <w:p w14:paraId="0FD5D9A8" w14:textId="293EB30D" w:rsidR="00A41C80" w:rsidRDefault="00A41C80" w:rsidP="0053455E">
      <w:pPr>
        <w:pStyle w:val="FootnoteText"/>
      </w:pPr>
      <w:r>
        <w:rPr>
          <w:rStyle w:val="FootnoteReference"/>
        </w:rPr>
        <w:footnoteRef/>
      </w:r>
      <w:r>
        <w:t xml:space="preserve"> </w:t>
      </w:r>
      <w:proofErr w:type="spellStart"/>
      <w:r>
        <w:t>CforAT</w:t>
      </w:r>
      <w:proofErr w:type="spellEnd"/>
      <w:r>
        <w:t xml:space="preserve"> reply comments at 2 (“the Commission should not be persuaded away from evaluating the affordability of any potential rate change”).</w:t>
      </w:r>
    </w:p>
  </w:footnote>
  <w:footnote w:id="188">
    <w:p w14:paraId="0A4BC87F" w14:textId="436197D8" w:rsidR="00A41C80" w:rsidRDefault="00A41C80">
      <w:pPr>
        <w:pStyle w:val="FootnoteText"/>
      </w:pPr>
      <w:r>
        <w:rPr>
          <w:rStyle w:val="FootnoteReference"/>
        </w:rPr>
        <w:footnoteRef/>
      </w:r>
      <w:r>
        <w:t xml:space="preserve"> </w:t>
      </w:r>
      <w:proofErr w:type="spellStart"/>
      <w:r>
        <w:t>CforAT</w:t>
      </w:r>
      <w:proofErr w:type="spellEnd"/>
      <w:r>
        <w:t xml:space="preserve"> reply comments at 3.</w:t>
      </w:r>
    </w:p>
  </w:footnote>
  <w:footnote w:id="189">
    <w:p w14:paraId="1315E49F" w14:textId="07F2FF2C" w:rsidR="00A41C80" w:rsidRDefault="00A41C80">
      <w:pPr>
        <w:pStyle w:val="FootnoteText"/>
      </w:pPr>
      <w:r>
        <w:rPr>
          <w:rStyle w:val="FootnoteReference"/>
        </w:rPr>
        <w:footnoteRef/>
      </w:r>
      <w:r>
        <w:t xml:space="preserve"> NDC reply comments at 8.</w:t>
      </w:r>
    </w:p>
  </w:footnote>
  <w:footnote w:id="190">
    <w:p w14:paraId="34CB1ECD" w14:textId="77777777" w:rsidR="00A41C80" w:rsidRDefault="00A41C80" w:rsidP="00B015D8">
      <w:pPr>
        <w:pStyle w:val="FootnoteText"/>
      </w:pPr>
      <w:r>
        <w:rPr>
          <w:rStyle w:val="FootnoteReference"/>
        </w:rPr>
        <w:footnoteRef/>
      </w:r>
      <w:r>
        <w:t xml:space="preserve"> </w:t>
      </w:r>
      <w:proofErr w:type="spellStart"/>
      <w:r>
        <w:t>CalCCA</w:t>
      </w:r>
      <w:proofErr w:type="spellEnd"/>
      <w:r>
        <w:t xml:space="preserve"> opening comments at 2.</w:t>
      </w:r>
    </w:p>
  </w:footnote>
  <w:footnote w:id="191">
    <w:p w14:paraId="6A831AC4" w14:textId="381A25B4" w:rsidR="00A41C80" w:rsidRDefault="00A41C80">
      <w:pPr>
        <w:pStyle w:val="FootnoteText"/>
      </w:pPr>
      <w:r>
        <w:rPr>
          <w:rStyle w:val="FootnoteReference"/>
        </w:rPr>
        <w:footnoteRef/>
      </w:r>
      <w:r>
        <w:t xml:space="preserve"> TURN reply comments at 4.</w:t>
      </w:r>
    </w:p>
  </w:footnote>
  <w:footnote w:id="192">
    <w:p w14:paraId="6F65B4E8" w14:textId="47BBA013" w:rsidR="00A41C80" w:rsidRDefault="00A41C80">
      <w:pPr>
        <w:pStyle w:val="FootnoteText"/>
      </w:pPr>
      <w:r>
        <w:rPr>
          <w:rStyle w:val="FootnoteReference"/>
        </w:rPr>
        <w:footnoteRef/>
      </w:r>
      <w:r>
        <w:t xml:space="preserve"> UCAN reply comments at 6, 8-9 (“[m]</w:t>
      </w:r>
      <w:proofErr w:type="spellStart"/>
      <w:r w:rsidRPr="00720A72">
        <w:t>easuring</w:t>
      </w:r>
      <w:proofErr w:type="spellEnd"/>
      <w:r w:rsidRPr="00720A72">
        <w:t xml:space="preserve"> affordability in each possible case that affects rates would preoccupy both Commission staff and utility personnel limiting their respective ability to address their other important responsibilities to the Commission and their customers</w:t>
      </w:r>
      <w:r>
        <w:t>”).</w:t>
      </w:r>
    </w:p>
  </w:footnote>
  <w:footnote w:id="193">
    <w:p w14:paraId="51C7404E" w14:textId="77777777" w:rsidR="00A41C80" w:rsidRDefault="00A41C80" w:rsidP="00B015D8">
      <w:pPr>
        <w:pStyle w:val="FootnoteText"/>
      </w:pPr>
      <w:r>
        <w:rPr>
          <w:rStyle w:val="FootnoteReference"/>
        </w:rPr>
        <w:footnoteRef/>
      </w:r>
      <w:r>
        <w:t xml:space="preserve"> SoCalGas and SDG&amp;E opening comments at 16.</w:t>
      </w:r>
    </w:p>
  </w:footnote>
  <w:footnote w:id="194">
    <w:p w14:paraId="63FAD004" w14:textId="77777777" w:rsidR="00A41C80" w:rsidRPr="00740408" w:rsidRDefault="00A41C80" w:rsidP="00B015D8">
      <w:pPr>
        <w:pStyle w:val="FootnoteText"/>
      </w:pPr>
      <w:r>
        <w:rPr>
          <w:rStyle w:val="FootnoteReference"/>
        </w:rPr>
        <w:footnoteRef/>
      </w:r>
      <w:r>
        <w:t xml:space="preserve"> SCE opening comments at 13.  </w:t>
      </w:r>
      <w:r>
        <w:rPr>
          <w:i/>
          <w:iCs/>
        </w:rPr>
        <w:t>See also</w:t>
      </w:r>
      <w:r>
        <w:t xml:space="preserve"> PG&amp;E reply comments at 5.</w:t>
      </w:r>
    </w:p>
  </w:footnote>
  <w:footnote w:id="195">
    <w:p w14:paraId="26FDE655" w14:textId="77777777" w:rsidR="00A41C80" w:rsidRDefault="00A41C80" w:rsidP="00B015D8">
      <w:pPr>
        <w:pStyle w:val="FootnoteText"/>
      </w:pPr>
      <w:r>
        <w:rPr>
          <w:rStyle w:val="FootnoteReference"/>
        </w:rPr>
        <w:footnoteRef/>
      </w:r>
      <w:r>
        <w:t xml:space="preserve"> CWA opening comments at 2-3.</w:t>
      </w:r>
    </w:p>
  </w:footnote>
  <w:footnote w:id="196">
    <w:p w14:paraId="757A016C" w14:textId="77777777" w:rsidR="00A41C80" w:rsidRDefault="00A41C80" w:rsidP="00B015D8">
      <w:pPr>
        <w:pStyle w:val="FootnoteText"/>
      </w:pPr>
      <w:r>
        <w:rPr>
          <w:rStyle w:val="FootnoteReference"/>
        </w:rPr>
        <w:footnoteRef/>
      </w:r>
      <w:r>
        <w:t xml:space="preserve"> CWA opening comments at 4.</w:t>
      </w:r>
    </w:p>
  </w:footnote>
  <w:footnote w:id="197">
    <w:p w14:paraId="2A728BB6" w14:textId="6F601944" w:rsidR="00A41C80" w:rsidRDefault="00A41C80" w:rsidP="002D4B70">
      <w:pPr>
        <w:pStyle w:val="FootnoteText"/>
        <w:spacing w:after="60"/>
      </w:pPr>
      <w:r>
        <w:rPr>
          <w:rStyle w:val="FootnoteReference"/>
        </w:rPr>
        <w:footnoteRef/>
      </w:r>
      <w:r>
        <w:t xml:space="preserve"> Cal Advocates opening comments at 4.</w:t>
      </w:r>
    </w:p>
  </w:footnote>
  <w:footnote w:id="198">
    <w:p w14:paraId="076682F0" w14:textId="21179002" w:rsidR="00A41C80" w:rsidRPr="002D4B70" w:rsidRDefault="00A41C80" w:rsidP="002D4B70">
      <w:pPr>
        <w:pStyle w:val="FootnoteText"/>
        <w:spacing w:before="60"/>
      </w:pPr>
      <w:r>
        <w:rPr>
          <w:rStyle w:val="FootnoteReference"/>
        </w:rPr>
        <w:footnoteRef/>
      </w:r>
      <w:r>
        <w:t xml:space="preserve"> Cal Advocates opening comments at 3.</w:t>
      </w:r>
    </w:p>
  </w:footnote>
  <w:footnote w:id="199">
    <w:p w14:paraId="02B9DF0C" w14:textId="794D0C89" w:rsidR="00A41C80" w:rsidRDefault="00A41C80" w:rsidP="002D4B70">
      <w:pPr>
        <w:pStyle w:val="FootnoteText"/>
        <w:spacing w:after="60"/>
      </w:pPr>
      <w:r>
        <w:rPr>
          <w:rStyle w:val="FootnoteReference"/>
        </w:rPr>
        <w:footnoteRef/>
      </w:r>
      <w:r>
        <w:t xml:space="preserve"> Revised staff proposal at 48.</w:t>
      </w:r>
    </w:p>
  </w:footnote>
  <w:footnote w:id="200">
    <w:p w14:paraId="2FAE8921" w14:textId="7B81355E" w:rsidR="00A41C80" w:rsidRDefault="00A41C80" w:rsidP="002D4B70">
      <w:pPr>
        <w:pStyle w:val="FootnoteText"/>
        <w:spacing w:after="60"/>
      </w:pPr>
      <w:r>
        <w:rPr>
          <w:rStyle w:val="FootnoteReference"/>
        </w:rPr>
        <w:footnoteRef/>
      </w:r>
      <w:r>
        <w:t xml:space="preserve"> SDG&amp;E and SoCalGas opening comments at 16.</w:t>
      </w:r>
    </w:p>
  </w:footnote>
  <w:footnote w:id="201">
    <w:p w14:paraId="55CF928D" w14:textId="1EBBB6A4" w:rsidR="00A41C80" w:rsidRDefault="00A41C80" w:rsidP="002D4B70">
      <w:pPr>
        <w:pStyle w:val="FootnoteText"/>
      </w:pPr>
      <w:r>
        <w:rPr>
          <w:rStyle w:val="FootnoteReference"/>
        </w:rPr>
        <w:footnoteRef/>
      </w:r>
      <w:r>
        <w:t xml:space="preserve"> Development of rate and bill tracker tools for SoCalGas and the other two large natural gas IOUs (PG&amp;E and SDG&amp;E) has not yet been scheduled.  </w:t>
      </w:r>
    </w:p>
  </w:footnote>
  <w:footnote w:id="202">
    <w:p w14:paraId="59E9CAAC" w14:textId="1FA94510" w:rsidR="00A41C80" w:rsidRDefault="00A41C80">
      <w:pPr>
        <w:pStyle w:val="FootnoteText"/>
      </w:pPr>
      <w:r>
        <w:rPr>
          <w:rStyle w:val="FootnoteReference"/>
        </w:rPr>
        <w:footnoteRef/>
      </w:r>
      <w:r>
        <w:t xml:space="preserve"> Revised staff proposal at 48.</w:t>
      </w:r>
    </w:p>
  </w:footnote>
  <w:footnote w:id="203">
    <w:p w14:paraId="6C036383" w14:textId="611E5460" w:rsidR="00A41C80" w:rsidRDefault="00A41C80">
      <w:pPr>
        <w:pStyle w:val="FootnoteText"/>
      </w:pPr>
      <w:r>
        <w:rPr>
          <w:rStyle w:val="FootnoteReference"/>
        </w:rPr>
        <w:footnoteRef/>
      </w:r>
      <w:r>
        <w:t xml:space="preserve"> TURN opening comments at 10-11.</w:t>
      </w:r>
    </w:p>
  </w:footnote>
  <w:footnote w:id="204">
    <w:p w14:paraId="581F6BC1" w14:textId="7D819C41" w:rsidR="00A41C80" w:rsidRDefault="00A41C80">
      <w:pPr>
        <w:pStyle w:val="FootnoteText"/>
      </w:pPr>
      <w:r>
        <w:rPr>
          <w:rStyle w:val="FootnoteReference"/>
        </w:rPr>
        <w:footnoteRef/>
      </w:r>
      <w:r>
        <w:t xml:space="preserve"> Small LECs reply comments at 2, </w:t>
      </w:r>
      <w:proofErr w:type="spellStart"/>
      <w:r>
        <w:t>fn</w:t>
      </w:r>
      <w:proofErr w:type="spellEnd"/>
      <w:r>
        <w:t xml:space="preserve"> 3.</w:t>
      </w:r>
    </w:p>
  </w:footnote>
  <w:footnote w:id="205">
    <w:p w14:paraId="6D446C1F" w14:textId="2E61CABB" w:rsidR="00A41C80" w:rsidRDefault="00A41C80">
      <w:pPr>
        <w:pStyle w:val="FootnoteText"/>
      </w:pPr>
      <w:r>
        <w:rPr>
          <w:rStyle w:val="FootnoteReference"/>
        </w:rPr>
        <w:footnoteRef/>
      </w:r>
      <w:r>
        <w:t xml:space="preserve"> </w:t>
      </w:r>
      <w:proofErr w:type="spellStart"/>
      <w:r>
        <w:t>CforAT</w:t>
      </w:r>
      <w:proofErr w:type="spellEnd"/>
      <w:r>
        <w:t xml:space="preserve"> reply comments at 4.</w:t>
      </w:r>
    </w:p>
  </w:footnote>
  <w:footnote w:id="206">
    <w:p w14:paraId="322F7740" w14:textId="5B7F7C3F" w:rsidR="00A41C80" w:rsidRDefault="00A41C80">
      <w:pPr>
        <w:pStyle w:val="FootnoteText"/>
      </w:pPr>
      <w:r>
        <w:rPr>
          <w:rStyle w:val="FootnoteReference"/>
        </w:rPr>
        <w:footnoteRef/>
      </w:r>
      <w:r>
        <w:t xml:space="preserve"> UCAN opening comments at 12-13.</w:t>
      </w:r>
    </w:p>
  </w:footnote>
  <w:footnote w:id="207">
    <w:p w14:paraId="4AD0EBA1" w14:textId="4AC9A3B5" w:rsidR="00A41C80" w:rsidRDefault="00A41C80">
      <w:pPr>
        <w:pStyle w:val="FootnoteText"/>
      </w:pPr>
      <w:r>
        <w:rPr>
          <w:rStyle w:val="FootnoteReference"/>
        </w:rPr>
        <w:footnoteRef/>
      </w:r>
      <w:r>
        <w:t xml:space="preserve"> UCAN opening comments at 13-15.</w:t>
      </w:r>
    </w:p>
  </w:footnote>
  <w:footnote w:id="208">
    <w:p w14:paraId="3C3EFD05" w14:textId="77777777" w:rsidR="00A41C80" w:rsidRDefault="00A41C80" w:rsidP="00CA4C8F">
      <w:pPr>
        <w:pStyle w:val="FootnoteText"/>
      </w:pPr>
      <w:r>
        <w:rPr>
          <w:rStyle w:val="FootnoteReference"/>
        </w:rPr>
        <w:footnoteRef/>
      </w:r>
      <w:r>
        <w:t xml:space="preserve"> Cal Advocates opening comments at 2.</w:t>
      </w:r>
    </w:p>
  </w:footnote>
  <w:footnote w:id="209">
    <w:p w14:paraId="255E1A51" w14:textId="5C3D4F67" w:rsidR="00A41C80" w:rsidRDefault="00A41C80" w:rsidP="00CA4C8F">
      <w:pPr>
        <w:pStyle w:val="FootnoteText"/>
      </w:pPr>
      <w:r>
        <w:rPr>
          <w:rStyle w:val="FootnoteReference"/>
        </w:rPr>
        <w:footnoteRef/>
      </w:r>
      <w:r>
        <w:t xml:space="preserve"> Cal Advocates opening comments at 21-22.</w:t>
      </w:r>
    </w:p>
  </w:footnote>
  <w:footnote w:id="210">
    <w:p w14:paraId="0ED49B41" w14:textId="06941D77" w:rsidR="00A41C80" w:rsidRDefault="00A41C80">
      <w:pPr>
        <w:pStyle w:val="FootnoteText"/>
      </w:pPr>
      <w:r>
        <w:rPr>
          <w:rStyle w:val="FootnoteReference"/>
        </w:rPr>
        <w:footnoteRef/>
      </w:r>
      <w:r>
        <w:t xml:space="preserve"> Cal Advocates reply comments at 6.</w:t>
      </w:r>
    </w:p>
  </w:footnote>
  <w:footnote w:id="211">
    <w:p w14:paraId="4E2059C5" w14:textId="326794E4" w:rsidR="00A41C80" w:rsidRDefault="00A41C80">
      <w:pPr>
        <w:pStyle w:val="FootnoteText"/>
      </w:pPr>
      <w:r>
        <w:rPr>
          <w:rStyle w:val="FootnoteReference"/>
        </w:rPr>
        <w:footnoteRef/>
      </w:r>
      <w:r>
        <w:t xml:space="preserve"> SCE reply comments at 2; PG&amp;E reply comments at 7.</w:t>
      </w:r>
    </w:p>
  </w:footnote>
  <w:footnote w:id="212">
    <w:p w14:paraId="577D710C" w14:textId="77777777" w:rsidR="00A41C80" w:rsidRDefault="00A41C80" w:rsidP="00CA4C8F">
      <w:pPr>
        <w:pStyle w:val="FootnoteText"/>
      </w:pPr>
      <w:r>
        <w:rPr>
          <w:rStyle w:val="FootnoteReference"/>
        </w:rPr>
        <w:footnoteRef/>
      </w:r>
      <w:r>
        <w:t xml:space="preserve"> Cal Advocates opening comments at </w:t>
      </w:r>
    </w:p>
  </w:footnote>
  <w:footnote w:id="213">
    <w:p w14:paraId="130279E0" w14:textId="1192BCEE" w:rsidR="00A41C80" w:rsidRDefault="00A41C80">
      <w:pPr>
        <w:pStyle w:val="FootnoteText"/>
      </w:pPr>
      <w:r>
        <w:rPr>
          <w:rStyle w:val="FootnoteReference"/>
        </w:rPr>
        <w:footnoteRef/>
      </w:r>
      <w:r>
        <w:t xml:space="preserve"> NDC opening comments at 12.</w:t>
      </w:r>
    </w:p>
  </w:footnote>
  <w:footnote w:id="214">
    <w:p w14:paraId="5369FEA2" w14:textId="3E7B65F4" w:rsidR="00A41C80" w:rsidRDefault="00A41C80">
      <w:pPr>
        <w:pStyle w:val="FootnoteText"/>
      </w:pPr>
      <w:r>
        <w:rPr>
          <w:rStyle w:val="FootnoteReference"/>
        </w:rPr>
        <w:footnoteRef/>
      </w:r>
      <w:r>
        <w:t xml:space="preserve"> NDC opening comments at 13.</w:t>
      </w:r>
    </w:p>
  </w:footnote>
  <w:footnote w:id="215">
    <w:p w14:paraId="57C6362C" w14:textId="3B74FE79" w:rsidR="00A41C80" w:rsidRDefault="00A41C80">
      <w:pPr>
        <w:pStyle w:val="FootnoteText"/>
      </w:pPr>
      <w:r>
        <w:rPr>
          <w:rStyle w:val="FootnoteReference"/>
        </w:rPr>
        <w:footnoteRef/>
      </w:r>
      <w:r>
        <w:t xml:space="preserve"> SoCalGas and SDG&amp;E opening comments at 8-9.</w:t>
      </w:r>
    </w:p>
  </w:footnote>
  <w:footnote w:id="216">
    <w:p w14:paraId="65B3C7FC" w14:textId="308805F6" w:rsidR="00A41C80" w:rsidRDefault="00A41C80">
      <w:pPr>
        <w:pStyle w:val="FootnoteText"/>
      </w:pPr>
      <w:r>
        <w:rPr>
          <w:rStyle w:val="FootnoteReference"/>
        </w:rPr>
        <w:footnoteRef/>
      </w:r>
      <w:r>
        <w:t xml:space="preserve"> SoCalGas and SDG&amp;E opening comments at 15.</w:t>
      </w:r>
    </w:p>
  </w:footnote>
  <w:footnote w:id="217">
    <w:p w14:paraId="6D491EE0" w14:textId="1E898DCB" w:rsidR="00A41C80" w:rsidRDefault="00A41C80">
      <w:pPr>
        <w:pStyle w:val="FootnoteText"/>
      </w:pPr>
      <w:r>
        <w:rPr>
          <w:rStyle w:val="FootnoteReference"/>
        </w:rPr>
        <w:footnoteRef/>
      </w:r>
      <w:r>
        <w:t xml:space="preserve"> SCE opening comments at 13.</w:t>
      </w:r>
    </w:p>
  </w:footnote>
  <w:footnote w:id="218">
    <w:p w14:paraId="755E69AF" w14:textId="7FD88DD2" w:rsidR="00A41C80" w:rsidRDefault="00A41C80">
      <w:pPr>
        <w:pStyle w:val="FootnoteText"/>
      </w:pPr>
      <w:r>
        <w:rPr>
          <w:rStyle w:val="FootnoteReference"/>
        </w:rPr>
        <w:footnoteRef/>
      </w:r>
      <w:r>
        <w:t xml:space="preserve"> SCE opening comments at 7.</w:t>
      </w:r>
    </w:p>
  </w:footnote>
  <w:footnote w:id="219">
    <w:p w14:paraId="4A1A178C" w14:textId="46ACFD27" w:rsidR="00A41C80" w:rsidRDefault="00A41C80">
      <w:pPr>
        <w:pStyle w:val="FootnoteText"/>
      </w:pPr>
      <w:r>
        <w:rPr>
          <w:rStyle w:val="FootnoteReference"/>
        </w:rPr>
        <w:footnoteRef/>
      </w:r>
      <w:r>
        <w:t xml:space="preserve"> SCE opening </w:t>
      </w:r>
    </w:p>
  </w:footnote>
  <w:footnote w:id="220">
    <w:p w14:paraId="1161B218" w14:textId="7E3C13A4" w:rsidR="00A41C80" w:rsidRDefault="00A41C80">
      <w:pPr>
        <w:pStyle w:val="FootnoteText"/>
      </w:pPr>
      <w:r>
        <w:rPr>
          <w:rStyle w:val="FootnoteReference"/>
        </w:rPr>
        <w:footnoteRef/>
      </w:r>
      <w:r>
        <w:t xml:space="preserve"> CCTA opening comments at 15-17.</w:t>
      </w:r>
    </w:p>
  </w:footnote>
  <w:footnote w:id="221">
    <w:p w14:paraId="43ADCE63" w14:textId="5E4B0878" w:rsidR="00A41C80" w:rsidRDefault="00A41C80">
      <w:pPr>
        <w:pStyle w:val="FootnoteText"/>
      </w:pPr>
      <w:r>
        <w:rPr>
          <w:rStyle w:val="FootnoteReference"/>
        </w:rPr>
        <w:footnoteRef/>
      </w:r>
      <w:r>
        <w:t xml:space="preserve"> PG&amp;E opening comments at 10 (stating that disconnections are more appropriately addressed in </w:t>
      </w:r>
      <w:r w:rsidRPr="00531772">
        <w:t>R.18-07-005</w:t>
      </w:r>
      <w:r>
        <w:t>).</w:t>
      </w:r>
    </w:p>
  </w:footnote>
  <w:footnote w:id="222">
    <w:p w14:paraId="35B41DCE" w14:textId="496C7C8F" w:rsidR="00A41C80" w:rsidRDefault="00A41C80">
      <w:pPr>
        <w:pStyle w:val="FootnoteText"/>
      </w:pPr>
      <w:r>
        <w:rPr>
          <w:rStyle w:val="FootnoteReference"/>
        </w:rPr>
        <w:footnoteRef/>
      </w:r>
      <w:r>
        <w:t xml:space="preserve"> Small LECs opening comments at 6.</w:t>
      </w:r>
    </w:p>
  </w:footnote>
  <w:footnote w:id="223">
    <w:p w14:paraId="075B691F" w14:textId="2CB59C67" w:rsidR="00A41C80" w:rsidRDefault="00A41C80">
      <w:pPr>
        <w:pStyle w:val="FootnoteText"/>
      </w:pPr>
      <w:r>
        <w:rPr>
          <w:rStyle w:val="FootnoteReference"/>
        </w:rPr>
        <w:footnoteRef/>
      </w:r>
      <w:r>
        <w:t xml:space="preserve"> </w:t>
      </w:r>
      <w:proofErr w:type="spellStart"/>
      <w:r>
        <w:t>CforAT</w:t>
      </w:r>
      <w:proofErr w:type="spellEnd"/>
      <w:r>
        <w:t xml:space="preserve"> opening comments at 7.</w:t>
      </w:r>
    </w:p>
  </w:footnote>
  <w:footnote w:id="224">
    <w:p w14:paraId="035C380C" w14:textId="747BA3FF" w:rsidR="00A41C80" w:rsidRDefault="00A41C80">
      <w:pPr>
        <w:pStyle w:val="FootnoteText"/>
      </w:pPr>
      <w:r>
        <w:rPr>
          <w:rStyle w:val="FootnoteReference"/>
        </w:rPr>
        <w:footnoteRef/>
      </w:r>
      <w:r>
        <w:t xml:space="preserve"> </w:t>
      </w:r>
      <w:proofErr w:type="spellStart"/>
      <w:r>
        <w:t>CalCCA</w:t>
      </w:r>
      <w:proofErr w:type="spellEnd"/>
      <w:r>
        <w:t xml:space="preserve"> opening comments at 10-11.</w:t>
      </w:r>
    </w:p>
  </w:footnote>
  <w:footnote w:id="225">
    <w:p w14:paraId="446FF1EF" w14:textId="49414DEA" w:rsidR="00A41C80" w:rsidRPr="00CF2188" w:rsidRDefault="00A41C80">
      <w:pPr>
        <w:pStyle w:val="FootnoteText"/>
      </w:pPr>
      <w:r>
        <w:rPr>
          <w:rStyle w:val="FootnoteReference"/>
        </w:rPr>
        <w:footnoteRef/>
      </w:r>
      <w:r>
        <w:t xml:space="preserve"> </w:t>
      </w:r>
      <w:r>
        <w:rPr>
          <w:i/>
          <w:iCs/>
        </w:rPr>
        <w:t>See, e.g.</w:t>
      </w:r>
      <w:r>
        <w:t>, UCAN opening comments at 16.</w:t>
      </w:r>
    </w:p>
  </w:footnote>
  <w:footnote w:id="226">
    <w:p w14:paraId="76A40855" w14:textId="5FC30C1E" w:rsidR="00A41C80" w:rsidRPr="00B95AD7" w:rsidRDefault="00A41C80">
      <w:pPr>
        <w:pStyle w:val="FootnoteText"/>
      </w:pPr>
      <w:r>
        <w:rPr>
          <w:rStyle w:val="FootnoteReference"/>
        </w:rPr>
        <w:footnoteRef/>
      </w:r>
      <w:r>
        <w:t xml:space="preserve"> </w:t>
      </w:r>
      <w:r>
        <w:rPr>
          <w:i/>
          <w:iCs/>
        </w:rPr>
        <w:t>See, e.g.</w:t>
      </w:r>
      <w:r>
        <w:t>, Small LECs opening comments at 1-2; CWA opening comments at 6.</w:t>
      </w:r>
    </w:p>
  </w:footnote>
  <w:footnote w:id="227">
    <w:p w14:paraId="3F80980B" w14:textId="0B8F10F4" w:rsidR="00A41C80" w:rsidRDefault="00A41C80">
      <w:pPr>
        <w:pStyle w:val="FootnoteText"/>
      </w:pPr>
      <w:r>
        <w:rPr>
          <w:rStyle w:val="FootnoteReference"/>
        </w:rPr>
        <w:footnoteRef/>
      </w:r>
      <w:r>
        <w:t xml:space="preserve"> SCE opening comments at 9-10.</w:t>
      </w:r>
    </w:p>
  </w:footnote>
  <w:footnote w:id="228">
    <w:p w14:paraId="1145A475" w14:textId="6F51DAB1" w:rsidR="00A41C80" w:rsidRDefault="00A41C80">
      <w:pPr>
        <w:pStyle w:val="FootnoteText"/>
      </w:pPr>
      <w:r>
        <w:rPr>
          <w:rStyle w:val="FootnoteReference"/>
        </w:rPr>
        <w:footnoteRef/>
      </w:r>
      <w:r>
        <w:t xml:space="preserve"> Small LECs opening comments at 6-7.</w:t>
      </w:r>
    </w:p>
  </w:footnote>
  <w:footnote w:id="229">
    <w:p w14:paraId="6F3D56BE" w14:textId="51E56509" w:rsidR="00A41C80" w:rsidRDefault="00A41C80">
      <w:pPr>
        <w:pStyle w:val="FootnoteText"/>
      </w:pPr>
      <w:r>
        <w:rPr>
          <w:rStyle w:val="FootnoteReference"/>
        </w:rPr>
        <w:footnoteRef/>
      </w:r>
      <w:r>
        <w:t xml:space="preserve"> CWA opening comments at 6.</w:t>
      </w:r>
    </w:p>
  </w:footnote>
  <w:footnote w:id="230">
    <w:p w14:paraId="18E8383D" w14:textId="0B3D550D" w:rsidR="00A41C80" w:rsidRDefault="00A41C80">
      <w:pPr>
        <w:pStyle w:val="FootnoteText"/>
      </w:pPr>
      <w:r>
        <w:rPr>
          <w:rStyle w:val="FootnoteReference"/>
        </w:rPr>
        <w:footnoteRef/>
      </w:r>
      <w:r>
        <w:t xml:space="preserve"> SoCalGas and SDG&amp;E opening comments at 11.</w:t>
      </w:r>
    </w:p>
  </w:footnote>
  <w:footnote w:id="231">
    <w:p w14:paraId="11FE970D" w14:textId="32096EB1" w:rsidR="00A41C80" w:rsidRDefault="00A41C80">
      <w:pPr>
        <w:pStyle w:val="FootnoteText"/>
      </w:pPr>
      <w:r>
        <w:rPr>
          <w:rStyle w:val="FootnoteReference"/>
        </w:rPr>
        <w:footnoteRef/>
      </w:r>
      <w:r>
        <w:t xml:space="preserve"> Cal Advocates opening comments at 23-24.</w:t>
      </w:r>
    </w:p>
  </w:footnote>
  <w:footnote w:id="232">
    <w:p w14:paraId="4B6FCAFD" w14:textId="180D6356" w:rsidR="00A41C80" w:rsidRDefault="00A41C80">
      <w:pPr>
        <w:pStyle w:val="FootnoteText"/>
      </w:pPr>
      <w:r>
        <w:rPr>
          <w:rStyle w:val="FootnoteReference"/>
        </w:rPr>
        <w:footnoteRef/>
      </w:r>
      <w:r>
        <w:t xml:space="preserve"> </w:t>
      </w:r>
      <w:proofErr w:type="spellStart"/>
      <w:r>
        <w:t>CforAT</w:t>
      </w:r>
      <w:proofErr w:type="spellEnd"/>
      <w:r>
        <w:t xml:space="preserve"> opening comments at 8.</w:t>
      </w:r>
    </w:p>
  </w:footnote>
  <w:footnote w:id="233">
    <w:p w14:paraId="7D59F5B8" w14:textId="7ADBAAD7" w:rsidR="00A41C80" w:rsidRDefault="00A41C80">
      <w:pPr>
        <w:pStyle w:val="FootnoteText"/>
      </w:pPr>
      <w:r>
        <w:rPr>
          <w:rStyle w:val="FootnoteReference"/>
        </w:rPr>
        <w:footnoteRef/>
      </w:r>
      <w:r>
        <w:t xml:space="preserve"> NDC opening comments at 14.</w:t>
      </w:r>
    </w:p>
  </w:footnote>
  <w:footnote w:id="234">
    <w:p w14:paraId="69718865" w14:textId="39940877" w:rsidR="00A41C80" w:rsidRDefault="00A41C80">
      <w:pPr>
        <w:pStyle w:val="FootnoteText"/>
      </w:pPr>
      <w:r>
        <w:rPr>
          <w:rStyle w:val="FootnoteReference"/>
        </w:rPr>
        <w:footnoteRef/>
      </w:r>
      <w:r>
        <w:t xml:space="preserve"> </w:t>
      </w:r>
      <w:r w:rsidRPr="00AB3C4B">
        <w:t>http://docs.cpuc.ca.gov/SearchRes.aspx?DocFormat=ALL&amp;DocID=336533906</w:t>
      </w:r>
      <w:r>
        <w:t>.</w:t>
      </w:r>
    </w:p>
  </w:footnote>
  <w:footnote w:id="235">
    <w:p w14:paraId="46C59135" w14:textId="545C7AD2" w:rsidR="00A41C80" w:rsidRDefault="00A41C80">
      <w:pPr>
        <w:pStyle w:val="FootnoteText"/>
      </w:pPr>
      <w:r>
        <w:rPr>
          <w:rStyle w:val="FootnoteReference"/>
        </w:rPr>
        <w:footnoteRef/>
      </w:r>
      <w:r>
        <w:t xml:space="preserve"> A $12 minimum still applies to the customers’ bills.</w:t>
      </w:r>
    </w:p>
  </w:footnote>
  <w:footnote w:id="236">
    <w:p w14:paraId="31CC284B" w14:textId="45208F70" w:rsidR="00A41C80" w:rsidRDefault="00A41C80">
      <w:pPr>
        <w:pStyle w:val="FootnoteText"/>
      </w:pPr>
      <w:r>
        <w:rPr>
          <w:rStyle w:val="FootnoteReference"/>
        </w:rPr>
        <w:footnoteRef/>
      </w:r>
      <w:r>
        <w:t xml:space="preserve"> Cal Advocates opening comments at 4-5.</w:t>
      </w:r>
    </w:p>
  </w:footnote>
  <w:footnote w:id="237">
    <w:p w14:paraId="03F92DE7" w14:textId="77777777" w:rsidR="00A41C80" w:rsidRDefault="00A41C80" w:rsidP="004C7ED9">
      <w:pPr>
        <w:pStyle w:val="FootnoteText"/>
      </w:pPr>
      <w:r>
        <w:rPr>
          <w:rStyle w:val="FootnoteReference"/>
        </w:rPr>
        <w:footnoteRef/>
      </w:r>
      <w:r>
        <w:t xml:space="preserve"> AT&amp;T opening comments at 5.</w:t>
      </w:r>
    </w:p>
  </w:footnote>
  <w:footnote w:id="238">
    <w:p w14:paraId="34C8FD54" w14:textId="3AD28BFB" w:rsidR="00A41C80" w:rsidRDefault="00A41C80">
      <w:pPr>
        <w:pStyle w:val="FootnoteText"/>
      </w:pPr>
      <w:r>
        <w:rPr>
          <w:rStyle w:val="FootnoteReference"/>
        </w:rPr>
        <w:footnoteRef/>
      </w:r>
      <w:r>
        <w:t xml:space="preserve"> CCTA opening comments at 11-12.</w:t>
      </w:r>
    </w:p>
  </w:footnote>
  <w:footnote w:id="239">
    <w:p w14:paraId="1171949F" w14:textId="1A5AA51E" w:rsidR="00A41C80" w:rsidRDefault="00A41C80">
      <w:pPr>
        <w:pStyle w:val="FootnoteText"/>
      </w:pPr>
      <w:r>
        <w:rPr>
          <w:rStyle w:val="FootnoteReference"/>
        </w:rPr>
        <w:footnoteRef/>
      </w:r>
      <w:r>
        <w:t xml:space="preserve"> Small LECs reply comments at 3.</w:t>
      </w:r>
    </w:p>
  </w:footnote>
  <w:footnote w:id="240">
    <w:p w14:paraId="5B6705BE" w14:textId="63C25551" w:rsidR="00A41C80" w:rsidRDefault="00A41C80">
      <w:pPr>
        <w:pStyle w:val="FootnoteText"/>
      </w:pPr>
      <w:r>
        <w:rPr>
          <w:rStyle w:val="FootnoteReference"/>
        </w:rPr>
        <w:footnoteRef/>
      </w:r>
      <w:r>
        <w:t xml:space="preserve"> SoCalGas and SDG&amp;E opening comments at 15.</w:t>
      </w:r>
    </w:p>
  </w:footnote>
  <w:footnote w:id="241">
    <w:p w14:paraId="6C7A8F3B" w14:textId="5A8C13E6" w:rsidR="00A41C80" w:rsidRDefault="00A41C80">
      <w:pPr>
        <w:pStyle w:val="FootnoteText"/>
      </w:pPr>
      <w:r>
        <w:rPr>
          <w:rStyle w:val="FootnoteReference"/>
        </w:rPr>
        <w:footnoteRef/>
      </w:r>
      <w:r>
        <w:t xml:space="preserve"> PG&amp;E opening comments at 12.</w:t>
      </w:r>
    </w:p>
  </w:footnote>
  <w:footnote w:id="242">
    <w:p w14:paraId="456CBF79" w14:textId="2B462638" w:rsidR="00A41C80" w:rsidRDefault="00A41C80">
      <w:pPr>
        <w:pStyle w:val="FootnoteText"/>
      </w:pPr>
      <w:r>
        <w:rPr>
          <w:rStyle w:val="FootnoteReference"/>
        </w:rPr>
        <w:footnoteRef/>
      </w:r>
      <w:r>
        <w:t xml:space="preserve"> Revised staff proposal at 47-48.</w:t>
      </w:r>
    </w:p>
  </w:footnote>
  <w:footnote w:id="243">
    <w:p w14:paraId="616CEF1E" w14:textId="07955939" w:rsidR="00A41C80" w:rsidRDefault="00A41C80">
      <w:pPr>
        <w:pStyle w:val="FootnoteText"/>
      </w:pPr>
      <w:r>
        <w:rPr>
          <w:rStyle w:val="FootnoteReference"/>
        </w:rPr>
        <w:footnoteRef/>
      </w:r>
      <w:r>
        <w:t xml:space="preserve"> TURN opening comments at 13.</w:t>
      </w:r>
    </w:p>
  </w:footnote>
  <w:footnote w:id="244">
    <w:p w14:paraId="2AF4D5F2" w14:textId="677542DA" w:rsidR="00A41C80" w:rsidRDefault="00A41C80">
      <w:pPr>
        <w:pStyle w:val="FootnoteText"/>
      </w:pPr>
      <w:r>
        <w:rPr>
          <w:rStyle w:val="FootnoteReference"/>
        </w:rPr>
        <w:footnoteRef/>
      </w:r>
      <w:r>
        <w:t xml:space="preserve"> TURN opening comments at 14.</w:t>
      </w:r>
    </w:p>
  </w:footnote>
  <w:footnote w:id="245">
    <w:p w14:paraId="4B3179F9" w14:textId="702557BF" w:rsidR="00A41C80" w:rsidRDefault="00A41C80">
      <w:pPr>
        <w:pStyle w:val="FootnoteText"/>
      </w:pPr>
      <w:r>
        <w:rPr>
          <w:rStyle w:val="FootnoteReference"/>
        </w:rPr>
        <w:footnoteRef/>
      </w:r>
      <w:r>
        <w:t xml:space="preserve"> UCAN opening comments at 17-19.  Although in reply comments, UCAN suggests that it would be more appropriate to gauge affordability in utility-specific rate cases (UCAN reply comments </w:t>
      </w:r>
      <w:r>
        <w:br/>
        <w:t>at 2).</w:t>
      </w:r>
    </w:p>
  </w:footnote>
  <w:footnote w:id="246">
    <w:p w14:paraId="4B27C9A7" w14:textId="5805A04F" w:rsidR="00A41C80" w:rsidRDefault="00A41C80">
      <w:pPr>
        <w:pStyle w:val="FootnoteText"/>
      </w:pPr>
      <w:r>
        <w:rPr>
          <w:rStyle w:val="FootnoteReference"/>
        </w:rPr>
        <w:footnoteRef/>
      </w:r>
      <w:r>
        <w:t xml:space="preserve"> NDC opening comments at 15.</w:t>
      </w:r>
    </w:p>
  </w:footnote>
  <w:footnote w:id="247">
    <w:p w14:paraId="391F4C57" w14:textId="31899F05" w:rsidR="00A41C80" w:rsidRDefault="00A41C80">
      <w:pPr>
        <w:pStyle w:val="FootnoteText"/>
      </w:pPr>
      <w:r>
        <w:rPr>
          <w:rStyle w:val="FootnoteReference"/>
        </w:rPr>
        <w:footnoteRef/>
      </w:r>
      <w:r>
        <w:t xml:space="preserve"> PG&amp;E opening comments at 14.</w:t>
      </w:r>
    </w:p>
  </w:footnote>
  <w:footnote w:id="248">
    <w:p w14:paraId="1EC1E539" w14:textId="63E3B322" w:rsidR="00A41C80" w:rsidRDefault="00A41C80">
      <w:pPr>
        <w:pStyle w:val="FootnoteText"/>
      </w:pPr>
      <w:r>
        <w:rPr>
          <w:rStyle w:val="FootnoteReference"/>
        </w:rPr>
        <w:footnoteRef/>
      </w:r>
      <w:r>
        <w:t xml:space="preserve"> PG&amp;E opening comments at 13-14.</w:t>
      </w:r>
    </w:p>
  </w:footnote>
  <w:footnote w:id="249">
    <w:p w14:paraId="78C51A69" w14:textId="053BA149" w:rsidR="00A41C80" w:rsidRDefault="00A41C80">
      <w:pPr>
        <w:pStyle w:val="FootnoteText"/>
      </w:pPr>
      <w:r>
        <w:rPr>
          <w:rStyle w:val="FootnoteReference"/>
        </w:rPr>
        <w:footnoteRef/>
      </w:r>
      <w:r>
        <w:t xml:space="preserve"> Small LECs opening comments at 7-8.</w:t>
      </w:r>
    </w:p>
  </w:footnote>
  <w:footnote w:id="250">
    <w:p w14:paraId="0ACA0015" w14:textId="0DB06FF4" w:rsidR="00A41C80" w:rsidRDefault="00A41C80">
      <w:pPr>
        <w:pStyle w:val="FootnoteText"/>
      </w:pPr>
      <w:r>
        <w:rPr>
          <w:rStyle w:val="FootnoteReference"/>
        </w:rPr>
        <w:footnoteRef/>
      </w:r>
      <w:r>
        <w:t xml:space="preserve"> CWA opening comments at 7.</w:t>
      </w:r>
    </w:p>
  </w:footnote>
  <w:footnote w:id="251">
    <w:p w14:paraId="09A76E6D" w14:textId="5501E1C8" w:rsidR="00A41C80" w:rsidRDefault="00A41C80">
      <w:pPr>
        <w:pStyle w:val="FootnoteText"/>
      </w:pPr>
      <w:r>
        <w:rPr>
          <w:rStyle w:val="FootnoteReference"/>
        </w:rPr>
        <w:footnoteRef/>
      </w:r>
      <w:r>
        <w:t xml:space="preserve"> </w:t>
      </w:r>
      <w:proofErr w:type="spellStart"/>
      <w:r>
        <w:t>CalCCA</w:t>
      </w:r>
      <w:proofErr w:type="spellEnd"/>
      <w:r>
        <w:t xml:space="preserve"> opening comments at 11-12.</w:t>
      </w:r>
    </w:p>
  </w:footnote>
  <w:footnote w:id="252">
    <w:p w14:paraId="7892C629" w14:textId="344AEDC7" w:rsidR="00A41C80" w:rsidRDefault="00A41C80">
      <w:pPr>
        <w:pStyle w:val="FootnoteText"/>
      </w:pPr>
      <w:r>
        <w:rPr>
          <w:rStyle w:val="FootnoteReference"/>
        </w:rPr>
        <w:footnoteRef/>
      </w:r>
      <w:r>
        <w:t xml:space="preserve"> SoCalGas and SDG&amp;E opening comments at 12.</w:t>
      </w:r>
    </w:p>
  </w:footnote>
  <w:footnote w:id="253">
    <w:p w14:paraId="06C1B661" w14:textId="1870622A" w:rsidR="00A41C80" w:rsidRDefault="00A41C80">
      <w:pPr>
        <w:pStyle w:val="FootnoteText"/>
      </w:pPr>
      <w:r>
        <w:rPr>
          <w:rStyle w:val="FootnoteReference"/>
        </w:rPr>
        <w:footnoteRef/>
      </w:r>
      <w:r>
        <w:t xml:space="preserve"> SCE opening comments at 10.</w:t>
      </w:r>
    </w:p>
  </w:footnote>
  <w:footnote w:id="254">
    <w:p w14:paraId="38364ABE" w14:textId="5E8B0A04" w:rsidR="00A41C80" w:rsidRDefault="00A41C80">
      <w:pPr>
        <w:pStyle w:val="FootnoteText"/>
      </w:pPr>
      <w:r>
        <w:rPr>
          <w:rStyle w:val="FootnoteReference"/>
        </w:rPr>
        <w:footnoteRef/>
      </w:r>
      <w:r>
        <w:t xml:space="preserve"> CCTA reply comments at 8-10.</w:t>
      </w:r>
    </w:p>
  </w:footnote>
  <w:footnote w:id="255">
    <w:p w14:paraId="114DA9F7" w14:textId="76A60C7B" w:rsidR="00A41C80" w:rsidRDefault="00A41C80">
      <w:pPr>
        <w:pStyle w:val="FootnoteText"/>
      </w:pPr>
      <w:r>
        <w:rPr>
          <w:rStyle w:val="FootnoteReference"/>
        </w:rPr>
        <w:footnoteRef/>
      </w:r>
      <w:r>
        <w:t xml:space="preserve"> Revised staff proposal at 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16B40" w14:textId="79FC8819" w:rsidR="00A41C80" w:rsidRDefault="00A41C80" w:rsidP="00EE4315">
    <w:pPr>
      <w:pStyle w:val="Header"/>
      <w:tabs>
        <w:tab w:val="clear" w:pos="4680"/>
      </w:tabs>
      <w:ind w:firstLine="0"/>
      <w:rPr>
        <w:b/>
      </w:rPr>
    </w:pPr>
    <w:r>
      <w:t>R.18-07-</w:t>
    </w:r>
    <w:proofErr w:type="gramStart"/>
    <w:r>
      <w:t>006  COM</w:t>
    </w:r>
    <w:proofErr w:type="gramEnd"/>
    <w:r>
      <w:t>/CR6/mph</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B0EA0" w14:textId="359002E5" w:rsidR="00A41C80" w:rsidRDefault="00A41C80" w:rsidP="00451BA4">
    <w:pPr>
      <w:pStyle w:val="Header"/>
      <w:tabs>
        <w:tab w:val="clear" w:pos="4680"/>
      </w:tabs>
      <w:ind w:firstLine="0"/>
      <w:rPr>
        <w:b/>
      </w:rPr>
    </w:pPr>
    <w:r>
      <w:t>R.18-07-</w:t>
    </w:r>
    <w:proofErr w:type="gramStart"/>
    <w:r>
      <w:t>006  COM</w:t>
    </w:r>
    <w:proofErr w:type="gramEnd"/>
    <w:r>
      <w:t>/CR6/mph</w:t>
    </w:r>
    <w:r>
      <w:tab/>
    </w:r>
  </w:p>
  <w:p w14:paraId="63562734" w14:textId="12441A2C" w:rsidR="00A41C80" w:rsidRDefault="00A41C80" w:rsidP="00451BA4">
    <w:pPr>
      <w:pStyle w:val="Header"/>
      <w:ind w:firstLine="0"/>
    </w:pPr>
  </w:p>
  <w:p w14:paraId="59ACC686" w14:textId="77777777" w:rsidR="00A41C80" w:rsidRPr="002B2B41" w:rsidRDefault="00A41C80" w:rsidP="00451BA4">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23FE1" w14:textId="77777777" w:rsidR="00A41C80" w:rsidRDefault="00A41C80" w:rsidP="00451BA4">
    <w:pPr>
      <w:pStyle w:val="Header"/>
      <w:tabs>
        <w:tab w:val="clear" w:pos="4680"/>
      </w:tabs>
      <w:ind w:firstLine="0"/>
      <w:rPr>
        <w:b/>
      </w:rPr>
    </w:pPr>
    <w:r>
      <w:t>R.18-07-</w:t>
    </w:r>
    <w:proofErr w:type="gramStart"/>
    <w:r>
      <w:t>006  COM</w:t>
    </w:r>
    <w:proofErr w:type="gramEnd"/>
    <w:r>
      <w:t>/CR6/mph</w:t>
    </w:r>
    <w:r>
      <w:tab/>
    </w:r>
  </w:p>
  <w:p w14:paraId="11595184" w14:textId="77777777" w:rsidR="00A41C80" w:rsidRDefault="00A41C80" w:rsidP="00451BA4">
    <w:pPr>
      <w:pStyle w:val="Header"/>
      <w:ind w:firstLine="0"/>
    </w:pPr>
  </w:p>
  <w:p w14:paraId="2A98DFF7" w14:textId="77777777" w:rsidR="00A41C80" w:rsidRPr="002B2B41" w:rsidRDefault="00A41C80" w:rsidP="00451BA4">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C3553"/>
    <w:multiLevelType w:val="hybridMultilevel"/>
    <w:tmpl w:val="E9867A1E"/>
    <w:lvl w:ilvl="0" w:tplc="364C65BE">
      <w:start w:val="2"/>
      <w:numFmt w:val="decimal"/>
      <w:lvlText w:val="(%1)"/>
      <w:lvlJc w:val="left"/>
      <w:pPr>
        <w:ind w:left="300" w:hanging="314"/>
      </w:pPr>
      <w:rPr>
        <w:rFonts w:ascii="Garamond" w:eastAsia="Garamond" w:hAnsi="Garamond" w:cs="Garamond" w:hint="default"/>
        <w:color w:val="231F20"/>
        <w:spacing w:val="-11"/>
        <w:w w:val="99"/>
        <w:sz w:val="24"/>
        <w:szCs w:val="24"/>
      </w:rPr>
    </w:lvl>
    <w:lvl w:ilvl="1" w:tplc="B87877DC">
      <w:numFmt w:val="bullet"/>
      <w:lvlText w:val=""/>
      <w:lvlJc w:val="left"/>
      <w:pPr>
        <w:ind w:left="1020" w:hanging="360"/>
      </w:pPr>
      <w:rPr>
        <w:rFonts w:ascii="Symbol" w:eastAsia="Symbol" w:hAnsi="Symbol" w:cs="Symbol" w:hint="default"/>
        <w:color w:val="231F20"/>
        <w:w w:val="99"/>
        <w:sz w:val="14"/>
        <w:szCs w:val="14"/>
      </w:rPr>
    </w:lvl>
    <w:lvl w:ilvl="2" w:tplc="BBD6B2BA">
      <w:numFmt w:val="bullet"/>
      <w:lvlText w:val="•"/>
      <w:lvlJc w:val="left"/>
      <w:pPr>
        <w:ind w:left="1993" w:hanging="360"/>
      </w:pPr>
      <w:rPr>
        <w:rFonts w:hint="default"/>
      </w:rPr>
    </w:lvl>
    <w:lvl w:ilvl="3" w:tplc="34B6998A">
      <w:numFmt w:val="bullet"/>
      <w:lvlText w:val="•"/>
      <w:lvlJc w:val="left"/>
      <w:pPr>
        <w:ind w:left="2966" w:hanging="360"/>
      </w:pPr>
      <w:rPr>
        <w:rFonts w:hint="default"/>
      </w:rPr>
    </w:lvl>
    <w:lvl w:ilvl="4" w:tplc="D454485E">
      <w:numFmt w:val="bullet"/>
      <w:lvlText w:val="•"/>
      <w:lvlJc w:val="left"/>
      <w:pPr>
        <w:ind w:left="3940" w:hanging="360"/>
      </w:pPr>
      <w:rPr>
        <w:rFonts w:hint="default"/>
      </w:rPr>
    </w:lvl>
    <w:lvl w:ilvl="5" w:tplc="9F7CD7B6">
      <w:numFmt w:val="bullet"/>
      <w:lvlText w:val="•"/>
      <w:lvlJc w:val="left"/>
      <w:pPr>
        <w:ind w:left="4913" w:hanging="360"/>
      </w:pPr>
      <w:rPr>
        <w:rFonts w:hint="default"/>
      </w:rPr>
    </w:lvl>
    <w:lvl w:ilvl="6" w:tplc="214CC952">
      <w:numFmt w:val="bullet"/>
      <w:lvlText w:val="•"/>
      <w:lvlJc w:val="left"/>
      <w:pPr>
        <w:ind w:left="5886" w:hanging="360"/>
      </w:pPr>
      <w:rPr>
        <w:rFonts w:hint="default"/>
      </w:rPr>
    </w:lvl>
    <w:lvl w:ilvl="7" w:tplc="F6AE31D0">
      <w:numFmt w:val="bullet"/>
      <w:lvlText w:val="•"/>
      <w:lvlJc w:val="left"/>
      <w:pPr>
        <w:ind w:left="6860" w:hanging="360"/>
      </w:pPr>
      <w:rPr>
        <w:rFonts w:hint="default"/>
      </w:rPr>
    </w:lvl>
    <w:lvl w:ilvl="8" w:tplc="683A1886">
      <w:numFmt w:val="bullet"/>
      <w:lvlText w:val="•"/>
      <w:lvlJc w:val="left"/>
      <w:pPr>
        <w:ind w:left="7833" w:hanging="360"/>
      </w:pPr>
      <w:rPr>
        <w:rFonts w:hint="default"/>
      </w:rPr>
    </w:lvl>
  </w:abstractNum>
  <w:abstractNum w:abstractNumId="2" w15:restartNumberingAfterBreak="0">
    <w:nsid w:val="05960CFC"/>
    <w:multiLevelType w:val="hybridMultilevel"/>
    <w:tmpl w:val="BB564CA0"/>
    <w:lvl w:ilvl="0" w:tplc="F98C1A82">
      <w:start w:val="1"/>
      <w:numFmt w:val="lowerLetter"/>
      <w:lvlText w:val="%1)"/>
      <w:lvlJc w:val="left"/>
      <w:pPr>
        <w:ind w:left="620" w:hanging="320"/>
      </w:pPr>
      <w:rPr>
        <w:rFonts w:ascii="Century Gothic" w:eastAsia="Century Gothic" w:hAnsi="Century Gothic" w:cs="Century Gothic" w:hint="default"/>
        <w:color w:val="2E5497"/>
        <w:spacing w:val="-1"/>
        <w:w w:val="100"/>
        <w:sz w:val="24"/>
        <w:szCs w:val="24"/>
      </w:rPr>
    </w:lvl>
    <w:lvl w:ilvl="1" w:tplc="5C4410DC">
      <w:numFmt w:val="bullet"/>
      <w:lvlText w:val=""/>
      <w:lvlJc w:val="left"/>
      <w:pPr>
        <w:ind w:left="1020" w:hanging="360"/>
      </w:pPr>
      <w:rPr>
        <w:rFonts w:ascii="Symbol" w:eastAsia="Symbol" w:hAnsi="Symbol" w:cs="Symbol" w:hint="default"/>
        <w:color w:val="231F20"/>
        <w:w w:val="99"/>
        <w:sz w:val="14"/>
        <w:szCs w:val="14"/>
      </w:rPr>
    </w:lvl>
    <w:lvl w:ilvl="2" w:tplc="0A885654">
      <w:numFmt w:val="bullet"/>
      <w:lvlText w:val="•"/>
      <w:lvlJc w:val="left"/>
      <w:pPr>
        <w:ind w:left="1993" w:hanging="360"/>
      </w:pPr>
      <w:rPr>
        <w:rFonts w:hint="default"/>
      </w:rPr>
    </w:lvl>
    <w:lvl w:ilvl="3" w:tplc="28FE235C">
      <w:numFmt w:val="bullet"/>
      <w:lvlText w:val="•"/>
      <w:lvlJc w:val="left"/>
      <w:pPr>
        <w:ind w:left="2966" w:hanging="360"/>
      </w:pPr>
      <w:rPr>
        <w:rFonts w:hint="default"/>
      </w:rPr>
    </w:lvl>
    <w:lvl w:ilvl="4" w:tplc="DF462550">
      <w:numFmt w:val="bullet"/>
      <w:lvlText w:val="•"/>
      <w:lvlJc w:val="left"/>
      <w:pPr>
        <w:ind w:left="3940" w:hanging="360"/>
      </w:pPr>
      <w:rPr>
        <w:rFonts w:hint="default"/>
      </w:rPr>
    </w:lvl>
    <w:lvl w:ilvl="5" w:tplc="D098D06C">
      <w:numFmt w:val="bullet"/>
      <w:lvlText w:val="•"/>
      <w:lvlJc w:val="left"/>
      <w:pPr>
        <w:ind w:left="4913" w:hanging="360"/>
      </w:pPr>
      <w:rPr>
        <w:rFonts w:hint="default"/>
      </w:rPr>
    </w:lvl>
    <w:lvl w:ilvl="6" w:tplc="5E463D86">
      <w:numFmt w:val="bullet"/>
      <w:lvlText w:val="•"/>
      <w:lvlJc w:val="left"/>
      <w:pPr>
        <w:ind w:left="5886" w:hanging="360"/>
      </w:pPr>
      <w:rPr>
        <w:rFonts w:hint="default"/>
      </w:rPr>
    </w:lvl>
    <w:lvl w:ilvl="7" w:tplc="9D8A3C96">
      <w:numFmt w:val="bullet"/>
      <w:lvlText w:val="•"/>
      <w:lvlJc w:val="left"/>
      <w:pPr>
        <w:ind w:left="6860" w:hanging="360"/>
      </w:pPr>
      <w:rPr>
        <w:rFonts w:hint="default"/>
      </w:rPr>
    </w:lvl>
    <w:lvl w:ilvl="8" w:tplc="C050555C">
      <w:numFmt w:val="bullet"/>
      <w:lvlText w:val="•"/>
      <w:lvlJc w:val="left"/>
      <w:pPr>
        <w:ind w:left="7833" w:hanging="360"/>
      </w:pPr>
      <w:rPr>
        <w:rFonts w:hint="default"/>
      </w:rPr>
    </w:lvl>
  </w:abstractNum>
  <w:abstractNum w:abstractNumId="3" w15:restartNumberingAfterBreak="0">
    <w:nsid w:val="070A34D4"/>
    <w:multiLevelType w:val="hybridMultilevel"/>
    <w:tmpl w:val="240078B2"/>
    <w:lvl w:ilvl="0" w:tplc="91DE9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2170AB"/>
    <w:multiLevelType w:val="hybridMultilevel"/>
    <w:tmpl w:val="248440E2"/>
    <w:lvl w:ilvl="0" w:tplc="A0F45B60">
      <w:numFmt w:val="bullet"/>
      <w:lvlText w:val=""/>
      <w:lvlJc w:val="left"/>
      <w:pPr>
        <w:ind w:left="1020" w:hanging="360"/>
      </w:pPr>
      <w:rPr>
        <w:rFonts w:ascii="Symbol" w:eastAsia="Symbol" w:hAnsi="Symbol" w:cs="Symbol" w:hint="default"/>
        <w:color w:val="231F20"/>
        <w:w w:val="100"/>
        <w:sz w:val="24"/>
        <w:szCs w:val="24"/>
      </w:rPr>
    </w:lvl>
    <w:lvl w:ilvl="1" w:tplc="DC9CD2EA">
      <w:numFmt w:val="bullet"/>
      <w:lvlText w:val="•"/>
      <w:lvlJc w:val="left"/>
      <w:pPr>
        <w:ind w:left="1896" w:hanging="360"/>
      </w:pPr>
      <w:rPr>
        <w:rFonts w:hint="default"/>
      </w:rPr>
    </w:lvl>
    <w:lvl w:ilvl="2" w:tplc="FCDAEE20">
      <w:numFmt w:val="bullet"/>
      <w:lvlText w:val="•"/>
      <w:lvlJc w:val="left"/>
      <w:pPr>
        <w:ind w:left="2772" w:hanging="360"/>
      </w:pPr>
      <w:rPr>
        <w:rFonts w:hint="default"/>
      </w:rPr>
    </w:lvl>
    <w:lvl w:ilvl="3" w:tplc="FEFE1518">
      <w:numFmt w:val="bullet"/>
      <w:lvlText w:val="•"/>
      <w:lvlJc w:val="left"/>
      <w:pPr>
        <w:ind w:left="3648" w:hanging="360"/>
      </w:pPr>
      <w:rPr>
        <w:rFonts w:hint="default"/>
      </w:rPr>
    </w:lvl>
    <w:lvl w:ilvl="4" w:tplc="A20AE176">
      <w:numFmt w:val="bullet"/>
      <w:lvlText w:val="•"/>
      <w:lvlJc w:val="left"/>
      <w:pPr>
        <w:ind w:left="4524" w:hanging="360"/>
      </w:pPr>
      <w:rPr>
        <w:rFonts w:hint="default"/>
      </w:rPr>
    </w:lvl>
    <w:lvl w:ilvl="5" w:tplc="F48A0DFA">
      <w:numFmt w:val="bullet"/>
      <w:lvlText w:val="•"/>
      <w:lvlJc w:val="left"/>
      <w:pPr>
        <w:ind w:left="5400" w:hanging="360"/>
      </w:pPr>
      <w:rPr>
        <w:rFonts w:hint="default"/>
      </w:rPr>
    </w:lvl>
    <w:lvl w:ilvl="6" w:tplc="7DB4E64C">
      <w:numFmt w:val="bullet"/>
      <w:lvlText w:val="•"/>
      <w:lvlJc w:val="left"/>
      <w:pPr>
        <w:ind w:left="6276" w:hanging="360"/>
      </w:pPr>
      <w:rPr>
        <w:rFonts w:hint="default"/>
      </w:rPr>
    </w:lvl>
    <w:lvl w:ilvl="7" w:tplc="A8CE61B4">
      <w:numFmt w:val="bullet"/>
      <w:lvlText w:val="•"/>
      <w:lvlJc w:val="left"/>
      <w:pPr>
        <w:ind w:left="7152" w:hanging="360"/>
      </w:pPr>
      <w:rPr>
        <w:rFonts w:hint="default"/>
      </w:rPr>
    </w:lvl>
    <w:lvl w:ilvl="8" w:tplc="CA0CC7FE">
      <w:numFmt w:val="bullet"/>
      <w:lvlText w:val="•"/>
      <w:lvlJc w:val="left"/>
      <w:pPr>
        <w:ind w:left="8028" w:hanging="360"/>
      </w:pPr>
      <w:rPr>
        <w:rFonts w:hint="default"/>
      </w:rPr>
    </w:lvl>
  </w:abstractNum>
  <w:abstractNum w:abstractNumId="5" w15:restartNumberingAfterBreak="0">
    <w:nsid w:val="0D681007"/>
    <w:multiLevelType w:val="multilevel"/>
    <w:tmpl w:val="F0B4BDF0"/>
    <w:lvl w:ilvl="0">
      <w:start w:val="1"/>
      <w:numFmt w:val="decimal"/>
      <w:lvlText w:val="%1."/>
      <w:lvlJc w:val="left"/>
      <w:pPr>
        <w:ind w:left="720" w:hanging="720"/>
      </w:pPr>
      <w:rPr>
        <w:rFonts w:ascii="Book Antiqua" w:hAnsi="Book Antiqua" w:hint="default"/>
        <w:b w:val="0"/>
        <w:bCs/>
        <w:i w:val="0"/>
        <w:caps w:val="0"/>
        <w:strike w:val="0"/>
        <w:dstrike w:val="0"/>
        <w:vanish w:val="0"/>
        <w:color w:val="auto"/>
        <w:kern w:val="0"/>
        <w:position w:val="0"/>
        <w:sz w:val="26"/>
        <w:szCs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6" w15:restartNumberingAfterBreak="0">
    <w:nsid w:val="0E1601D7"/>
    <w:multiLevelType w:val="multilevel"/>
    <w:tmpl w:val="7C74EDB2"/>
    <w:lvl w:ilvl="0">
      <w:start w:val="1"/>
      <w:numFmt w:val="decimal"/>
      <w:lvlText w:val="%1."/>
      <w:lvlJc w:val="left"/>
      <w:pPr>
        <w:ind w:left="720" w:hanging="720"/>
      </w:pPr>
      <w:rPr>
        <w:rFonts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7"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8" w15:restartNumberingAfterBreak="0">
    <w:nsid w:val="15F056CB"/>
    <w:multiLevelType w:val="multilevel"/>
    <w:tmpl w:val="18F4A5AC"/>
    <w:numStyleLink w:val="FoFCoLOP"/>
  </w:abstractNum>
  <w:abstractNum w:abstractNumId="9" w15:restartNumberingAfterBreak="0">
    <w:nsid w:val="1CD67F4B"/>
    <w:multiLevelType w:val="hybridMultilevel"/>
    <w:tmpl w:val="C2A26642"/>
    <w:lvl w:ilvl="0" w:tplc="7A988B5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70038F"/>
    <w:multiLevelType w:val="multilevel"/>
    <w:tmpl w:val="3C526EDE"/>
    <w:numStyleLink w:val="Headings"/>
  </w:abstractNum>
  <w:abstractNum w:abstractNumId="11" w15:restartNumberingAfterBreak="0">
    <w:nsid w:val="1E2242C9"/>
    <w:multiLevelType w:val="multilevel"/>
    <w:tmpl w:val="3C526EDE"/>
    <w:numStyleLink w:val="Headings"/>
  </w:abstractNum>
  <w:abstractNum w:abstractNumId="12" w15:restartNumberingAfterBreak="0">
    <w:nsid w:val="21FB58FE"/>
    <w:multiLevelType w:val="multilevel"/>
    <w:tmpl w:val="3C526EDE"/>
    <w:numStyleLink w:val="Headings"/>
  </w:abstractNum>
  <w:abstractNum w:abstractNumId="13" w15:restartNumberingAfterBreak="0">
    <w:nsid w:val="243663A0"/>
    <w:multiLevelType w:val="multilevel"/>
    <w:tmpl w:val="3C526EDE"/>
    <w:numStyleLink w:val="Headings"/>
  </w:abstractNum>
  <w:abstractNum w:abstractNumId="14" w15:restartNumberingAfterBreak="0">
    <w:nsid w:val="25920ACE"/>
    <w:multiLevelType w:val="hybridMultilevel"/>
    <w:tmpl w:val="B0C27E6E"/>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 w15:restartNumberingAfterBreak="0">
    <w:nsid w:val="2AAE049D"/>
    <w:multiLevelType w:val="hybridMultilevel"/>
    <w:tmpl w:val="5810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124D7"/>
    <w:multiLevelType w:val="multilevel"/>
    <w:tmpl w:val="3C526EDE"/>
    <w:numStyleLink w:val="Headings"/>
  </w:abstractNum>
  <w:abstractNum w:abstractNumId="17" w15:restartNumberingAfterBreak="0">
    <w:nsid w:val="31845CC2"/>
    <w:multiLevelType w:val="hybridMultilevel"/>
    <w:tmpl w:val="B0C27E6E"/>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8" w15:restartNumberingAfterBreak="0">
    <w:nsid w:val="331F6D42"/>
    <w:multiLevelType w:val="multilevel"/>
    <w:tmpl w:val="3C526EDE"/>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9" w15:restartNumberingAfterBreak="0">
    <w:nsid w:val="36564934"/>
    <w:multiLevelType w:val="hybridMultilevel"/>
    <w:tmpl w:val="10A00A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0B15065"/>
    <w:multiLevelType w:val="hybridMultilevel"/>
    <w:tmpl w:val="203A9FC4"/>
    <w:lvl w:ilvl="0" w:tplc="78026C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0474C"/>
    <w:multiLevelType w:val="hybridMultilevel"/>
    <w:tmpl w:val="DE527130"/>
    <w:lvl w:ilvl="0" w:tplc="C9FE9228">
      <w:numFmt w:val="bullet"/>
      <w:lvlText w:val=""/>
      <w:lvlJc w:val="left"/>
      <w:pPr>
        <w:ind w:left="1020" w:hanging="360"/>
      </w:pPr>
      <w:rPr>
        <w:rFonts w:ascii="Symbol" w:eastAsia="Symbol" w:hAnsi="Symbol" w:cs="Symbol" w:hint="default"/>
        <w:color w:val="231F20"/>
        <w:w w:val="100"/>
        <w:sz w:val="24"/>
        <w:szCs w:val="24"/>
      </w:rPr>
    </w:lvl>
    <w:lvl w:ilvl="1" w:tplc="6B6A54A8">
      <w:numFmt w:val="bullet"/>
      <w:lvlText w:val="•"/>
      <w:lvlJc w:val="left"/>
      <w:pPr>
        <w:ind w:left="1896" w:hanging="360"/>
      </w:pPr>
      <w:rPr>
        <w:rFonts w:hint="default"/>
      </w:rPr>
    </w:lvl>
    <w:lvl w:ilvl="2" w:tplc="031A4610">
      <w:numFmt w:val="bullet"/>
      <w:lvlText w:val="•"/>
      <w:lvlJc w:val="left"/>
      <w:pPr>
        <w:ind w:left="2772" w:hanging="360"/>
      </w:pPr>
      <w:rPr>
        <w:rFonts w:hint="default"/>
      </w:rPr>
    </w:lvl>
    <w:lvl w:ilvl="3" w:tplc="5F1C277E">
      <w:numFmt w:val="bullet"/>
      <w:lvlText w:val="•"/>
      <w:lvlJc w:val="left"/>
      <w:pPr>
        <w:ind w:left="3648" w:hanging="360"/>
      </w:pPr>
      <w:rPr>
        <w:rFonts w:hint="default"/>
      </w:rPr>
    </w:lvl>
    <w:lvl w:ilvl="4" w:tplc="954645AC">
      <w:numFmt w:val="bullet"/>
      <w:lvlText w:val="•"/>
      <w:lvlJc w:val="left"/>
      <w:pPr>
        <w:ind w:left="4524" w:hanging="360"/>
      </w:pPr>
      <w:rPr>
        <w:rFonts w:hint="default"/>
      </w:rPr>
    </w:lvl>
    <w:lvl w:ilvl="5" w:tplc="385C8F0C">
      <w:numFmt w:val="bullet"/>
      <w:lvlText w:val="•"/>
      <w:lvlJc w:val="left"/>
      <w:pPr>
        <w:ind w:left="5400" w:hanging="360"/>
      </w:pPr>
      <w:rPr>
        <w:rFonts w:hint="default"/>
      </w:rPr>
    </w:lvl>
    <w:lvl w:ilvl="6" w:tplc="3B9C49C0">
      <w:numFmt w:val="bullet"/>
      <w:lvlText w:val="•"/>
      <w:lvlJc w:val="left"/>
      <w:pPr>
        <w:ind w:left="6276" w:hanging="360"/>
      </w:pPr>
      <w:rPr>
        <w:rFonts w:hint="default"/>
      </w:rPr>
    </w:lvl>
    <w:lvl w:ilvl="7" w:tplc="A6F46AB2">
      <w:numFmt w:val="bullet"/>
      <w:lvlText w:val="•"/>
      <w:lvlJc w:val="left"/>
      <w:pPr>
        <w:ind w:left="7152" w:hanging="360"/>
      </w:pPr>
      <w:rPr>
        <w:rFonts w:hint="default"/>
      </w:rPr>
    </w:lvl>
    <w:lvl w:ilvl="8" w:tplc="A7E68E84">
      <w:numFmt w:val="bullet"/>
      <w:lvlText w:val="•"/>
      <w:lvlJc w:val="left"/>
      <w:pPr>
        <w:ind w:left="8028" w:hanging="360"/>
      </w:pPr>
      <w:rPr>
        <w:rFonts w:hint="default"/>
      </w:rPr>
    </w:lvl>
  </w:abstractNum>
  <w:abstractNum w:abstractNumId="22" w15:restartNumberingAfterBreak="0">
    <w:nsid w:val="56327A13"/>
    <w:multiLevelType w:val="multilevel"/>
    <w:tmpl w:val="EA9AA822"/>
    <w:lvl w:ilvl="0">
      <w:start w:val="1"/>
      <w:numFmt w:val="decimal"/>
      <w:lvlText w:val="%1."/>
      <w:lvlJc w:val="left"/>
      <w:pPr>
        <w:ind w:left="720" w:hanging="720"/>
      </w:pPr>
      <w:rPr>
        <w:rFonts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3" w15:restartNumberingAfterBreak="0">
    <w:nsid w:val="57D00972"/>
    <w:multiLevelType w:val="hybridMultilevel"/>
    <w:tmpl w:val="0EFE6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D042D7"/>
    <w:multiLevelType w:val="multilevel"/>
    <w:tmpl w:val="18F4A5AC"/>
    <w:numStyleLink w:val="FoFCoLOP"/>
  </w:abstractNum>
  <w:abstractNum w:abstractNumId="25" w15:restartNumberingAfterBreak="0">
    <w:nsid w:val="5A9E2171"/>
    <w:multiLevelType w:val="multilevel"/>
    <w:tmpl w:val="3C526EDE"/>
    <w:numStyleLink w:val="Headings"/>
  </w:abstractNum>
  <w:abstractNum w:abstractNumId="26" w15:restartNumberingAfterBreak="0">
    <w:nsid w:val="61A25780"/>
    <w:multiLevelType w:val="multilevel"/>
    <w:tmpl w:val="3C526EDE"/>
    <w:numStyleLink w:val="Headings"/>
  </w:abstractNum>
  <w:abstractNum w:abstractNumId="27" w15:restartNumberingAfterBreak="0">
    <w:nsid w:val="61B10E7F"/>
    <w:multiLevelType w:val="hybridMultilevel"/>
    <w:tmpl w:val="C7B865BA"/>
    <w:lvl w:ilvl="0" w:tplc="9C1E9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482001"/>
    <w:multiLevelType w:val="hybridMultilevel"/>
    <w:tmpl w:val="D87A5B46"/>
    <w:lvl w:ilvl="0" w:tplc="F168BD68">
      <w:start w:val="1"/>
      <w:numFmt w:val="decimal"/>
      <w:lvlText w:val="%1."/>
      <w:lvlJc w:val="left"/>
      <w:pPr>
        <w:ind w:left="739" w:hanging="440"/>
      </w:pPr>
      <w:rPr>
        <w:rFonts w:ascii="Garamond" w:eastAsia="Garamond" w:hAnsi="Garamond" w:cs="Garamond" w:hint="default"/>
        <w:b/>
        <w:bCs/>
        <w:i/>
        <w:color w:val="231F20"/>
        <w:w w:val="96"/>
        <w:sz w:val="25"/>
        <w:szCs w:val="25"/>
      </w:rPr>
    </w:lvl>
    <w:lvl w:ilvl="1" w:tplc="B85C17DE">
      <w:start w:val="1"/>
      <w:numFmt w:val="lowerLetter"/>
      <w:lvlText w:val="%2."/>
      <w:lvlJc w:val="left"/>
      <w:pPr>
        <w:ind w:left="960" w:hanging="440"/>
      </w:pPr>
      <w:rPr>
        <w:rFonts w:ascii="Garamond" w:eastAsia="Garamond" w:hAnsi="Garamond" w:cs="Garamond" w:hint="default"/>
        <w:b/>
        <w:bCs/>
        <w:color w:val="231F20"/>
        <w:spacing w:val="-1"/>
        <w:w w:val="100"/>
        <w:sz w:val="24"/>
        <w:szCs w:val="24"/>
      </w:rPr>
    </w:lvl>
    <w:lvl w:ilvl="2" w:tplc="0ED0AA0A">
      <w:start w:val="1"/>
      <w:numFmt w:val="lowerRoman"/>
      <w:lvlText w:val="%3."/>
      <w:lvlJc w:val="left"/>
      <w:pPr>
        <w:ind w:left="1181" w:hanging="442"/>
      </w:pPr>
      <w:rPr>
        <w:rFonts w:hint="default"/>
        <w:spacing w:val="-1"/>
        <w:w w:val="99"/>
      </w:rPr>
    </w:lvl>
    <w:lvl w:ilvl="3" w:tplc="EF645826">
      <w:numFmt w:val="bullet"/>
      <w:lvlText w:val="•"/>
      <w:lvlJc w:val="left"/>
      <w:pPr>
        <w:ind w:left="2255" w:hanging="442"/>
      </w:pPr>
      <w:rPr>
        <w:rFonts w:hint="default"/>
      </w:rPr>
    </w:lvl>
    <w:lvl w:ilvl="4" w:tplc="258CBB88">
      <w:numFmt w:val="bullet"/>
      <w:lvlText w:val="•"/>
      <w:lvlJc w:val="left"/>
      <w:pPr>
        <w:ind w:left="3330" w:hanging="442"/>
      </w:pPr>
      <w:rPr>
        <w:rFonts w:hint="default"/>
      </w:rPr>
    </w:lvl>
    <w:lvl w:ilvl="5" w:tplc="FAC03C56">
      <w:numFmt w:val="bullet"/>
      <w:lvlText w:val="•"/>
      <w:lvlJc w:val="left"/>
      <w:pPr>
        <w:ind w:left="4405" w:hanging="442"/>
      </w:pPr>
      <w:rPr>
        <w:rFonts w:hint="default"/>
      </w:rPr>
    </w:lvl>
    <w:lvl w:ilvl="6" w:tplc="2230EF0E">
      <w:numFmt w:val="bullet"/>
      <w:lvlText w:val="•"/>
      <w:lvlJc w:val="left"/>
      <w:pPr>
        <w:ind w:left="5480" w:hanging="442"/>
      </w:pPr>
      <w:rPr>
        <w:rFonts w:hint="default"/>
      </w:rPr>
    </w:lvl>
    <w:lvl w:ilvl="7" w:tplc="71C405F4">
      <w:numFmt w:val="bullet"/>
      <w:lvlText w:val="•"/>
      <w:lvlJc w:val="left"/>
      <w:pPr>
        <w:ind w:left="6555" w:hanging="442"/>
      </w:pPr>
      <w:rPr>
        <w:rFonts w:hint="default"/>
      </w:rPr>
    </w:lvl>
    <w:lvl w:ilvl="8" w:tplc="C8503738">
      <w:numFmt w:val="bullet"/>
      <w:lvlText w:val="•"/>
      <w:lvlJc w:val="left"/>
      <w:pPr>
        <w:ind w:left="7630" w:hanging="442"/>
      </w:pPr>
      <w:rPr>
        <w:rFonts w:hint="default"/>
      </w:rPr>
    </w:lvl>
  </w:abstractNum>
  <w:abstractNum w:abstractNumId="29"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743BB4"/>
    <w:multiLevelType w:val="multilevel"/>
    <w:tmpl w:val="C0840C14"/>
    <w:lvl w:ilvl="0">
      <w:start w:val="1"/>
      <w:numFmt w:val="decimal"/>
      <w:lvlText w:val="%1."/>
      <w:lvlJc w:val="left"/>
      <w:pPr>
        <w:ind w:left="720" w:hanging="360"/>
      </w:pPr>
    </w:lvl>
    <w:lvl w:ilvl="1">
      <w:start w:val="4"/>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E74149"/>
    <w:multiLevelType w:val="hybridMultilevel"/>
    <w:tmpl w:val="9112DFE0"/>
    <w:lvl w:ilvl="0" w:tplc="20A4AE1C">
      <w:start w:val="1"/>
      <w:numFmt w:val="decimal"/>
      <w:lvlText w:val="%1."/>
      <w:lvlJc w:val="left"/>
      <w:pPr>
        <w:ind w:left="659" w:hanging="360"/>
      </w:pPr>
      <w:rPr>
        <w:rFonts w:ascii="Century Gothic" w:eastAsia="Century Gothic" w:hAnsi="Century Gothic" w:cs="Century Gothic" w:hint="default"/>
        <w:color w:val="2E5497"/>
        <w:w w:val="99"/>
        <w:sz w:val="32"/>
        <w:szCs w:val="32"/>
      </w:rPr>
    </w:lvl>
    <w:lvl w:ilvl="1" w:tplc="DD48B8AE">
      <w:start w:val="1"/>
      <w:numFmt w:val="lowerLetter"/>
      <w:lvlText w:val="%2."/>
      <w:lvlJc w:val="left"/>
      <w:pPr>
        <w:ind w:left="1021" w:hanging="361"/>
      </w:pPr>
      <w:rPr>
        <w:rFonts w:ascii="Century Gothic" w:eastAsia="Century Gothic" w:hAnsi="Century Gothic" w:cs="Century Gothic" w:hint="default"/>
        <w:color w:val="2E5497"/>
        <w:spacing w:val="-1"/>
        <w:w w:val="100"/>
        <w:sz w:val="30"/>
        <w:szCs w:val="30"/>
      </w:rPr>
    </w:lvl>
    <w:lvl w:ilvl="2" w:tplc="60EA76AC">
      <w:start w:val="1"/>
      <w:numFmt w:val="lowerRoman"/>
      <w:lvlText w:val="%3."/>
      <w:lvlJc w:val="left"/>
      <w:pPr>
        <w:ind w:left="1380" w:hanging="361"/>
      </w:pPr>
      <w:rPr>
        <w:rFonts w:hint="default"/>
        <w:spacing w:val="-2"/>
        <w:w w:val="100"/>
      </w:rPr>
    </w:lvl>
    <w:lvl w:ilvl="3" w:tplc="26EED3B2">
      <w:start w:val="1"/>
      <w:numFmt w:val="decimal"/>
      <w:lvlText w:val="%4)"/>
      <w:lvlJc w:val="left"/>
      <w:pPr>
        <w:ind w:left="1740" w:hanging="361"/>
      </w:pPr>
      <w:rPr>
        <w:rFonts w:ascii="Century Gothic" w:eastAsia="Century Gothic" w:hAnsi="Century Gothic" w:cs="Century Gothic" w:hint="default"/>
        <w:i/>
        <w:color w:val="2E5497"/>
        <w:w w:val="99"/>
        <w:sz w:val="26"/>
        <w:szCs w:val="26"/>
      </w:rPr>
    </w:lvl>
    <w:lvl w:ilvl="4" w:tplc="049C100A">
      <w:start w:val="1"/>
      <w:numFmt w:val="lowerLetter"/>
      <w:lvlText w:val="%5)"/>
      <w:lvlJc w:val="left"/>
      <w:pPr>
        <w:ind w:left="2100" w:hanging="361"/>
      </w:pPr>
      <w:rPr>
        <w:rFonts w:ascii="Century Gothic" w:eastAsia="Century Gothic" w:hAnsi="Century Gothic" w:cs="Century Gothic" w:hint="default"/>
        <w:color w:val="2E5497"/>
        <w:spacing w:val="-25"/>
        <w:w w:val="100"/>
        <w:sz w:val="24"/>
        <w:szCs w:val="24"/>
      </w:rPr>
    </w:lvl>
    <w:lvl w:ilvl="5" w:tplc="CE2620B6">
      <w:start w:val="1"/>
      <w:numFmt w:val="lowerRoman"/>
      <w:lvlText w:val="%6)"/>
      <w:lvlJc w:val="left"/>
      <w:pPr>
        <w:ind w:left="2460" w:hanging="361"/>
      </w:pPr>
      <w:rPr>
        <w:rFonts w:ascii="Century Gothic" w:eastAsia="Century Gothic" w:hAnsi="Century Gothic" w:cs="Century Gothic" w:hint="default"/>
        <w:i/>
        <w:color w:val="1E3763"/>
        <w:spacing w:val="-2"/>
        <w:w w:val="100"/>
        <w:sz w:val="24"/>
        <w:szCs w:val="24"/>
      </w:rPr>
    </w:lvl>
    <w:lvl w:ilvl="6" w:tplc="675A62DE">
      <w:numFmt w:val="bullet"/>
      <w:lvlText w:val="•"/>
      <w:lvlJc w:val="left"/>
      <w:pPr>
        <w:ind w:left="3924" w:hanging="361"/>
      </w:pPr>
      <w:rPr>
        <w:rFonts w:hint="default"/>
      </w:rPr>
    </w:lvl>
    <w:lvl w:ilvl="7" w:tplc="777C5BDA">
      <w:numFmt w:val="bullet"/>
      <w:lvlText w:val="•"/>
      <w:lvlJc w:val="left"/>
      <w:pPr>
        <w:ind w:left="5388" w:hanging="361"/>
      </w:pPr>
      <w:rPr>
        <w:rFonts w:hint="default"/>
      </w:rPr>
    </w:lvl>
    <w:lvl w:ilvl="8" w:tplc="115EAEF8">
      <w:numFmt w:val="bullet"/>
      <w:lvlText w:val="•"/>
      <w:lvlJc w:val="left"/>
      <w:pPr>
        <w:ind w:left="6852" w:hanging="361"/>
      </w:pPr>
      <w:rPr>
        <w:rFonts w:hint="default"/>
      </w:rPr>
    </w:lvl>
  </w:abstractNum>
  <w:abstractNum w:abstractNumId="32" w15:restartNumberingAfterBreak="0">
    <w:nsid w:val="789A0AFE"/>
    <w:multiLevelType w:val="multilevel"/>
    <w:tmpl w:val="18F4A5AC"/>
    <w:numStyleLink w:val="FoFCoLOP"/>
  </w:abstractNum>
  <w:num w:numId="1">
    <w:abstractNumId w:val="30"/>
  </w:num>
  <w:num w:numId="2">
    <w:abstractNumId w:val="25"/>
    <w:lvlOverride w:ilvl="0">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Override>
    <w:lvlOverride w:ilvl="1">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Override>
    <w:lvlOverride w:ilvl="2">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Override>
    <w:lvlOverride w:ilvl="3">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Override>
    <w:lvlOverride w:ilvl="4">
      <w:lvl w:ilvl="4">
        <w:start w:val="1"/>
        <w:numFmt w:val="decimal"/>
        <w:lvlText w:val="%1.%2.%3.%4.%5."/>
        <w:lvlJc w:val="left"/>
        <w:pPr>
          <w:tabs>
            <w:tab w:val="num" w:pos="2880"/>
          </w:tabs>
          <w:ind w:left="2880" w:hanging="1440"/>
        </w:pPr>
        <w:rPr>
          <w:rFonts w:ascii="Arial" w:hAnsi="Arial" w:hint="default"/>
          <w:b/>
          <w:i w:val="0"/>
          <w:sz w:val="26"/>
        </w:rPr>
      </w:lvl>
    </w:lvlOverride>
    <w:lvlOverride w:ilvl="5">
      <w:lvl w:ilvl="5">
        <w:start w:val="1"/>
        <w:numFmt w:val="decimal"/>
        <w:lvlText w:val="%1.%2.%3.%4.%5.%6."/>
        <w:lvlJc w:val="left"/>
        <w:pPr>
          <w:tabs>
            <w:tab w:val="num" w:pos="3528"/>
          </w:tabs>
          <w:ind w:left="3528" w:hanging="1728"/>
        </w:pPr>
        <w:rPr>
          <w:rFonts w:ascii="Arial" w:hAnsi="Arial" w:hint="default"/>
          <w:b/>
          <w:i w:val="0"/>
          <w:sz w:val="26"/>
        </w:rPr>
      </w:lvl>
    </w:lvlOverride>
    <w:lvlOverride w:ilvl="6">
      <w:lvl w:ilvl="6">
        <w:start w:val="1"/>
        <w:numFmt w:val="decimal"/>
        <w:lvlText w:val="%7."/>
        <w:lvlJc w:val="left"/>
        <w:pPr>
          <w:tabs>
            <w:tab w:val="num" w:pos="1080"/>
          </w:tabs>
          <w:ind w:left="1080" w:hanging="360"/>
        </w:pPr>
        <w:rPr>
          <w:rFonts w:ascii="Book Antiqua" w:hAnsi="Book Antiqua" w:hint="default"/>
          <w:b w:val="0"/>
          <w:i w:val="0"/>
          <w:sz w:val="26"/>
        </w:rPr>
      </w:lvl>
    </w:lvlOverride>
    <w:lvlOverride w:ilvl="7">
      <w:lvl w:ilvl="7">
        <w:start w:val="1"/>
        <w:numFmt w:val="lowerLetter"/>
        <w:lvlText w:val="%8."/>
        <w:lvlJc w:val="left"/>
        <w:pPr>
          <w:ind w:left="1080" w:hanging="360"/>
        </w:pPr>
        <w:rPr>
          <w:rFonts w:ascii="Book Antiqua" w:hAnsi="Book Antiqua" w:hint="default"/>
          <w:sz w:val="26"/>
        </w:rPr>
      </w:lvl>
    </w:lvlOverride>
    <w:lvlOverride w:ilvl="8">
      <w:lvl w:ilvl="8">
        <w:start w:val="1"/>
        <w:numFmt w:val="none"/>
        <w:lvlText w:val=""/>
        <w:lvlJc w:val="left"/>
        <w:pPr>
          <w:ind w:left="3240" w:hanging="360"/>
        </w:pPr>
        <w:rPr>
          <w:rFonts w:hint="default"/>
        </w:rPr>
      </w:lvl>
    </w:lvlOverride>
  </w:num>
  <w:num w:numId="3">
    <w:abstractNumId w:val="7"/>
  </w:num>
  <w:num w:numId="4">
    <w:abstractNumId w:val="24"/>
  </w:num>
  <w:num w:numId="5">
    <w:abstractNumId w:val="8"/>
  </w:num>
  <w:num w:numId="6">
    <w:abstractNumId w:val="32"/>
  </w:num>
  <w:num w:numId="7">
    <w:abstractNumId w:val="18"/>
  </w:num>
  <w:num w:numId="8">
    <w:abstractNumId w:val="11"/>
  </w:num>
  <w:num w:numId="9">
    <w:abstractNumId w:val="29"/>
  </w:num>
  <w:num w:numId="10">
    <w:abstractNumId w:val="0"/>
  </w:num>
  <w:num w:numId="11">
    <w:abstractNumId w:val="10"/>
  </w:num>
  <w:num w:numId="12">
    <w:abstractNumId w:val="12"/>
  </w:num>
  <w:num w:numId="13">
    <w:abstractNumId w:val="9"/>
  </w:num>
  <w:num w:numId="14">
    <w:abstractNumId w:val="13"/>
  </w:num>
  <w:num w:numId="15">
    <w:abstractNumId w:val="16"/>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7"/>
  </w:num>
  <w:num w:numId="20">
    <w:abstractNumId w:val="15"/>
  </w:num>
  <w:num w:numId="21">
    <w:abstractNumId w:val="23"/>
  </w:num>
  <w:num w:numId="22">
    <w:abstractNumId w:val="14"/>
  </w:num>
  <w:num w:numId="23">
    <w:abstractNumId w:val="17"/>
  </w:num>
  <w:num w:numId="24">
    <w:abstractNumId w:val="20"/>
  </w:num>
  <w:num w:numId="25">
    <w:abstractNumId w:val="22"/>
  </w:num>
  <w:num w:numId="26">
    <w:abstractNumId w:val="6"/>
  </w:num>
  <w:num w:numId="27">
    <w:abstractNumId w:val="5"/>
  </w:num>
  <w:num w:numId="28">
    <w:abstractNumId w:val="21"/>
  </w:num>
  <w:num w:numId="29">
    <w:abstractNumId w:val="1"/>
  </w:num>
  <w:num w:numId="30">
    <w:abstractNumId w:val="2"/>
  </w:num>
  <w:num w:numId="31">
    <w:abstractNumId w:val="4"/>
  </w:num>
  <w:num w:numId="32">
    <w:abstractNumId w:val="31"/>
  </w:num>
  <w:num w:numId="33">
    <w:abstractNumId w:val="28"/>
  </w:num>
  <w:num w:numId="34">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ECD"/>
    <w:rsid w:val="00000F6A"/>
    <w:rsid w:val="00001085"/>
    <w:rsid w:val="00002028"/>
    <w:rsid w:val="00003DE2"/>
    <w:rsid w:val="00006DBB"/>
    <w:rsid w:val="0000708B"/>
    <w:rsid w:val="000077B2"/>
    <w:rsid w:val="00007BFD"/>
    <w:rsid w:val="00011B51"/>
    <w:rsid w:val="00011BA4"/>
    <w:rsid w:val="00013C19"/>
    <w:rsid w:val="00013C2E"/>
    <w:rsid w:val="00014CAE"/>
    <w:rsid w:val="00015B12"/>
    <w:rsid w:val="000168F6"/>
    <w:rsid w:val="00017FED"/>
    <w:rsid w:val="00020077"/>
    <w:rsid w:val="0002048A"/>
    <w:rsid w:val="00023217"/>
    <w:rsid w:val="00024028"/>
    <w:rsid w:val="0002472F"/>
    <w:rsid w:val="00024EC5"/>
    <w:rsid w:val="00025D84"/>
    <w:rsid w:val="00025D9E"/>
    <w:rsid w:val="00027A4E"/>
    <w:rsid w:val="00027B59"/>
    <w:rsid w:val="00030BF5"/>
    <w:rsid w:val="00033123"/>
    <w:rsid w:val="00034012"/>
    <w:rsid w:val="00034C4C"/>
    <w:rsid w:val="00036260"/>
    <w:rsid w:val="000363EA"/>
    <w:rsid w:val="0003744F"/>
    <w:rsid w:val="00037F17"/>
    <w:rsid w:val="000406B6"/>
    <w:rsid w:val="00040B97"/>
    <w:rsid w:val="00040D55"/>
    <w:rsid w:val="00042D20"/>
    <w:rsid w:val="00045447"/>
    <w:rsid w:val="00045B5A"/>
    <w:rsid w:val="00050454"/>
    <w:rsid w:val="000508AD"/>
    <w:rsid w:val="00050D19"/>
    <w:rsid w:val="00051F1D"/>
    <w:rsid w:val="00052AF1"/>
    <w:rsid w:val="00052B30"/>
    <w:rsid w:val="00052C1E"/>
    <w:rsid w:val="00052D1D"/>
    <w:rsid w:val="000535F3"/>
    <w:rsid w:val="00053F20"/>
    <w:rsid w:val="00054603"/>
    <w:rsid w:val="00054748"/>
    <w:rsid w:val="00054998"/>
    <w:rsid w:val="0006019C"/>
    <w:rsid w:val="00060C23"/>
    <w:rsid w:val="000633E6"/>
    <w:rsid w:val="000635C5"/>
    <w:rsid w:val="00063CE4"/>
    <w:rsid w:val="00065C95"/>
    <w:rsid w:val="00065E26"/>
    <w:rsid w:val="0006631E"/>
    <w:rsid w:val="00066B14"/>
    <w:rsid w:val="0007115A"/>
    <w:rsid w:val="00073D00"/>
    <w:rsid w:val="00074CD5"/>
    <w:rsid w:val="00074FDE"/>
    <w:rsid w:val="000753BF"/>
    <w:rsid w:val="00075400"/>
    <w:rsid w:val="00075E38"/>
    <w:rsid w:val="000768CD"/>
    <w:rsid w:val="00080DCE"/>
    <w:rsid w:val="00081DF5"/>
    <w:rsid w:val="00087190"/>
    <w:rsid w:val="00087742"/>
    <w:rsid w:val="00090300"/>
    <w:rsid w:val="00090695"/>
    <w:rsid w:val="000910AC"/>
    <w:rsid w:val="00091579"/>
    <w:rsid w:val="00093D2A"/>
    <w:rsid w:val="000947D2"/>
    <w:rsid w:val="00096796"/>
    <w:rsid w:val="000973C8"/>
    <w:rsid w:val="000A1C88"/>
    <w:rsid w:val="000A21AB"/>
    <w:rsid w:val="000A282E"/>
    <w:rsid w:val="000A2AA9"/>
    <w:rsid w:val="000A2F51"/>
    <w:rsid w:val="000A387F"/>
    <w:rsid w:val="000A3928"/>
    <w:rsid w:val="000A39E7"/>
    <w:rsid w:val="000A56F2"/>
    <w:rsid w:val="000A5E29"/>
    <w:rsid w:val="000A6E05"/>
    <w:rsid w:val="000B052F"/>
    <w:rsid w:val="000B12FA"/>
    <w:rsid w:val="000B2AE7"/>
    <w:rsid w:val="000B3405"/>
    <w:rsid w:val="000B40A4"/>
    <w:rsid w:val="000B4CFC"/>
    <w:rsid w:val="000B4F3B"/>
    <w:rsid w:val="000B52BE"/>
    <w:rsid w:val="000B5E73"/>
    <w:rsid w:val="000B5F35"/>
    <w:rsid w:val="000B6C8B"/>
    <w:rsid w:val="000C08BF"/>
    <w:rsid w:val="000C11FE"/>
    <w:rsid w:val="000C17B3"/>
    <w:rsid w:val="000C183A"/>
    <w:rsid w:val="000C1A8F"/>
    <w:rsid w:val="000C2010"/>
    <w:rsid w:val="000C3B9A"/>
    <w:rsid w:val="000C3E2C"/>
    <w:rsid w:val="000C4A8B"/>
    <w:rsid w:val="000C4F29"/>
    <w:rsid w:val="000C5B8A"/>
    <w:rsid w:val="000C5B9C"/>
    <w:rsid w:val="000C7456"/>
    <w:rsid w:val="000D0209"/>
    <w:rsid w:val="000D18AE"/>
    <w:rsid w:val="000D25A8"/>
    <w:rsid w:val="000D6A02"/>
    <w:rsid w:val="000D6AB5"/>
    <w:rsid w:val="000D72A8"/>
    <w:rsid w:val="000E06A5"/>
    <w:rsid w:val="000E087C"/>
    <w:rsid w:val="000E2253"/>
    <w:rsid w:val="000E227B"/>
    <w:rsid w:val="000E270A"/>
    <w:rsid w:val="000E4C53"/>
    <w:rsid w:val="000E4F73"/>
    <w:rsid w:val="000E5EDD"/>
    <w:rsid w:val="000E7D6E"/>
    <w:rsid w:val="000F044D"/>
    <w:rsid w:val="000F0896"/>
    <w:rsid w:val="000F13AA"/>
    <w:rsid w:val="000F41E1"/>
    <w:rsid w:val="000F50A6"/>
    <w:rsid w:val="000F548F"/>
    <w:rsid w:val="001008D1"/>
    <w:rsid w:val="00101856"/>
    <w:rsid w:val="00101AEA"/>
    <w:rsid w:val="001021D5"/>
    <w:rsid w:val="001033E0"/>
    <w:rsid w:val="00104EDD"/>
    <w:rsid w:val="00105C9F"/>
    <w:rsid w:val="00107A30"/>
    <w:rsid w:val="00107CE4"/>
    <w:rsid w:val="00111273"/>
    <w:rsid w:val="001122EC"/>
    <w:rsid w:val="00112577"/>
    <w:rsid w:val="00112A06"/>
    <w:rsid w:val="00112F9D"/>
    <w:rsid w:val="001138C2"/>
    <w:rsid w:val="001138D9"/>
    <w:rsid w:val="001139A2"/>
    <w:rsid w:val="00116EF1"/>
    <w:rsid w:val="00117879"/>
    <w:rsid w:val="00117FFE"/>
    <w:rsid w:val="00120783"/>
    <w:rsid w:val="00121089"/>
    <w:rsid w:val="00121E88"/>
    <w:rsid w:val="001237A3"/>
    <w:rsid w:val="00125074"/>
    <w:rsid w:val="0012534F"/>
    <w:rsid w:val="00125402"/>
    <w:rsid w:val="00127C74"/>
    <w:rsid w:val="00127DFB"/>
    <w:rsid w:val="001301AD"/>
    <w:rsid w:val="0013037A"/>
    <w:rsid w:val="00131109"/>
    <w:rsid w:val="0013324C"/>
    <w:rsid w:val="0013482C"/>
    <w:rsid w:val="00134B32"/>
    <w:rsid w:val="00134D06"/>
    <w:rsid w:val="00135BB7"/>
    <w:rsid w:val="001366B1"/>
    <w:rsid w:val="00136CF9"/>
    <w:rsid w:val="00136DEC"/>
    <w:rsid w:val="00137A1C"/>
    <w:rsid w:val="00140AFF"/>
    <w:rsid w:val="0014187D"/>
    <w:rsid w:val="00142A47"/>
    <w:rsid w:val="001433DA"/>
    <w:rsid w:val="00144DDF"/>
    <w:rsid w:val="0014581D"/>
    <w:rsid w:val="00145E2A"/>
    <w:rsid w:val="001474F7"/>
    <w:rsid w:val="001516C5"/>
    <w:rsid w:val="00152A74"/>
    <w:rsid w:val="00152ABB"/>
    <w:rsid w:val="00156282"/>
    <w:rsid w:val="001563FF"/>
    <w:rsid w:val="00156A79"/>
    <w:rsid w:val="0015708F"/>
    <w:rsid w:val="001574C1"/>
    <w:rsid w:val="001603D3"/>
    <w:rsid w:val="00161296"/>
    <w:rsid w:val="001622E4"/>
    <w:rsid w:val="0016285D"/>
    <w:rsid w:val="0016689C"/>
    <w:rsid w:val="00166D29"/>
    <w:rsid w:val="0017083A"/>
    <w:rsid w:val="001722FA"/>
    <w:rsid w:val="00173C53"/>
    <w:rsid w:val="0017614D"/>
    <w:rsid w:val="00177E15"/>
    <w:rsid w:val="0018039E"/>
    <w:rsid w:val="00180713"/>
    <w:rsid w:val="00180E95"/>
    <w:rsid w:val="00181A43"/>
    <w:rsid w:val="00181D07"/>
    <w:rsid w:val="001842F9"/>
    <w:rsid w:val="0018638F"/>
    <w:rsid w:val="00186424"/>
    <w:rsid w:val="00187180"/>
    <w:rsid w:val="00187960"/>
    <w:rsid w:val="00187B18"/>
    <w:rsid w:val="00187C8A"/>
    <w:rsid w:val="00190036"/>
    <w:rsid w:val="001901B9"/>
    <w:rsid w:val="001928AE"/>
    <w:rsid w:val="00193A5D"/>
    <w:rsid w:val="001969C5"/>
    <w:rsid w:val="00197968"/>
    <w:rsid w:val="00197BCC"/>
    <w:rsid w:val="001A06E3"/>
    <w:rsid w:val="001A16B2"/>
    <w:rsid w:val="001A33E0"/>
    <w:rsid w:val="001A36E4"/>
    <w:rsid w:val="001A50B7"/>
    <w:rsid w:val="001A5105"/>
    <w:rsid w:val="001A57F8"/>
    <w:rsid w:val="001A6413"/>
    <w:rsid w:val="001A6528"/>
    <w:rsid w:val="001A6F8B"/>
    <w:rsid w:val="001B194F"/>
    <w:rsid w:val="001B2DFD"/>
    <w:rsid w:val="001B51CF"/>
    <w:rsid w:val="001B60CE"/>
    <w:rsid w:val="001B727D"/>
    <w:rsid w:val="001C0522"/>
    <w:rsid w:val="001C065D"/>
    <w:rsid w:val="001C0A1C"/>
    <w:rsid w:val="001C1743"/>
    <w:rsid w:val="001C20AA"/>
    <w:rsid w:val="001C363F"/>
    <w:rsid w:val="001C4A7F"/>
    <w:rsid w:val="001C5BB0"/>
    <w:rsid w:val="001C68CE"/>
    <w:rsid w:val="001D0D84"/>
    <w:rsid w:val="001D7AEC"/>
    <w:rsid w:val="001D7FAF"/>
    <w:rsid w:val="001E11BE"/>
    <w:rsid w:val="001E1E4D"/>
    <w:rsid w:val="001E2A62"/>
    <w:rsid w:val="001E2DF7"/>
    <w:rsid w:val="001E4D96"/>
    <w:rsid w:val="001E71D2"/>
    <w:rsid w:val="001E731E"/>
    <w:rsid w:val="001F2819"/>
    <w:rsid w:val="001F49AD"/>
    <w:rsid w:val="001F4C19"/>
    <w:rsid w:val="001F51DF"/>
    <w:rsid w:val="001F6016"/>
    <w:rsid w:val="002017F0"/>
    <w:rsid w:val="00201B55"/>
    <w:rsid w:val="00201FC3"/>
    <w:rsid w:val="002021B0"/>
    <w:rsid w:val="002026D2"/>
    <w:rsid w:val="00203E7A"/>
    <w:rsid w:val="00203F6B"/>
    <w:rsid w:val="00204144"/>
    <w:rsid w:val="002043EC"/>
    <w:rsid w:val="002045EB"/>
    <w:rsid w:val="0020476C"/>
    <w:rsid w:val="00204946"/>
    <w:rsid w:val="00205C37"/>
    <w:rsid w:val="0020741F"/>
    <w:rsid w:val="002108DC"/>
    <w:rsid w:val="002113BC"/>
    <w:rsid w:val="00211A24"/>
    <w:rsid w:val="00214946"/>
    <w:rsid w:val="00216445"/>
    <w:rsid w:val="002165A5"/>
    <w:rsid w:val="00217493"/>
    <w:rsid w:val="0021772B"/>
    <w:rsid w:val="00220A47"/>
    <w:rsid w:val="00221216"/>
    <w:rsid w:val="00222E4C"/>
    <w:rsid w:val="00223691"/>
    <w:rsid w:val="00225B4B"/>
    <w:rsid w:val="00225BB6"/>
    <w:rsid w:val="002276E5"/>
    <w:rsid w:val="00230806"/>
    <w:rsid w:val="002357DD"/>
    <w:rsid w:val="00237BFB"/>
    <w:rsid w:val="00243507"/>
    <w:rsid w:val="0024380C"/>
    <w:rsid w:val="00243DC0"/>
    <w:rsid w:val="00247477"/>
    <w:rsid w:val="00247B7B"/>
    <w:rsid w:val="00247C04"/>
    <w:rsid w:val="002507C0"/>
    <w:rsid w:val="002512A6"/>
    <w:rsid w:val="00251552"/>
    <w:rsid w:val="0025471B"/>
    <w:rsid w:val="00255F04"/>
    <w:rsid w:val="00260473"/>
    <w:rsid w:val="00261955"/>
    <w:rsid w:val="002642A2"/>
    <w:rsid w:val="00265FC8"/>
    <w:rsid w:val="00266E69"/>
    <w:rsid w:val="0026798E"/>
    <w:rsid w:val="00270440"/>
    <w:rsid w:val="0027142D"/>
    <w:rsid w:val="00273646"/>
    <w:rsid w:val="00273AD3"/>
    <w:rsid w:val="00273C37"/>
    <w:rsid w:val="00274199"/>
    <w:rsid w:val="00275653"/>
    <w:rsid w:val="002757CA"/>
    <w:rsid w:val="00281B42"/>
    <w:rsid w:val="00284694"/>
    <w:rsid w:val="0028776E"/>
    <w:rsid w:val="0028779B"/>
    <w:rsid w:val="00287BC5"/>
    <w:rsid w:val="00290214"/>
    <w:rsid w:val="002904AC"/>
    <w:rsid w:val="00291CDA"/>
    <w:rsid w:val="0029208D"/>
    <w:rsid w:val="00292E25"/>
    <w:rsid w:val="00293DEE"/>
    <w:rsid w:val="00295B89"/>
    <w:rsid w:val="00295F0B"/>
    <w:rsid w:val="002A0B5D"/>
    <w:rsid w:val="002A33CD"/>
    <w:rsid w:val="002A559F"/>
    <w:rsid w:val="002A6264"/>
    <w:rsid w:val="002A6D99"/>
    <w:rsid w:val="002A771A"/>
    <w:rsid w:val="002A795D"/>
    <w:rsid w:val="002B03D4"/>
    <w:rsid w:val="002B2B41"/>
    <w:rsid w:val="002B395F"/>
    <w:rsid w:val="002B481F"/>
    <w:rsid w:val="002B500F"/>
    <w:rsid w:val="002B5C72"/>
    <w:rsid w:val="002B6CDC"/>
    <w:rsid w:val="002B6ED4"/>
    <w:rsid w:val="002B7252"/>
    <w:rsid w:val="002C0A2C"/>
    <w:rsid w:val="002C0DBC"/>
    <w:rsid w:val="002C11FD"/>
    <w:rsid w:val="002C23B9"/>
    <w:rsid w:val="002C25F1"/>
    <w:rsid w:val="002C2C19"/>
    <w:rsid w:val="002C2C86"/>
    <w:rsid w:val="002C318D"/>
    <w:rsid w:val="002C3878"/>
    <w:rsid w:val="002C3B14"/>
    <w:rsid w:val="002C43AC"/>
    <w:rsid w:val="002C44E7"/>
    <w:rsid w:val="002C7FE9"/>
    <w:rsid w:val="002D0C55"/>
    <w:rsid w:val="002D0DC5"/>
    <w:rsid w:val="002D2457"/>
    <w:rsid w:val="002D31EE"/>
    <w:rsid w:val="002D42FE"/>
    <w:rsid w:val="002D48A3"/>
    <w:rsid w:val="002D4B70"/>
    <w:rsid w:val="002D4EFD"/>
    <w:rsid w:val="002D57D0"/>
    <w:rsid w:val="002D5E26"/>
    <w:rsid w:val="002D727C"/>
    <w:rsid w:val="002D7E24"/>
    <w:rsid w:val="002E09E8"/>
    <w:rsid w:val="002E11C1"/>
    <w:rsid w:val="002E14FF"/>
    <w:rsid w:val="002E2A32"/>
    <w:rsid w:val="002E301F"/>
    <w:rsid w:val="002E383A"/>
    <w:rsid w:val="002E394C"/>
    <w:rsid w:val="002E3B34"/>
    <w:rsid w:val="002E53C8"/>
    <w:rsid w:val="002E6204"/>
    <w:rsid w:val="002E6CBF"/>
    <w:rsid w:val="002E705E"/>
    <w:rsid w:val="002F040E"/>
    <w:rsid w:val="002F0DD4"/>
    <w:rsid w:val="002F1861"/>
    <w:rsid w:val="002F2100"/>
    <w:rsid w:val="002F2F67"/>
    <w:rsid w:val="002F3E1E"/>
    <w:rsid w:val="002F447F"/>
    <w:rsid w:val="002F558E"/>
    <w:rsid w:val="002F558F"/>
    <w:rsid w:val="002F7685"/>
    <w:rsid w:val="002F7749"/>
    <w:rsid w:val="002F78D0"/>
    <w:rsid w:val="002F7D73"/>
    <w:rsid w:val="00300690"/>
    <w:rsid w:val="00300EBD"/>
    <w:rsid w:val="00301312"/>
    <w:rsid w:val="003027E5"/>
    <w:rsid w:val="00302D7B"/>
    <w:rsid w:val="003032DB"/>
    <w:rsid w:val="00303AD5"/>
    <w:rsid w:val="00304103"/>
    <w:rsid w:val="00305B13"/>
    <w:rsid w:val="00305C13"/>
    <w:rsid w:val="00306816"/>
    <w:rsid w:val="003069E3"/>
    <w:rsid w:val="00306AB1"/>
    <w:rsid w:val="00312714"/>
    <w:rsid w:val="0031365C"/>
    <w:rsid w:val="00313821"/>
    <w:rsid w:val="0031559C"/>
    <w:rsid w:val="00316071"/>
    <w:rsid w:val="00317FC0"/>
    <w:rsid w:val="00321684"/>
    <w:rsid w:val="00321F62"/>
    <w:rsid w:val="00323392"/>
    <w:rsid w:val="00323735"/>
    <w:rsid w:val="003244EA"/>
    <w:rsid w:val="00325CD2"/>
    <w:rsid w:val="00326C03"/>
    <w:rsid w:val="00327623"/>
    <w:rsid w:val="00330625"/>
    <w:rsid w:val="00331864"/>
    <w:rsid w:val="0033325B"/>
    <w:rsid w:val="0033346B"/>
    <w:rsid w:val="00335770"/>
    <w:rsid w:val="0033775A"/>
    <w:rsid w:val="0034244D"/>
    <w:rsid w:val="0034359C"/>
    <w:rsid w:val="003435B1"/>
    <w:rsid w:val="00343B79"/>
    <w:rsid w:val="00343E5C"/>
    <w:rsid w:val="0034559F"/>
    <w:rsid w:val="003458C3"/>
    <w:rsid w:val="003461D2"/>
    <w:rsid w:val="0034677D"/>
    <w:rsid w:val="003469EC"/>
    <w:rsid w:val="00346EC2"/>
    <w:rsid w:val="00347006"/>
    <w:rsid w:val="003515C7"/>
    <w:rsid w:val="00352067"/>
    <w:rsid w:val="0035232F"/>
    <w:rsid w:val="003529B7"/>
    <w:rsid w:val="00353646"/>
    <w:rsid w:val="0036000E"/>
    <w:rsid w:val="0036017B"/>
    <w:rsid w:val="003610EC"/>
    <w:rsid w:val="00361A1F"/>
    <w:rsid w:val="00362755"/>
    <w:rsid w:val="00364C53"/>
    <w:rsid w:val="00364E7D"/>
    <w:rsid w:val="00364F4A"/>
    <w:rsid w:val="003652B2"/>
    <w:rsid w:val="00365566"/>
    <w:rsid w:val="0036692C"/>
    <w:rsid w:val="00366A36"/>
    <w:rsid w:val="00367322"/>
    <w:rsid w:val="0037125D"/>
    <w:rsid w:val="003721B1"/>
    <w:rsid w:val="00373B93"/>
    <w:rsid w:val="00373CD9"/>
    <w:rsid w:val="00374119"/>
    <w:rsid w:val="0037414D"/>
    <w:rsid w:val="003743C3"/>
    <w:rsid w:val="00375145"/>
    <w:rsid w:val="00377354"/>
    <w:rsid w:val="00377827"/>
    <w:rsid w:val="00380CD1"/>
    <w:rsid w:val="003837D2"/>
    <w:rsid w:val="00383F90"/>
    <w:rsid w:val="00384202"/>
    <w:rsid w:val="003844AB"/>
    <w:rsid w:val="00391AB8"/>
    <w:rsid w:val="0039258B"/>
    <w:rsid w:val="003937B7"/>
    <w:rsid w:val="00394F70"/>
    <w:rsid w:val="003955F3"/>
    <w:rsid w:val="003A198E"/>
    <w:rsid w:val="003A3419"/>
    <w:rsid w:val="003A38F0"/>
    <w:rsid w:val="003A5D3D"/>
    <w:rsid w:val="003A5DF5"/>
    <w:rsid w:val="003A6FA2"/>
    <w:rsid w:val="003A7EE6"/>
    <w:rsid w:val="003B0719"/>
    <w:rsid w:val="003B34FF"/>
    <w:rsid w:val="003B471D"/>
    <w:rsid w:val="003B710C"/>
    <w:rsid w:val="003C108F"/>
    <w:rsid w:val="003C363B"/>
    <w:rsid w:val="003C4696"/>
    <w:rsid w:val="003C5CD5"/>
    <w:rsid w:val="003C6587"/>
    <w:rsid w:val="003C65E9"/>
    <w:rsid w:val="003C7583"/>
    <w:rsid w:val="003C783F"/>
    <w:rsid w:val="003C7DC5"/>
    <w:rsid w:val="003D080B"/>
    <w:rsid w:val="003D0B04"/>
    <w:rsid w:val="003D0E7A"/>
    <w:rsid w:val="003D1F39"/>
    <w:rsid w:val="003D34B5"/>
    <w:rsid w:val="003D3DA8"/>
    <w:rsid w:val="003D6255"/>
    <w:rsid w:val="003D702C"/>
    <w:rsid w:val="003D7704"/>
    <w:rsid w:val="003E0F51"/>
    <w:rsid w:val="003E1724"/>
    <w:rsid w:val="003E1C8F"/>
    <w:rsid w:val="003E1F60"/>
    <w:rsid w:val="003E2387"/>
    <w:rsid w:val="003E260D"/>
    <w:rsid w:val="003E3514"/>
    <w:rsid w:val="003E48B0"/>
    <w:rsid w:val="003E5392"/>
    <w:rsid w:val="003E5AFA"/>
    <w:rsid w:val="003E6028"/>
    <w:rsid w:val="003E7F52"/>
    <w:rsid w:val="003F0505"/>
    <w:rsid w:val="003F069A"/>
    <w:rsid w:val="003F0E54"/>
    <w:rsid w:val="003F0F50"/>
    <w:rsid w:val="003F1440"/>
    <w:rsid w:val="003F1B30"/>
    <w:rsid w:val="003F2B37"/>
    <w:rsid w:val="003F4329"/>
    <w:rsid w:val="003F4907"/>
    <w:rsid w:val="003F5925"/>
    <w:rsid w:val="003F5D9A"/>
    <w:rsid w:val="003F738C"/>
    <w:rsid w:val="0040058F"/>
    <w:rsid w:val="0040085D"/>
    <w:rsid w:val="0040135D"/>
    <w:rsid w:val="00401780"/>
    <w:rsid w:val="00401FE3"/>
    <w:rsid w:val="00402019"/>
    <w:rsid w:val="004022EA"/>
    <w:rsid w:val="00402409"/>
    <w:rsid w:val="00402C63"/>
    <w:rsid w:val="00402E73"/>
    <w:rsid w:val="00403236"/>
    <w:rsid w:val="004044B1"/>
    <w:rsid w:val="004044DD"/>
    <w:rsid w:val="00404F43"/>
    <w:rsid w:val="00406153"/>
    <w:rsid w:val="004105FA"/>
    <w:rsid w:val="00411503"/>
    <w:rsid w:val="00412534"/>
    <w:rsid w:val="00412C83"/>
    <w:rsid w:val="00413A95"/>
    <w:rsid w:val="00413CCD"/>
    <w:rsid w:val="00414C9A"/>
    <w:rsid w:val="00415687"/>
    <w:rsid w:val="00415792"/>
    <w:rsid w:val="00415BB3"/>
    <w:rsid w:val="0041711B"/>
    <w:rsid w:val="004202D2"/>
    <w:rsid w:val="00420477"/>
    <w:rsid w:val="00423263"/>
    <w:rsid w:val="00423439"/>
    <w:rsid w:val="00425C7F"/>
    <w:rsid w:val="00426014"/>
    <w:rsid w:val="00426C25"/>
    <w:rsid w:val="0043228C"/>
    <w:rsid w:val="00432894"/>
    <w:rsid w:val="00432BC8"/>
    <w:rsid w:val="004339DB"/>
    <w:rsid w:val="00434158"/>
    <w:rsid w:val="00435036"/>
    <w:rsid w:val="004351C6"/>
    <w:rsid w:val="004352F7"/>
    <w:rsid w:val="004378F3"/>
    <w:rsid w:val="00437C6A"/>
    <w:rsid w:val="004400AE"/>
    <w:rsid w:val="004400C8"/>
    <w:rsid w:val="00440E18"/>
    <w:rsid w:val="00440FB2"/>
    <w:rsid w:val="004415D3"/>
    <w:rsid w:val="0044382D"/>
    <w:rsid w:val="0044559F"/>
    <w:rsid w:val="00445BB1"/>
    <w:rsid w:val="00446330"/>
    <w:rsid w:val="00446872"/>
    <w:rsid w:val="00447727"/>
    <w:rsid w:val="00447C1B"/>
    <w:rsid w:val="00447EA2"/>
    <w:rsid w:val="00450AD6"/>
    <w:rsid w:val="00451BA4"/>
    <w:rsid w:val="00452AFD"/>
    <w:rsid w:val="0045332A"/>
    <w:rsid w:val="004533FC"/>
    <w:rsid w:val="00453450"/>
    <w:rsid w:val="0045370A"/>
    <w:rsid w:val="004539CD"/>
    <w:rsid w:val="0045501A"/>
    <w:rsid w:val="00455771"/>
    <w:rsid w:val="004561A2"/>
    <w:rsid w:val="00460B7D"/>
    <w:rsid w:val="00460BBA"/>
    <w:rsid w:val="00461578"/>
    <w:rsid w:val="0046169E"/>
    <w:rsid w:val="004621F5"/>
    <w:rsid w:val="00462886"/>
    <w:rsid w:val="0046353C"/>
    <w:rsid w:val="004640AF"/>
    <w:rsid w:val="00464C76"/>
    <w:rsid w:val="00464E70"/>
    <w:rsid w:val="00467325"/>
    <w:rsid w:val="00467CF2"/>
    <w:rsid w:val="004703FB"/>
    <w:rsid w:val="0047258F"/>
    <w:rsid w:val="0047367A"/>
    <w:rsid w:val="00474101"/>
    <w:rsid w:val="00475128"/>
    <w:rsid w:val="004802DF"/>
    <w:rsid w:val="00480CB0"/>
    <w:rsid w:val="0048100A"/>
    <w:rsid w:val="00481C2C"/>
    <w:rsid w:val="00482448"/>
    <w:rsid w:val="00482542"/>
    <w:rsid w:val="00483A4D"/>
    <w:rsid w:val="00483F45"/>
    <w:rsid w:val="00485B1F"/>
    <w:rsid w:val="00486258"/>
    <w:rsid w:val="00486951"/>
    <w:rsid w:val="00491DC5"/>
    <w:rsid w:val="004921B8"/>
    <w:rsid w:val="004927D4"/>
    <w:rsid w:val="00493027"/>
    <w:rsid w:val="004934CC"/>
    <w:rsid w:val="0049619E"/>
    <w:rsid w:val="00497A8E"/>
    <w:rsid w:val="004A04B4"/>
    <w:rsid w:val="004A0A12"/>
    <w:rsid w:val="004A1C0E"/>
    <w:rsid w:val="004A2060"/>
    <w:rsid w:val="004A2EA5"/>
    <w:rsid w:val="004A41BB"/>
    <w:rsid w:val="004A58F4"/>
    <w:rsid w:val="004A676D"/>
    <w:rsid w:val="004A71E3"/>
    <w:rsid w:val="004B0758"/>
    <w:rsid w:val="004B18C6"/>
    <w:rsid w:val="004B2515"/>
    <w:rsid w:val="004B2A55"/>
    <w:rsid w:val="004B2E8A"/>
    <w:rsid w:val="004B34EA"/>
    <w:rsid w:val="004B4863"/>
    <w:rsid w:val="004B4E07"/>
    <w:rsid w:val="004B53B2"/>
    <w:rsid w:val="004B5494"/>
    <w:rsid w:val="004B5522"/>
    <w:rsid w:val="004B7285"/>
    <w:rsid w:val="004C0D71"/>
    <w:rsid w:val="004C1E96"/>
    <w:rsid w:val="004C34E8"/>
    <w:rsid w:val="004C4354"/>
    <w:rsid w:val="004C456D"/>
    <w:rsid w:val="004C5115"/>
    <w:rsid w:val="004C608A"/>
    <w:rsid w:val="004C6662"/>
    <w:rsid w:val="004C7A2B"/>
    <w:rsid w:val="004C7D3A"/>
    <w:rsid w:val="004C7ED9"/>
    <w:rsid w:val="004D0BBF"/>
    <w:rsid w:val="004D1842"/>
    <w:rsid w:val="004D21BD"/>
    <w:rsid w:val="004D3D21"/>
    <w:rsid w:val="004D4FE2"/>
    <w:rsid w:val="004D71CC"/>
    <w:rsid w:val="004D77F6"/>
    <w:rsid w:val="004E11B4"/>
    <w:rsid w:val="004E1731"/>
    <w:rsid w:val="004E1956"/>
    <w:rsid w:val="004E3EFA"/>
    <w:rsid w:val="004E415E"/>
    <w:rsid w:val="004E4F55"/>
    <w:rsid w:val="004E5309"/>
    <w:rsid w:val="004E5826"/>
    <w:rsid w:val="004F01F3"/>
    <w:rsid w:val="004F25DF"/>
    <w:rsid w:val="004F349B"/>
    <w:rsid w:val="004F34FF"/>
    <w:rsid w:val="004F36C4"/>
    <w:rsid w:val="004F67B1"/>
    <w:rsid w:val="004F744C"/>
    <w:rsid w:val="004F789F"/>
    <w:rsid w:val="005008F3"/>
    <w:rsid w:val="005018A8"/>
    <w:rsid w:val="005018E8"/>
    <w:rsid w:val="005042A3"/>
    <w:rsid w:val="00504739"/>
    <w:rsid w:val="00505A39"/>
    <w:rsid w:val="00505A47"/>
    <w:rsid w:val="00506991"/>
    <w:rsid w:val="00506FA4"/>
    <w:rsid w:val="00507031"/>
    <w:rsid w:val="005105E8"/>
    <w:rsid w:val="00511722"/>
    <w:rsid w:val="00512E3A"/>
    <w:rsid w:val="00513F95"/>
    <w:rsid w:val="00521310"/>
    <w:rsid w:val="00521723"/>
    <w:rsid w:val="005231F5"/>
    <w:rsid w:val="005240BF"/>
    <w:rsid w:val="005304EF"/>
    <w:rsid w:val="00531772"/>
    <w:rsid w:val="0053212B"/>
    <w:rsid w:val="0053243C"/>
    <w:rsid w:val="00532DCB"/>
    <w:rsid w:val="00533589"/>
    <w:rsid w:val="00533AEB"/>
    <w:rsid w:val="0053455E"/>
    <w:rsid w:val="00534F58"/>
    <w:rsid w:val="00535365"/>
    <w:rsid w:val="0053662F"/>
    <w:rsid w:val="005368AC"/>
    <w:rsid w:val="0053772E"/>
    <w:rsid w:val="005408EE"/>
    <w:rsid w:val="00540CC2"/>
    <w:rsid w:val="00541333"/>
    <w:rsid w:val="005414AA"/>
    <w:rsid w:val="0054386A"/>
    <w:rsid w:val="00544FA5"/>
    <w:rsid w:val="005462BF"/>
    <w:rsid w:val="00546C76"/>
    <w:rsid w:val="00547631"/>
    <w:rsid w:val="00547829"/>
    <w:rsid w:val="00550C3B"/>
    <w:rsid w:val="0055234E"/>
    <w:rsid w:val="005536E5"/>
    <w:rsid w:val="00556F39"/>
    <w:rsid w:val="00557E14"/>
    <w:rsid w:val="005620A2"/>
    <w:rsid w:val="00562325"/>
    <w:rsid w:val="00562B7A"/>
    <w:rsid w:val="00563CD7"/>
    <w:rsid w:val="00563E16"/>
    <w:rsid w:val="00565C42"/>
    <w:rsid w:val="00567279"/>
    <w:rsid w:val="005702A3"/>
    <w:rsid w:val="005705D3"/>
    <w:rsid w:val="00571368"/>
    <w:rsid w:val="005723A4"/>
    <w:rsid w:val="00576229"/>
    <w:rsid w:val="005819E9"/>
    <w:rsid w:val="00582A1F"/>
    <w:rsid w:val="00583165"/>
    <w:rsid w:val="00583FCB"/>
    <w:rsid w:val="00583FFB"/>
    <w:rsid w:val="00584942"/>
    <w:rsid w:val="005850C3"/>
    <w:rsid w:val="00585390"/>
    <w:rsid w:val="00586449"/>
    <w:rsid w:val="00586ED5"/>
    <w:rsid w:val="005874A8"/>
    <w:rsid w:val="0058797C"/>
    <w:rsid w:val="005928C5"/>
    <w:rsid w:val="005939A5"/>
    <w:rsid w:val="00594ABB"/>
    <w:rsid w:val="00594E8D"/>
    <w:rsid w:val="0059555F"/>
    <w:rsid w:val="00595B01"/>
    <w:rsid w:val="00595D9E"/>
    <w:rsid w:val="00597876"/>
    <w:rsid w:val="005A00A4"/>
    <w:rsid w:val="005A067F"/>
    <w:rsid w:val="005A0EA1"/>
    <w:rsid w:val="005A148C"/>
    <w:rsid w:val="005A1BB1"/>
    <w:rsid w:val="005A3E06"/>
    <w:rsid w:val="005A5A70"/>
    <w:rsid w:val="005A6657"/>
    <w:rsid w:val="005B0894"/>
    <w:rsid w:val="005B0E28"/>
    <w:rsid w:val="005B2259"/>
    <w:rsid w:val="005B286A"/>
    <w:rsid w:val="005B39FD"/>
    <w:rsid w:val="005B44F8"/>
    <w:rsid w:val="005B4959"/>
    <w:rsid w:val="005B4B99"/>
    <w:rsid w:val="005B4C64"/>
    <w:rsid w:val="005B5765"/>
    <w:rsid w:val="005B5810"/>
    <w:rsid w:val="005B67BD"/>
    <w:rsid w:val="005B7247"/>
    <w:rsid w:val="005B73E4"/>
    <w:rsid w:val="005B74B9"/>
    <w:rsid w:val="005B7C92"/>
    <w:rsid w:val="005C0B2C"/>
    <w:rsid w:val="005C3451"/>
    <w:rsid w:val="005C349D"/>
    <w:rsid w:val="005C3FE5"/>
    <w:rsid w:val="005C4D11"/>
    <w:rsid w:val="005C7DD0"/>
    <w:rsid w:val="005D06C9"/>
    <w:rsid w:val="005D2089"/>
    <w:rsid w:val="005D5BAD"/>
    <w:rsid w:val="005D5C25"/>
    <w:rsid w:val="005D7754"/>
    <w:rsid w:val="005E0A8E"/>
    <w:rsid w:val="005E0AEE"/>
    <w:rsid w:val="005E0B2D"/>
    <w:rsid w:val="005E0BE8"/>
    <w:rsid w:val="005E28C6"/>
    <w:rsid w:val="005E2C92"/>
    <w:rsid w:val="005E3B57"/>
    <w:rsid w:val="005E661C"/>
    <w:rsid w:val="005F01C2"/>
    <w:rsid w:val="005F0410"/>
    <w:rsid w:val="005F119B"/>
    <w:rsid w:val="005F395B"/>
    <w:rsid w:val="005F3B0A"/>
    <w:rsid w:val="005F4038"/>
    <w:rsid w:val="005F40FB"/>
    <w:rsid w:val="005F42C5"/>
    <w:rsid w:val="005F42FA"/>
    <w:rsid w:val="005F47DC"/>
    <w:rsid w:val="005F4D48"/>
    <w:rsid w:val="005F79BD"/>
    <w:rsid w:val="005F7ECD"/>
    <w:rsid w:val="0060057B"/>
    <w:rsid w:val="0060083B"/>
    <w:rsid w:val="006025F2"/>
    <w:rsid w:val="00602B9B"/>
    <w:rsid w:val="00603A4E"/>
    <w:rsid w:val="00603D1B"/>
    <w:rsid w:val="006069C2"/>
    <w:rsid w:val="00606E16"/>
    <w:rsid w:val="00607F8F"/>
    <w:rsid w:val="00610448"/>
    <w:rsid w:val="006121FE"/>
    <w:rsid w:val="006129F2"/>
    <w:rsid w:val="00613B6D"/>
    <w:rsid w:val="00615985"/>
    <w:rsid w:val="00617ADD"/>
    <w:rsid w:val="00617E87"/>
    <w:rsid w:val="006246A6"/>
    <w:rsid w:val="0062478D"/>
    <w:rsid w:val="0062521F"/>
    <w:rsid w:val="00626E2D"/>
    <w:rsid w:val="006318A2"/>
    <w:rsid w:val="00632207"/>
    <w:rsid w:val="00633D2E"/>
    <w:rsid w:val="00634217"/>
    <w:rsid w:val="006342A5"/>
    <w:rsid w:val="0063491C"/>
    <w:rsid w:val="00635D28"/>
    <w:rsid w:val="006363E3"/>
    <w:rsid w:val="006374C1"/>
    <w:rsid w:val="00637DC8"/>
    <w:rsid w:val="006400A7"/>
    <w:rsid w:val="00640861"/>
    <w:rsid w:val="0064125B"/>
    <w:rsid w:val="006412F8"/>
    <w:rsid w:val="00641954"/>
    <w:rsid w:val="006424B6"/>
    <w:rsid w:val="00642D48"/>
    <w:rsid w:val="006437FD"/>
    <w:rsid w:val="00643879"/>
    <w:rsid w:val="00644135"/>
    <w:rsid w:val="00644693"/>
    <w:rsid w:val="00645707"/>
    <w:rsid w:val="00646621"/>
    <w:rsid w:val="00646E0E"/>
    <w:rsid w:val="00647634"/>
    <w:rsid w:val="00650301"/>
    <w:rsid w:val="00652468"/>
    <w:rsid w:val="00653A7F"/>
    <w:rsid w:val="00653AE0"/>
    <w:rsid w:val="00655DF8"/>
    <w:rsid w:val="00656760"/>
    <w:rsid w:val="00656ACA"/>
    <w:rsid w:val="006575BE"/>
    <w:rsid w:val="00660CF8"/>
    <w:rsid w:val="00661AFE"/>
    <w:rsid w:val="006623C5"/>
    <w:rsid w:val="0066374C"/>
    <w:rsid w:val="0066467A"/>
    <w:rsid w:val="006649BD"/>
    <w:rsid w:val="00664B35"/>
    <w:rsid w:val="0066530C"/>
    <w:rsid w:val="00665B52"/>
    <w:rsid w:val="00667B6E"/>
    <w:rsid w:val="00670A0C"/>
    <w:rsid w:val="00671BA1"/>
    <w:rsid w:val="00672295"/>
    <w:rsid w:val="0067460F"/>
    <w:rsid w:val="0067514E"/>
    <w:rsid w:val="006771A9"/>
    <w:rsid w:val="006827E4"/>
    <w:rsid w:val="00682F03"/>
    <w:rsid w:val="00684926"/>
    <w:rsid w:val="00685242"/>
    <w:rsid w:val="006868B5"/>
    <w:rsid w:val="00686B52"/>
    <w:rsid w:val="00687687"/>
    <w:rsid w:val="00687A14"/>
    <w:rsid w:val="006905BE"/>
    <w:rsid w:val="00691586"/>
    <w:rsid w:val="0069292C"/>
    <w:rsid w:val="006949AA"/>
    <w:rsid w:val="00694E73"/>
    <w:rsid w:val="00695342"/>
    <w:rsid w:val="006967B7"/>
    <w:rsid w:val="00697D0F"/>
    <w:rsid w:val="00697E78"/>
    <w:rsid w:val="006A0444"/>
    <w:rsid w:val="006A0A43"/>
    <w:rsid w:val="006A0C81"/>
    <w:rsid w:val="006A14C4"/>
    <w:rsid w:val="006A492B"/>
    <w:rsid w:val="006A5508"/>
    <w:rsid w:val="006A5AB8"/>
    <w:rsid w:val="006A6388"/>
    <w:rsid w:val="006A7843"/>
    <w:rsid w:val="006A7A20"/>
    <w:rsid w:val="006A7F4F"/>
    <w:rsid w:val="006B0796"/>
    <w:rsid w:val="006B0C79"/>
    <w:rsid w:val="006B1EB7"/>
    <w:rsid w:val="006B3D5D"/>
    <w:rsid w:val="006B49D3"/>
    <w:rsid w:val="006B4B6D"/>
    <w:rsid w:val="006B539F"/>
    <w:rsid w:val="006B5FAF"/>
    <w:rsid w:val="006B73BF"/>
    <w:rsid w:val="006C0826"/>
    <w:rsid w:val="006C1D88"/>
    <w:rsid w:val="006C1F10"/>
    <w:rsid w:val="006C3FBA"/>
    <w:rsid w:val="006C4383"/>
    <w:rsid w:val="006C49C2"/>
    <w:rsid w:val="006C4ED9"/>
    <w:rsid w:val="006C7F33"/>
    <w:rsid w:val="006D2CF6"/>
    <w:rsid w:val="006D2FE4"/>
    <w:rsid w:val="006D59DE"/>
    <w:rsid w:val="006D64C8"/>
    <w:rsid w:val="006D6727"/>
    <w:rsid w:val="006D7C76"/>
    <w:rsid w:val="006E32CD"/>
    <w:rsid w:val="006E4AA4"/>
    <w:rsid w:val="006E5339"/>
    <w:rsid w:val="006E5E28"/>
    <w:rsid w:val="006E6574"/>
    <w:rsid w:val="006E71AE"/>
    <w:rsid w:val="006F1F33"/>
    <w:rsid w:val="006F22BF"/>
    <w:rsid w:val="006F2427"/>
    <w:rsid w:val="006F37A5"/>
    <w:rsid w:val="006F383F"/>
    <w:rsid w:val="006F4161"/>
    <w:rsid w:val="006F5510"/>
    <w:rsid w:val="006F5B6C"/>
    <w:rsid w:val="00704951"/>
    <w:rsid w:val="00705887"/>
    <w:rsid w:val="00707299"/>
    <w:rsid w:val="00711A57"/>
    <w:rsid w:val="00712352"/>
    <w:rsid w:val="0071310F"/>
    <w:rsid w:val="007135D0"/>
    <w:rsid w:val="007138D7"/>
    <w:rsid w:val="00713ACB"/>
    <w:rsid w:val="00714CF2"/>
    <w:rsid w:val="007156B9"/>
    <w:rsid w:val="00716FD3"/>
    <w:rsid w:val="00717CCE"/>
    <w:rsid w:val="007204D0"/>
    <w:rsid w:val="00720817"/>
    <w:rsid w:val="00720848"/>
    <w:rsid w:val="00720A72"/>
    <w:rsid w:val="00721023"/>
    <w:rsid w:val="00721E86"/>
    <w:rsid w:val="00722850"/>
    <w:rsid w:val="00724005"/>
    <w:rsid w:val="00727008"/>
    <w:rsid w:val="00727B62"/>
    <w:rsid w:val="00731007"/>
    <w:rsid w:val="0073114C"/>
    <w:rsid w:val="00731170"/>
    <w:rsid w:val="00732D18"/>
    <w:rsid w:val="0073353F"/>
    <w:rsid w:val="00733D8F"/>
    <w:rsid w:val="00734759"/>
    <w:rsid w:val="00735267"/>
    <w:rsid w:val="00735A91"/>
    <w:rsid w:val="007372C2"/>
    <w:rsid w:val="007375CA"/>
    <w:rsid w:val="007379AD"/>
    <w:rsid w:val="00737AE8"/>
    <w:rsid w:val="00740408"/>
    <w:rsid w:val="00741AC5"/>
    <w:rsid w:val="00742B98"/>
    <w:rsid w:val="00742E45"/>
    <w:rsid w:val="007447AF"/>
    <w:rsid w:val="00744AED"/>
    <w:rsid w:val="0074512B"/>
    <w:rsid w:val="00745512"/>
    <w:rsid w:val="007462DA"/>
    <w:rsid w:val="00746408"/>
    <w:rsid w:val="00750322"/>
    <w:rsid w:val="00750816"/>
    <w:rsid w:val="00752183"/>
    <w:rsid w:val="007532B9"/>
    <w:rsid w:val="00753894"/>
    <w:rsid w:val="00753C72"/>
    <w:rsid w:val="00754F82"/>
    <w:rsid w:val="00757253"/>
    <w:rsid w:val="00760C6C"/>
    <w:rsid w:val="007612E8"/>
    <w:rsid w:val="00763D55"/>
    <w:rsid w:val="00763DD1"/>
    <w:rsid w:val="00764411"/>
    <w:rsid w:val="007657C1"/>
    <w:rsid w:val="0076648F"/>
    <w:rsid w:val="00771ABF"/>
    <w:rsid w:val="00775BF9"/>
    <w:rsid w:val="00775CE2"/>
    <w:rsid w:val="0077755F"/>
    <w:rsid w:val="0078182E"/>
    <w:rsid w:val="00781907"/>
    <w:rsid w:val="0078401D"/>
    <w:rsid w:val="00784F55"/>
    <w:rsid w:val="00785DC1"/>
    <w:rsid w:val="00786CBB"/>
    <w:rsid w:val="00790791"/>
    <w:rsid w:val="00790C95"/>
    <w:rsid w:val="007915EC"/>
    <w:rsid w:val="00793CC9"/>
    <w:rsid w:val="007947EB"/>
    <w:rsid w:val="00796D98"/>
    <w:rsid w:val="0079732A"/>
    <w:rsid w:val="007979EE"/>
    <w:rsid w:val="007A32A1"/>
    <w:rsid w:val="007A363B"/>
    <w:rsid w:val="007A406D"/>
    <w:rsid w:val="007A5C00"/>
    <w:rsid w:val="007A62B0"/>
    <w:rsid w:val="007A6BD1"/>
    <w:rsid w:val="007A7203"/>
    <w:rsid w:val="007A772B"/>
    <w:rsid w:val="007A7A46"/>
    <w:rsid w:val="007A7C12"/>
    <w:rsid w:val="007B0E6E"/>
    <w:rsid w:val="007B1114"/>
    <w:rsid w:val="007B2D4A"/>
    <w:rsid w:val="007B3852"/>
    <w:rsid w:val="007B3859"/>
    <w:rsid w:val="007B454D"/>
    <w:rsid w:val="007B60D2"/>
    <w:rsid w:val="007B69D0"/>
    <w:rsid w:val="007C042A"/>
    <w:rsid w:val="007C0E95"/>
    <w:rsid w:val="007C1382"/>
    <w:rsid w:val="007C13EB"/>
    <w:rsid w:val="007C2564"/>
    <w:rsid w:val="007C25E0"/>
    <w:rsid w:val="007C2A96"/>
    <w:rsid w:val="007C3590"/>
    <w:rsid w:val="007C45E6"/>
    <w:rsid w:val="007C5A0C"/>
    <w:rsid w:val="007C5C8A"/>
    <w:rsid w:val="007C6663"/>
    <w:rsid w:val="007C69FB"/>
    <w:rsid w:val="007C6CF4"/>
    <w:rsid w:val="007D07FB"/>
    <w:rsid w:val="007D20EE"/>
    <w:rsid w:val="007D4B78"/>
    <w:rsid w:val="007D5963"/>
    <w:rsid w:val="007D5994"/>
    <w:rsid w:val="007D5F5F"/>
    <w:rsid w:val="007E0FEE"/>
    <w:rsid w:val="007E124C"/>
    <w:rsid w:val="007E1C60"/>
    <w:rsid w:val="007E2CC0"/>
    <w:rsid w:val="007E2FF6"/>
    <w:rsid w:val="007E3FE6"/>
    <w:rsid w:val="007E5548"/>
    <w:rsid w:val="007E7DA8"/>
    <w:rsid w:val="007F0496"/>
    <w:rsid w:val="007F05BB"/>
    <w:rsid w:val="007F0A0B"/>
    <w:rsid w:val="007F0AC5"/>
    <w:rsid w:val="007F2017"/>
    <w:rsid w:val="007F341F"/>
    <w:rsid w:val="007F3AF5"/>
    <w:rsid w:val="007F3F56"/>
    <w:rsid w:val="007F492D"/>
    <w:rsid w:val="007F5284"/>
    <w:rsid w:val="007F5F33"/>
    <w:rsid w:val="00800611"/>
    <w:rsid w:val="00800C77"/>
    <w:rsid w:val="008022A0"/>
    <w:rsid w:val="00802797"/>
    <w:rsid w:val="00805565"/>
    <w:rsid w:val="00805641"/>
    <w:rsid w:val="0080583B"/>
    <w:rsid w:val="008066F7"/>
    <w:rsid w:val="00806B4B"/>
    <w:rsid w:val="00806E10"/>
    <w:rsid w:val="00807A93"/>
    <w:rsid w:val="00807BB8"/>
    <w:rsid w:val="008100CC"/>
    <w:rsid w:val="00810879"/>
    <w:rsid w:val="0081118A"/>
    <w:rsid w:val="008122CB"/>
    <w:rsid w:val="0081232F"/>
    <w:rsid w:val="008126A3"/>
    <w:rsid w:val="00812EB9"/>
    <w:rsid w:val="00813F21"/>
    <w:rsid w:val="00816E63"/>
    <w:rsid w:val="008176F4"/>
    <w:rsid w:val="00817E9A"/>
    <w:rsid w:val="00821122"/>
    <w:rsid w:val="008212A7"/>
    <w:rsid w:val="008218DE"/>
    <w:rsid w:val="00822625"/>
    <w:rsid w:val="00823AB7"/>
    <w:rsid w:val="0082485A"/>
    <w:rsid w:val="00825328"/>
    <w:rsid w:val="0082619D"/>
    <w:rsid w:val="00826B73"/>
    <w:rsid w:val="008274AC"/>
    <w:rsid w:val="00830D50"/>
    <w:rsid w:val="0083131C"/>
    <w:rsid w:val="00832869"/>
    <w:rsid w:val="008336B9"/>
    <w:rsid w:val="008339BB"/>
    <w:rsid w:val="00836CF0"/>
    <w:rsid w:val="00837743"/>
    <w:rsid w:val="00844291"/>
    <w:rsid w:val="00844972"/>
    <w:rsid w:val="0084601E"/>
    <w:rsid w:val="008460B2"/>
    <w:rsid w:val="00846430"/>
    <w:rsid w:val="00846D97"/>
    <w:rsid w:val="00846F15"/>
    <w:rsid w:val="00847E43"/>
    <w:rsid w:val="00851EBD"/>
    <w:rsid w:val="0085240A"/>
    <w:rsid w:val="00852EEE"/>
    <w:rsid w:val="008530FE"/>
    <w:rsid w:val="00854783"/>
    <w:rsid w:val="008549FA"/>
    <w:rsid w:val="00856BD6"/>
    <w:rsid w:val="00856FC3"/>
    <w:rsid w:val="008577B8"/>
    <w:rsid w:val="0086271B"/>
    <w:rsid w:val="0086283A"/>
    <w:rsid w:val="00862F8C"/>
    <w:rsid w:val="00863346"/>
    <w:rsid w:val="00863F07"/>
    <w:rsid w:val="00864058"/>
    <w:rsid w:val="0086419A"/>
    <w:rsid w:val="008658F6"/>
    <w:rsid w:val="0087023B"/>
    <w:rsid w:val="0087039E"/>
    <w:rsid w:val="008703EF"/>
    <w:rsid w:val="0087115C"/>
    <w:rsid w:val="00871A65"/>
    <w:rsid w:val="00871D01"/>
    <w:rsid w:val="00873BC2"/>
    <w:rsid w:val="008755C1"/>
    <w:rsid w:val="00876D8F"/>
    <w:rsid w:val="0088113C"/>
    <w:rsid w:val="0088210D"/>
    <w:rsid w:val="00882CD4"/>
    <w:rsid w:val="00883583"/>
    <w:rsid w:val="008855DE"/>
    <w:rsid w:val="00885617"/>
    <w:rsid w:val="0088616C"/>
    <w:rsid w:val="008871C7"/>
    <w:rsid w:val="00887FC7"/>
    <w:rsid w:val="00891489"/>
    <w:rsid w:val="0089157B"/>
    <w:rsid w:val="00891715"/>
    <w:rsid w:val="008929C3"/>
    <w:rsid w:val="00894A49"/>
    <w:rsid w:val="008954D5"/>
    <w:rsid w:val="0089651A"/>
    <w:rsid w:val="008966E4"/>
    <w:rsid w:val="00896C9C"/>
    <w:rsid w:val="008A0602"/>
    <w:rsid w:val="008A179F"/>
    <w:rsid w:val="008A24FC"/>
    <w:rsid w:val="008A257A"/>
    <w:rsid w:val="008A2702"/>
    <w:rsid w:val="008A2F60"/>
    <w:rsid w:val="008A37CC"/>
    <w:rsid w:val="008A3921"/>
    <w:rsid w:val="008A3E9A"/>
    <w:rsid w:val="008A4ADA"/>
    <w:rsid w:val="008A4FEC"/>
    <w:rsid w:val="008A781F"/>
    <w:rsid w:val="008A7D1B"/>
    <w:rsid w:val="008B0537"/>
    <w:rsid w:val="008B0864"/>
    <w:rsid w:val="008B13A2"/>
    <w:rsid w:val="008B19E8"/>
    <w:rsid w:val="008B2234"/>
    <w:rsid w:val="008B29B3"/>
    <w:rsid w:val="008B3BBE"/>
    <w:rsid w:val="008B5116"/>
    <w:rsid w:val="008B535E"/>
    <w:rsid w:val="008B5926"/>
    <w:rsid w:val="008B65F6"/>
    <w:rsid w:val="008B68CC"/>
    <w:rsid w:val="008C0D4C"/>
    <w:rsid w:val="008C2000"/>
    <w:rsid w:val="008C2113"/>
    <w:rsid w:val="008C334E"/>
    <w:rsid w:val="008C48A2"/>
    <w:rsid w:val="008C5F12"/>
    <w:rsid w:val="008C7413"/>
    <w:rsid w:val="008D099E"/>
    <w:rsid w:val="008D12F4"/>
    <w:rsid w:val="008D16B7"/>
    <w:rsid w:val="008D32FC"/>
    <w:rsid w:val="008D39BA"/>
    <w:rsid w:val="008E1DCB"/>
    <w:rsid w:val="008E39C5"/>
    <w:rsid w:val="008E44DC"/>
    <w:rsid w:val="008E61F2"/>
    <w:rsid w:val="008E6AE6"/>
    <w:rsid w:val="008F0116"/>
    <w:rsid w:val="008F0241"/>
    <w:rsid w:val="008F143D"/>
    <w:rsid w:val="008F1E8B"/>
    <w:rsid w:val="008F2269"/>
    <w:rsid w:val="008F2771"/>
    <w:rsid w:val="008F53CF"/>
    <w:rsid w:val="008F5B46"/>
    <w:rsid w:val="008F5C27"/>
    <w:rsid w:val="008F6419"/>
    <w:rsid w:val="008F7D4C"/>
    <w:rsid w:val="008F7FD1"/>
    <w:rsid w:val="0090160C"/>
    <w:rsid w:val="009020B3"/>
    <w:rsid w:val="00902198"/>
    <w:rsid w:val="00902882"/>
    <w:rsid w:val="00904A89"/>
    <w:rsid w:val="00904AFF"/>
    <w:rsid w:val="00906C32"/>
    <w:rsid w:val="0091103B"/>
    <w:rsid w:val="00912528"/>
    <w:rsid w:val="00915FA1"/>
    <w:rsid w:val="009166C0"/>
    <w:rsid w:val="00917CC8"/>
    <w:rsid w:val="00921517"/>
    <w:rsid w:val="00921A65"/>
    <w:rsid w:val="0092218A"/>
    <w:rsid w:val="00922309"/>
    <w:rsid w:val="00923A63"/>
    <w:rsid w:val="00924C29"/>
    <w:rsid w:val="009250AD"/>
    <w:rsid w:val="009261E8"/>
    <w:rsid w:val="00926CE0"/>
    <w:rsid w:val="009274B5"/>
    <w:rsid w:val="009275B6"/>
    <w:rsid w:val="00927B0C"/>
    <w:rsid w:val="00930071"/>
    <w:rsid w:val="0093222C"/>
    <w:rsid w:val="009326AE"/>
    <w:rsid w:val="00932865"/>
    <w:rsid w:val="009331F2"/>
    <w:rsid w:val="00935927"/>
    <w:rsid w:val="00936EB1"/>
    <w:rsid w:val="00941F11"/>
    <w:rsid w:val="009430F2"/>
    <w:rsid w:val="00943D7D"/>
    <w:rsid w:val="00944823"/>
    <w:rsid w:val="00944A68"/>
    <w:rsid w:val="00945163"/>
    <w:rsid w:val="009506BB"/>
    <w:rsid w:val="00952C79"/>
    <w:rsid w:val="00952C86"/>
    <w:rsid w:val="00953E26"/>
    <w:rsid w:val="00954573"/>
    <w:rsid w:val="00955D76"/>
    <w:rsid w:val="00956A82"/>
    <w:rsid w:val="0095792D"/>
    <w:rsid w:val="00957B3F"/>
    <w:rsid w:val="0096173A"/>
    <w:rsid w:val="00961A66"/>
    <w:rsid w:val="00961B1F"/>
    <w:rsid w:val="00962145"/>
    <w:rsid w:val="00962799"/>
    <w:rsid w:val="00962910"/>
    <w:rsid w:val="00962F4B"/>
    <w:rsid w:val="00964E5C"/>
    <w:rsid w:val="00965396"/>
    <w:rsid w:val="00965EEC"/>
    <w:rsid w:val="00966409"/>
    <w:rsid w:val="009679FD"/>
    <w:rsid w:val="0097055A"/>
    <w:rsid w:val="00971A18"/>
    <w:rsid w:val="00972386"/>
    <w:rsid w:val="00972EC4"/>
    <w:rsid w:val="009735BB"/>
    <w:rsid w:val="00973DF4"/>
    <w:rsid w:val="0097404E"/>
    <w:rsid w:val="00974572"/>
    <w:rsid w:val="00977D79"/>
    <w:rsid w:val="0098138E"/>
    <w:rsid w:val="00984F96"/>
    <w:rsid w:val="009856FE"/>
    <w:rsid w:val="009857F1"/>
    <w:rsid w:val="0098584D"/>
    <w:rsid w:val="0098655A"/>
    <w:rsid w:val="00986BCB"/>
    <w:rsid w:val="00986EC3"/>
    <w:rsid w:val="00987742"/>
    <w:rsid w:val="00990589"/>
    <w:rsid w:val="00991BA0"/>
    <w:rsid w:val="00991D6E"/>
    <w:rsid w:val="00992AF5"/>
    <w:rsid w:val="009936E0"/>
    <w:rsid w:val="00993D39"/>
    <w:rsid w:val="009942D0"/>
    <w:rsid w:val="0099453A"/>
    <w:rsid w:val="00994A78"/>
    <w:rsid w:val="00994AA0"/>
    <w:rsid w:val="009951D2"/>
    <w:rsid w:val="009958F2"/>
    <w:rsid w:val="0099739B"/>
    <w:rsid w:val="00997932"/>
    <w:rsid w:val="00997A9B"/>
    <w:rsid w:val="009A05BD"/>
    <w:rsid w:val="009A1397"/>
    <w:rsid w:val="009A1D8A"/>
    <w:rsid w:val="009A29E8"/>
    <w:rsid w:val="009A6844"/>
    <w:rsid w:val="009A7B32"/>
    <w:rsid w:val="009B0E60"/>
    <w:rsid w:val="009B1EDB"/>
    <w:rsid w:val="009B2C18"/>
    <w:rsid w:val="009B2CE6"/>
    <w:rsid w:val="009B797E"/>
    <w:rsid w:val="009B7AF5"/>
    <w:rsid w:val="009C2F72"/>
    <w:rsid w:val="009C5D67"/>
    <w:rsid w:val="009C608B"/>
    <w:rsid w:val="009C72A7"/>
    <w:rsid w:val="009C7CBF"/>
    <w:rsid w:val="009D3724"/>
    <w:rsid w:val="009D3D1E"/>
    <w:rsid w:val="009D3DBC"/>
    <w:rsid w:val="009D5747"/>
    <w:rsid w:val="009D7946"/>
    <w:rsid w:val="009E023E"/>
    <w:rsid w:val="009E16E8"/>
    <w:rsid w:val="009E21EE"/>
    <w:rsid w:val="009E2E77"/>
    <w:rsid w:val="009E37DF"/>
    <w:rsid w:val="009E3F63"/>
    <w:rsid w:val="009E5853"/>
    <w:rsid w:val="009E58BF"/>
    <w:rsid w:val="009E61C8"/>
    <w:rsid w:val="009E6DF9"/>
    <w:rsid w:val="009E7C7F"/>
    <w:rsid w:val="009F248B"/>
    <w:rsid w:val="009F3371"/>
    <w:rsid w:val="009F393A"/>
    <w:rsid w:val="009F3CF8"/>
    <w:rsid w:val="009F61DD"/>
    <w:rsid w:val="009F6638"/>
    <w:rsid w:val="009F6F45"/>
    <w:rsid w:val="00A014E8"/>
    <w:rsid w:val="00A01BC9"/>
    <w:rsid w:val="00A01C56"/>
    <w:rsid w:val="00A03601"/>
    <w:rsid w:val="00A11614"/>
    <w:rsid w:val="00A12DF0"/>
    <w:rsid w:val="00A174DA"/>
    <w:rsid w:val="00A17CE0"/>
    <w:rsid w:val="00A17E53"/>
    <w:rsid w:val="00A20489"/>
    <w:rsid w:val="00A21B59"/>
    <w:rsid w:val="00A223A0"/>
    <w:rsid w:val="00A22F45"/>
    <w:rsid w:val="00A23D48"/>
    <w:rsid w:val="00A252E9"/>
    <w:rsid w:val="00A25706"/>
    <w:rsid w:val="00A27AAB"/>
    <w:rsid w:val="00A30488"/>
    <w:rsid w:val="00A333F8"/>
    <w:rsid w:val="00A357B3"/>
    <w:rsid w:val="00A35A69"/>
    <w:rsid w:val="00A409B0"/>
    <w:rsid w:val="00A40B84"/>
    <w:rsid w:val="00A41C80"/>
    <w:rsid w:val="00A42306"/>
    <w:rsid w:val="00A425C8"/>
    <w:rsid w:val="00A43605"/>
    <w:rsid w:val="00A44E8D"/>
    <w:rsid w:val="00A45D92"/>
    <w:rsid w:val="00A4742E"/>
    <w:rsid w:val="00A47C3B"/>
    <w:rsid w:val="00A47C5D"/>
    <w:rsid w:val="00A5149A"/>
    <w:rsid w:val="00A554E5"/>
    <w:rsid w:val="00A556BC"/>
    <w:rsid w:val="00A55ACD"/>
    <w:rsid w:val="00A57348"/>
    <w:rsid w:val="00A60D7B"/>
    <w:rsid w:val="00A61209"/>
    <w:rsid w:val="00A617C8"/>
    <w:rsid w:val="00A62D4E"/>
    <w:rsid w:val="00A6317B"/>
    <w:rsid w:val="00A670A9"/>
    <w:rsid w:val="00A703B4"/>
    <w:rsid w:val="00A704B2"/>
    <w:rsid w:val="00A7070F"/>
    <w:rsid w:val="00A71CCA"/>
    <w:rsid w:val="00A72B8D"/>
    <w:rsid w:val="00A731D6"/>
    <w:rsid w:val="00A74558"/>
    <w:rsid w:val="00A80466"/>
    <w:rsid w:val="00A811A4"/>
    <w:rsid w:val="00A823B2"/>
    <w:rsid w:val="00A8495B"/>
    <w:rsid w:val="00A867C2"/>
    <w:rsid w:val="00A90AC9"/>
    <w:rsid w:val="00A9331D"/>
    <w:rsid w:val="00A9410C"/>
    <w:rsid w:val="00A94AC0"/>
    <w:rsid w:val="00A9634C"/>
    <w:rsid w:val="00A969E4"/>
    <w:rsid w:val="00A97DD2"/>
    <w:rsid w:val="00AA040F"/>
    <w:rsid w:val="00AA082A"/>
    <w:rsid w:val="00AA0CB0"/>
    <w:rsid w:val="00AA28CE"/>
    <w:rsid w:val="00AA2E13"/>
    <w:rsid w:val="00AA589B"/>
    <w:rsid w:val="00AA5EC0"/>
    <w:rsid w:val="00AA6238"/>
    <w:rsid w:val="00AA630F"/>
    <w:rsid w:val="00AA6C9F"/>
    <w:rsid w:val="00AA766A"/>
    <w:rsid w:val="00AA7DA7"/>
    <w:rsid w:val="00AB1A1F"/>
    <w:rsid w:val="00AB1C22"/>
    <w:rsid w:val="00AB329C"/>
    <w:rsid w:val="00AB35A7"/>
    <w:rsid w:val="00AB3906"/>
    <w:rsid w:val="00AB3C4B"/>
    <w:rsid w:val="00AB472F"/>
    <w:rsid w:val="00AB4860"/>
    <w:rsid w:val="00AB4903"/>
    <w:rsid w:val="00AB6027"/>
    <w:rsid w:val="00AB6659"/>
    <w:rsid w:val="00AB7875"/>
    <w:rsid w:val="00AC0CE0"/>
    <w:rsid w:val="00AC14AB"/>
    <w:rsid w:val="00AC21A0"/>
    <w:rsid w:val="00AC2205"/>
    <w:rsid w:val="00AC3F59"/>
    <w:rsid w:val="00AC5918"/>
    <w:rsid w:val="00AC5934"/>
    <w:rsid w:val="00AC68EE"/>
    <w:rsid w:val="00AC7BE7"/>
    <w:rsid w:val="00AD0925"/>
    <w:rsid w:val="00AD1ABE"/>
    <w:rsid w:val="00AD1B4B"/>
    <w:rsid w:val="00AD27BB"/>
    <w:rsid w:val="00AD2A0F"/>
    <w:rsid w:val="00AD3046"/>
    <w:rsid w:val="00AD3FD9"/>
    <w:rsid w:val="00AD4BFC"/>
    <w:rsid w:val="00AD5240"/>
    <w:rsid w:val="00AD5438"/>
    <w:rsid w:val="00AD6235"/>
    <w:rsid w:val="00AE02E8"/>
    <w:rsid w:val="00AE3A47"/>
    <w:rsid w:val="00AE5481"/>
    <w:rsid w:val="00AE5970"/>
    <w:rsid w:val="00AF108F"/>
    <w:rsid w:val="00AF1267"/>
    <w:rsid w:val="00AF294D"/>
    <w:rsid w:val="00AF4CFC"/>
    <w:rsid w:val="00AF5064"/>
    <w:rsid w:val="00AF5B27"/>
    <w:rsid w:val="00B015D8"/>
    <w:rsid w:val="00B01F7E"/>
    <w:rsid w:val="00B03E42"/>
    <w:rsid w:val="00B04EC7"/>
    <w:rsid w:val="00B06222"/>
    <w:rsid w:val="00B0777D"/>
    <w:rsid w:val="00B108DE"/>
    <w:rsid w:val="00B10CF8"/>
    <w:rsid w:val="00B10FE6"/>
    <w:rsid w:val="00B11A19"/>
    <w:rsid w:val="00B122CD"/>
    <w:rsid w:val="00B13628"/>
    <w:rsid w:val="00B13A3E"/>
    <w:rsid w:val="00B15B80"/>
    <w:rsid w:val="00B16A38"/>
    <w:rsid w:val="00B201C2"/>
    <w:rsid w:val="00B20B00"/>
    <w:rsid w:val="00B20FB0"/>
    <w:rsid w:val="00B21124"/>
    <w:rsid w:val="00B21B46"/>
    <w:rsid w:val="00B23B3E"/>
    <w:rsid w:val="00B23FAB"/>
    <w:rsid w:val="00B24482"/>
    <w:rsid w:val="00B2451A"/>
    <w:rsid w:val="00B25E48"/>
    <w:rsid w:val="00B26C91"/>
    <w:rsid w:val="00B3087D"/>
    <w:rsid w:val="00B3167D"/>
    <w:rsid w:val="00B32522"/>
    <w:rsid w:val="00B32DFE"/>
    <w:rsid w:val="00B34794"/>
    <w:rsid w:val="00B36B99"/>
    <w:rsid w:val="00B405F9"/>
    <w:rsid w:val="00B4161A"/>
    <w:rsid w:val="00B42677"/>
    <w:rsid w:val="00B44827"/>
    <w:rsid w:val="00B45459"/>
    <w:rsid w:val="00B46D79"/>
    <w:rsid w:val="00B5007E"/>
    <w:rsid w:val="00B5079F"/>
    <w:rsid w:val="00B5197F"/>
    <w:rsid w:val="00B52C4E"/>
    <w:rsid w:val="00B5339B"/>
    <w:rsid w:val="00B5386B"/>
    <w:rsid w:val="00B53FD0"/>
    <w:rsid w:val="00B54ED5"/>
    <w:rsid w:val="00B5559D"/>
    <w:rsid w:val="00B60421"/>
    <w:rsid w:val="00B63093"/>
    <w:rsid w:val="00B63135"/>
    <w:rsid w:val="00B64333"/>
    <w:rsid w:val="00B64ACD"/>
    <w:rsid w:val="00B65678"/>
    <w:rsid w:val="00B65711"/>
    <w:rsid w:val="00B65EDB"/>
    <w:rsid w:val="00B65FF7"/>
    <w:rsid w:val="00B666CB"/>
    <w:rsid w:val="00B66CBA"/>
    <w:rsid w:val="00B67007"/>
    <w:rsid w:val="00B678CE"/>
    <w:rsid w:val="00B712F4"/>
    <w:rsid w:val="00B735D0"/>
    <w:rsid w:val="00B77695"/>
    <w:rsid w:val="00B7776C"/>
    <w:rsid w:val="00B82F83"/>
    <w:rsid w:val="00B83631"/>
    <w:rsid w:val="00B83784"/>
    <w:rsid w:val="00B84893"/>
    <w:rsid w:val="00B857FC"/>
    <w:rsid w:val="00B85DD4"/>
    <w:rsid w:val="00B868CD"/>
    <w:rsid w:val="00B9199B"/>
    <w:rsid w:val="00B93A60"/>
    <w:rsid w:val="00B93F46"/>
    <w:rsid w:val="00B951C6"/>
    <w:rsid w:val="00B95247"/>
    <w:rsid w:val="00B95AD7"/>
    <w:rsid w:val="00B96CDA"/>
    <w:rsid w:val="00B979DC"/>
    <w:rsid w:val="00B97B97"/>
    <w:rsid w:val="00B97D94"/>
    <w:rsid w:val="00BA0E57"/>
    <w:rsid w:val="00BA10F3"/>
    <w:rsid w:val="00BA14B8"/>
    <w:rsid w:val="00BA19D4"/>
    <w:rsid w:val="00BA1C9A"/>
    <w:rsid w:val="00BA1EFB"/>
    <w:rsid w:val="00BA1FC7"/>
    <w:rsid w:val="00BA3DD0"/>
    <w:rsid w:val="00BA557A"/>
    <w:rsid w:val="00BA63C7"/>
    <w:rsid w:val="00BA6F25"/>
    <w:rsid w:val="00BA6FE4"/>
    <w:rsid w:val="00BB0243"/>
    <w:rsid w:val="00BB0CE1"/>
    <w:rsid w:val="00BB1F4B"/>
    <w:rsid w:val="00BB2834"/>
    <w:rsid w:val="00BB4ABA"/>
    <w:rsid w:val="00BB7359"/>
    <w:rsid w:val="00BC0892"/>
    <w:rsid w:val="00BC0B26"/>
    <w:rsid w:val="00BC0E81"/>
    <w:rsid w:val="00BC12CF"/>
    <w:rsid w:val="00BC2A8A"/>
    <w:rsid w:val="00BC2EEC"/>
    <w:rsid w:val="00BC3F67"/>
    <w:rsid w:val="00BC453C"/>
    <w:rsid w:val="00BC5690"/>
    <w:rsid w:val="00BC5FF0"/>
    <w:rsid w:val="00BC6F28"/>
    <w:rsid w:val="00BC7213"/>
    <w:rsid w:val="00BC729B"/>
    <w:rsid w:val="00BD392B"/>
    <w:rsid w:val="00BD3BCC"/>
    <w:rsid w:val="00BD4152"/>
    <w:rsid w:val="00BD4830"/>
    <w:rsid w:val="00BD48B7"/>
    <w:rsid w:val="00BE07CF"/>
    <w:rsid w:val="00BE0FD3"/>
    <w:rsid w:val="00BE2AA4"/>
    <w:rsid w:val="00BE31E9"/>
    <w:rsid w:val="00BE4AAA"/>
    <w:rsid w:val="00BE50AF"/>
    <w:rsid w:val="00BF2475"/>
    <w:rsid w:val="00BF249C"/>
    <w:rsid w:val="00BF3C27"/>
    <w:rsid w:val="00BF4100"/>
    <w:rsid w:val="00BF56B6"/>
    <w:rsid w:val="00BF5BB9"/>
    <w:rsid w:val="00BF5F85"/>
    <w:rsid w:val="00BF5F9A"/>
    <w:rsid w:val="00BF6E39"/>
    <w:rsid w:val="00C010DA"/>
    <w:rsid w:val="00C02267"/>
    <w:rsid w:val="00C057E2"/>
    <w:rsid w:val="00C064CE"/>
    <w:rsid w:val="00C07F5F"/>
    <w:rsid w:val="00C10B5F"/>
    <w:rsid w:val="00C10F6F"/>
    <w:rsid w:val="00C11C04"/>
    <w:rsid w:val="00C13211"/>
    <w:rsid w:val="00C14148"/>
    <w:rsid w:val="00C14628"/>
    <w:rsid w:val="00C14E67"/>
    <w:rsid w:val="00C1544D"/>
    <w:rsid w:val="00C1580C"/>
    <w:rsid w:val="00C1675E"/>
    <w:rsid w:val="00C16804"/>
    <w:rsid w:val="00C21349"/>
    <w:rsid w:val="00C22CE1"/>
    <w:rsid w:val="00C24850"/>
    <w:rsid w:val="00C260BA"/>
    <w:rsid w:val="00C26573"/>
    <w:rsid w:val="00C316B9"/>
    <w:rsid w:val="00C31FB8"/>
    <w:rsid w:val="00C322B4"/>
    <w:rsid w:val="00C330B0"/>
    <w:rsid w:val="00C3373E"/>
    <w:rsid w:val="00C33C9E"/>
    <w:rsid w:val="00C33EBF"/>
    <w:rsid w:val="00C341D3"/>
    <w:rsid w:val="00C341D6"/>
    <w:rsid w:val="00C350CB"/>
    <w:rsid w:val="00C35339"/>
    <w:rsid w:val="00C37B9C"/>
    <w:rsid w:val="00C405BA"/>
    <w:rsid w:val="00C4121D"/>
    <w:rsid w:val="00C415C7"/>
    <w:rsid w:val="00C4289B"/>
    <w:rsid w:val="00C42C99"/>
    <w:rsid w:val="00C43119"/>
    <w:rsid w:val="00C431A7"/>
    <w:rsid w:val="00C436DC"/>
    <w:rsid w:val="00C439F1"/>
    <w:rsid w:val="00C43FFF"/>
    <w:rsid w:val="00C45923"/>
    <w:rsid w:val="00C46BFB"/>
    <w:rsid w:val="00C46F6A"/>
    <w:rsid w:val="00C470D6"/>
    <w:rsid w:val="00C47966"/>
    <w:rsid w:val="00C500DB"/>
    <w:rsid w:val="00C50A89"/>
    <w:rsid w:val="00C52B08"/>
    <w:rsid w:val="00C53955"/>
    <w:rsid w:val="00C53B41"/>
    <w:rsid w:val="00C55E4E"/>
    <w:rsid w:val="00C55EA4"/>
    <w:rsid w:val="00C6014A"/>
    <w:rsid w:val="00C62132"/>
    <w:rsid w:val="00C62791"/>
    <w:rsid w:val="00C630F7"/>
    <w:rsid w:val="00C633B9"/>
    <w:rsid w:val="00C6343E"/>
    <w:rsid w:val="00C6394B"/>
    <w:rsid w:val="00C65F67"/>
    <w:rsid w:val="00C660BE"/>
    <w:rsid w:val="00C676FC"/>
    <w:rsid w:val="00C70086"/>
    <w:rsid w:val="00C70709"/>
    <w:rsid w:val="00C73025"/>
    <w:rsid w:val="00C73D97"/>
    <w:rsid w:val="00C744BC"/>
    <w:rsid w:val="00C75E90"/>
    <w:rsid w:val="00C76362"/>
    <w:rsid w:val="00C76F21"/>
    <w:rsid w:val="00C7785A"/>
    <w:rsid w:val="00C81285"/>
    <w:rsid w:val="00C81C91"/>
    <w:rsid w:val="00C82508"/>
    <w:rsid w:val="00C83B81"/>
    <w:rsid w:val="00C864EE"/>
    <w:rsid w:val="00C86598"/>
    <w:rsid w:val="00C86AD1"/>
    <w:rsid w:val="00C87773"/>
    <w:rsid w:val="00C913A1"/>
    <w:rsid w:val="00C92C1A"/>
    <w:rsid w:val="00C93E81"/>
    <w:rsid w:val="00C95832"/>
    <w:rsid w:val="00C96B47"/>
    <w:rsid w:val="00C96DB5"/>
    <w:rsid w:val="00C97B4B"/>
    <w:rsid w:val="00CA2BE8"/>
    <w:rsid w:val="00CA2DFB"/>
    <w:rsid w:val="00CA4C8F"/>
    <w:rsid w:val="00CA58FA"/>
    <w:rsid w:val="00CA5F72"/>
    <w:rsid w:val="00CA6360"/>
    <w:rsid w:val="00CA64C8"/>
    <w:rsid w:val="00CA7C00"/>
    <w:rsid w:val="00CB31DA"/>
    <w:rsid w:val="00CB342A"/>
    <w:rsid w:val="00CB444B"/>
    <w:rsid w:val="00CB5361"/>
    <w:rsid w:val="00CB5C42"/>
    <w:rsid w:val="00CB7FC2"/>
    <w:rsid w:val="00CC21F8"/>
    <w:rsid w:val="00CC29BE"/>
    <w:rsid w:val="00CC37D9"/>
    <w:rsid w:val="00CC387F"/>
    <w:rsid w:val="00CC3D7B"/>
    <w:rsid w:val="00CC4646"/>
    <w:rsid w:val="00CC6A99"/>
    <w:rsid w:val="00CC6ED2"/>
    <w:rsid w:val="00CD0EF1"/>
    <w:rsid w:val="00CD0F78"/>
    <w:rsid w:val="00CD289A"/>
    <w:rsid w:val="00CD2C09"/>
    <w:rsid w:val="00CD34A3"/>
    <w:rsid w:val="00CD4507"/>
    <w:rsid w:val="00CD4C05"/>
    <w:rsid w:val="00CD5A3B"/>
    <w:rsid w:val="00CD657F"/>
    <w:rsid w:val="00CD6C6A"/>
    <w:rsid w:val="00CD6E9C"/>
    <w:rsid w:val="00CE166D"/>
    <w:rsid w:val="00CE1A38"/>
    <w:rsid w:val="00CE56C7"/>
    <w:rsid w:val="00CE6238"/>
    <w:rsid w:val="00CE660D"/>
    <w:rsid w:val="00CE74CF"/>
    <w:rsid w:val="00CE7963"/>
    <w:rsid w:val="00CE7AF1"/>
    <w:rsid w:val="00CF1089"/>
    <w:rsid w:val="00CF15C4"/>
    <w:rsid w:val="00CF2188"/>
    <w:rsid w:val="00CF6012"/>
    <w:rsid w:val="00D00AA3"/>
    <w:rsid w:val="00D02594"/>
    <w:rsid w:val="00D02635"/>
    <w:rsid w:val="00D02BAE"/>
    <w:rsid w:val="00D02F6F"/>
    <w:rsid w:val="00D03026"/>
    <w:rsid w:val="00D06539"/>
    <w:rsid w:val="00D0674A"/>
    <w:rsid w:val="00D07F73"/>
    <w:rsid w:val="00D10972"/>
    <w:rsid w:val="00D118E2"/>
    <w:rsid w:val="00D12F26"/>
    <w:rsid w:val="00D140ED"/>
    <w:rsid w:val="00D14844"/>
    <w:rsid w:val="00D14D49"/>
    <w:rsid w:val="00D17FD2"/>
    <w:rsid w:val="00D2041C"/>
    <w:rsid w:val="00D20768"/>
    <w:rsid w:val="00D213AD"/>
    <w:rsid w:val="00D2251F"/>
    <w:rsid w:val="00D2273F"/>
    <w:rsid w:val="00D24119"/>
    <w:rsid w:val="00D24320"/>
    <w:rsid w:val="00D250FC"/>
    <w:rsid w:val="00D252DD"/>
    <w:rsid w:val="00D2534C"/>
    <w:rsid w:val="00D25ADE"/>
    <w:rsid w:val="00D2694E"/>
    <w:rsid w:val="00D27972"/>
    <w:rsid w:val="00D31A5E"/>
    <w:rsid w:val="00D31BCA"/>
    <w:rsid w:val="00D33729"/>
    <w:rsid w:val="00D3515A"/>
    <w:rsid w:val="00D371DA"/>
    <w:rsid w:val="00D4011B"/>
    <w:rsid w:val="00D40A6B"/>
    <w:rsid w:val="00D40FE9"/>
    <w:rsid w:val="00D4168F"/>
    <w:rsid w:val="00D43297"/>
    <w:rsid w:val="00D43ED7"/>
    <w:rsid w:val="00D44DB6"/>
    <w:rsid w:val="00D44F26"/>
    <w:rsid w:val="00D45E43"/>
    <w:rsid w:val="00D45F37"/>
    <w:rsid w:val="00D4628B"/>
    <w:rsid w:val="00D46694"/>
    <w:rsid w:val="00D47AE5"/>
    <w:rsid w:val="00D50100"/>
    <w:rsid w:val="00D50119"/>
    <w:rsid w:val="00D513E7"/>
    <w:rsid w:val="00D51536"/>
    <w:rsid w:val="00D5267C"/>
    <w:rsid w:val="00D526B9"/>
    <w:rsid w:val="00D53BDE"/>
    <w:rsid w:val="00D545E7"/>
    <w:rsid w:val="00D546EA"/>
    <w:rsid w:val="00D57001"/>
    <w:rsid w:val="00D57326"/>
    <w:rsid w:val="00D5792A"/>
    <w:rsid w:val="00D60737"/>
    <w:rsid w:val="00D60B78"/>
    <w:rsid w:val="00D61637"/>
    <w:rsid w:val="00D61A8B"/>
    <w:rsid w:val="00D628E2"/>
    <w:rsid w:val="00D642F0"/>
    <w:rsid w:val="00D64830"/>
    <w:rsid w:val="00D6523B"/>
    <w:rsid w:val="00D6668D"/>
    <w:rsid w:val="00D669B3"/>
    <w:rsid w:val="00D7019F"/>
    <w:rsid w:val="00D72413"/>
    <w:rsid w:val="00D730BE"/>
    <w:rsid w:val="00D73CB7"/>
    <w:rsid w:val="00D74167"/>
    <w:rsid w:val="00D74B54"/>
    <w:rsid w:val="00D74E24"/>
    <w:rsid w:val="00D76B01"/>
    <w:rsid w:val="00D76C5E"/>
    <w:rsid w:val="00D76D7D"/>
    <w:rsid w:val="00D8206C"/>
    <w:rsid w:val="00D82351"/>
    <w:rsid w:val="00D823F0"/>
    <w:rsid w:val="00D82A43"/>
    <w:rsid w:val="00D843F7"/>
    <w:rsid w:val="00D84528"/>
    <w:rsid w:val="00D84673"/>
    <w:rsid w:val="00D858DD"/>
    <w:rsid w:val="00D92E96"/>
    <w:rsid w:val="00D93E6A"/>
    <w:rsid w:val="00D93EEC"/>
    <w:rsid w:val="00D93FFA"/>
    <w:rsid w:val="00D94B0C"/>
    <w:rsid w:val="00D96869"/>
    <w:rsid w:val="00D96C5B"/>
    <w:rsid w:val="00D974C6"/>
    <w:rsid w:val="00D978C7"/>
    <w:rsid w:val="00D97918"/>
    <w:rsid w:val="00D97A32"/>
    <w:rsid w:val="00DA0EB6"/>
    <w:rsid w:val="00DA41BD"/>
    <w:rsid w:val="00DA569D"/>
    <w:rsid w:val="00DA66F2"/>
    <w:rsid w:val="00DA7297"/>
    <w:rsid w:val="00DA776E"/>
    <w:rsid w:val="00DA7B5D"/>
    <w:rsid w:val="00DB0275"/>
    <w:rsid w:val="00DB2215"/>
    <w:rsid w:val="00DB2824"/>
    <w:rsid w:val="00DB64D2"/>
    <w:rsid w:val="00DC0A3D"/>
    <w:rsid w:val="00DC27EF"/>
    <w:rsid w:val="00DC3401"/>
    <w:rsid w:val="00DC3671"/>
    <w:rsid w:val="00DC4276"/>
    <w:rsid w:val="00DC4B86"/>
    <w:rsid w:val="00DC6FD8"/>
    <w:rsid w:val="00DC79AC"/>
    <w:rsid w:val="00DC7CFC"/>
    <w:rsid w:val="00DD214F"/>
    <w:rsid w:val="00DD2162"/>
    <w:rsid w:val="00DD4045"/>
    <w:rsid w:val="00DD5A3F"/>
    <w:rsid w:val="00DD6771"/>
    <w:rsid w:val="00DE14C5"/>
    <w:rsid w:val="00DE1837"/>
    <w:rsid w:val="00DE44EB"/>
    <w:rsid w:val="00DE4BD7"/>
    <w:rsid w:val="00DE512D"/>
    <w:rsid w:val="00DE637A"/>
    <w:rsid w:val="00DF0234"/>
    <w:rsid w:val="00DF04A4"/>
    <w:rsid w:val="00DF24E9"/>
    <w:rsid w:val="00DF2F45"/>
    <w:rsid w:val="00DF58E7"/>
    <w:rsid w:val="00DF66E6"/>
    <w:rsid w:val="00DF756B"/>
    <w:rsid w:val="00E00082"/>
    <w:rsid w:val="00E0080D"/>
    <w:rsid w:val="00E01B0B"/>
    <w:rsid w:val="00E033F4"/>
    <w:rsid w:val="00E04755"/>
    <w:rsid w:val="00E06228"/>
    <w:rsid w:val="00E076A5"/>
    <w:rsid w:val="00E10665"/>
    <w:rsid w:val="00E11653"/>
    <w:rsid w:val="00E11876"/>
    <w:rsid w:val="00E120EB"/>
    <w:rsid w:val="00E12CF5"/>
    <w:rsid w:val="00E136A1"/>
    <w:rsid w:val="00E13EB4"/>
    <w:rsid w:val="00E14B55"/>
    <w:rsid w:val="00E16863"/>
    <w:rsid w:val="00E16B31"/>
    <w:rsid w:val="00E172B6"/>
    <w:rsid w:val="00E17AA7"/>
    <w:rsid w:val="00E2048C"/>
    <w:rsid w:val="00E217DF"/>
    <w:rsid w:val="00E219C0"/>
    <w:rsid w:val="00E23CBB"/>
    <w:rsid w:val="00E25261"/>
    <w:rsid w:val="00E25589"/>
    <w:rsid w:val="00E25AD8"/>
    <w:rsid w:val="00E27E5F"/>
    <w:rsid w:val="00E30C19"/>
    <w:rsid w:val="00E331D0"/>
    <w:rsid w:val="00E34A7C"/>
    <w:rsid w:val="00E34DF0"/>
    <w:rsid w:val="00E35B20"/>
    <w:rsid w:val="00E37B59"/>
    <w:rsid w:val="00E41C79"/>
    <w:rsid w:val="00E4291C"/>
    <w:rsid w:val="00E42A4F"/>
    <w:rsid w:val="00E43F65"/>
    <w:rsid w:val="00E45B8B"/>
    <w:rsid w:val="00E47E31"/>
    <w:rsid w:val="00E53438"/>
    <w:rsid w:val="00E53581"/>
    <w:rsid w:val="00E53AB2"/>
    <w:rsid w:val="00E540D5"/>
    <w:rsid w:val="00E543C8"/>
    <w:rsid w:val="00E54705"/>
    <w:rsid w:val="00E556AF"/>
    <w:rsid w:val="00E559D8"/>
    <w:rsid w:val="00E5775E"/>
    <w:rsid w:val="00E5791A"/>
    <w:rsid w:val="00E6010C"/>
    <w:rsid w:val="00E603F0"/>
    <w:rsid w:val="00E60E6F"/>
    <w:rsid w:val="00E61049"/>
    <w:rsid w:val="00E611DE"/>
    <w:rsid w:val="00E621B6"/>
    <w:rsid w:val="00E6332A"/>
    <w:rsid w:val="00E63434"/>
    <w:rsid w:val="00E637A8"/>
    <w:rsid w:val="00E65B43"/>
    <w:rsid w:val="00E65B71"/>
    <w:rsid w:val="00E65C27"/>
    <w:rsid w:val="00E66ADC"/>
    <w:rsid w:val="00E6772F"/>
    <w:rsid w:val="00E71A0A"/>
    <w:rsid w:val="00E725FC"/>
    <w:rsid w:val="00E748A0"/>
    <w:rsid w:val="00E769A4"/>
    <w:rsid w:val="00E77657"/>
    <w:rsid w:val="00E77E87"/>
    <w:rsid w:val="00E81EB4"/>
    <w:rsid w:val="00E839C9"/>
    <w:rsid w:val="00E86E9D"/>
    <w:rsid w:val="00E8717F"/>
    <w:rsid w:val="00E8751B"/>
    <w:rsid w:val="00E87FF8"/>
    <w:rsid w:val="00E9005B"/>
    <w:rsid w:val="00E908AF"/>
    <w:rsid w:val="00E92631"/>
    <w:rsid w:val="00E9369D"/>
    <w:rsid w:val="00E93A75"/>
    <w:rsid w:val="00E95C61"/>
    <w:rsid w:val="00E96697"/>
    <w:rsid w:val="00E96A5C"/>
    <w:rsid w:val="00E970D8"/>
    <w:rsid w:val="00EA0A5D"/>
    <w:rsid w:val="00EA0C59"/>
    <w:rsid w:val="00EA0ED9"/>
    <w:rsid w:val="00EA13B3"/>
    <w:rsid w:val="00EA1B4E"/>
    <w:rsid w:val="00EA2310"/>
    <w:rsid w:val="00EA2517"/>
    <w:rsid w:val="00EA30E1"/>
    <w:rsid w:val="00EA30F9"/>
    <w:rsid w:val="00EA36C6"/>
    <w:rsid w:val="00EA430E"/>
    <w:rsid w:val="00EA53F2"/>
    <w:rsid w:val="00EA7B1E"/>
    <w:rsid w:val="00EA7F36"/>
    <w:rsid w:val="00EB1E5F"/>
    <w:rsid w:val="00EB37E7"/>
    <w:rsid w:val="00EB45C0"/>
    <w:rsid w:val="00EB4662"/>
    <w:rsid w:val="00EB4779"/>
    <w:rsid w:val="00EB70E1"/>
    <w:rsid w:val="00EB7319"/>
    <w:rsid w:val="00EB78DD"/>
    <w:rsid w:val="00EC05D4"/>
    <w:rsid w:val="00EC0A60"/>
    <w:rsid w:val="00EC1B15"/>
    <w:rsid w:val="00EC27EB"/>
    <w:rsid w:val="00EC30F9"/>
    <w:rsid w:val="00EC37D0"/>
    <w:rsid w:val="00EC4993"/>
    <w:rsid w:val="00EC5D99"/>
    <w:rsid w:val="00EC66FF"/>
    <w:rsid w:val="00EC6C98"/>
    <w:rsid w:val="00EC7E0C"/>
    <w:rsid w:val="00ED07D7"/>
    <w:rsid w:val="00ED0CB8"/>
    <w:rsid w:val="00ED18B5"/>
    <w:rsid w:val="00ED3333"/>
    <w:rsid w:val="00ED3F13"/>
    <w:rsid w:val="00ED4A58"/>
    <w:rsid w:val="00ED4AFC"/>
    <w:rsid w:val="00ED4BF7"/>
    <w:rsid w:val="00ED4E67"/>
    <w:rsid w:val="00ED4EFC"/>
    <w:rsid w:val="00ED51E6"/>
    <w:rsid w:val="00ED5725"/>
    <w:rsid w:val="00ED57F6"/>
    <w:rsid w:val="00ED7031"/>
    <w:rsid w:val="00ED7948"/>
    <w:rsid w:val="00ED7DFD"/>
    <w:rsid w:val="00EDEA77"/>
    <w:rsid w:val="00EE143A"/>
    <w:rsid w:val="00EE2D7B"/>
    <w:rsid w:val="00EE3060"/>
    <w:rsid w:val="00EE3F44"/>
    <w:rsid w:val="00EE4315"/>
    <w:rsid w:val="00EE4E1D"/>
    <w:rsid w:val="00EE4F13"/>
    <w:rsid w:val="00EE6AF1"/>
    <w:rsid w:val="00EE706E"/>
    <w:rsid w:val="00EE71D8"/>
    <w:rsid w:val="00EE7BFA"/>
    <w:rsid w:val="00EF06C4"/>
    <w:rsid w:val="00EF0CCA"/>
    <w:rsid w:val="00EF1AE1"/>
    <w:rsid w:val="00EF3EC7"/>
    <w:rsid w:val="00EF40A9"/>
    <w:rsid w:val="00EF41F6"/>
    <w:rsid w:val="00EF429D"/>
    <w:rsid w:val="00EF48DF"/>
    <w:rsid w:val="00EF4CCE"/>
    <w:rsid w:val="00EF656A"/>
    <w:rsid w:val="00EF6925"/>
    <w:rsid w:val="00EF76C3"/>
    <w:rsid w:val="00EF7BC0"/>
    <w:rsid w:val="00F005B5"/>
    <w:rsid w:val="00F00D76"/>
    <w:rsid w:val="00F02B3B"/>
    <w:rsid w:val="00F03D50"/>
    <w:rsid w:val="00F04011"/>
    <w:rsid w:val="00F05A1E"/>
    <w:rsid w:val="00F05AB1"/>
    <w:rsid w:val="00F062BB"/>
    <w:rsid w:val="00F07A84"/>
    <w:rsid w:val="00F10AF8"/>
    <w:rsid w:val="00F10B24"/>
    <w:rsid w:val="00F12BB6"/>
    <w:rsid w:val="00F12D0F"/>
    <w:rsid w:val="00F13C16"/>
    <w:rsid w:val="00F1592C"/>
    <w:rsid w:val="00F15CDA"/>
    <w:rsid w:val="00F15FD8"/>
    <w:rsid w:val="00F20BA1"/>
    <w:rsid w:val="00F213BF"/>
    <w:rsid w:val="00F25B02"/>
    <w:rsid w:val="00F26ED3"/>
    <w:rsid w:val="00F27276"/>
    <w:rsid w:val="00F276E5"/>
    <w:rsid w:val="00F30A1C"/>
    <w:rsid w:val="00F31417"/>
    <w:rsid w:val="00F33101"/>
    <w:rsid w:val="00F34E2D"/>
    <w:rsid w:val="00F351BA"/>
    <w:rsid w:val="00F35803"/>
    <w:rsid w:val="00F36B6D"/>
    <w:rsid w:val="00F4083D"/>
    <w:rsid w:val="00F42EC7"/>
    <w:rsid w:val="00F435FD"/>
    <w:rsid w:val="00F43F02"/>
    <w:rsid w:val="00F46008"/>
    <w:rsid w:val="00F46853"/>
    <w:rsid w:val="00F50C8D"/>
    <w:rsid w:val="00F53B07"/>
    <w:rsid w:val="00F55E60"/>
    <w:rsid w:val="00F56B26"/>
    <w:rsid w:val="00F56E67"/>
    <w:rsid w:val="00F5719E"/>
    <w:rsid w:val="00F60E05"/>
    <w:rsid w:val="00F61892"/>
    <w:rsid w:val="00F61B85"/>
    <w:rsid w:val="00F629EA"/>
    <w:rsid w:val="00F62B7A"/>
    <w:rsid w:val="00F63414"/>
    <w:rsid w:val="00F63940"/>
    <w:rsid w:val="00F6397D"/>
    <w:rsid w:val="00F63D74"/>
    <w:rsid w:val="00F65391"/>
    <w:rsid w:val="00F65C97"/>
    <w:rsid w:val="00F661BB"/>
    <w:rsid w:val="00F721E1"/>
    <w:rsid w:val="00F7293E"/>
    <w:rsid w:val="00F73EB6"/>
    <w:rsid w:val="00F756D0"/>
    <w:rsid w:val="00F76317"/>
    <w:rsid w:val="00F76650"/>
    <w:rsid w:val="00F769B3"/>
    <w:rsid w:val="00F7796E"/>
    <w:rsid w:val="00F814C4"/>
    <w:rsid w:val="00F81EDC"/>
    <w:rsid w:val="00F824A1"/>
    <w:rsid w:val="00F834DB"/>
    <w:rsid w:val="00F84DF3"/>
    <w:rsid w:val="00F85952"/>
    <w:rsid w:val="00F85B88"/>
    <w:rsid w:val="00F863F3"/>
    <w:rsid w:val="00F90BA9"/>
    <w:rsid w:val="00F9187B"/>
    <w:rsid w:val="00F92385"/>
    <w:rsid w:val="00F93D26"/>
    <w:rsid w:val="00F95213"/>
    <w:rsid w:val="00F96EBF"/>
    <w:rsid w:val="00F97171"/>
    <w:rsid w:val="00F97432"/>
    <w:rsid w:val="00F97BD6"/>
    <w:rsid w:val="00F97EDD"/>
    <w:rsid w:val="00FA01BE"/>
    <w:rsid w:val="00FA0424"/>
    <w:rsid w:val="00FA1B4F"/>
    <w:rsid w:val="00FA34FD"/>
    <w:rsid w:val="00FA3C63"/>
    <w:rsid w:val="00FA54EE"/>
    <w:rsid w:val="00FA5B49"/>
    <w:rsid w:val="00FA78A7"/>
    <w:rsid w:val="00FB0B1A"/>
    <w:rsid w:val="00FB2181"/>
    <w:rsid w:val="00FB5EA8"/>
    <w:rsid w:val="00FB6915"/>
    <w:rsid w:val="00FC18BB"/>
    <w:rsid w:val="00FC2933"/>
    <w:rsid w:val="00FC31EA"/>
    <w:rsid w:val="00FC3CD8"/>
    <w:rsid w:val="00FC4244"/>
    <w:rsid w:val="00FC47F9"/>
    <w:rsid w:val="00FC4EE2"/>
    <w:rsid w:val="00FC6206"/>
    <w:rsid w:val="00FC7914"/>
    <w:rsid w:val="00FD00C6"/>
    <w:rsid w:val="00FD1FD1"/>
    <w:rsid w:val="00FD205A"/>
    <w:rsid w:val="00FD2DDF"/>
    <w:rsid w:val="00FD31C1"/>
    <w:rsid w:val="00FD355A"/>
    <w:rsid w:val="00FD3BC3"/>
    <w:rsid w:val="00FD3FB3"/>
    <w:rsid w:val="00FD40F6"/>
    <w:rsid w:val="00FD6E80"/>
    <w:rsid w:val="00FD75C6"/>
    <w:rsid w:val="00FD7C0C"/>
    <w:rsid w:val="00FD7F2F"/>
    <w:rsid w:val="00FE1734"/>
    <w:rsid w:val="00FE2351"/>
    <w:rsid w:val="00FE40D0"/>
    <w:rsid w:val="00FE45B3"/>
    <w:rsid w:val="00FE4925"/>
    <w:rsid w:val="00FE5580"/>
    <w:rsid w:val="00FE564B"/>
    <w:rsid w:val="00FE5DA1"/>
    <w:rsid w:val="00FE64F0"/>
    <w:rsid w:val="00FE67CF"/>
    <w:rsid w:val="00FE6CC0"/>
    <w:rsid w:val="00FE72A8"/>
    <w:rsid w:val="00FF0EB7"/>
    <w:rsid w:val="00FF110C"/>
    <w:rsid w:val="00FF233E"/>
    <w:rsid w:val="00FF4113"/>
    <w:rsid w:val="00FF4451"/>
    <w:rsid w:val="00FF657A"/>
    <w:rsid w:val="00FF7068"/>
    <w:rsid w:val="00FF72EF"/>
    <w:rsid w:val="00FF7AE2"/>
    <w:rsid w:val="0111C0D9"/>
    <w:rsid w:val="017805A0"/>
    <w:rsid w:val="0201D0EA"/>
    <w:rsid w:val="0261278C"/>
    <w:rsid w:val="02818996"/>
    <w:rsid w:val="02914D9E"/>
    <w:rsid w:val="02EF6C8E"/>
    <w:rsid w:val="0333909E"/>
    <w:rsid w:val="033EAD49"/>
    <w:rsid w:val="04618500"/>
    <w:rsid w:val="04B2B282"/>
    <w:rsid w:val="05674579"/>
    <w:rsid w:val="059B5DB0"/>
    <w:rsid w:val="05E2AAA3"/>
    <w:rsid w:val="063F9D3A"/>
    <w:rsid w:val="065C5B0D"/>
    <w:rsid w:val="065F948F"/>
    <w:rsid w:val="06B95D30"/>
    <w:rsid w:val="072C3FF6"/>
    <w:rsid w:val="0829A648"/>
    <w:rsid w:val="08D84E27"/>
    <w:rsid w:val="08EEA6A8"/>
    <w:rsid w:val="0A12AA52"/>
    <w:rsid w:val="0A20C8EF"/>
    <w:rsid w:val="0A344DF0"/>
    <w:rsid w:val="0BB9A055"/>
    <w:rsid w:val="0BE35192"/>
    <w:rsid w:val="0C4A95B6"/>
    <w:rsid w:val="0C943A02"/>
    <w:rsid w:val="0CEFF6A0"/>
    <w:rsid w:val="0D7533F5"/>
    <w:rsid w:val="0DD17A53"/>
    <w:rsid w:val="0DF55CD2"/>
    <w:rsid w:val="0E1931E3"/>
    <w:rsid w:val="0E3C0A8E"/>
    <w:rsid w:val="0E7ECD6F"/>
    <w:rsid w:val="0F599E6C"/>
    <w:rsid w:val="0F5D63E2"/>
    <w:rsid w:val="0FF3C524"/>
    <w:rsid w:val="101C7AB3"/>
    <w:rsid w:val="10325906"/>
    <w:rsid w:val="1039A05E"/>
    <w:rsid w:val="10F018C8"/>
    <w:rsid w:val="110CFB89"/>
    <w:rsid w:val="116F0F8D"/>
    <w:rsid w:val="120838D7"/>
    <w:rsid w:val="124819D1"/>
    <w:rsid w:val="1275AEB2"/>
    <w:rsid w:val="12765675"/>
    <w:rsid w:val="12A0D509"/>
    <w:rsid w:val="13C4E315"/>
    <w:rsid w:val="1438176D"/>
    <w:rsid w:val="14BD4E92"/>
    <w:rsid w:val="155BEDBD"/>
    <w:rsid w:val="15D64908"/>
    <w:rsid w:val="163A1226"/>
    <w:rsid w:val="16CC2EB4"/>
    <w:rsid w:val="17686325"/>
    <w:rsid w:val="17BA1088"/>
    <w:rsid w:val="18015984"/>
    <w:rsid w:val="180F2272"/>
    <w:rsid w:val="185B1FF8"/>
    <w:rsid w:val="19233DD9"/>
    <w:rsid w:val="19465155"/>
    <w:rsid w:val="19518207"/>
    <w:rsid w:val="19715896"/>
    <w:rsid w:val="1973AEBE"/>
    <w:rsid w:val="19A9D393"/>
    <w:rsid w:val="19D17FB7"/>
    <w:rsid w:val="1A114906"/>
    <w:rsid w:val="1AE6F7AB"/>
    <w:rsid w:val="1B4E4C58"/>
    <w:rsid w:val="1B62E338"/>
    <w:rsid w:val="1B8783A5"/>
    <w:rsid w:val="1BEADCAE"/>
    <w:rsid w:val="1C8493E9"/>
    <w:rsid w:val="1CC29395"/>
    <w:rsid w:val="1CFA99F5"/>
    <w:rsid w:val="1D8FE6CD"/>
    <w:rsid w:val="1D91A281"/>
    <w:rsid w:val="1DB4E113"/>
    <w:rsid w:val="1DCAF854"/>
    <w:rsid w:val="1DF032A4"/>
    <w:rsid w:val="1DF67827"/>
    <w:rsid w:val="1E44C9BC"/>
    <w:rsid w:val="1E8D40A0"/>
    <w:rsid w:val="1EB2743A"/>
    <w:rsid w:val="1EBBD182"/>
    <w:rsid w:val="1F115FFA"/>
    <w:rsid w:val="1F185CDB"/>
    <w:rsid w:val="1F4B7849"/>
    <w:rsid w:val="1F560A72"/>
    <w:rsid w:val="1F7BD47D"/>
    <w:rsid w:val="1F9E2B9F"/>
    <w:rsid w:val="201CFB39"/>
    <w:rsid w:val="201F44AF"/>
    <w:rsid w:val="20F58983"/>
    <w:rsid w:val="21120D9E"/>
    <w:rsid w:val="21862523"/>
    <w:rsid w:val="2238296C"/>
    <w:rsid w:val="22AD1C92"/>
    <w:rsid w:val="22ADDDE6"/>
    <w:rsid w:val="23538BCE"/>
    <w:rsid w:val="2356832B"/>
    <w:rsid w:val="240F88EE"/>
    <w:rsid w:val="249F4BB5"/>
    <w:rsid w:val="254A7FEB"/>
    <w:rsid w:val="257A0B1B"/>
    <w:rsid w:val="2588B1FC"/>
    <w:rsid w:val="25CDE002"/>
    <w:rsid w:val="25FEA503"/>
    <w:rsid w:val="26326E11"/>
    <w:rsid w:val="26A28351"/>
    <w:rsid w:val="270C10E3"/>
    <w:rsid w:val="279EA18A"/>
    <w:rsid w:val="27A44DD4"/>
    <w:rsid w:val="27B205B7"/>
    <w:rsid w:val="27B5D959"/>
    <w:rsid w:val="27D45329"/>
    <w:rsid w:val="280AFB93"/>
    <w:rsid w:val="2811F880"/>
    <w:rsid w:val="28D65ACD"/>
    <w:rsid w:val="28F13F94"/>
    <w:rsid w:val="290E68D2"/>
    <w:rsid w:val="29228CD0"/>
    <w:rsid w:val="2980EEFD"/>
    <w:rsid w:val="298C60F6"/>
    <w:rsid w:val="29DE2FB6"/>
    <w:rsid w:val="2A1B67EF"/>
    <w:rsid w:val="2A5EFC7B"/>
    <w:rsid w:val="2AA72294"/>
    <w:rsid w:val="2AF546C4"/>
    <w:rsid w:val="2BFD8FA6"/>
    <w:rsid w:val="2C2CCA88"/>
    <w:rsid w:val="2C45EF35"/>
    <w:rsid w:val="2CDB3F00"/>
    <w:rsid w:val="2D312560"/>
    <w:rsid w:val="2D7210A3"/>
    <w:rsid w:val="2D8A9BC9"/>
    <w:rsid w:val="2E05E5F4"/>
    <w:rsid w:val="2E939278"/>
    <w:rsid w:val="2EAD5C57"/>
    <w:rsid w:val="2ED7D16C"/>
    <w:rsid w:val="2EDFB73C"/>
    <w:rsid w:val="2EF79A1F"/>
    <w:rsid w:val="2F117F2C"/>
    <w:rsid w:val="2F2C399A"/>
    <w:rsid w:val="3036BCA5"/>
    <w:rsid w:val="31434804"/>
    <w:rsid w:val="32A20FEE"/>
    <w:rsid w:val="32FC5989"/>
    <w:rsid w:val="334E5E56"/>
    <w:rsid w:val="3367967E"/>
    <w:rsid w:val="341B237F"/>
    <w:rsid w:val="3467D99C"/>
    <w:rsid w:val="3528530A"/>
    <w:rsid w:val="35573704"/>
    <w:rsid w:val="359FBE01"/>
    <w:rsid w:val="35FEDB0F"/>
    <w:rsid w:val="3641F916"/>
    <w:rsid w:val="36B95C32"/>
    <w:rsid w:val="36FCE450"/>
    <w:rsid w:val="37198300"/>
    <w:rsid w:val="375C82BA"/>
    <w:rsid w:val="3760D397"/>
    <w:rsid w:val="37BF4810"/>
    <w:rsid w:val="38965D09"/>
    <w:rsid w:val="389A56FD"/>
    <w:rsid w:val="39F3B12D"/>
    <w:rsid w:val="3A7E8E96"/>
    <w:rsid w:val="3B357663"/>
    <w:rsid w:val="3B73DBCC"/>
    <w:rsid w:val="3BD988D8"/>
    <w:rsid w:val="3D3D2B3B"/>
    <w:rsid w:val="3D5266E2"/>
    <w:rsid w:val="3E27D3F0"/>
    <w:rsid w:val="3F08805B"/>
    <w:rsid w:val="3F8BD6FD"/>
    <w:rsid w:val="40A13185"/>
    <w:rsid w:val="40A471D5"/>
    <w:rsid w:val="40D58399"/>
    <w:rsid w:val="40DDD6E6"/>
    <w:rsid w:val="41E3A518"/>
    <w:rsid w:val="421BD9BC"/>
    <w:rsid w:val="423E6A07"/>
    <w:rsid w:val="4248F6B4"/>
    <w:rsid w:val="42510B1A"/>
    <w:rsid w:val="428EEFF8"/>
    <w:rsid w:val="42998D9E"/>
    <w:rsid w:val="435BBA76"/>
    <w:rsid w:val="438B8651"/>
    <w:rsid w:val="444D5052"/>
    <w:rsid w:val="4553AEE2"/>
    <w:rsid w:val="45559D7C"/>
    <w:rsid w:val="45633FF7"/>
    <w:rsid w:val="457725AB"/>
    <w:rsid w:val="4587C8CA"/>
    <w:rsid w:val="45885174"/>
    <w:rsid w:val="4594CB8C"/>
    <w:rsid w:val="45DA3A1A"/>
    <w:rsid w:val="46401AE7"/>
    <w:rsid w:val="46ABC737"/>
    <w:rsid w:val="46C2EF6D"/>
    <w:rsid w:val="4728209B"/>
    <w:rsid w:val="473B6745"/>
    <w:rsid w:val="484AE562"/>
    <w:rsid w:val="484BE6DC"/>
    <w:rsid w:val="4850F01D"/>
    <w:rsid w:val="4904CC3B"/>
    <w:rsid w:val="49689B5C"/>
    <w:rsid w:val="49B637A7"/>
    <w:rsid w:val="4A018C42"/>
    <w:rsid w:val="4A2787E9"/>
    <w:rsid w:val="4A3414AE"/>
    <w:rsid w:val="4A463F90"/>
    <w:rsid w:val="4B1BBB22"/>
    <w:rsid w:val="4B4F9E08"/>
    <w:rsid w:val="4B6609DB"/>
    <w:rsid w:val="4BB7CD3D"/>
    <w:rsid w:val="4C7FF3D0"/>
    <w:rsid w:val="4D81A491"/>
    <w:rsid w:val="4E4A231C"/>
    <w:rsid w:val="4E4C0B63"/>
    <w:rsid w:val="4E740950"/>
    <w:rsid w:val="4E7BC2AC"/>
    <w:rsid w:val="4E8D13D8"/>
    <w:rsid w:val="4EB7E490"/>
    <w:rsid w:val="4F1FBE66"/>
    <w:rsid w:val="4F2EEDF0"/>
    <w:rsid w:val="4F8A5E07"/>
    <w:rsid w:val="4FAC8BB4"/>
    <w:rsid w:val="5001DDC5"/>
    <w:rsid w:val="504E8591"/>
    <w:rsid w:val="508A8A02"/>
    <w:rsid w:val="50B68B5B"/>
    <w:rsid w:val="511CD613"/>
    <w:rsid w:val="511DBB57"/>
    <w:rsid w:val="51217DC2"/>
    <w:rsid w:val="5246413A"/>
    <w:rsid w:val="524F3037"/>
    <w:rsid w:val="528210D8"/>
    <w:rsid w:val="5298D23F"/>
    <w:rsid w:val="52DA008D"/>
    <w:rsid w:val="535E0E44"/>
    <w:rsid w:val="53736587"/>
    <w:rsid w:val="544BD0E5"/>
    <w:rsid w:val="55140F45"/>
    <w:rsid w:val="5548F9B4"/>
    <w:rsid w:val="55692353"/>
    <w:rsid w:val="57171E8A"/>
    <w:rsid w:val="573DE8F8"/>
    <w:rsid w:val="576A7A2B"/>
    <w:rsid w:val="57700288"/>
    <w:rsid w:val="5774633E"/>
    <w:rsid w:val="588C4C1C"/>
    <w:rsid w:val="5897FD07"/>
    <w:rsid w:val="58999E9D"/>
    <w:rsid w:val="5981B638"/>
    <w:rsid w:val="5A3154D6"/>
    <w:rsid w:val="5A487054"/>
    <w:rsid w:val="5A7B5827"/>
    <w:rsid w:val="5A7EA765"/>
    <w:rsid w:val="5A99B69C"/>
    <w:rsid w:val="5AB05355"/>
    <w:rsid w:val="5AFBF335"/>
    <w:rsid w:val="5BC38529"/>
    <w:rsid w:val="5BE5EB0C"/>
    <w:rsid w:val="5C4BBB40"/>
    <w:rsid w:val="5CD0C6A5"/>
    <w:rsid w:val="5D2BDFBF"/>
    <w:rsid w:val="5E083EC4"/>
    <w:rsid w:val="5E2B767E"/>
    <w:rsid w:val="5E64FF8F"/>
    <w:rsid w:val="5E66D7C6"/>
    <w:rsid w:val="5E7B66A8"/>
    <w:rsid w:val="5F173EF5"/>
    <w:rsid w:val="5F219710"/>
    <w:rsid w:val="5F8717AB"/>
    <w:rsid w:val="5F896E58"/>
    <w:rsid w:val="5FC04A1E"/>
    <w:rsid w:val="600E2282"/>
    <w:rsid w:val="60BF0D68"/>
    <w:rsid w:val="6176C143"/>
    <w:rsid w:val="61B2DC27"/>
    <w:rsid w:val="61FEEE33"/>
    <w:rsid w:val="620C6DF7"/>
    <w:rsid w:val="6247FD94"/>
    <w:rsid w:val="6270EA46"/>
    <w:rsid w:val="631E827F"/>
    <w:rsid w:val="63D5073C"/>
    <w:rsid w:val="644A6AEB"/>
    <w:rsid w:val="64954760"/>
    <w:rsid w:val="64B07AF6"/>
    <w:rsid w:val="64B785C4"/>
    <w:rsid w:val="64D3D4CA"/>
    <w:rsid w:val="65AFF269"/>
    <w:rsid w:val="65B0497B"/>
    <w:rsid w:val="65DE9534"/>
    <w:rsid w:val="66714181"/>
    <w:rsid w:val="66969F51"/>
    <w:rsid w:val="66AAAAD6"/>
    <w:rsid w:val="67097E9C"/>
    <w:rsid w:val="6752B4B5"/>
    <w:rsid w:val="67978D02"/>
    <w:rsid w:val="67B902AE"/>
    <w:rsid w:val="6870B2F2"/>
    <w:rsid w:val="68F0473F"/>
    <w:rsid w:val="69295D64"/>
    <w:rsid w:val="69C23859"/>
    <w:rsid w:val="69F04A83"/>
    <w:rsid w:val="6A16AB70"/>
    <w:rsid w:val="6A23B5C1"/>
    <w:rsid w:val="6AD34954"/>
    <w:rsid w:val="6BA4E715"/>
    <w:rsid w:val="6BC82668"/>
    <w:rsid w:val="6C344296"/>
    <w:rsid w:val="6D4F8414"/>
    <w:rsid w:val="6E6FED5C"/>
    <w:rsid w:val="6EC85854"/>
    <w:rsid w:val="6EE89C86"/>
    <w:rsid w:val="700361D7"/>
    <w:rsid w:val="7060EF2B"/>
    <w:rsid w:val="70A111AC"/>
    <w:rsid w:val="70FE626D"/>
    <w:rsid w:val="71171A16"/>
    <w:rsid w:val="71BEA598"/>
    <w:rsid w:val="72448237"/>
    <w:rsid w:val="72F421DE"/>
    <w:rsid w:val="731160D5"/>
    <w:rsid w:val="735B5EEA"/>
    <w:rsid w:val="735E7D9B"/>
    <w:rsid w:val="73E75433"/>
    <w:rsid w:val="741BE351"/>
    <w:rsid w:val="75522928"/>
    <w:rsid w:val="75ABBB1E"/>
    <w:rsid w:val="75DDDC8F"/>
    <w:rsid w:val="75DE4593"/>
    <w:rsid w:val="75ED0DE0"/>
    <w:rsid w:val="76CC74F9"/>
    <w:rsid w:val="7726AF09"/>
    <w:rsid w:val="775BC353"/>
    <w:rsid w:val="7810B417"/>
    <w:rsid w:val="78179651"/>
    <w:rsid w:val="788A23B6"/>
    <w:rsid w:val="78EA45D8"/>
    <w:rsid w:val="7A01C03B"/>
    <w:rsid w:val="7A591E96"/>
    <w:rsid w:val="7A8FBA1E"/>
    <w:rsid w:val="7ADD7CCE"/>
    <w:rsid w:val="7C23824C"/>
    <w:rsid w:val="7C2FB86B"/>
    <w:rsid w:val="7CA20E74"/>
    <w:rsid w:val="7CBF5335"/>
    <w:rsid w:val="7CDEE1E3"/>
    <w:rsid w:val="7CE1DC06"/>
    <w:rsid w:val="7D09E7E0"/>
    <w:rsid w:val="7D21E9D8"/>
    <w:rsid w:val="7D578344"/>
    <w:rsid w:val="7D7B65B0"/>
    <w:rsid w:val="7DF52640"/>
    <w:rsid w:val="7E3014CF"/>
    <w:rsid w:val="7F288456"/>
    <w:rsid w:val="7F2AF798"/>
    <w:rsid w:val="7F4699EA"/>
    <w:rsid w:val="7F8E62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E1B74"/>
  <w15:docId w15:val="{9C2FA05B-3A9C-4B72-85C2-5A096D61BBA9}"/>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9"/>
    <w:qFormat/>
    <w:rsid w:val="000E270A"/>
    <w:pPr>
      <w:ind w:left="720" w:right="2160" w:hanging="720"/>
    </w:pPr>
    <w:rPr>
      <w:rFonts w:eastAsiaTheme="majorEastAsia" w:cstheme="majorBidi"/>
      <w:szCs w:val="32"/>
    </w:rPr>
  </w:style>
  <w:style w:type="paragraph" w:styleId="Heading2">
    <w:name w:val="heading 2"/>
    <w:basedOn w:val="Dummy"/>
    <w:next w:val="Standard"/>
    <w:link w:val="Heading2Char"/>
    <w:uiPriority w:val="9"/>
    <w:qFormat/>
    <w:rsid w:val="000E270A"/>
    <w:pPr>
      <w:tabs>
        <w:tab w:val="num" w:pos="1080"/>
      </w:tabs>
      <w:ind w:left="1080" w:right="2160" w:hanging="720"/>
      <w:outlineLvl w:val="1"/>
    </w:pPr>
  </w:style>
  <w:style w:type="paragraph" w:styleId="Heading3">
    <w:name w:val="heading 3"/>
    <w:basedOn w:val="Dummy"/>
    <w:next w:val="Standard"/>
    <w:link w:val="Heading3Char"/>
    <w:uiPriority w:val="9"/>
    <w:qFormat/>
    <w:rsid w:val="000E270A"/>
    <w:pPr>
      <w:tabs>
        <w:tab w:val="num" w:pos="1656"/>
      </w:tabs>
      <w:ind w:left="1656" w:right="2160" w:hanging="936"/>
      <w:outlineLvl w:val="2"/>
    </w:pPr>
    <w:rPr>
      <w:rFonts w:eastAsiaTheme="majorEastAsia" w:cstheme="majorBidi"/>
      <w:szCs w:val="24"/>
    </w:rPr>
  </w:style>
  <w:style w:type="paragraph" w:styleId="Heading4">
    <w:name w:val="heading 4"/>
    <w:basedOn w:val="Dummy"/>
    <w:next w:val="Standard"/>
    <w:link w:val="Heading4Char"/>
    <w:uiPriority w:val="9"/>
    <w:qFormat/>
    <w:rsid w:val="000E270A"/>
    <w:pPr>
      <w:tabs>
        <w:tab w:val="num" w:pos="2232"/>
      </w:tabs>
      <w:ind w:left="2232" w:right="2160" w:hanging="1152"/>
      <w:outlineLvl w:val="3"/>
    </w:pPr>
    <w:rPr>
      <w:rFonts w:eastAsiaTheme="majorEastAsia" w:cstheme="majorBidi"/>
      <w:iCs/>
    </w:rPr>
  </w:style>
  <w:style w:type="paragraph" w:styleId="Heading5">
    <w:name w:val="heading 5"/>
    <w:basedOn w:val="Dummy"/>
    <w:next w:val="Standard"/>
    <w:link w:val="Heading5Char"/>
    <w:uiPriority w:val="9"/>
    <w:qFormat/>
    <w:rsid w:val="000E270A"/>
    <w:pPr>
      <w:tabs>
        <w:tab w:val="num" w:pos="2880"/>
      </w:tabs>
      <w:ind w:left="2880" w:right="2160" w:hanging="1440"/>
      <w:outlineLvl w:val="4"/>
    </w:pPr>
    <w:rPr>
      <w:rFonts w:eastAsiaTheme="majorEastAsia" w:cstheme="majorBidi"/>
    </w:rPr>
  </w:style>
  <w:style w:type="paragraph" w:styleId="Heading6">
    <w:name w:val="heading 6"/>
    <w:basedOn w:val="Dummy"/>
    <w:next w:val="Standard"/>
    <w:link w:val="Heading6Char"/>
    <w:uiPriority w:val="4"/>
    <w:rsid w:val="000E270A"/>
    <w:pPr>
      <w:tabs>
        <w:tab w:val="num" w:pos="3528"/>
      </w:tabs>
      <w:spacing w:before="40"/>
      <w:ind w:left="3528" w:right="2160" w:hanging="1728"/>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qFormat/>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uiPriority w:val="4"/>
    <w:rsid w:val="00287BC5"/>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qFormat/>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qFormat/>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qFormat/>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3"/>
      </w:numPr>
    </w:pPr>
  </w:style>
  <w:style w:type="paragraph" w:styleId="TOC9">
    <w:name w:val="toc 9"/>
    <w:basedOn w:val="Normal"/>
    <w:next w:val="Normal"/>
    <w:autoRedefine/>
    <w:uiPriority w:val="39"/>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spacing w:line="240" w:lineRule="auto"/>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basedOn w:val="DefaultParagraphFont"/>
    <w:link w:val="FootnoteText"/>
    <w:uiPriority w:val="99"/>
    <w:rsid w:val="007657C1"/>
    <w:rPr>
      <w:rFonts w:ascii="Book Antiqua" w:hAnsi="Book Antiqua"/>
      <w:szCs w:val="20"/>
    </w:rPr>
  </w:style>
  <w:style w:type="character" w:styleId="FootnoteReference">
    <w:name w:val="footnote reference"/>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Standard"/>
    <w:uiPriority w:val="8"/>
    <w:qFormat/>
    <w:rsid w:val="001E2A62"/>
    <w:pPr>
      <w:ind w:firstLine="540"/>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7"/>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0E270A"/>
    <w:pPr>
      <w:spacing w:after="120" w:line="240" w:lineRule="auto"/>
      <w:ind w:left="1080" w:hanging="360"/>
    </w:pPr>
  </w:style>
  <w:style w:type="paragraph" w:styleId="ListBullet">
    <w:name w:val="List Bullet"/>
    <w:basedOn w:val="Standard"/>
    <w:uiPriority w:val="4"/>
    <w:qFormat/>
    <w:rsid w:val="001F2819"/>
    <w:pPr>
      <w:numPr>
        <w:numId w:val="10"/>
      </w:numPr>
      <w:tabs>
        <w:tab w:val="clear" w:pos="360"/>
      </w:tabs>
      <w:spacing w:after="120" w:line="240" w:lineRule="auto"/>
      <w:ind w:left="1080"/>
    </w:pPr>
  </w:style>
  <w:style w:type="character" w:customStyle="1" w:styleId="Heading6Char">
    <w:name w:val="Heading 6 Char"/>
    <w:basedOn w:val="DefaultParagraphFont"/>
    <w:link w:val="Heading6"/>
    <w:uiPriority w:val="4"/>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qFormat/>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tabs>
        <w:tab w:val="num" w:pos="1080"/>
      </w:tabs>
      <w:spacing w:after="120" w:line="240" w:lineRule="auto"/>
      <w:ind w:left="1080" w:hanging="360"/>
    </w:pPr>
  </w:style>
  <w:style w:type="character" w:customStyle="1" w:styleId="UnresolvedMention1">
    <w:name w:val="Unresolved Mention1"/>
    <w:basedOn w:val="DefaultParagraphFont"/>
    <w:uiPriority w:val="99"/>
    <w:unhideWhenUsed/>
    <w:rsid w:val="00EA2310"/>
    <w:rPr>
      <w:color w:val="605E5C"/>
      <w:shd w:val="clear" w:color="auto" w:fill="E1DFDD"/>
    </w:rPr>
  </w:style>
  <w:style w:type="character" w:styleId="CommentReference">
    <w:name w:val="annotation reference"/>
    <w:basedOn w:val="DefaultParagraphFont"/>
    <w:uiPriority w:val="99"/>
    <w:semiHidden/>
    <w:unhideWhenUsed/>
    <w:rsid w:val="00040D55"/>
    <w:rPr>
      <w:sz w:val="16"/>
      <w:szCs w:val="16"/>
    </w:rPr>
  </w:style>
  <w:style w:type="paragraph" w:styleId="CommentText">
    <w:name w:val="annotation text"/>
    <w:basedOn w:val="Normal"/>
    <w:link w:val="CommentTextChar"/>
    <w:uiPriority w:val="99"/>
    <w:unhideWhenUsed/>
    <w:rsid w:val="00040D55"/>
    <w:pPr>
      <w:spacing w:after="160" w:line="240" w:lineRule="auto"/>
      <w:ind w:firstLine="0"/>
    </w:pPr>
    <w:rPr>
      <w:rFonts w:asciiTheme="minorHAnsi" w:hAnsiTheme="minorHAnsi"/>
      <w:sz w:val="20"/>
      <w:szCs w:val="20"/>
    </w:rPr>
  </w:style>
  <w:style w:type="character" w:customStyle="1" w:styleId="CommentTextChar">
    <w:name w:val="Comment Text Char"/>
    <w:basedOn w:val="DefaultParagraphFont"/>
    <w:link w:val="CommentText"/>
    <w:uiPriority w:val="99"/>
    <w:rsid w:val="00040D55"/>
    <w:rPr>
      <w:sz w:val="20"/>
      <w:szCs w:val="20"/>
    </w:rPr>
  </w:style>
  <w:style w:type="paragraph" w:styleId="CommentSubject">
    <w:name w:val="annotation subject"/>
    <w:basedOn w:val="CommentText"/>
    <w:next w:val="CommentText"/>
    <w:link w:val="CommentSubjectChar"/>
    <w:uiPriority w:val="99"/>
    <w:semiHidden/>
    <w:unhideWhenUsed/>
    <w:rsid w:val="00EB4662"/>
    <w:pPr>
      <w:spacing w:after="0"/>
      <w:ind w:firstLine="720"/>
    </w:pPr>
    <w:rPr>
      <w:rFonts w:ascii="Book Antiqua" w:hAnsi="Book Antiqua"/>
      <w:b/>
      <w:bCs/>
    </w:rPr>
  </w:style>
  <w:style w:type="character" w:customStyle="1" w:styleId="CommentSubjectChar">
    <w:name w:val="Comment Subject Char"/>
    <w:basedOn w:val="CommentTextChar"/>
    <w:link w:val="CommentSubject"/>
    <w:uiPriority w:val="99"/>
    <w:semiHidden/>
    <w:rsid w:val="00EB4662"/>
    <w:rPr>
      <w:rFonts w:ascii="Book Antiqua" w:hAnsi="Book Antiqua"/>
      <w:b/>
      <w:bCs/>
      <w:sz w:val="20"/>
      <w:szCs w:val="20"/>
    </w:rPr>
  </w:style>
  <w:style w:type="character" w:customStyle="1" w:styleId="Mention1">
    <w:name w:val="Mention1"/>
    <w:basedOn w:val="DefaultParagraphFont"/>
    <w:uiPriority w:val="99"/>
    <w:unhideWhenUsed/>
    <w:rsid w:val="00F629EA"/>
    <w:rPr>
      <w:color w:val="2B579A"/>
      <w:shd w:val="clear" w:color="auto" w:fill="E1DFDD"/>
    </w:rPr>
  </w:style>
  <w:style w:type="paragraph" w:styleId="ListParagraph">
    <w:name w:val="List Paragraph"/>
    <w:basedOn w:val="Normal"/>
    <w:uiPriority w:val="1"/>
    <w:qFormat/>
    <w:rsid w:val="00091579"/>
    <w:pPr>
      <w:ind w:left="720"/>
      <w:contextualSpacing/>
    </w:pPr>
  </w:style>
  <w:style w:type="paragraph" w:styleId="BodyText">
    <w:name w:val="Body Text"/>
    <w:basedOn w:val="Normal"/>
    <w:link w:val="BodyTextChar"/>
    <w:uiPriority w:val="1"/>
    <w:qFormat/>
    <w:rsid w:val="00556F39"/>
    <w:pPr>
      <w:widowControl w:val="0"/>
      <w:autoSpaceDE w:val="0"/>
      <w:autoSpaceDN w:val="0"/>
      <w:spacing w:line="240" w:lineRule="auto"/>
      <w:ind w:firstLine="0"/>
    </w:pPr>
    <w:rPr>
      <w:rFonts w:ascii="Garamond" w:eastAsia="Garamond" w:hAnsi="Garamond" w:cs="Garamond"/>
      <w:sz w:val="24"/>
      <w:szCs w:val="24"/>
    </w:rPr>
  </w:style>
  <w:style w:type="character" w:customStyle="1" w:styleId="BodyTextChar">
    <w:name w:val="Body Text Char"/>
    <w:basedOn w:val="DefaultParagraphFont"/>
    <w:link w:val="BodyText"/>
    <w:uiPriority w:val="1"/>
    <w:rsid w:val="00556F39"/>
    <w:rPr>
      <w:rFonts w:ascii="Garamond" w:eastAsia="Garamond" w:hAnsi="Garamond" w:cs="Garamond"/>
      <w:sz w:val="24"/>
      <w:szCs w:val="24"/>
    </w:rPr>
  </w:style>
  <w:style w:type="paragraph" w:customStyle="1" w:styleId="TableParagraph">
    <w:name w:val="Table Paragraph"/>
    <w:basedOn w:val="Normal"/>
    <w:uiPriority w:val="1"/>
    <w:qFormat/>
    <w:rsid w:val="00556F39"/>
    <w:pPr>
      <w:widowControl w:val="0"/>
      <w:autoSpaceDE w:val="0"/>
      <w:autoSpaceDN w:val="0"/>
      <w:spacing w:line="292" w:lineRule="exact"/>
      <w:ind w:left="606" w:firstLine="0"/>
      <w:jc w:val="center"/>
    </w:pPr>
    <w:rPr>
      <w:rFonts w:ascii="Calibri" w:eastAsia="Calibri" w:hAnsi="Calibri" w:cs="Calibri"/>
      <w:sz w:val="22"/>
    </w:rPr>
  </w:style>
  <w:style w:type="paragraph" w:styleId="TOC7">
    <w:name w:val="toc 7"/>
    <w:basedOn w:val="Normal"/>
    <w:next w:val="Normal"/>
    <w:autoRedefine/>
    <w:uiPriority w:val="39"/>
    <w:unhideWhenUsed/>
    <w:rsid w:val="00793CC9"/>
    <w:pPr>
      <w:spacing w:after="100" w:line="259" w:lineRule="auto"/>
      <w:ind w:left="1320" w:firstLine="0"/>
    </w:pPr>
    <w:rPr>
      <w:rFonts w:asciiTheme="minorHAnsi" w:eastAsiaTheme="minorEastAsia" w:hAnsiTheme="minorHAnsi"/>
      <w:sz w:val="22"/>
    </w:rPr>
  </w:style>
  <w:style w:type="paragraph" w:styleId="TOC8">
    <w:name w:val="toc 8"/>
    <w:basedOn w:val="Normal"/>
    <w:next w:val="Normal"/>
    <w:autoRedefine/>
    <w:uiPriority w:val="39"/>
    <w:unhideWhenUsed/>
    <w:rsid w:val="00793CC9"/>
    <w:pPr>
      <w:spacing w:after="100" w:line="259" w:lineRule="auto"/>
      <w:ind w:left="1540" w:firstLine="0"/>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793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8321">
      <w:bodyDiv w:val="1"/>
      <w:marLeft w:val="0"/>
      <w:marRight w:val="0"/>
      <w:marTop w:val="0"/>
      <w:marBottom w:val="0"/>
      <w:divBdr>
        <w:top w:val="none" w:sz="0" w:space="0" w:color="auto"/>
        <w:left w:val="none" w:sz="0" w:space="0" w:color="auto"/>
        <w:bottom w:val="none" w:sz="0" w:space="0" w:color="auto"/>
        <w:right w:val="none" w:sz="0" w:space="0" w:color="auto"/>
      </w:divBdr>
    </w:div>
    <w:div w:id="147526675">
      <w:bodyDiv w:val="1"/>
      <w:marLeft w:val="0"/>
      <w:marRight w:val="0"/>
      <w:marTop w:val="0"/>
      <w:marBottom w:val="0"/>
      <w:divBdr>
        <w:top w:val="none" w:sz="0" w:space="0" w:color="auto"/>
        <w:left w:val="none" w:sz="0" w:space="0" w:color="auto"/>
        <w:bottom w:val="none" w:sz="0" w:space="0" w:color="auto"/>
        <w:right w:val="none" w:sz="0" w:space="0" w:color="auto"/>
      </w:divBdr>
    </w:div>
    <w:div w:id="154222329">
      <w:bodyDiv w:val="1"/>
      <w:marLeft w:val="0"/>
      <w:marRight w:val="0"/>
      <w:marTop w:val="0"/>
      <w:marBottom w:val="0"/>
      <w:divBdr>
        <w:top w:val="none" w:sz="0" w:space="0" w:color="auto"/>
        <w:left w:val="none" w:sz="0" w:space="0" w:color="auto"/>
        <w:bottom w:val="none" w:sz="0" w:space="0" w:color="auto"/>
        <w:right w:val="none" w:sz="0" w:space="0" w:color="auto"/>
      </w:divBdr>
    </w:div>
    <w:div w:id="391387115">
      <w:bodyDiv w:val="1"/>
      <w:marLeft w:val="0"/>
      <w:marRight w:val="0"/>
      <w:marTop w:val="0"/>
      <w:marBottom w:val="0"/>
      <w:divBdr>
        <w:top w:val="none" w:sz="0" w:space="0" w:color="auto"/>
        <w:left w:val="none" w:sz="0" w:space="0" w:color="auto"/>
        <w:bottom w:val="none" w:sz="0" w:space="0" w:color="auto"/>
        <w:right w:val="none" w:sz="0" w:space="0" w:color="auto"/>
      </w:divBdr>
    </w:div>
    <w:div w:id="912549033">
      <w:bodyDiv w:val="1"/>
      <w:marLeft w:val="0"/>
      <w:marRight w:val="0"/>
      <w:marTop w:val="0"/>
      <w:marBottom w:val="0"/>
      <w:divBdr>
        <w:top w:val="none" w:sz="0" w:space="0" w:color="auto"/>
        <w:left w:val="none" w:sz="0" w:space="0" w:color="auto"/>
        <w:bottom w:val="none" w:sz="0" w:space="0" w:color="auto"/>
        <w:right w:val="none" w:sz="0" w:space="0" w:color="auto"/>
      </w:divBdr>
    </w:div>
    <w:div w:id="942080378">
      <w:bodyDiv w:val="1"/>
      <w:marLeft w:val="0"/>
      <w:marRight w:val="0"/>
      <w:marTop w:val="0"/>
      <w:marBottom w:val="0"/>
      <w:divBdr>
        <w:top w:val="none" w:sz="0" w:space="0" w:color="auto"/>
        <w:left w:val="none" w:sz="0" w:space="0" w:color="auto"/>
        <w:bottom w:val="none" w:sz="0" w:space="0" w:color="auto"/>
        <w:right w:val="none" w:sz="0" w:space="0" w:color="auto"/>
      </w:divBdr>
    </w:div>
    <w:div w:id="999430046">
      <w:bodyDiv w:val="1"/>
      <w:marLeft w:val="0"/>
      <w:marRight w:val="0"/>
      <w:marTop w:val="0"/>
      <w:marBottom w:val="0"/>
      <w:divBdr>
        <w:top w:val="none" w:sz="0" w:space="0" w:color="auto"/>
        <w:left w:val="none" w:sz="0" w:space="0" w:color="auto"/>
        <w:bottom w:val="none" w:sz="0" w:space="0" w:color="auto"/>
        <w:right w:val="none" w:sz="0" w:space="0" w:color="auto"/>
      </w:divBdr>
    </w:div>
    <w:div w:id="1746024204">
      <w:bodyDiv w:val="1"/>
      <w:marLeft w:val="0"/>
      <w:marRight w:val="0"/>
      <w:marTop w:val="0"/>
      <w:marBottom w:val="0"/>
      <w:divBdr>
        <w:top w:val="none" w:sz="0" w:space="0" w:color="auto"/>
        <w:left w:val="none" w:sz="0" w:space="0" w:color="auto"/>
        <w:bottom w:val="none" w:sz="0" w:space="0" w:color="auto"/>
        <w:right w:val="none" w:sz="0" w:space="0" w:color="auto"/>
      </w:divBdr>
    </w:div>
    <w:div w:id="207770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hyperlink" Target="http://docs.cpuc.ca.gov/PublishedDocs/Published/G000/M344/K054/344054346.pdf" TargetMode="External" Id="R718f6f360229483a" /></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2" ma:contentTypeDescription="Create a new document." ma:contentTypeScope="" ma:versionID="7124b1a026c6c85e4ea28d6275ffd0fb">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b05ce54933148021a3056f7abc6f4876"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7AE27-B666-4F1F-B056-D7C8FAF86D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BC0D60-F896-483A-9F77-19A5C2A2119D}">
  <ds:schemaRefs>
    <ds:schemaRef ds:uri="http://schemas.microsoft.com/sharepoint/v3/contenttype/forms"/>
  </ds:schemaRefs>
</ds:datastoreItem>
</file>

<file path=customXml/itemProps3.xml><?xml version="1.0" encoding="utf-8"?>
<ds:datastoreItem xmlns:ds="http://schemas.openxmlformats.org/officeDocument/2006/customXml" ds:itemID="{A70BC49B-9B62-49E2-B36C-6650D9C51149}">
  <ds:schemaRefs>
    <ds:schemaRef ds:uri="http://schemas.openxmlformats.org/officeDocument/2006/bibliography"/>
  </ds:schemaRefs>
</ds:datastoreItem>
</file>

<file path=customXml/itemProps4.xml><?xml version="1.0" encoding="utf-8"?>
<ds:datastoreItem xmlns:ds="http://schemas.openxmlformats.org/officeDocument/2006/customXml" ds:itemID="{80979643-92EE-40BD-8611-C87D98F51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93</ap:Pages>
  <ap:Words>22335</ap:Words>
  <ap:Characters>127312</ap:Characters>
  <ap:Application>Microsoft Office Word</ap:Application>
  <ap:DocSecurity>0</ap:DocSecurity>
  <ap:Lines>1060</ap:Lines>
  <ap:Paragraphs>298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149349</ap:CharactersWithSpaces>
  <ap:SharedDoc>false</ap:SharedDoc>
  <ap:HLinks>
    <vt:vector baseType="variant" size="336">
      <vt:variant>
        <vt:i4>1769522</vt:i4>
      </vt:variant>
      <vt:variant>
        <vt:i4>296</vt:i4>
      </vt:variant>
      <vt:variant>
        <vt:i4>0</vt:i4>
      </vt:variant>
      <vt:variant>
        <vt:i4>5</vt:i4>
      </vt:variant>
      <vt:variant>
        <vt:lpwstr/>
      </vt:variant>
      <vt:variant>
        <vt:lpwstr>_Toc38445505</vt:lpwstr>
      </vt:variant>
      <vt:variant>
        <vt:i4>1703986</vt:i4>
      </vt:variant>
      <vt:variant>
        <vt:i4>290</vt:i4>
      </vt:variant>
      <vt:variant>
        <vt:i4>0</vt:i4>
      </vt:variant>
      <vt:variant>
        <vt:i4>5</vt:i4>
      </vt:variant>
      <vt:variant>
        <vt:lpwstr/>
      </vt:variant>
      <vt:variant>
        <vt:lpwstr>_Toc38445504</vt:lpwstr>
      </vt:variant>
      <vt:variant>
        <vt:i4>1900594</vt:i4>
      </vt:variant>
      <vt:variant>
        <vt:i4>284</vt:i4>
      </vt:variant>
      <vt:variant>
        <vt:i4>0</vt:i4>
      </vt:variant>
      <vt:variant>
        <vt:i4>5</vt:i4>
      </vt:variant>
      <vt:variant>
        <vt:lpwstr/>
      </vt:variant>
      <vt:variant>
        <vt:lpwstr>_Toc38445503</vt:lpwstr>
      </vt:variant>
      <vt:variant>
        <vt:i4>1835058</vt:i4>
      </vt:variant>
      <vt:variant>
        <vt:i4>278</vt:i4>
      </vt:variant>
      <vt:variant>
        <vt:i4>0</vt:i4>
      </vt:variant>
      <vt:variant>
        <vt:i4>5</vt:i4>
      </vt:variant>
      <vt:variant>
        <vt:lpwstr/>
      </vt:variant>
      <vt:variant>
        <vt:lpwstr>_Toc38445502</vt:lpwstr>
      </vt:variant>
      <vt:variant>
        <vt:i4>2031666</vt:i4>
      </vt:variant>
      <vt:variant>
        <vt:i4>272</vt:i4>
      </vt:variant>
      <vt:variant>
        <vt:i4>0</vt:i4>
      </vt:variant>
      <vt:variant>
        <vt:i4>5</vt:i4>
      </vt:variant>
      <vt:variant>
        <vt:lpwstr/>
      </vt:variant>
      <vt:variant>
        <vt:lpwstr>_Toc38445501</vt:lpwstr>
      </vt:variant>
      <vt:variant>
        <vt:i4>1966130</vt:i4>
      </vt:variant>
      <vt:variant>
        <vt:i4>266</vt:i4>
      </vt:variant>
      <vt:variant>
        <vt:i4>0</vt:i4>
      </vt:variant>
      <vt:variant>
        <vt:i4>5</vt:i4>
      </vt:variant>
      <vt:variant>
        <vt:lpwstr/>
      </vt:variant>
      <vt:variant>
        <vt:lpwstr>_Toc38445500</vt:lpwstr>
      </vt:variant>
      <vt:variant>
        <vt:i4>1441851</vt:i4>
      </vt:variant>
      <vt:variant>
        <vt:i4>260</vt:i4>
      </vt:variant>
      <vt:variant>
        <vt:i4>0</vt:i4>
      </vt:variant>
      <vt:variant>
        <vt:i4>5</vt:i4>
      </vt:variant>
      <vt:variant>
        <vt:lpwstr/>
      </vt:variant>
      <vt:variant>
        <vt:lpwstr>_Toc38445499</vt:lpwstr>
      </vt:variant>
      <vt:variant>
        <vt:i4>1507387</vt:i4>
      </vt:variant>
      <vt:variant>
        <vt:i4>254</vt:i4>
      </vt:variant>
      <vt:variant>
        <vt:i4>0</vt:i4>
      </vt:variant>
      <vt:variant>
        <vt:i4>5</vt:i4>
      </vt:variant>
      <vt:variant>
        <vt:lpwstr/>
      </vt:variant>
      <vt:variant>
        <vt:lpwstr>_Toc38445498</vt:lpwstr>
      </vt:variant>
      <vt:variant>
        <vt:i4>1572923</vt:i4>
      </vt:variant>
      <vt:variant>
        <vt:i4>248</vt:i4>
      </vt:variant>
      <vt:variant>
        <vt:i4>0</vt:i4>
      </vt:variant>
      <vt:variant>
        <vt:i4>5</vt:i4>
      </vt:variant>
      <vt:variant>
        <vt:lpwstr/>
      </vt:variant>
      <vt:variant>
        <vt:lpwstr>_Toc38445497</vt:lpwstr>
      </vt:variant>
      <vt:variant>
        <vt:i4>1638459</vt:i4>
      </vt:variant>
      <vt:variant>
        <vt:i4>242</vt:i4>
      </vt:variant>
      <vt:variant>
        <vt:i4>0</vt:i4>
      </vt:variant>
      <vt:variant>
        <vt:i4>5</vt:i4>
      </vt:variant>
      <vt:variant>
        <vt:lpwstr/>
      </vt:variant>
      <vt:variant>
        <vt:lpwstr>_Toc38445496</vt:lpwstr>
      </vt:variant>
      <vt:variant>
        <vt:i4>1703995</vt:i4>
      </vt:variant>
      <vt:variant>
        <vt:i4>236</vt:i4>
      </vt:variant>
      <vt:variant>
        <vt:i4>0</vt:i4>
      </vt:variant>
      <vt:variant>
        <vt:i4>5</vt:i4>
      </vt:variant>
      <vt:variant>
        <vt:lpwstr/>
      </vt:variant>
      <vt:variant>
        <vt:lpwstr>_Toc38445495</vt:lpwstr>
      </vt:variant>
      <vt:variant>
        <vt:i4>1769531</vt:i4>
      </vt:variant>
      <vt:variant>
        <vt:i4>230</vt:i4>
      </vt:variant>
      <vt:variant>
        <vt:i4>0</vt:i4>
      </vt:variant>
      <vt:variant>
        <vt:i4>5</vt:i4>
      </vt:variant>
      <vt:variant>
        <vt:lpwstr/>
      </vt:variant>
      <vt:variant>
        <vt:lpwstr>_Toc38445494</vt:lpwstr>
      </vt:variant>
      <vt:variant>
        <vt:i4>1835067</vt:i4>
      </vt:variant>
      <vt:variant>
        <vt:i4>224</vt:i4>
      </vt:variant>
      <vt:variant>
        <vt:i4>0</vt:i4>
      </vt:variant>
      <vt:variant>
        <vt:i4>5</vt:i4>
      </vt:variant>
      <vt:variant>
        <vt:lpwstr/>
      </vt:variant>
      <vt:variant>
        <vt:lpwstr>_Toc38445493</vt:lpwstr>
      </vt:variant>
      <vt:variant>
        <vt:i4>1900603</vt:i4>
      </vt:variant>
      <vt:variant>
        <vt:i4>218</vt:i4>
      </vt:variant>
      <vt:variant>
        <vt:i4>0</vt:i4>
      </vt:variant>
      <vt:variant>
        <vt:i4>5</vt:i4>
      </vt:variant>
      <vt:variant>
        <vt:lpwstr/>
      </vt:variant>
      <vt:variant>
        <vt:lpwstr>_Toc38445492</vt:lpwstr>
      </vt:variant>
      <vt:variant>
        <vt:i4>1966139</vt:i4>
      </vt:variant>
      <vt:variant>
        <vt:i4>212</vt:i4>
      </vt:variant>
      <vt:variant>
        <vt:i4>0</vt:i4>
      </vt:variant>
      <vt:variant>
        <vt:i4>5</vt:i4>
      </vt:variant>
      <vt:variant>
        <vt:lpwstr/>
      </vt:variant>
      <vt:variant>
        <vt:lpwstr>_Toc38445491</vt:lpwstr>
      </vt:variant>
      <vt:variant>
        <vt:i4>2031675</vt:i4>
      </vt:variant>
      <vt:variant>
        <vt:i4>206</vt:i4>
      </vt:variant>
      <vt:variant>
        <vt:i4>0</vt:i4>
      </vt:variant>
      <vt:variant>
        <vt:i4>5</vt:i4>
      </vt:variant>
      <vt:variant>
        <vt:lpwstr/>
      </vt:variant>
      <vt:variant>
        <vt:lpwstr>_Toc38445490</vt:lpwstr>
      </vt:variant>
      <vt:variant>
        <vt:i4>1441850</vt:i4>
      </vt:variant>
      <vt:variant>
        <vt:i4>200</vt:i4>
      </vt:variant>
      <vt:variant>
        <vt:i4>0</vt:i4>
      </vt:variant>
      <vt:variant>
        <vt:i4>5</vt:i4>
      </vt:variant>
      <vt:variant>
        <vt:lpwstr/>
      </vt:variant>
      <vt:variant>
        <vt:lpwstr>_Toc38445489</vt:lpwstr>
      </vt:variant>
      <vt:variant>
        <vt:i4>1507386</vt:i4>
      </vt:variant>
      <vt:variant>
        <vt:i4>194</vt:i4>
      </vt:variant>
      <vt:variant>
        <vt:i4>0</vt:i4>
      </vt:variant>
      <vt:variant>
        <vt:i4>5</vt:i4>
      </vt:variant>
      <vt:variant>
        <vt:lpwstr/>
      </vt:variant>
      <vt:variant>
        <vt:lpwstr>_Toc38445488</vt:lpwstr>
      </vt:variant>
      <vt:variant>
        <vt:i4>1572922</vt:i4>
      </vt:variant>
      <vt:variant>
        <vt:i4>188</vt:i4>
      </vt:variant>
      <vt:variant>
        <vt:i4>0</vt:i4>
      </vt:variant>
      <vt:variant>
        <vt:i4>5</vt:i4>
      </vt:variant>
      <vt:variant>
        <vt:lpwstr/>
      </vt:variant>
      <vt:variant>
        <vt:lpwstr>_Toc38445487</vt:lpwstr>
      </vt:variant>
      <vt:variant>
        <vt:i4>1638458</vt:i4>
      </vt:variant>
      <vt:variant>
        <vt:i4>182</vt:i4>
      </vt:variant>
      <vt:variant>
        <vt:i4>0</vt:i4>
      </vt:variant>
      <vt:variant>
        <vt:i4>5</vt:i4>
      </vt:variant>
      <vt:variant>
        <vt:lpwstr/>
      </vt:variant>
      <vt:variant>
        <vt:lpwstr>_Toc38445486</vt:lpwstr>
      </vt:variant>
      <vt:variant>
        <vt:i4>1703994</vt:i4>
      </vt:variant>
      <vt:variant>
        <vt:i4>176</vt:i4>
      </vt:variant>
      <vt:variant>
        <vt:i4>0</vt:i4>
      </vt:variant>
      <vt:variant>
        <vt:i4>5</vt:i4>
      </vt:variant>
      <vt:variant>
        <vt:lpwstr/>
      </vt:variant>
      <vt:variant>
        <vt:lpwstr>_Toc38445485</vt:lpwstr>
      </vt:variant>
      <vt:variant>
        <vt:i4>1769530</vt:i4>
      </vt:variant>
      <vt:variant>
        <vt:i4>170</vt:i4>
      </vt:variant>
      <vt:variant>
        <vt:i4>0</vt:i4>
      </vt:variant>
      <vt:variant>
        <vt:i4>5</vt:i4>
      </vt:variant>
      <vt:variant>
        <vt:lpwstr/>
      </vt:variant>
      <vt:variant>
        <vt:lpwstr>_Toc38445484</vt:lpwstr>
      </vt:variant>
      <vt:variant>
        <vt:i4>1835066</vt:i4>
      </vt:variant>
      <vt:variant>
        <vt:i4>164</vt:i4>
      </vt:variant>
      <vt:variant>
        <vt:i4>0</vt:i4>
      </vt:variant>
      <vt:variant>
        <vt:i4>5</vt:i4>
      </vt:variant>
      <vt:variant>
        <vt:lpwstr/>
      </vt:variant>
      <vt:variant>
        <vt:lpwstr>_Toc38445483</vt:lpwstr>
      </vt:variant>
      <vt:variant>
        <vt:i4>1900602</vt:i4>
      </vt:variant>
      <vt:variant>
        <vt:i4>158</vt:i4>
      </vt:variant>
      <vt:variant>
        <vt:i4>0</vt:i4>
      </vt:variant>
      <vt:variant>
        <vt:i4>5</vt:i4>
      </vt:variant>
      <vt:variant>
        <vt:lpwstr/>
      </vt:variant>
      <vt:variant>
        <vt:lpwstr>_Toc38445482</vt:lpwstr>
      </vt:variant>
      <vt:variant>
        <vt:i4>1966138</vt:i4>
      </vt:variant>
      <vt:variant>
        <vt:i4>152</vt:i4>
      </vt:variant>
      <vt:variant>
        <vt:i4>0</vt:i4>
      </vt:variant>
      <vt:variant>
        <vt:i4>5</vt:i4>
      </vt:variant>
      <vt:variant>
        <vt:lpwstr/>
      </vt:variant>
      <vt:variant>
        <vt:lpwstr>_Toc38445481</vt:lpwstr>
      </vt:variant>
      <vt:variant>
        <vt:i4>2031674</vt:i4>
      </vt:variant>
      <vt:variant>
        <vt:i4>146</vt:i4>
      </vt:variant>
      <vt:variant>
        <vt:i4>0</vt:i4>
      </vt:variant>
      <vt:variant>
        <vt:i4>5</vt:i4>
      </vt:variant>
      <vt:variant>
        <vt:lpwstr/>
      </vt:variant>
      <vt:variant>
        <vt:lpwstr>_Toc38445480</vt:lpwstr>
      </vt:variant>
      <vt:variant>
        <vt:i4>1441845</vt:i4>
      </vt:variant>
      <vt:variant>
        <vt:i4>140</vt:i4>
      </vt:variant>
      <vt:variant>
        <vt:i4>0</vt:i4>
      </vt:variant>
      <vt:variant>
        <vt:i4>5</vt:i4>
      </vt:variant>
      <vt:variant>
        <vt:lpwstr/>
      </vt:variant>
      <vt:variant>
        <vt:lpwstr>_Toc38445479</vt:lpwstr>
      </vt:variant>
      <vt:variant>
        <vt:i4>1507381</vt:i4>
      </vt:variant>
      <vt:variant>
        <vt:i4>134</vt:i4>
      </vt:variant>
      <vt:variant>
        <vt:i4>0</vt:i4>
      </vt:variant>
      <vt:variant>
        <vt:i4>5</vt:i4>
      </vt:variant>
      <vt:variant>
        <vt:lpwstr/>
      </vt:variant>
      <vt:variant>
        <vt:lpwstr>_Toc38445478</vt:lpwstr>
      </vt:variant>
      <vt:variant>
        <vt:i4>1572917</vt:i4>
      </vt:variant>
      <vt:variant>
        <vt:i4>128</vt:i4>
      </vt:variant>
      <vt:variant>
        <vt:i4>0</vt:i4>
      </vt:variant>
      <vt:variant>
        <vt:i4>5</vt:i4>
      </vt:variant>
      <vt:variant>
        <vt:lpwstr/>
      </vt:variant>
      <vt:variant>
        <vt:lpwstr>_Toc38445477</vt:lpwstr>
      </vt:variant>
      <vt:variant>
        <vt:i4>1638453</vt:i4>
      </vt:variant>
      <vt:variant>
        <vt:i4>122</vt:i4>
      </vt:variant>
      <vt:variant>
        <vt:i4>0</vt:i4>
      </vt:variant>
      <vt:variant>
        <vt:i4>5</vt:i4>
      </vt:variant>
      <vt:variant>
        <vt:lpwstr/>
      </vt:variant>
      <vt:variant>
        <vt:lpwstr>_Toc38445476</vt:lpwstr>
      </vt:variant>
      <vt:variant>
        <vt:i4>1703989</vt:i4>
      </vt:variant>
      <vt:variant>
        <vt:i4>116</vt:i4>
      </vt:variant>
      <vt:variant>
        <vt:i4>0</vt:i4>
      </vt:variant>
      <vt:variant>
        <vt:i4>5</vt:i4>
      </vt:variant>
      <vt:variant>
        <vt:lpwstr/>
      </vt:variant>
      <vt:variant>
        <vt:lpwstr>_Toc38445475</vt:lpwstr>
      </vt:variant>
      <vt:variant>
        <vt:i4>1769525</vt:i4>
      </vt:variant>
      <vt:variant>
        <vt:i4>110</vt:i4>
      </vt:variant>
      <vt:variant>
        <vt:i4>0</vt:i4>
      </vt:variant>
      <vt:variant>
        <vt:i4>5</vt:i4>
      </vt:variant>
      <vt:variant>
        <vt:lpwstr/>
      </vt:variant>
      <vt:variant>
        <vt:lpwstr>_Toc38445474</vt:lpwstr>
      </vt:variant>
      <vt:variant>
        <vt:i4>1835061</vt:i4>
      </vt:variant>
      <vt:variant>
        <vt:i4>104</vt:i4>
      </vt:variant>
      <vt:variant>
        <vt:i4>0</vt:i4>
      </vt:variant>
      <vt:variant>
        <vt:i4>5</vt:i4>
      </vt:variant>
      <vt:variant>
        <vt:lpwstr/>
      </vt:variant>
      <vt:variant>
        <vt:lpwstr>_Toc38445473</vt:lpwstr>
      </vt:variant>
      <vt:variant>
        <vt:i4>1900597</vt:i4>
      </vt:variant>
      <vt:variant>
        <vt:i4>98</vt:i4>
      </vt:variant>
      <vt:variant>
        <vt:i4>0</vt:i4>
      </vt:variant>
      <vt:variant>
        <vt:i4>5</vt:i4>
      </vt:variant>
      <vt:variant>
        <vt:lpwstr/>
      </vt:variant>
      <vt:variant>
        <vt:lpwstr>_Toc38445472</vt:lpwstr>
      </vt:variant>
      <vt:variant>
        <vt:i4>1966133</vt:i4>
      </vt:variant>
      <vt:variant>
        <vt:i4>92</vt:i4>
      </vt:variant>
      <vt:variant>
        <vt:i4>0</vt:i4>
      </vt:variant>
      <vt:variant>
        <vt:i4>5</vt:i4>
      </vt:variant>
      <vt:variant>
        <vt:lpwstr/>
      </vt:variant>
      <vt:variant>
        <vt:lpwstr>_Toc38445471</vt:lpwstr>
      </vt:variant>
      <vt:variant>
        <vt:i4>2031669</vt:i4>
      </vt:variant>
      <vt:variant>
        <vt:i4>86</vt:i4>
      </vt:variant>
      <vt:variant>
        <vt:i4>0</vt:i4>
      </vt:variant>
      <vt:variant>
        <vt:i4>5</vt:i4>
      </vt:variant>
      <vt:variant>
        <vt:lpwstr/>
      </vt:variant>
      <vt:variant>
        <vt:lpwstr>_Toc38445470</vt:lpwstr>
      </vt:variant>
      <vt:variant>
        <vt:i4>1441844</vt:i4>
      </vt:variant>
      <vt:variant>
        <vt:i4>80</vt:i4>
      </vt:variant>
      <vt:variant>
        <vt:i4>0</vt:i4>
      </vt:variant>
      <vt:variant>
        <vt:i4>5</vt:i4>
      </vt:variant>
      <vt:variant>
        <vt:lpwstr/>
      </vt:variant>
      <vt:variant>
        <vt:lpwstr>_Toc38445469</vt:lpwstr>
      </vt:variant>
      <vt:variant>
        <vt:i4>1507380</vt:i4>
      </vt:variant>
      <vt:variant>
        <vt:i4>74</vt:i4>
      </vt:variant>
      <vt:variant>
        <vt:i4>0</vt:i4>
      </vt:variant>
      <vt:variant>
        <vt:i4>5</vt:i4>
      </vt:variant>
      <vt:variant>
        <vt:lpwstr/>
      </vt:variant>
      <vt:variant>
        <vt:lpwstr>_Toc38445468</vt:lpwstr>
      </vt:variant>
      <vt:variant>
        <vt:i4>1572916</vt:i4>
      </vt:variant>
      <vt:variant>
        <vt:i4>68</vt:i4>
      </vt:variant>
      <vt:variant>
        <vt:i4>0</vt:i4>
      </vt:variant>
      <vt:variant>
        <vt:i4>5</vt:i4>
      </vt:variant>
      <vt:variant>
        <vt:lpwstr/>
      </vt:variant>
      <vt:variant>
        <vt:lpwstr>_Toc38445467</vt:lpwstr>
      </vt:variant>
      <vt:variant>
        <vt:i4>1638452</vt:i4>
      </vt:variant>
      <vt:variant>
        <vt:i4>62</vt:i4>
      </vt:variant>
      <vt:variant>
        <vt:i4>0</vt:i4>
      </vt:variant>
      <vt:variant>
        <vt:i4>5</vt:i4>
      </vt:variant>
      <vt:variant>
        <vt:lpwstr/>
      </vt:variant>
      <vt:variant>
        <vt:lpwstr>_Toc38445466</vt:lpwstr>
      </vt:variant>
      <vt:variant>
        <vt:i4>1703988</vt:i4>
      </vt:variant>
      <vt:variant>
        <vt:i4>56</vt:i4>
      </vt:variant>
      <vt:variant>
        <vt:i4>0</vt:i4>
      </vt:variant>
      <vt:variant>
        <vt:i4>5</vt:i4>
      </vt:variant>
      <vt:variant>
        <vt:lpwstr/>
      </vt:variant>
      <vt:variant>
        <vt:lpwstr>_Toc38445465</vt:lpwstr>
      </vt:variant>
      <vt:variant>
        <vt:i4>1769524</vt:i4>
      </vt:variant>
      <vt:variant>
        <vt:i4>50</vt:i4>
      </vt:variant>
      <vt:variant>
        <vt:i4>0</vt:i4>
      </vt:variant>
      <vt:variant>
        <vt:i4>5</vt:i4>
      </vt:variant>
      <vt:variant>
        <vt:lpwstr/>
      </vt:variant>
      <vt:variant>
        <vt:lpwstr>_Toc38445464</vt:lpwstr>
      </vt:variant>
      <vt:variant>
        <vt:i4>1835060</vt:i4>
      </vt:variant>
      <vt:variant>
        <vt:i4>44</vt:i4>
      </vt:variant>
      <vt:variant>
        <vt:i4>0</vt:i4>
      </vt:variant>
      <vt:variant>
        <vt:i4>5</vt:i4>
      </vt:variant>
      <vt:variant>
        <vt:lpwstr/>
      </vt:variant>
      <vt:variant>
        <vt:lpwstr>_Toc38445463</vt:lpwstr>
      </vt:variant>
      <vt:variant>
        <vt:i4>1900596</vt:i4>
      </vt:variant>
      <vt:variant>
        <vt:i4>38</vt:i4>
      </vt:variant>
      <vt:variant>
        <vt:i4>0</vt:i4>
      </vt:variant>
      <vt:variant>
        <vt:i4>5</vt:i4>
      </vt:variant>
      <vt:variant>
        <vt:lpwstr/>
      </vt:variant>
      <vt:variant>
        <vt:lpwstr>_Toc38445462</vt:lpwstr>
      </vt:variant>
      <vt:variant>
        <vt:i4>1966132</vt:i4>
      </vt:variant>
      <vt:variant>
        <vt:i4>32</vt:i4>
      </vt:variant>
      <vt:variant>
        <vt:i4>0</vt:i4>
      </vt:variant>
      <vt:variant>
        <vt:i4>5</vt:i4>
      </vt:variant>
      <vt:variant>
        <vt:lpwstr/>
      </vt:variant>
      <vt:variant>
        <vt:lpwstr>_Toc38445461</vt:lpwstr>
      </vt:variant>
      <vt:variant>
        <vt:i4>2031668</vt:i4>
      </vt:variant>
      <vt:variant>
        <vt:i4>26</vt:i4>
      </vt:variant>
      <vt:variant>
        <vt:i4>0</vt:i4>
      </vt:variant>
      <vt:variant>
        <vt:i4>5</vt:i4>
      </vt:variant>
      <vt:variant>
        <vt:lpwstr/>
      </vt:variant>
      <vt:variant>
        <vt:lpwstr>_Toc38445460</vt:lpwstr>
      </vt:variant>
      <vt:variant>
        <vt:i4>1441847</vt:i4>
      </vt:variant>
      <vt:variant>
        <vt:i4>20</vt:i4>
      </vt:variant>
      <vt:variant>
        <vt:i4>0</vt:i4>
      </vt:variant>
      <vt:variant>
        <vt:i4>5</vt:i4>
      </vt:variant>
      <vt:variant>
        <vt:lpwstr/>
      </vt:variant>
      <vt:variant>
        <vt:lpwstr>_Toc38445459</vt:lpwstr>
      </vt:variant>
      <vt:variant>
        <vt:i4>1507383</vt:i4>
      </vt:variant>
      <vt:variant>
        <vt:i4>14</vt:i4>
      </vt:variant>
      <vt:variant>
        <vt:i4>0</vt:i4>
      </vt:variant>
      <vt:variant>
        <vt:i4>5</vt:i4>
      </vt:variant>
      <vt:variant>
        <vt:lpwstr/>
      </vt:variant>
      <vt:variant>
        <vt:lpwstr>_Toc38445458</vt:lpwstr>
      </vt:variant>
      <vt:variant>
        <vt:i4>1572919</vt:i4>
      </vt:variant>
      <vt:variant>
        <vt:i4>8</vt:i4>
      </vt:variant>
      <vt:variant>
        <vt:i4>0</vt:i4>
      </vt:variant>
      <vt:variant>
        <vt:i4>5</vt:i4>
      </vt:variant>
      <vt:variant>
        <vt:lpwstr/>
      </vt:variant>
      <vt:variant>
        <vt:lpwstr>_Toc38445457</vt:lpwstr>
      </vt:variant>
      <vt:variant>
        <vt:i4>1638455</vt:i4>
      </vt:variant>
      <vt:variant>
        <vt:i4>2</vt:i4>
      </vt:variant>
      <vt:variant>
        <vt:i4>0</vt:i4>
      </vt:variant>
      <vt:variant>
        <vt:i4>5</vt:i4>
      </vt:variant>
      <vt:variant>
        <vt:lpwstr/>
      </vt:variant>
      <vt:variant>
        <vt:lpwstr>_Toc38445456</vt:lpwstr>
      </vt:variant>
      <vt:variant>
        <vt:i4>7209004</vt:i4>
      </vt:variant>
      <vt:variant>
        <vt:i4>15</vt:i4>
      </vt:variant>
      <vt:variant>
        <vt:i4>0</vt:i4>
      </vt:variant>
      <vt:variant>
        <vt:i4>5</vt:i4>
      </vt:variant>
      <vt:variant>
        <vt:lpwstr>https://www.census.gov/programs-surveys/geography/guidance/geo-areas/pumas.html</vt:lpwstr>
      </vt:variant>
      <vt:variant>
        <vt:lpwstr/>
      </vt:variant>
      <vt:variant>
        <vt:i4>7929910</vt:i4>
      </vt:variant>
      <vt:variant>
        <vt:i4>12</vt:i4>
      </vt:variant>
      <vt:variant>
        <vt:i4>0</vt:i4>
      </vt:variant>
      <vt:variant>
        <vt:i4>5</vt:i4>
      </vt:variant>
      <vt:variant>
        <vt:lpwstr>https://www.aquascience.net/goulds-13gs10422c-13gpm-1hp-230v-2-wire-4-stainless-steel-submersible-well-pump</vt:lpwstr>
      </vt:variant>
      <vt:variant>
        <vt:lpwstr/>
      </vt:variant>
      <vt:variant>
        <vt:i4>458837</vt:i4>
      </vt:variant>
      <vt:variant>
        <vt:i4>9</vt:i4>
      </vt:variant>
      <vt:variant>
        <vt:i4>0</vt:i4>
      </vt:variant>
      <vt:variant>
        <vt:i4>5</vt:i4>
      </vt:variant>
      <vt:variant>
        <vt:lpwstr>http://documentlibrary.xylemappliedwater.com/wp-content/blogs.dir/22/files/2017/04/HSSPEC-R4.pdf</vt:lpwstr>
      </vt:variant>
      <vt:variant>
        <vt:lpwstr/>
      </vt:variant>
      <vt:variant>
        <vt:i4>2097182</vt:i4>
      </vt:variant>
      <vt:variant>
        <vt:i4>6</vt:i4>
      </vt:variant>
      <vt:variant>
        <vt:i4>0</vt:i4>
      </vt:variant>
      <vt:variant>
        <vt:i4>5</vt:i4>
      </vt:variant>
      <vt:variant>
        <vt:lpwstr>https://www.waterpumpsdirect.com/manuals/LG_SubDW_12Gpm_Spec.pdf</vt:lpwstr>
      </vt:variant>
      <vt:variant>
        <vt:lpwstr/>
      </vt:variant>
      <vt:variant>
        <vt:i4>6553643</vt:i4>
      </vt:variant>
      <vt:variant>
        <vt:i4>3</vt:i4>
      </vt:variant>
      <vt:variant>
        <vt:i4>0</vt:i4>
      </vt:variant>
      <vt:variant>
        <vt:i4>5</vt:i4>
      </vt:variant>
      <vt:variant>
        <vt:lpwstr>https://www.watersystemscouncil.org/download/wellcare_information_sheets/basic_well_information_sheets/WELL PUMP_FINAL.pdf</vt:lpwstr>
      </vt:variant>
      <vt:variant>
        <vt:lpwstr/>
      </vt:variant>
      <vt:variant>
        <vt:i4>6160462</vt:i4>
      </vt:variant>
      <vt:variant>
        <vt:i4>0</vt:i4>
      </vt:variant>
      <vt:variant>
        <vt:i4>0</vt:i4>
      </vt:variant>
      <vt:variant>
        <vt:i4>5</vt:i4>
      </vt:variant>
      <vt:variant>
        <vt:lpwstr>https://www.eia.gov/dnav/pet/hist/LeafHandler.ashx?n=PET&amp;s=M_EPLLPA_PRS_R40_DPG&amp;f=M</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2020-07-10T15:34:00Z</cp:lastPrinted>
  <dcterms:created xsi:type="dcterms:W3CDTF">2020-07-22T12:00:06Z</dcterms:created>
  <dcterms:modified xsi:type="dcterms:W3CDTF">2020-07-22T12:00:06Z</dcterms:modified>
</cp:coreProperties>
</file>