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6C7" w:rsidP="008106C7" w:rsidRDefault="008106C7" w14:paraId="0DE1E971" w14:textId="64F1BF56">
      <w:pPr>
        <w:pStyle w:val="Title"/>
        <w:jc w:val="left"/>
      </w:pPr>
      <w:r>
        <w:t>ALJ/HSY/mph</w:t>
      </w:r>
      <w:r>
        <w:tab/>
      </w:r>
      <w:r>
        <w:tab/>
      </w:r>
      <w:r>
        <w:tab/>
        <w:t>DRAFT</w:t>
      </w:r>
      <w:r>
        <w:tab/>
      </w:r>
      <w:r>
        <w:tab/>
      </w:r>
      <w:r>
        <w:tab/>
      </w:r>
      <w:r>
        <w:tab/>
        <w:t>Agenda ID #18548</w:t>
      </w:r>
    </w:p>
    <w:p w:rsidR="008106C7" w:rsidP="008106C7" w:rsidRDefault="008106C7" w14:paraId="29462434" w14:textId="7B1A8E64">
      <w:pPr>
        <w:pStyle w:val="Title"/>
        <w:jc w:val="left"/>
      </w:pPr>
      <w:r>
        <w:tab/>
      </w:r>
      <w:r>
        <w:tab/>
      </w:r>
      <w:r>
        <w:tab/>
      </w:r>
      <w:r>
        <w:tab/>
      </w:r>
      <w:r>
        <w:tab/>
      </w:r>
      <w:r>
        <w:tab/>
      </w:r>
      <w:r>
        <w:tab/>
      </w:r>
      <w:r>
        <w:tab/>
      </w:r>
      <w:r>
        <w:tab/>
      </w:r>
      <w:r>
        <w:tab/>
        <w:t>8/6/2020 Item #7</w:t>
      </w:r>
    </w:p>
    <w:p w:rsidR="008106C7" w:rsidP="008106C7" w:rsidRDefault="008106C7" w14:paraId="64E50EB7" w14:textId="77777777">
      <w:pPr>
        <w:pStyle w:val="Title"/>
        <w:jc w:val="left"/>
      </w:pPr>
    </w:p>
    <w:p w:rsidR="00C47C2A" w:rsidRDefault="00C47C2A" w14:paraId="68CBF5C0" w14:textId="01577BD2">
      <w:pPr>
        <w:pStyle w:val="Title"/>
      </w:pPr>
      <w:r>
        <w:t>PUBLIC UTILITIES COMMISSION OF THE STATE OF CALIFORNIA</w:t>
      </w:r>
    </w:p>
    <w:p w:rsidRPr="007547A1" w:rsidR="00C47C2A" w:rsidRDefault="00C47C2A" w14:paraId="739FB74A" w14:textId="77777777">
      <w:pPr>
        <w:rPr>
          <w:rFonts w:ascii="Book Antiqua" w:hAnsi="Book Antiqua"/>
        </w:rPr>
      </w:pPr>
    </w:p>
    <w:p w:rsidRPr="007547A1" w:rsidR="00C47C2A" w:rsidRDefault="00C47C2A" w14:paraId="51478B57" w14:textId="412AA85C">
      <w:pPr>
        <w:rPr>
          <w:rFonts w:ascii="Book Antiqua" w:hAnsi="Book Antiqua"/>
        </w:rPr>
      </w:pPr>
      <w:r w:rsidRPr="007547A1">
        <w:rPr>
          <w:rFonts w:ascii="Book Antiqua" w:hAnsi="Book Antiqua"/>
        </w:rPr>
        <w:tab/>
      </w:r>
      <w:r w:rsidRPr="007547A1">
        <w:rPr>
          <w:rFonts w:ascii="Book Antiqua" w:hAnsi="Book Antiqua"/>
        </w:rPr>
        <w:tab/>
      </w:r>
      <w:r w:rsidRPr="007547A1">
        <w:rPr>
          <w:rFonts w:ascii="Book Antiqua" w:hAnsi="Book Antiqua"/>
        </w:rPr>
        <w:tab/>
      </w:r>
      <w:r w:rsidRPr="007547A1">
        <w:rPr>
          <w:rFonts w:ascii="Book Antiqua" w:hAnsi="Book Antiqua"/>
        </w:rPr>
        <w:tab/>
      </w:r>
      <w:r w:rsidRPr="007547A1">
        <w:rPr>
          <w:rFonts w:ascii="Book Antiqua" w:hAnsi="Book Antiqua"/>
        </w:rPr>
        <w:tab/>
        <w:t>Resolution ALJ-</w:t>
      </w:r>
      <w:r w:rsidR="009F04DD">
        <w:rPr>
          <w:rFonts w:ascii="Book Antiqua" w:hAnsi="Book Antiqua"/>
        </w:rPr>
        <w:t>382</w:t>
      </w:r>
    </w:p>
    <w:p w:rsidRPr="007547A1" w:rsidR="00C47C2A" w:rsidRDefault="00C47C2A" w14:paraId="40B97361" w14:textId="77777777">
      <w:pPr>
        <w:rPr>
          <w:rFonts w:ascii="Book Antiqua" w:hAnsi="Book Antiqua"/>
        </w:rPr>
      </w:pPr>
      <w:r w:rsidRPr="007547A1">
        <w:rPr>
          <w:rFonts w:ascii="Book Antiqua" w:hAnsi="Book Antiqua"/>
        </w:rPr>
        <w:tab/>
      </w:r>
      <w:r w:rsidRPr="007547A1">
        <w:rPr>
          <w:rFonts w:ascii="Book Antiqua" w:hAnsi="Book Antiqua"/>
        </w:rPr>
        <w:tab/>
      </w:r>
      <w:r w:rsidRPr="007547A1">
        <w:rPr>
          <w:rFonts w:ascii="Book Antiqua" w:hAnsi="Book Antiqua"/>
        </w:rPr>
        <w:tab/>
      </w:r>
      <w:r w:rsidRPr="007547A1">
        <w:rPr>
          <w:rFonts w:ascii="Book Antiqua" w:hAnsi="Book Antiqua"/>
        </w:rPr>
        <w:tab/>
      </w:r>
      <w:r w:rsidRPr="007547A1">
        <w:rPr>
          <w:rFonts w:ascii="Book Antiqua" w:hAnsi="Book Antiqua"/>
        </w:rPr>
        <w:tab/>
        <w:t>Administrative Law Judge Division</w:t>
      </w:r>
    </w:p>
    <w:p w:rsidRPr="007547A1" w:rsidR="00C47C2A" w:rsidRDefault="00C47C2A" w14:paraId="258C23DC" w14:textId="77777777">
      <w:pPr>
        <w:rPr>
          <w:rFonts w:ascii="Book Antiqua" w:hAnsi="Book Antiqua"/>
        </w:rPr>
      </w:pPr>
      <w:r w:rsidRPr="007547A1">
        <w:rPr>
          <w:rFonts w:ascii="Book Antiqua" w:hAnsi="Book Antiqua"/>
        </w:rPr>
        <w:tab/>
      </w:r>
      <w:r w:rsidRPr="007547A1">
        <w:rPr>
          <w:rFonts w:ascii="Book Antiqua" w:hAnsi="Book Antiqua"/>
        </w:rPr>
        <w:tab/>
      </w:r>
      <w:r w:rsidRPr="007547A1">
        <w:rPr>
          <w:rFonts w:ascii="Book Antiqua" w:hAnsi="Book Antiqua"/>
        </w:rPr>
        <w:tab/>
      </w:r>
      <w:r w:rsidRPr="007547A1">
        <w:rPr>
          <w:rFonts w:ascii="Book Antiqua" w:hAnsi="Book Antiqua"/>
        </w:rPr>
        <w:tab/>
      </w:r>
      <w:r w:rsidRPr="007547A1">
        <w:rPr>
          <w:rFonts w:ascii="Book Antiqua" w:hAnsi="Book Antiqua"/>
        </w:rPr>
        <w:tab/>
        <w:t>[Date]</w:t>
      </w:r>
    </w:p>
    <w:p w:rsidRPr="007547A1" w:rsidR="00C47C2A" w:rsidRDefault="00C47C2A" w14:paraId="0C487DAD" w14:textId="77777777">
      <w:pPr>
        <w:rPr>
          <w:rFonts w:ascii="Book Antiqua" w:hAnsi="Book Antiqua"/>
        </w:rPr>
      </w:pPr>
    </w:p>
    <w:p w:rsidRPr="007547A1" w:rsidR="00C47C2A" w:rsidRDefault="00C47C2A" w14:paraId="540A05A7" w14:textId="77777777">
      <w:pPr>
        <w:rPr>
          <w:rFonts w:ascii="Book Antiqua" w:hAnsi="Book Antiqua"/>
        </w:rPr>
      </w:pPr>
    </w:p>
    <w:p w:rsidRPr="007547A1" w:rsidR="00C47C2A" w:rsidRDefault="00C47C2A" w14:paraId="1F87AD2A" w14:textId="77777777">
      <w:pPr>
        <w:jc w:val="center"/>
        <w:rPr>
          <w:rFonts w:ascii="Book Antiqua" w:hAnsi="Book Antiqua"/>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Pr="007547A1" w:rsidR="00C47C2A" w:rsidRDefault="00C47C2A" w14:paraId="330AE167" w14:textId="77777777">
      <w:pPr>
        <w:jc w:val="center"/>
        <w:rPr>
          <w:rFonts w:ascii="Book Antiqua" w:hAnsi="Book Antiqua"/>
          <w:b/>
        </w:rPr>
      </w:pPr>
    </w:p>
    <w:p w:rsidRPr="007547A1" w:rsidR="00C47C2A" w:rsidRDefault="00C47C2A" w14:paraId="4375E849" w14:textId="77777777">
      <w:pPr>
        <w:rPr>
          <w:rFonts w:ascii="Book Antiqua" w:hAnsi="Book Antiqua"/>
        </w:rPr>
      </w:pPr>
    </w:p>
    <w:p w:rsidRPr="007547A1" w:rsidR="00C47C2A" w:rsidP="00F6766B" w:rsidRDefault="00C47C2A" w14:paraId="1D5D1762" w14:textId="70A2A325">
      <w:pPr>
        <w:pStyle w:val="BlockText"/>
        <w:rPr>
          <w:rFonts w:ascii="Book Antiqua" w:hAnsi="Book Antiqua"/>
        </w:rPr>
      </w:pPr>
      <w:r w:rsidRPr="007547A1">
        <w:rPr>
          <w:rFonts w:ascii="Book Antiqua" w:hAnsi="Book Antiqua"/>
        </w:rPr>
        <w:t>RESOLUTION ALJ-</w:t>
      </w:r>
      <w:r w:rsidR="00E018DE">
        <w:rPr>
          <w:rFonts w:ascii="Book Antiqua" w:hAnsi="Book Antiqua"/>
        </w:rPr>
        <w:t>382</w:t>
      </w:r>
      <w:r w:rsidRPr="007547A1" w:rsidR="00F6766B">
        <w:rPr>
          <w:rFonts w:ascii="Book Antiqua" w:hAnsi="Book Antiqua"/>
        </w:rPr>
        <w:t xml:space="preserve">.  </w:t>
      </w:r>
      <w:r w:rsidRPr="007547A1">
        <w:rPr>
          <w:rFonts w:ascii="Book Antiqua" w:hAnsi="Book Antiqua"/>
        </w:rPr>
        <w:t xml:space="preserve"> </w:t>
      </w:r>
      <w:r w:rsidRPr="007547A1" w:rsidR="00F6766B">
        <w:rPr>
          <w:rFonts w:ascii="Book Antiqua" w:hAnsi="Book Antiqua"/>
        </w:rPr>
        <w:t xml:space="preserve">Resolves the </w:t>
      </w:r>
      <w:bookmarkStart w:name="_Hlk40964214" w:id="0"/>
      <w:r w:rsidRPr="007547A1" w:rsidR="00F6766B">
        <w:rPr>
          <w:rFonts w:ascii="Book Antiqua" w:hAnsi="Book Antiqua"/>
        </w:rPr>
        <w:t>Appeal K.19-03-0</w:t>
      </w:r>
      <w:r w:rsidRPr="007547A1" w:rsidR="00FC6E41">
        <w:rPr>
          <w:rFonts w:ascii="Book Antiqua" w:hAnsi="Book Antiqua"/>
        </w:rPr>
        <w:t>24</w:t>
      </w:r>
      <w:r w:rsidRPr="007547A1" w:rsidR="00F6766B">
        <w:rPr>
          <w:rFonts w:ascii="Book Antiqua" w:hAnsi="Book Antiqua"/>
        </w:rPr>
        <w:t xml:space="preserve"> of </w:t>
      </w:r>
      <w:bookmarkStart w:name="_Hlk40952037" w:id="1"/>
      <w:r w:rsidRPr="007547A1" w:rsidR="00F6766B">
        <w:rPr>
          <w:rFonts w:ascii="Book Antiqua" w:hAnsi="Book Antiqua"/>
        </w:rPr>
        <w:t>Citation</w:t>
      </w:r>
      <w:r w:rsidR="006F0FFA">
        <w:rPr>
          <w:rFonts w:ascii="Book Antiqua" w:hAnsi="Book Antiqua"/>
        </w:rPr>
        <w:t> </w:t>
      </w:r>
      <w:r w:rsidRPr="007547A1" w:rsidR="00F6766B">
        <w:rPr>
          <w:rFonts w:ascii="Book Antiqua" w:hAnsi="Book Antiqua"/>
        </w:rPr>
        <w:t>No.</w:t>
      </w:r>
      <w:r w:rsidR="006F0FFA">
        <w:rPr>
          <w:rFonts w:ascii="Book Antiqua" w:hAnsi="Book Antiqua"/>
        </w:rPr>
        <w:t> </w:t>
      </w:r>
      <w:r w:rsidRPr="007547A1" w:rsidR="00FC6E41">
        <w:rPr>
          <w:rFonts w:ascii="Book Antiqua" w:hAnsi="Book Antiqua"/>
        </w:rPr>
        <w:t>E-4195-00</w:t>
      </w:r>
      <w:r w:rsidRPr="007547A1" w:rsidR="00A96755">
        <w:rPr>
          <w:rFonts w:ascii="Book Antiqua" w:hAnsi="Book Antiqua"/>
        </w:rPr>
        <w:t>5</w:t>
      </w:r>
      <w:r w:rsidRPr="007547A1" w:rsidR="00FC6E41">
        <w:rPr>
          <w:rFonts w:ascii="Book Antiqua" w:hAnsi="Book Antiqua"/>
        </w:rPr>
        <w:t>2</w:t>
      </w:r>
      <w:r w:rsidRPr="007547A1" w:rsidR="00F6766B">
        <w:rPr>
          <w:rFonts w:ascii="Book Antiqua" w:hAnsi="Book Antiqua"/>
        </w:rPr>
        <w:t xml:space="preserve"> </w:t>
      </w:r>
      <w:bookmarkEnd w:id="1"/>
      <w:r w:rsidRPr="007547A1" w:rsidR="00F6766B">
        <w:rPr>
          <w:rFonts w:ascii="Book Antiqua" w:hAnsi="Book Antiqua"/>
        </w:rPr>
        <w:t xml:space="preserve">by </w:t>
      </w:r>
      <w:r w:rsidRPr="007547A1" w:rsidR="00FC6E41">
        <w:rPr>
          <w:rFonts w:ascii="Book Antiqua" w:hAnsi="Book Antiqua"/>
        </w:rPr>
        <w:t>San Jose Clean Energy</w:t>
      </w:r>
      <w:bookmarkEnd w:id="0"/>
      <w:r w:rsidRPr="007547A1" w:rsidR="00F6766B">
        <w:rPr>
          <w:rFonts w:ascii="Book Antiqua" w:hAnsi="Book Antiqua"/>
        </w:rPr>
        <w:t xml:space="preserve">. </w:t>
      </w:r>
    </w:p>
    <w:p w:rsidRPr="007547A1" w:rsidR="00C47C2A" w:rsidRDefault="00C47C2A" w14:paraId="1756BC6F" w14:textId="77777777">
      <w:pPr>
        <w:tabs>
          <w:tab w:val="right" w:pos="8550"/>
        </w:tabs>
        <w:ind w:left="720" w:right="720"/>
        <w:rPr>
          <w:rFonts w:ascii="Book Antiqua" w:hAnsi="Book Antiqua"/>
        </w:rPr>
      </w:pPr>
      <w:r w:rsidRPr="007547A1">
        <w:rPr>
          <w:rFonts w:ascii="Book Antiqua" w:hAnsi="Book Antiqua"/>
          <w:u w:val="single"/>
        </w:rPr>
        <w:tab/>
      </w:r>
    </w:p>
    <w:p w:rsidRPr="007547A1" w:rsidR="00C47C2A" w:rsidRDefault="00C47C2A" w14:paraId="758799C8" w14:textId="77777777">
      <w:pPr>
        <w:rPr>
          <w:rFonts w:ascii="Book Antiqua" w:hAnsi="Book Antiqua"/>
        </w:rPr>
      </w:pPr>
    </w:p>
    <w:p w:rsidRPr="007547A1" w:rsidR="00C47C2A" w:rsidRDefault="00C47C2A" w14:paraId="6E2374FB" w14:textId="77777777">
      <w:pPr>
        <w:rPr>
          <w:rFonts w:ascii="Book Antiqua" w:hAnsi="Book Antiqua"/>
          <w:b/>
          <w:u w:val="single"/>
        </w:rPr>
      </w:pPr>
      <w:r w:rsidRPr="007547A1">
        <w:rPr>
          <w:rFonts w:ascii="Book Antiqua" w:hAnsi="Book Antiqua"/>
          <w:b/>
          <w:u w:val="single"/>
        </w:rPr>
        <w:t>SUMMARY</w:t>
      </w:r>
    </w:p>
    <w:p w:rsidRPr="007547A1" w:rsidR="00C47C2A" w:rsidRDefault="00C47C2A" w14:paraId="614BAD9A" w14:textId="77777777">
      <w:pPr>
        <w:rPr>
          <w:rFonts w:ascii="Book Antiqua" w:hAnsi="Book Antiqua"/>
        </w:rPr>
      </w:pPr>
    </w:p>
    <w:p w:rsidRPr="007547A1" w:rsidR="00C47C2A" w:rsidP="00F6766B" w:rsidRDefault="00F6766B" w14:paraId="2F4FE6DB" w14:textId="2603C598">
      <w:pPr>
        <w:rPr>
          <w:rFonts w:ascii="Book Antiqua" w:hAnsi="Book Antiqua"/>
        </w:rPr>
      </w:pPr>
      <w:r w:rsidRPr="007547A1">
        <w:rPr>
          <w:rFonts w:ascii="Book Antiqua" w:hAnsi="Book Antiqua"/>
        </w:rPr>
        <w:t xml:space="preserve">This resolution resolves </w:t>
      </w:r>
      <w:r w:rsidRPr="007547A1" w:rsidR="00FC6E41">
        <w:rPr>
          <w:rFonts w:ascii="Book Antiqua" w:hAnsi="Book Antiqua"/>
        </w:rPr>
        <w:t>San Jose Clean Energy’s a</w:t>
      </w:r>
      <w:r w:rsidRPr="007547A1">
        <w:rPr>
          <w:rFonts w:ascii="Book Antiqua" w:hAnsi="Book Antiqua"/>
        </w:rPr>
        <w:t xml:space="preserve">ppeal of Citation No. </w:t>
      </w:r>
      <w:r w:rsidRPr="007547A1" w:rsidR="00FC6E41">
        <w:rPr>
          <w:rFonts w:ascii="Book Antiqua" w:hAnsi="Book Antiqua"/>
        </w:rPr>
        <w:t>E</w:t>
      </w:r>
      <w:r w:rsidRPr="007547A1">
        <w:rPr>
          <w:rFonts w:ascii="Book Antiqua" w:hAnsi="Book Antiqua"/>
        </w:rPr>
        <w:t>-</w:t>
      </w:r>
      <w:r w:rsidRPr="007547A1" w:rsidR="00FC6E41">
        <w:rPr>
          <w:rFonts w:ascii="Book Antiqua" w:hAnsi="Book Antiqua"/>
        </w:rPr>
        <w:t>4195-00</w:t>
      </w:r>
      <w:r w:rsidRPr="007547A1" w:rsidR="00A96755">
        <w:rPr>
          <w:rFonts w:ascii="Book Antiqua" w:hAnsi="Book Antiqua"/>
        </w:rPr>
        <w:t>5</w:t>
      </w:r>
      <w:r w:rsidRPr="007547A1" w:rsidR="00FC6E41">
        <w:rPr>
          <w:rFonts w:ascii="Book Antiqua" w:hAnsi="Book Antiqua"/>
        </w:rPr>
        <w:t>2</w:t>
      </w:r>
      <w:r w:rsidRPr="007547A1">
        <w:rPr>
          <w:rFonts w:ascii="Book Antiqua" w:hAnsi="Book Antiqua"/>
        </w:rPr>
        <w:t xml:space="preserve"> </w:t>
      </w:r>
      <w:r w:rsidRPr="007547A1" w:rsidR="00FC6E41">
        <w:rPr>
          <w:rFonts w:ascii="Book Antiqua" w:hAnsi="Book Antiqua"/>
        </w:rPr>
        <w:t xml:space="preserve">by </w:t>
      </w:r>
      <w:r w:rsidRPr="007547A1">
        <w:rPr>
          <w:rFonts w:ascii="Book Antiqua" w:hAnsi="Book Antiqua"/>
        </w:rPr>
        <w:t xml:space="preserve">the California Public Utilities Commission’s </w:t>
      </w:r>
      <w:r w:rsidRPr="007547A1" w:rsidR="00A96755">
        <w:rPr>
          <w:rFonts w:ascii="Book Antiqua" w:hAnsi="Book Antiqua"/>
        </w:rPr>
        <w:t xml:space="preserve">Consumer Protection and Enforcement </w:t>
      </w:r>
      <w:r w:rsidRPr="007547A1" w:rsidR="00FC6E41">
        <w:rPr>
          <w:rFonts w:ascii="Book Antiqua" w:hAnsi="Book Antiqua"/>
        </w:rPr>
        <w:t xml:space="preserve">Division.  </w:t>
      </w:r>
      <w:r w:rsidRPr="007547A1">
        <w:rPr>
          <w:rFonts w:ascii="Book Antiqua" w:hAnsi="Book Antiqua"/>
        </w:rPr>
        <w:t xml:space="preserve">Citation No. </w:t>
      </w:r>
      <w:r w:rsidRPr="007547A1" w:rsidR="00FC6E41">
        <w:rPr>
          <w:rFonts w:ascii="Book Antiqua" w:hAnsi="Book Antiqua"/>
        </w:rPr>
        <w:t>E</w:t>
      </w:r>
      <w:r w:rsidRPr="007547A1">
        <w:rPr>
          <w:rFonts w:ascii="Book Antiqua" w:hAnsi="Book Antiqua"/>
        </w:rPr>
        <w:t>-</w:t>
      </w:r>
      <w:r w:rsidRPr="007547A1" w:rsidR="00FC6E41">
        <w:rPr>
          <w:rFonts w:ascii="Book Antiqua" w:hAnsi="Book Antiqua"/>
        </w:rPr>
        <w:t>4195-00</w:t>
      </w:r>
      <w:r w:rsidRPr="007547A1" w:rsidR="00A96755">
        <w:rPr>
          <w:rFonts w:ascii="Book Antiqua" w:hAnsi="Book Antiqua"/>
        </w:rPr>
        <w:t>5</w:t>
      </w:r>
      <w:r w:rsidRPr="007547A1" w:rsidR="00FC6E41">
        <w:rPr>
          <w:rFonts w:ascii="Book Antiqua" w:hAnsi="Book Antiqua"/>
        </w:rPr>
        <w:t>2</w:t>
      </w:r>
      <w:r w:rsidRPr="007547A1">
        <w:rPr>
          <w:rFonts w:ascii="Book Antiqua" w:hAnsi="Book Antiqua"/>
        </w:rPr>
        <w:t xml:space="preserve"> cites </w:t>
      </w:r>
      <w:r w:rsidRPr="007547A1" w:rsidR="0084639C">
        <w:rPr>
          <w:rFonts w:ascii="Book Antiqua" w:hAnsi="Book Antiqua"/>
        </w:rPr>
        <w:t xml:space="preserve">and fines </w:t>
      </w:r>
      <w:r w:rsidRPr="007547A1" w:rsidR="00FC6E41">
        <w:rPr>
          <w:rFonts w:ascii="Book Antiqua" w:hAnsi="Book Antiqua"/>
        </w:rPr>
        <w:t xml:space="preserve">San Jose Clean Energy for failing to procure </w:t>
      </w:r>
      <w:bookmarkStart w:name="_Hlk40952123" w:id="2"/>
      <w:r w:rsidRPr="007547A1" w:rsidR="00FC6E41">
        <w:rPr>
          <w:rFonts w:ascii="Book Antiqua" w:hAnsi="Book Antiqua"/>
        </w:rPr>
        <w:t>certain of its 2019 system and flexible resource adequacy (RA) obligations</w:t>
      </w:r>
      <w:bookmarkEnd w:id="2"/>
      <w:r w:rsidRPr="007547A1" w:rsidR="00FD7363">
        <w:rPr>
          <w:rFonts w:ascii="Book Antiqua" w:hAnsi="Book Antiqua"/>
        </w:rPr>
        <w:t>.  T</w:t>
      </w:r>
      <w:r w:rsidRPr="007547A1" w:rsidR="0084639C">
        <w:rPr>
          <w:rFonts w:ascii="Book Antiqua" w:hAnsi="Book Antiqua"/>
        </w:rPr>
        <w:t xml:space="preserve">he </w:t>
      </w:r>
      <w:r w:rsidRPr="007547A1" w:rsidR="00FC6E41">
        <w:rPr>
          <w:rFonts w:ascii="Book Antiqua" w:hAnsi="Book Antiqua"/>
        </w:rPr>
        <w:t>appeal is denied</w:t>
      </w:r>
      <w:r w:rsidRPr="007547A1" w:rsidR="009E33B7">
        <w:rPr>
          <w:rFonts w:ascii="Book Antiqua" w:hAnsi="Book Antiqua"/>
        </w:rPr>
        <w:t>, and this proceeding is closed.</w:t>
      </w:r>
    </w:p>
    <w:p w:rsidRPr="007547A1" w:rsidR="00C47C2A" w:rsidRDefault="00C47C2A" w14:paraId="27582757" w14:textId="77777777">
      <w:pPr>
        <w:rPr>
          <w:rFonts w:ascii="Book Antiqua" w:hAnsi="Book Antiqua"/>
        </w:rPr>
      </w:pPr>
    </w:p>
    <w:p w:rsidRPr="007547A1" w:rsidR="00C47C2A" w:rsidRDefault="00C47C2A" w14:paraId="7BEA0EE4" w14:textId="77777777">
      <w:pPr>
        <w:rPr>
          <w:rFonts w:ascii="Book Antiqua" w:hAnsi="Book Antiqua"/>
          <w:b/>
          <w:u w:val="single"/>
        </w:rPr>
      </w:pPr>
      <w:r w:rsidRPr="007547A1">
        <w:rPr>
          <w:rFonts w:ascii="Book Antiqua" w:hAnsi="Book Antiqua"/>
          <w:b/>
          <w:u w:val="single"/>
        </w:rPr>
        <w:t>BACKGROUND</w:t>
      </w:r>
    </w:p>
    <w:p w:rsidRPr="007547A1" w:rsidR="00C47C2A" w:rsidRDefault="00C47C2A" w14:paraId="5D4A3C4F" w14:textId="77777777">
      <w:pPr>
        <w:rPr>
          <w:rFonts w:ascii="Book Antiqua" w:hAnsi="Book Antiqua"/>
        </w:rPr>
      </w:pPr>
    </w:p>
    <w:p w:rsidRPr="007547A1" w:rsidR="00A96755" w:rsidP="00A96755" w:rsidRDefault="00A96755" w14:paraId="03F889BB" w14:textId="3A94C906">
      <w:pPr>
        <w:rPr>
          <w:rFonts w:ascii="Book Antiqua" w:hAnsi="Book Antiqua"/>
        </w:rPr>
      </w:pPr>
      <w:r w:rsidRPr="007547A1">
        <w:rPr>
          <w:rFonts w:ascii="Book Antiqua" w:hAnsi="Book Antiqua"/>
        </w:rPr>
        <w:t xml:space="preserve">The Consumer Protection and Enforcement Division (CPED) issued </w:t>
      </w:r>
      <w:bookmarkStart w:name="_Hlk40954109" w:id="3"/>
      <w:r w:rsidRPr="007547A1">
        <w:rPr>
          <w:rFonts w:ascii="Book Antiqua" w:hAnsi="Book Antiqua"/>
        </w:rPr>
        <w:t xml:space="preserve">Citation </w:t>
      </w:r>
      <w:r w:rsidR="007547A1">
        <w:rPr>
          <w:rFonts w:ascii="Book Antiqua" w:hAnsi="Book Antiqua"/>
        </w:rPr>
        <w:br/>
      </w:r>
      <w:r w:rsidRPr="007547A1">
        <w:rPr>
          <w:rFonts w:ascii="Book Antiqua" w:hAnsi="Book Antiqua"/>
        </w:rPr>
        <w:t>E</w:t>
      </w:r>
      <w:r w:rsidRPr="007547A1" w:rsidR="005D0129">
        <w:rPr>
          <w:rFonts w:ascii="Book Antiqua" w:hAnsi="Book Antiqua"/>
        </w:rPr>
        <w:t>-</w:t>
      </w:r>
      <w:r w:rsidRPr="007547A1">
        <w:rPr>
          <w:rFonts w:ascii="Book Antiqua" w:hAnsi="Book Antiqua"/>
        </w:rPr>
        <w:t>4195</w:t>
      </w:r>
      <w:r w:rsidRPr="007547A1" w:rsidR="00432F1A">
        <w:rPr>
          <w:rFonts w:ascii="Book Antiqua" w:hAnsi="Book Antiqua"/>
        </w:rPr>
        <w:t>-</w:t>
      </w:r>
      <w:r w:rsidRPr="007547A1">
        <w:rPr>
          <w:rFonts w:ascii="Book Antiqua" w:hAnsi="Book Antiqua"/>
        </w:rPr>
        <w:t xml:space="preserve">0052 </w:t>
      </w:r>
      <w:bookmarkEnd w:id="3"/>
      <w:r w:rsidRPr="007547A1">
        <w:rPr>
          <w:rFonts w:ascii="Book Antiqua" w:hAnsi="Book Antiqua"/>
        </w:rPr>
        <w:t>to the City of San Jose, administrator of San Jose Clean Energy (SJCE) for failing to meet certain of its 2019 year ahead system and flexible resource adequacy (RA) obligations.  SJCE stipulates that it was deficient in meeting its obligations as identified in the citation and that the citation correctly calculate</w:t>
      </w:r>
      <w:r w:rsidRPr="007547A1" w:rsidR="00FD7363">
        <w:rPr>
          <w:rFonts w:ascii="Book Antiqua" w:hAnsi="Book Antiqua"/>
        </w:rPr>
        <w:t>s</w:t>
      </w:r>
      <w:r w:rsidRPr="007547A1">
        <w:rPr>
          <w:rFonts w:ascii="Book Antiqua" w:hAnsi="Book Antiqua"/>
        </w:rPr>
        <w:t xml:space="preserve"> the penalties pursuant to the penalty schedule adopted in Resolution E</w:t>
      </w:r>
      <w:r w:rsidRPr="007547A1" w:rsidR="00FD7363">
        <w:rPr>
          <w:rFonts w:ascii="Book Antiqua" w:hAnsi="Book Antiqua"/>
        </w:rPr>
        <w:t>-</w:t>
      </w:r>
      <w:r w:rsidRPr="007547A1">
        <w:rPr>
          <w:rFonts w:ascii="Book Antiqua" w:hAnsi="Book Antiqua"/>
        </w:rPr>
        <w:t>4195 as modified by subsequent decisions.  SJCE nevertheless appeals the citation on the basis that, given the totality of circumstances including its diligence in attempting to secure the required RA products and market constraints, the penalty is inequitable and unjustifiable.</w:t>
      </w:r>
    </w:p>
    <w:p w:rsidRPr="007547A1" w:rsidR="00A96755" w:rsidP="00A96755" w:rsidRDefault="00A96755" w14:paraId="70C8750A" w14:textId="77777777">
      <w:pPr>
        <w:rPr>
          <w:rFonts w:ascii="Book Antiqua" w:hAnsi="Book Antiqua"/>
        </w:rPr>
      </w:pPr>
      <w:r w:rsidRPr="007547A1">
        <w:rPr>
          <w:rFonts w:ascii="Book Antiqua" w:hAnsi="Book Antiqua"/>
        </w:rPr>
        <w:t xml:space="preserve"> </w:t>
      </w:r>
    </w:p>
    <w:p w:rsidR="00E60ABA" w:rsidP="00A96755" w:rsidRDefault="00A96755" w14:paraId="3F396C28" w14:textId="77777777">
      <w:pPr>
        <w:rPr>
          <w:rFonts w:ascii="Book Antiqua" w:hAnsi="Book Antiqua"/>
        </w:rPr>
        <w:sectPr w:rsidR="00E60ABA" w:rsidSect="004D0D22">
          <w:headerReference w:type="default" r:id="rId8"/>
          <w:footerReference w:type="default" r:id="rId9"/>
          <w:pgSz w:w="12240" w:h="15840"/>
          <w:pgMar w:top="1440" w:right="1440" w:bottom="1440" w:left="1440" w:header="720" w:footer="720" w:gutter="0"/>
          <w:pgNumType w:start="1"/>
          <w:cols w:space="720"/>
        </w:sectPr>
      </w:pPr>
      <w:r w:rsidRPr="007547A1">
        <w:rPr>
          <w:rFonts w:ascii="Book Antiqua" w:hAnsi="Book Antiqua"/>
        </w:rPr>
        <w:t xml:space="preserve">By </w:t>
      </w:r>
      <w:r w:rsidRPr="007547A1" w:rsidR="00591615">
        <w:rPr>
          <w:rFonts w:ascii="Book Antiqua" w:hAnsi="Book Antiqua"/>
        </w:rPr>
        <w:t xml:space="preserve">notice filed </w:t>
      </w:r>
      <w:r w:rsidRPr="007547A1" w:rsidR="009E33B7">
        <w:rPr>
          <w:rFonts w:ascii="Book Antiqua" w:hAnsi="Book Antiqua"/>
        </w:rPr>
        <w:t xml:space="preserve">on </w:t>
      </w:r>
      <w:r w:rsidRPr="007547A1" w:rsidR="00591615">
        <w:rPr>
          <w:rFonts w:ascii="Book Antiqua" w:hAnsi="Book Antiqua"/>
        </w:rPr>
        <w:t xml:space="preserve">April 17, 2019, this matter was set for a citation </w:t>
      </w:r>
      <w:r w:rsidRPr="007547A1" w:rsidR="004A572D">
        <w:rPr>
          <w:rFonts w:ascii="Book Antiqua" w:hAnsi="Book Antiqua"/>
        </w:rPr>
        <w:t xml:space="preserve">appeal </w:t>
      </w:r>
      <w:r w:rsidRPr="007547A1" w:rsidR="00591615">
        <w:rPr>
          <w:rFonts w:ascii="Book Antiqua" w:hAnsi="Book Antiqua"/>
        </w:rPr>
        <w:t xml:space="preserve">hearing </w:t>
      </w:r>
      <w:r w:rsidRPr="007547A1" w:rsidR="004A572D">
        <w:rPr>
          <w:rFonts w:ascii="Book Antiqua" w:hAnsi="Book Antiqua"/>
        </w:rPr>
        <w:t xml:space="preserve">on April 29, 2019.  By motion filed </w:t>
      </w:r>
      <w:r w:rsidRPr="007547A1" w:rsidR="009E33B7">
        <w:rPr>
          <w:rFonts w:ascii="Book Antiqua" w:hAnsi="Book Antiqua"/>
        </w:rPr>
        <w:t xml:space="preserve">on </w:t>
      </w:r>
      <w:r w:rsidRPr="007547A1" w:rsidR="004A572D">
        <w:rPr>
          <w:rFonts w:ascii="Book Antiqua" w:hAnsi="Book Antiqua"/>
        </w:rPr>
        <w:t>April 2</w:t>
      </w:r>
      <w:r w:rsidRPr="007547A1" w:rsidR="00307F7E">
        <w:rPr>
          <w:rFonts w:ascii="Book Antiqua" w:hAnsi="Book Antiqua"/>
        </w:rPr>
        <w:t>3</w:t>
      </w:r>
      <w:r w:rsidRPr="007547A1" w:rsidR="004A572D">
        <w:rPr>
          <w:rFonts w:ascii="Book Antiqua" w:hAnsi="Book Antiqua"/>
        </w:rPr>
        <w:t>, 2019, SJCE requested that the citation appeal hearing (which it labeled an evidentiary hearing) be converted to a prehearing conference</w:t>
      </w:r>
      <w:r w:rsidRPr="007547A1" w:rsidR="00D13274">
        <w:rPr>
          <w:rFonts w:ascii="Book Antiqua" w:hAnsi="Book Antiqua"/>
        </w:rPr>
        <w:t xml:space="preserve">.  </w:t>
      </w:r>
      <w:r w:rsidRPr="007547A1" w:rsidR="005D0129">
        <w:rPr>
          <w:rFonts w:ascii="Book Antiqua" w:hAnsi="Book Antiqua"/>
        </w:rPr>
        <w:t>T</w:t>
      </w:r>
      <w:r w:rsidRPr="007547A1" w:rsidR="00D13274">
        <w:rPr>
          <w:rFonts w:ascii="Book Antiqua" w:hAnsi="Book Antiqua"/>
        </w:rPr>
        <w:t>he motion for prehearing conference was granted</w:t>
      </w:r>
      <w:r w:rsidRPr="007547A1" w:rsidR="005D0129">
        <w:rPr>
          <w:rFonts w:ascii="Book Antiqua" w:hAnsi="Book Antiqua"/>
        </w:rPr>
        <w:t xml:space="preserve"> over objection by CPED</w:t>
      </w:r>
      <w:r w:rsidRPr="007547A1" w:rsidR="00D13274">
        <w:rPr>
          <w:rFonts w:ascii="Book Antiqua" w:hAnsi="Book Antiqua"/>
        </w:rPr>
        <w:t>.</w:t>
      </w:r>
    </w:p>
    <w:p w:rsidRPr="007547A1" w:rsidR="00D13274" w:rsidP="00A96755" w:rsidRDefault="00D13274" w14:paraId="553F03FB" w14:textId="05F91223">
      <w:pPr>
        <w:rPr>
          <w:rFonts w:ascii="Book Antiqua" w:hAnsi="Book Antiqua"/>
        </w:rPr>
      </w:pPr>
    </w:p>
    <w:p w:rsidRPr="007547A1" w:rsidR="00D13274" w:rsidP="00A96755" w:rsidRDefault="00D13274" w14:paraId="6D889E0E" w14:textId="77777777">
      <w:pPr>
        <w:rPr>
          <w:rFonts w:ascii="Book Antiqua" w:hAnsi="Book Antiqua"/>
        </w:rPr>
      </w:pPr>
    </w:p>
    <w:p w:rsidRPr="007547A1" w:rsidR="005476DC" w:rsidP="00A96755" w:rsidRDefault="00D13274" w14:paraId="2D24722D" w14:textId="77777777">
      <w:pPr>
        <w:rPr>
          <w:rFonts w:ascii="Book Antiqua" w:hAnsi="Book Antiqua"/>
        </w:rPr>
      </w:pPr>
      <w:r w:rsidRPr="007547A1">
        <w:rPr>
          <w:rFonts w:ascii="Book Antiqua" w:hAnsi="Book Antiqua"/>
        </w:rPr>
        <w:t>At the April 29, 2019, prehearing conference</w:t>
      </w:r>
      <w:r w:rsidRPr="007547A1" w:rsidR="005476DC">
        <w:rPr>
          <w:rFonts w:ascii="Book Antiqua" w:hAnsi="Book Antiqua"/>
        </w:rPr>
        <w:t>, the acting administrative law judge (ALJ)</w:t>
      </w:r>
      <w:r w:rsidRPr="007547A1" w:rsidR="005476DC">
        <w:rPr>
          <w:rStyle w:val="FootnoteReference"/>
          <w:rFonts w:ascii="Book Antiqua" w:hAnsi="Book Antiqua"/>
        </w:rPr>
        <w:footnoteReference w:id="1"/>
      </w:r>
      <w:r w:rsidRPr="007547A1" w:rsidR="005476DC">
        <w:rPr>
          <w:rFonts w:ascii="Book Antiqua" w:hAnsi="Book Antiqua"/>
        </w:rPr>
        <w:t xml:space="preserve"> directed the parties to file post-prehearing conference briefs identifying the factual and legal issues in dispute and the need and timing for evidentiary hearing.  The</w:t>
      </w:r>
      <w:r w:rsidRPr="007547A1" w:rsidR="00FD7363">
        <w:rPr>
          <w:rFonts w:ascii="Book Antiqua" w:hAnsi="Book Antiqua"/>
        </w:rPr>
        <w:t xml:space="preserve"> then-</w:t>
      </w:r>
      <w:r w:rsidRPr="007547A1" w:rsidR="005476DC">
        <w:rPr>
          <w:rFonts w:ascii="Book Antiqua" w:hAnsi="Book Antiqua"/>
        </w:rPr>
        <w:t>assigned ALJ subsequently issued a ruling on April 29, 2019, to confirm and clarify that direction.</w:t>
      </w:r>
    </w:p>
    <w:p w:rsidRPr="007547A1" w:rsidR="005476DC" w:rsidP="00A96755" w:rsidRDefault="005476DC" w14:paraId="6A3D022F" w14:textId="77777777">
      <w:pPr>
        <w:rPr>
          <w:rFonts w:ascii="Book Antiqua" w:hAnsi="Book Antiqua"/>
        </w:rPr>
      </w:pPr>
    </w:p>
    <w:p w:rsidRPr="007547A1" w:rsidR="00A96755" w:rsidP="00A96755" w:rsidRDefault="00470348" w14:paraId="4189BD1C" w14:textId="043A1EC4">
      <w:pPr>
        <w:rPr>
          <w:rFonts w:ascii="Book Antiqua" w:hAnsi="Book Antiqua"/>
        </w:rPr>
      </w:pPr>
      <w:r w:rsidRPr="007547A1">
        <w:rPr>
          <w:rFonts w:ascii="Book Antiqua" w:hAnsi="Book Antiqua"/>
        </w:rPr>
        <w:t xml:space="preserve">By ruling dated October 14, 2019, the </w:t>
      </w:r>
      <w:r w:rsidRPr="007547A1" w:rsidR="009E33B7">
        <w:rPr>
          <w:rFonts w:ascii="Book Antiqua" w:hAnsi="Book Antiqua"/>
        </w:rPr>
        <w:t xml:space="preserve">then-assigned </w:t>
      </w:r>
      <w:r w:rsidRPr="007547A1">
        <w:rPr>
          <w:rFonts w:ascii="Book Antiqua" w:hAnsi="Book Antiqua"/>
        </w:rPr>
        <w:t>ALJ identified the following threshold issues and directed the parties to brief the four that were in dispute, limiting the concurrent opening and reply briefs to 10 pages and five pages, respectively</w:t>
      </w:r>
      <w:r w:rsidRPr="007547A1" w:rsidR="009144A7">
        <w:rPr>
          <w:rFonts w:ascii="Book Antiqua" w:hAnsi="Book Antiqua"/>
        </w:rPr>
        <w:t xml:space="preserve">, </w:t>
      </w:r>
      <w:r w:rsidRPr="007547A1" w:rsidR="00A96755">
        <w:rPr>
          <w:rFonts w:ascii="Book Antiqua" w:hAnsi="Book Antiqua"/>
        </w:rPr>
        <w:t xml:space="preserve">upon which the ALJ would </w:t>
      </w:r>
      <w:r w:rsidRPr="007547A1" w:rsidR="00C47DAA">
        <w:rPr>
          <w:rFonts w:ascii="Book Antiqua" w:hAnsi="Book Antiqua"/>
        </w:rPr>
        <w:t xml:space="preserve">determine the scope of disputed </w:t>
      </w:r>
      <w:r w:rsidRPr="007547A1" w:rsidR="00A96755">
        <w:rPr>
          <w:rFonts w:ascii="Book Antiqua" w:hAnsi="Book Antiqua"/>
        </w:rPr>
        <w:t>issues and set a schedule for the remainder of the proceeding:</w:t>
      </w:r>
    </w:p>
    <w:p w:rsidRPr="007547A1" w:rsidR="009144A7" w:rsidP="00A96755" w:rsidRDefault="009144A7" w14:paraId="5C28B48F" w14:textId="77777777">
      <w:pPr>
        <w:rPr>
          <w:rFonts w:ascii="Book Antiqua" w:hAnsi="Book Antiqua"/>
        </w:rPr>
      </w:pPr>
    </w:p>
    <w:p w:rsidRPr="007547A1" w:rsidR="00A96755" w:rsidP="00931471" w:rsidRDefault="009144A7" w14:paraId="20A3C68A" w14:textId="77777777">
      <w:pPr>
        <w:numPr>
          <w:ilvl w:val="0"/>
          <w:numId w:val="8"/>
        </w:numPr>
        <w:rPr>
          <w:rFonts w:ascii="Book Antiqua" w:hAnsi="Book Antiqua"/>
        </w:rPr>
      </w:pPr>
      <w:r w:rsidRPr="007547A1">
        <w:rPr>
          <w:rFonts w:ascii="Book Antiqua" w:hAnsi="Book Antiqua"/>
        </w:rPr>
        <w:t xml:space="preserve">Does the citation correctly identify SJCE’s deficiencies in meeting is RA obligations and </w:t>
      </w:r>
      <w:r w:rsidRPr="007547A1" w:rsidR="00931471">
        <w:rPr>
          <w:rFonts w:ascii="Book Antiqua" w:hAnsi="Book Antiqua"/>
        </w:rPr>
        <w:t xml:space="preserve">calculate the </w:t>
      </w:r>
      <w:bookmarkStart w:name="_Hlk40952226" w:id="4"/>
      <w:r w:rsidRPr="007547A1" w:rsidR="00931471">
        <w:rPr>
          <w:rFonts w:ascii="Book Antiqua" w:hAnsi="Book Antiqua"/>
        </w:rPr>
        <w:t>penalties pursuant to the penalty schedule adopted in Resolution E-4195</w:t>
      </w:r>
      <w:bookmarkEnd w:id="4"/>
      <w:r w:rsidRPr="007547A1" w:rsidR="00931471">
        <w:rPr>
          <w:rFonts w:ascii="Book Antiqua" w:hAnsi="Book Antiqua"/>
        </w:rPr>
        <w:t>?</w:t>
      </w:r>
    </w:p>
    <w:p w:rsidRPr="007547A1" w:rsidR="00A96755" w:rsidP="009F1E9C" w:rsidRDefault="00931471" w14:paraId="460467E3" w14:textId="77777777">
      <w:pPr>
        <w:numPr>
          <w:ilvl w:val="0"/>
          <w:numId w:val="8"/>
        </w:numPr>
        <w:rPr>
          <w:rFonts w:ascii="Book Antiqua" w:hAnsi="Book Antiqua"/>
        </w:rPr>
      </w:pPr>
      <w:r w:rsidRPr="007547A1">
        <w:rPr>
          <w:rFonts w:ascii="Book Antiqua" w:hAnsi="Book Antiqua"/>
        </w:rPr>
        <w:t>Whil</w:t>
      </w:r>
      <w:r w:rsidRPr="007547A1" w:rsidR="00A96755">
        <w:rPr>
          <w:rFonts w:ascii="Book Antiqua" w:hAnsi="Book Antiqua"/>
        </w:rPr>
        <w:t>e the Commission’s policy supports uniform application of the applicable penalty schedule, should the Commission re</w:t>
      </w:r>
      <w:r w:rsidRPr="007547A1" w:rsidR="009144A7">
        <w:rPr>
          <w:rFonts w:ascii="Book Antiqua" w:hAnsi="Book Antiqua"/>
        </w:rPr>
        <w:t>-</w:t>
      </w:r>
      <w:r w:rsidRPr="007547A1" w:rsidR="00A96755">
        <w:rPr>
          <w:rFonts w:ascii="Book Antiqua" w:hAnsi="Book Antiqua"/>
        </w:rPr>
        <w:t>examine the penalty amount assessed in the citation when the appellant presents a defense of impossibility of compliance?</w:t>
      </w:r>
    </w:p>
    <w:p w:rsidRPr="007547A1" w:rsidR="00931471" w:rsidP="009F1E9C" w:rsidRDefault="00931471" w14:paraId="32123B71" w14:textId="77777777">
      <w:pPr>
        <w:numPr>
          <w:ilvl w:val="0"/>
          <w:numId w:val="8"/>
        </w:numPr>
        <w:rPr>
          <w:rFonts w:ascii="Book Antiqua" w:hAnsi="Book Antiqua"/>
        </w:rPr>
      </w:pPr>
      <w:r w:rsidRPr="007547A1">
        <w:rPr>
          <w:rFonts w:ascii="Book Antiqua" w:hAnsi="Book Antiqua"/>
        </w:rPr>
        <w:t xml:space="preserve">If the </w:t>
      </w:r>
      <w:r w:rsidRPr="007547A1" w:rsidR="00A96755">
        <w:rPr>
          <w:rFonts w:ascii="Book Antiqua" w:hAnsi="Book Antiqua"/>
        </w:rPr>
        <w:t>Commission determines that the penalty amount as assessed in the citation should be re</w:t>
      </w:r>
      <w:r w:rsidRPr="007547A1" w:rsidR="009144A7">
        <w:rPr>
          <w:rFonts w:ascii="Book Antiqua" w:hAnsi="Book Antiqua"/>
        </w:rPr>
        <w:t>-</w:t>
      </w:r>
      <w:r w:rsidRPr="007547A1" w:rsidR="00A96755">
        <w:rPr>
          <w:rFonts w:ascii="Book Antiqua" w:hAnsi="Book Antiqua"/>
        </w:rPr>
        <w:t>examined, should the five</w:t>
      </w:r>
      <w:r w:rsidRPr="007547A1" w:rsidR="009144A7">
        <w:rPr>
          <w:rFonts w:ascii="Book Antiqua" w:hAnsi="Book Antiqua"/>
        </w:rPr>
        <w:t>-</w:t>
      </w:r>
      <w:r w:rsidRPr="007547A1" w:rsidR="00A96755">
        <w:rPr>
          <w:rFonts w:ascii="Book Antiqua" w:hAnsi="Book Antiqua"/>
        </w:rPr>
        <w:t>factor test identified in Decision (D.) 98 12 075 be applied?</w:t>
      </w:r>
    </w:p>
    <w:p w:rsidRPr="007547A1" w:rsidR="00A96755" w:rsidP="009F1E9C" w:rsidRDefault="00A96755" w14:paraId="007F3EF0" w14:textId="77777777">
      <w:pPr>
        <w:numPr>
          <w:ilvl w:val="0"/>
          <w:numId w:val="8"/>
        </w:numPr>
        <w:rPr>
          <w:rFonts w:ascii="Book Antiqua" w:hAnsi="Book Antiqua"/>
        </w:rPr>
      </w:pPr>
      <w:r w:rsidRPr="007547A1">
        <w:rPr>
          <w:rFonts w:ascii="Book Antiqua" w:hAnsi="Book Antiqua"/>
        </w:rPr>
        <w:t>Is imposition of the penalty assessed in the citation unconstitutional under the circumstances?</w:t>
      </w:r>
    </w:p>
    <w:p w:rsidRPr="007547A1" w:rsidR="00A96755" w:rsidP="009F1E9C" w:rsidRDefault="00931471" w14:paraId="2C9E2B58" w14:textId="77777777">
      <w:pPr>
        <w:numPr>
          <w:ilvl w:val="0"/>
          <w:numId w:val="8"/>
        </w:numPr>
        <w:rPr>
          <w:rFonts w:ascii="Book Antiqua" w:hAnsi="Book Antiqua"/>
        </w:rPr>
      </w:pPr>
      <w:r w:rsidRPr="007547A1">
        <w:rPr>
          <w:rFonts w:ascii="Book Antiqua" w:hAnsi="Book Antiqua"/>
        </w:rPr>
        <w:t>What</w:t>
      </w:r>
      <w:r w:rsidRPr="007547A1" w:rsidR="00A96755">
        <w:rPr>
          <w:rFonts w:ascii="Book Antiqua" w:hAnsi="Book Antiqua"/>
        </w:rPr>
        <w:t>, if any policy or legal issues related generally to the RA program are raised by this citation appeal?</w:t>
      </w:r>
    </w:p>
    <w:p w:rsidRPr="007547A1" w:rsidR="009144A7" w:rsidP="00A96755" w:rsidRDefault="009144A7" w14:paraId="4AF1A49D" w14:textId="77777777">
      <w:pPr>
        <w:rPr>
          <w:rFonts w:ascii="Book Antiqua" w:hAnsi="Book Antiqua"/>
        </w:rPr>
      </w:pPr>
    </w:p>
    <w:p w:rsidRPr="007547A1" w:rsidR="00C47DAA" w:rsidP="00C47DAA" w:rsidRDefault="00C47DAA" w14:paraId="3344F19E" w14:textId="77777777">
      <w:pPr>
        <w:rPr>
          <w:rFonts w:ascii="Book Antiqua" w:hAnsi="Book Antiqua"/>
        </w:rPr>
      </w:pPr>
      <w:r w:rsidRPr="007547A1">
        <w:rPr>
          <w:rFonts w:ascii="Book Antiqua" w:hAnsi="Book Antiqua"/>
        </w:rPr>
        <w:t xml:space="preserve">By ruling issued April 16, 2020, the </w:t>
      </w:r>
      <w:r w:rsidRPr="007547A1" w:rsidR="00FD7363">
        <w:rPr>
          <w:rFonts w:ascii="Book Antiqua" w:hAnsi="Book Antiqua"/>
        </w:rPr>
        <w:t xml:space="preserve">now-assigned </w:t>
      </w:r>
      <w:r w:rsidRPr="007547A1">
        <w:rPr>
          <w:rFonts w:ascii="Book Antiqua" w:hAnsi="Book Antiqua"/>
        </w:rPr>
        <w:t>ALJ determined that the scope of the proceeding includes issues A through D (</w:t>
      </w:r>
      <w:r w:rsidRPr="007547A1" w:rsidR="005D0129">
        <w:rPr>
          <w:rFonts w:ascii="Book Antiqua" w:hAnsi="Book Antiqua"/>
        </w:rPr>
        <w:t xml:space="preserve">citation accuracy, </w:t>
      </w:r>
      <w:bookmarkStart w:name="_Hlk46397145" w:id="5"/>
      <w:r w:rsidRPr="007547A1">
        <w:rPr>
          <w:rFonts w:ascii="Book Antiqua" w:hAnsi="Book Antiqua"/>
        </w:rPr>
        <w:t xml:space="preserve">impossibility defense and </w:t>
      </w:r>
      <w:r w:rsidRPr="007547A1" w:rsidR="005D0129">
        <w:rPr>
          <w:rFonts w:ascii="Book Antiqua" w:hAnsi="Book Antiqua"/>
        </w:rPr>
        <w:t xml:space="preserve">fine assessment based on </w:t>
      </w:r>
      <w:r w:rsidRPr="007547A1">
        <w:rPr>
          <w:rFonts w:ascii="Book Antiqua" w:hAnsi="Book Antiqua"/>
        </w:rPr>
        <w:t xml:space="preserve">the D.98-12-075 fine assessment factors and constitutional factors), but does not include issue E (reconsideration of the RA penalty </w:t>
      </w:r>
      <w:bookmarkEnd w:id="5"/>
      <w:r w:rsidRPr="007547A1">
        <w:rPr>
          <w:rFonts w:ascii="Book Antiqua" w:hAnsi="Book Antiqua"/>
        </w:rPr>
        <w:t xml:space="preserve">program).  The ruling also determined that there are no contested material factual issues and, therefore, no need for evidentiary hearing.  Based on the </w:t>
      </w:r>
      <w:r w:rsidRPr="007547A1" w:rsidR="00D83FDE">
        <w:rPr>
          <w:rFonts w:ascii="Book Antiqua" w:hAnsi="Book Antiqua"/>
        </w:rPr>
        <w:t xml:space="preserve">parties’ </w:t>
      </w:r>
      <w:r w:rsidRPr="007547A1">
        <w:rPr>
          <w:rFonts w:ascii="Book Antiqua" w:hAnsi="Book Antiqua"/>
        </w:rPr>
        <w:t xml:space="preserve">briefing </w:t>
      </w:r>
      <w:r w:rsidRPr="007547A1" w:rsidR="00D83FDE">
        <w:rPr>
          <w:rFonts w:ascii="Book Antiqua" w:hAnsi="Book Antiqua"/>
        </w:rPr>
        <w:t xml:space="preserve">addressing </w:t>
      </w:r>
      <w:r w:rsidRPr="007547A1">
        <w:rPr>
          <w:rFonts w:ascii="Book Antiqua" w:hAnsi="Book Antiqua"/>
        </w:rPr>
        <w:t xml:space="preserve">the legal and policy issues, </w:t>
      </w:r>
      <w:r w:rsidRPr="007547A1" w:rsidR="00D83FDE">
        <w:rPr>
          <w:rFonts w:ascii="Book Antiqua" w:hAnsi="Book Antiqua"/>
        </w:rPr>
        <w:t xml:space="preserve">the ALJ indicated that she </w:t>
      </w:r>
      <w:r w:rsidRPr="007547A1">
        <w:rPr>
          <w:rFonts w:ascii="Book Antiqua" w:hAnsi="Book Antiqua"/>
        </w:rPr>
        <w:t>saw no need for further briefing</w:t>
      </w:r>
      <w:r w:rsidRPr="007547A1" w:rsidR="00D83FDE">
        <w:rPr>
          <w:rFonts w:ascii="Book Antiqua" w:hAnsi="Book Antiqua"/>
        </w:rPr>
        <w:t xml:space="preserve"> and presented her tentative resolution of the issues but </w:t>
      </w:r>
      <w:r w:rsidRPr="007547A1">
        <w:rPr>
          <w:rFonts w:ascii="Book Antiqua" w:hAnsi="Book Antiqua"/>
        </w:rPr>
        <w:t xml:space="preserve">directed that, if a party believed </w:t>
      </w:r>
      <w:r w:rsidRPr="007547A1" w:rsidR="00FD7363">
        <w:rPr>
          <w:rFonts w:ascii="Book Antiqua" w:hAnsi="Book Antiqua"/>
        </w:rPr>
        <w:t>further process was due</w:t>
      </w:r>
      <w:r w:rsidRPr="007547A1">
        <w:rPr>
          <w:rFonts w:ascii="Book Antiqua" w:hAnsi="Book Antiqua"/>
        </w:rPr>
        <w:t>, they</w:t>
      </w:r>
      <w:r w:rsidRPr="007547A1" w:rsidR="00D83FDE">
        <w:rPr>
          <w:rFonts w:ascii="Book Antiqua" w:hAnsi="Book Antiqua"/>
        </w:rPr>
        <w:t xml:space="preserve"> were to file a motion </w:t>
      </w:r>
      <w:r w:rsidRPr="007547A1">
        <w:rPr>
          <w:rFonts w:ascii="Book Antiqua" w:hAnsi="Book Antiqua"/>
        </w:rPr>
        <w:t>identifying and explaining the need for the requested further process.</w:t>
      </w:r>
    </w:p>
    <w:p w:rsidRPr="007547A1" w:rsidR="00D83FDE" w:rsidP="00C47DAA" w:rsidRDefault="00D83FDE" w14:paraId="76F5FCA2" w14:textId="77777777">
      <w:pPr>
        <w:rPr>
          <w:rFonts w:ascii="Book Antiqua" w:hAnsi="Book Antiqua"/>
        </w:rPr>
      </w:pPr>
    </w:p>
    <w:p w:rsidRPr="007547A1" w:rsidR="00EE55D2" w:rsidP="00C47DAA" w:rsidRDefault="00D83FDE" w14:paraId="55E9C292" w14:textId="55B787CD">
      <w:pPr>
        <w:rPr>
          <w:rFonts w:ascii="Book Antiqua" w:hAnsi="Book Antiqua"/>
        </w:rPr>
      </w:pPr>
      <w:r w:rsidRPr="007547A1">
        <w:rPr>
          <w:rFonts w:ascii="Book Antiqua" w:hAnsi="Book Antiqua"/>
        </w:rPr>
        <w:t>On May 4, 2020, SJCE filed a motion for reconsideration of the April 16, 2020, ruling arguing that denying SJCE the opportunity to present its factual assertions in an evidentiary hearing deprives it of its due process right and would result in the discriminatory enforcement of the RA program, and asking that an evidentiary hearing be set.  The motion did not ask for any further process</w:t>
      </w:r>
      <w:r w:rsidRPr="007547A1" w:rsidR="00FD7363">
        <w:rPr>
          <w:rFonts w:ascii="Book Antiqua" w:hAnsi="Book Antiqua"/>
        </w:rPr>
        <w:t xml:space="preserve"> other than evidentiary hearing.</w:t>
      </w:r>
      <w:r w:rsidRPr="007547A1">
        <w:rPr>
          <w:rFonts w:ascii="Book Antiqua" w:hAnsi="Book Antiqua"/>
        </w:rPr>
        <w:t xml:space="preserve">  </w:t>
      </w:r>
      <w:r w:rsidRPr="007547A1" w:rsidR="00EE55D2">
        <w:rPr>
          <w:rFonts w:ascii="Book Antiqua" w:hAnsi="Book Antiqua"/>
        </w:rPr>
        <w:t>The motion for reconsideration was denied by ruling dated</w:t>
      </w:r>
      <w:r w:rsidR="00280C31">
        <w:rPr>
          <w:rFonts w:ascii="Book Antiqua" w:hAnsi="Book Antiqua"/>
        </w:rPr>
        <w:t xml:space="preserve"> June 9, 2020</w:t>
      </w:r>
      <w:r w:rsidRPr="007547A1" w:rsidR="00FD7363">
        <w:rPr>
          <w:rFonts w:ascii="Book Antiqua" w:hAnsi="Book Antiqua"/>
        </w:rPr>
        <w:t>, on the grounds that there are no disputed material issues of fact.</w:t>
      </w:r>
    </w:p>
    <w:p w:rsidRPr="007547A1" w:rsidR="00EE55D2" w:rsidP="00C47DAA" w:rsidRDefault="00EE55D2" w14:paraId="03DA2E4A" w14:textId="77777777">
      <w:pPr>
        <w:rPr>
          <w:rFonts w:ascii="Book Antiqua" w:hAnsi="Book Antiqua"/>
        </w:rPr>
      </w:pPr>
    </w:p>
    <w:p w:rsidRPr="007547A1" w:rsidR="00EE55D2" w:rsidP="00C47DAA" w:rsidRDefault="00ED3040" w14:paraId="642E78CA" w14:textId="77777777">
      <w:pPr>
        <w:rPr>
          <w:rFonts w:ascii="Book Antiqua" w:hAnsi="Book Antiqua"/>
          <w:u w:val="single"/>
        </w:rPr>
      </w:pPr>
      <w:bookmarkStart w:name="_Hlk40868752" w:id="6"/>
      <w:r w:rsidRPr="007547A1">
        <w:rPr>
          <w:rFonts w:ascii="Book Antiqua" w:hAnsi="Book Antiqua"/>
          <w:u w:val="single"/>
        </w:rPr>
        <w:t>DISCUSSION</w:t>
      </w:r>
    </w:p>
    <w:bookmarkEnd w:id="6"/>
    <w:p w:rsidRPr="007547A1" w:rsidR="00D83FDE" w:rsidP="00C47DAA" w:rsidRDefault="00D83FDE" w14:paraId="65DCC827" w14:textId="77777777">
      <w:pPr>
        <w:rPr>
          <w:rFonts w:ascii="Book Antiqua" w:hAnsi="Book Antiqua"/>
        </w:rPr>
      </w:pPr>
    </w:p>
    <w:p w:rsidRPr="007547A1" w:rsidR="00FD7363" w:rsidP="00A96755" w:rsidRDefault="00A96755" w14:paraId="61F77A26" w14:textId="77777777">
      <w:pPr>
        <w:rPr>
          <w:rFonts w:ascii="Book Antiqua" w:hAnsi="Book Antiqua"/>
          <w:i/>
          <w:iCs/>
        </w:rPr>
      </w:pPr>
      <w:r w:rsidRPr="007547A1">
        <w:rPr>
          <w:rFonts w:ascii="Book Antiqua" w:hAnsi="Book Antiqua"/>
          <w:i/>
          <w:iCs/>
        </w:rPr>
        <w:t xml:space="preserve">Issue A – </w:t>
      </w:r>
      <w:r w:rsidRPr="007547A1" w:rsidR="00FD7363">
        <w:rPr>
          <w:rFonts w:ascii="Book Antiqua" w:hAnsi="Book Antiqua"/>
          <w:i/>
          <w:iCs/>
        </w:rPr>
        <w:t>Deficiency and penalty calculations</w:t>
      </w:r>
    </w:p>
    <w:p w:rsidRPr="007547A1" w:rsidR="00FD7363" w:rsidP="00A96755" w:rsidRDefault="00FD7363" w14:paraId="6E15F8EA" w14:textId="77777777">
      <w:pPr>
        <w:rPr>
          <w:rFonts w:ascii="Book Antiqua" w:hAnsi="Book Antiqua"/>
        </w:rPr>
      </w:pPr>
    </w:p>
    <w:p w:rsidRPr="007547A1" w:rsidR="00FD7363" w:rsidP="00A96755" w:rsidRDefault="00FD7363" w14:paraId="5BFB258A" w14:textId="77777777">
      <w:pPr>
        <w:rPr>
          <w:rFonts w:ascii="Book Antiqua" w:hAnsi="Book Antiqua"/>
        </w:rPr>
      </w:pPr>
      <w:r w:rsidRPr="007547A1">
        <w:rPr>
          <w:rFonts w:ascii="Book Antiqua" w:hAnsi="Book Antiqua"/>
        </w:rPr>
        <w:t xml:space="preserve">The parties stipulate that </w:t>
      </w:r>
      <w:r w:rsidRPr="007547A1" w:rsidR="00A96755">
        <w:rPr>
          <w:rFonts w:ascii="Book Antiqua" w:hAnsi="Book Antiqua"/>
        </w:rPr>
        <w:t xml:space="preserve">SJCE was deficient in meeting its RA obligations as identified in the citation and </w:t>
      </w:r>
      <w:r w:rsidRPr="007547A1">
        <w:rPr>
          <w:rFonts w:ascii="Book Antiqua" w:hAnsi="Book Antiqua"/>
        </w:rPr>
        <w:t xml:space="preserve">that </w:t>
      </w:r>
      <w:r w:rsidRPr="007547A1" w:rsidR="00A96755">
        <w:rPr>
          <w:rFonts w:ascii="Book Antiqua" w:hAnsi="Book Antiqua"/>
        </w:rPr>
        <w:t>the citation correctly calculates the penalties pursuant to the penalty schedule adopted in Resolution E 4195 as modified by subsequent decisions.</w:t>
      </w:r>
    </w:p>
    <w:p w:rsidRPr="007547A1" w:rsidR="00FD7363" w:rsidP="00A96755" w:rsidRDefault="00FD7363" w14:paraId="4CDBF4C7" w14:textId="77777777">
      <w:pPr>
        <w:rPr>
          <w:rFonts w:ascii="Book Antiqua" w:hAnsi="Book Antiqua"/>
        </w:rPr>
      </w:pPr>
    </w:p>
    <w:p w:rsidRPr="007547A1" w:rsidR="00FD7363" w:rsidP="00A96755" w:rsidRDefault="00A96755" w14:paraId="2D4A415F" w14:textId="77777777">
      <w:pPr>
        <w:rPr>
          <w:rFonts w:ascii="Book Antiqua" w:hAnsi="Book Antiqua"/>
          <w:i/>
          <w:iCs/>
        </w:rPr>
      </w:pPr>
      <w:r w:rsidRPr="007547A1">
        <w:rPr>
          <w:rFonts w:ascii="Book Antiqua" w:hAnsi="Book Antiqua"/>
          <w:i/>
          <w:iCs/>
        </w:rPr>
        <w:t xml:space="preserve">Issue B – </w:t>
      </w:r>
      <w:r w:rsidRPr="007547A1" w:rsidR="00FD7363">
        <w:rPr>
          <w:rFonts w:ascii="Book Antiqua" w:hAnsi="Book Antiqua"/>
          <w:i/>
          <w:iCs/>
        </w:rPr>
        <w:t>R</w:t>
      </w:r>
      <w:r w:rsidRPr="007547A1">
        <w:rPr>
          <w:rFonts w:ascii="Book Antiqua" w:hAnsi="Book Antiqua"/>
          <w:i/>
          <w:iCs/>
        </w:rPr>
        <w:t>e-</w:t>
      </w:r>
      <w:r w:rsidRPr="007547A1" w:rsidR="007D5E05">
        <w:rPr>
          <w:rFonts w:ascii="Book Antiqua" w:hAnsi="Book Antiqua"/>
          <w:i/>
          <w:iCs/>
        </w:rPr>
        <w:t>e</w:t>
      </w:r>
      <w:r w:rsidRPr="007547A1">
        <w:rPr>
          <w:rFonts w:ascii="Book Antiqua" w:hAnsi="Book Antiqua"/>
          <w:i/>
          <w:iCs/>
        </w:rPr>
        <w:t>xamin</w:t>
      </w:r>
      <w:r w:rsidRPr="007547A1" w:rsidR="00FD7363">
        <w:rPr>
          <w:rFonts w:ascii="Book Antiqua" w:hAnsi="Book Antiqua"/>
          <w:i/>
          <w:iCs/>
        </w:rPr>
        <w:t xml:space="preserve">ation of </w:t>
      </w:r>
      <w:r w:rsidRPr="007547A1">
        <w:rPr>
          <w:rFonts w:ascii="Book Antiqua" w:hAnsi="Book Antiqua"/>
          <w:i/>
          <w:iCs/>
        </w:rPr>
        <w:t xml:space="preserve">the </w:t>
      </w:r>
      <w:r w:rsidRPr="007547A1" w:rsidR="007D5E05">
        <w:rPr>
          <w:rFonts w:ascii="Book Antiqua" w:hAnsi="Book Antiqua"/>
          <w:i/>
          <w:iCs/>
        </w:rPr>
        <w:t>p</w:t>
      </w:r>
      <w:r w:rsidRPr="007547A1">
        <w:rPr>
          <w:rFonts w:ascii="Book Antiqua" w:hAnsi="Book Antiqua"/>
          <w:i/>
          <w:iCs/>
        </w:rPr>
        <w:t xml:space="preserve">enalty </w:t>
      </w:r>
      <w:r w:rsidRPr="007547A1" w:rsidR="007D5E05">
        <w:rPr>
          <w:rFonts w:ascii="Book Antiqua" w:hAnsi="Book Antiqua"/>
          <w:i/>
          <w:iCs/>
        </w:rPr>
        <w:t>a</w:t>
      </w:r>
      <w:r w:rsidRPr="007547A1">
        <w:rPr>
          <w:rFonts w:ascii="Book Antiqua" w:hAnsi="Book Antiqua"/>
          <w:i/>
          <w:iCs/>
        </w:rPr>
        <w:t xml:space="preserve">mount </w:t>
      </w:r>
      <w:r w:rsidRPr="007547A1" w:rsidR="00FD7363">
        <w:rPr>
          <w:rFonts w:ascii="Book Antiqua" w:hAnsi="Book Antiqua"/>
          <w:i/>
          <w:iCs/>
        </w:rPr>
        <w:t>on the asserted basis of impossibility</w:t>
      </w:r>
    </w:p>
    <w:p w:rsidRPr="007547A1" w:rsidR="00FD7363" w:rsidP="00A96755" w:rsidRDefault="00FD7363" w14:paraId="14BAB381" w14:textId="77777777">
      <w:pPr>
        <w:rPr>
          <w:rFonts w:ascii="Book Antiqua" w:hAnsi="Book Antiqua"/>
        </w:rPr>
      </w:pPr>
    </w:p>
    <w:p w:rsidRPr="007547A1" w:rsidR="00A96755" w:rsidP="00A96755" w:rsidRDefault="007D5E05" w14:paraId="5985151B" w14:textId="77777777">
      <w:pPr>
        <w:rPr>
          <w:rFonts w:ascii="Book Antiqua" w:hAnsi="Book Antiqua"/>
        </w:rPr>
      </w:pPr>
      <w:r w:rsidRPr="007547A1">
        <w:rPr>
          <w:rFonts w:ascii="Book Antiqua" w:hAnsi="Book Antiqua"/>
        </w:rPr>
        <w:t xml:space="preserve">SJCE </w:t>
      </w:r>
      <w:r w:rsidRPr="007547A1" w:rsidR="00A96755">
        <w:rPr>
          <w:rFonts w:ascii="Book Antiqua" w:hAnsi="Book Antiqua"/>
        </w:rPr>
        <w:t>responds to this issue by asserting that (1) it is contrary to Commission policy to penalize a load-serving entity (LSE) for failing to procure RA at commercially unreasonable prices; (2) it is contrary to Commission policy to impose a penalty under the citation process, as opposed to under a formal investigation, when the citation penalty would be significant; (3) the Commission should reconsider its penalty framework because market conditions have changed; (4) imposing the citation penalty on SJCE would violate the Commission’s duty to protect the public from excessive rates; and (5) penalizing SJCE would violate State policies supporting renewable energy resources and the reduction of greenhouse gas (GHG) emissions.</w:t>
      </w:r>
    </w:p>
    <w:p w:rsidRPr="007547A1" w:rsidR="007D5E05" w:rsidP="00A96755" w:rsidRDefault="007D5E05" w14:paraId="6187A451" w14:textId="77777777">
      <w:pPr>
        <w:rPr>
          <w:rFonts w:ascii="Book Antiqua" w:hAnsi="Book Antiqua"/>
        </w:rPr>
      </w:pPr>
    </w:p>
    <w:p w:rsidRPr="007547A1" w:rsidR="00966A92" w:rsidP="008061BE" w:rsidRDefault="008061BE" w14:paraId="2BB7ACC4" w14:textId="77777777">
      <w:pPr>
        <w:rPr>
          <w:rFonts w:ascii="Book Antiqua" w:hAnsi="Book Antiqua"/>
        </w:rPr>
      </w:pPr>
      <w:r w:rsidRPr="007547A1">
        <w:rPr>
          <w:rFonts w:ascii="Book Antiqua" w:hAnsi="Book Antiqua"/>
        </w:rPr>
        <w:t xml:space="preserve">SJCE </w:t>
      </w:r>
      <w:r w:rsidRPr="007547A1" w:rsidR="005D0129">
        <w:rPr>
          <w:rFonts w:ascii="Book Antiqua" w:hAnsi="Book Antiqua"/>
        </w:rPr>
        <w:t xml:space="preserve">states the following facts, </w:t>
      </w:r>
      <w:r w:rsidRPr="007547A1" w:rsidR="00966A92">
        <w:rPr>
          <w:rFonts w:ascii="Book Antiqua" w:hAnsi="Book Antiqua"/>
        </w:rPr>
        <w:t>which are undisputed and assumed as true:</w:t>
      </w:r>
    </w:p>
    <w:p w:rsidRPr="007547A1" w:rsidR="00966A92" w:rsidP="008061BE" w:rsidRDefault="00966A92" w14:paraId="406B9FEA" w14:textId="77777777">
      <w:pPr>
        <w:rPr>
          <w:rFonts w:ascii="Book Antiqua" w:hAnsi="Book Antiqua"/>
        </w:rPr>
      </w:pPr>
    </w:p>
    <w:p w:rsidRPr="007547A1" w:rsidR="00966A92" w:rsidP="00966A92" w:rsidRDefault="008061BE" w14:paraId="7BE29D22" w14:textId="77777777">
      <w:pPr>
        <w:numPr>
          <w:ilvl w:val="0"/>
          <w:numId w:val="10"/>
        </w:numPr>
        <w:rPr>
          <w:rFonts w:ascii="Book Antiqua" w:hAnsi="Book Antiqua"/>
        </w:rPr>
      </w:pPr>
      <w:bookmarkStart w:name="_Hlk40952303" w:id="7"/>
      <w:r w:rsidRPr="007547A1">
        <w:rPr>
          <w:rFonts w:ascii="Book Antiqua" w:hAnsi="Book Antiqua"/>
        </w:rPr>
        <w:t>PG&amp;E</w:t>
      </w:r>
      <w:r w:rsidRPr="007547A1" w:rsidR="00966A92">
        <w:rPr>
          <w:rFonts w:ascii="Book Antiqua" w:hAnsi="Book Antiqua"/>
        </w:rPr>
        <w:t xml:space="preserve"> </w:t>
      </w:r>
      <w:r w:rsidRPr="007547A1">
        <w:rPr>
          <w:rFonts w:ascii="Book Antiqua" w:hAnsi="Book Antiqua"/>
        </w:rPr>
        <w:t xml:space="preserve">offered a bid into SJCE’s first solicitation in June 2018 which would have met almost </w:t>
      </w:r>
      <w:proofErr w:type="gramStart"/>
      <w:r w:rsidRPr="007547A1">
        <w:rPr>
          <w:rFonts w:ascii="Book Antiqua" w:hAnsi="Book Antiqua"/>
        </w:rPr>
        <w:t>all of</w:t>
      </w:r>
      <w:proofErr w:type="gramEnd"/>
      <w:r w:rsidRPr="007547A1" w:rsidR="00966A92">
        <w:rPr>
          <w:rFonts w:ascii="Book Antiqua" w:hAnsi="Book Antiqua"/>
        </w:rPr>
        <w:t xml:space="preserve"> </w:t>
      </w:r>
      <w:r w:rsidRPr="007547A1">
        <w:rPr>
          <w:rFonts w:ascii="Book Antiqua" w:hAnsi="Book Antiqua"/>
        </w:rPr>
        <w:t>SJCE’s 2019 RA regulatory compliance needs. However, after weeks of negotiations, PG&amp;E</w:t>
      </w:r>
      <w:r w:rsidRPr="007547A1" w:rsidR="00966A92">
        <w:rPr>
          <w:rFonts w:ascii="Book Antiqua" w:hAnsi="Book Antiqua"/>
        </w:rPr>
        <w:t xml:space="preserve"> </w:t>
      </w:r>
      <w:r w:rsidRPr="007547A1">
        <w:rPr>
          <w:rFonts w:ascii="Book Antiqua" w:hAnsi="Book Antiqua"/>
        </w:rPr>
        <w:t>withdrew its offer in mid-August to sell RA for certain months, including System RA in July,</w:t>
      </w:r>
      <w:r w:rsidRPr="007547A1" w:rsidR="00966A92">
        <w:rPr>
          <w:rFonts w:ascii="Book Antiqua" w:hAnsi="Book Antiqua"/>
        </w:rPr>
        <w:t xml:space="preserve"> </w:t>
      </w:r>
      <w:r w:rsidRPr="007547A1">
        <w:rPr>
          <w:rFonts w:ascii="Book Antiqua" w:hAnsi="Book Antiqua"/>
        </w:rPr>
        <w:t>September, and October.</w:t>
      </w:r>
    </w:p>
    <w:p w:rsidRPr="007547A1" w:rsidR="00966A92" w:rsidP="00966A92" w:rsidRDefault="00966A92" w14:paraId="3FB32C58" w14:textId="77777777">
      <w:pPr>
        <w:rPr>
          <w:rFonts w:ascii="Book Antiqua" w:hAnsi="Book Antiqua"/>
        </w:rPr>
      </w:pPr>
    </w:p>
    <w:p w:rsidRPr="007547A1" w:rsidR="008061BE" w:rsidP="001849B2" w:rsidRDefault="008061BE" w14:paraId="57B903B5" w14:textId="77777777">
      <w:pPr>
        <w:numPr>
          <w:ilvl w:val="0"/>
          <w:numId w:val="10"/>
        </w:numPr>
        <w:rPr>
          <w:rFonts w:ascii="Book Antiqua" w:hAnsi="Book Antiqua"/>
        </w:rPr>
      </w:pPr>
      <w:r w:rsidRPr="007547A1">
        <w:rPr>
          <w:rFonts w:ascii="Book Antiqua" w:hAnsi="Book Antiqua"/>
        </w:rPr>
        <w:t xml:space="preserve">SJCE </w:t>
      </w:r>
      <w:r w:rsidRPr="007547A1" w:rsidR="00966A92">
        <w:rPr>
          <w:rFonts w:ascii="Book Antiqua" w:hAnsi="Book Antiqua"/>
        </w:rPr>
        <w:t xml:space="preserve">accepted </w:t>
      </w:r>
      <w:r w:rsidRPr="007547A1">
        <w:rPr>
          <w:rFonts w:ascii="Book Antiqua" w:hAnsi="Book Antiqua"/>
        </w:rPr>
        <w:t>the PG&amp;E</w:t>
      </w:r>
      <w:r w:rsidRPr="007547A1" w:rsidR="00966A92">
        <w:rPr>
          <w:rFonts w:ascii="Book Antiqua" w:hAnsi="Book Antiqua"/>
        </w:rPr>
        <w:t xml:space="preserve"> </w:t>
      </w:r>
      <w:r w:rsidRPr="007547A1">
        <w:rPr>
          <w:rFonts w:ascii="Book Antiqua" w:hAnsi="Book Antiqua"/>
        </w:rPr>
        <w:t xml:space="preserve">bid with large holes in the months of July, September, and October </w:t>
      </w:r>
      <w:r w:rsidRPr="007547A1" w:rsidR="00966A92">
        <w:rPr>
          <w:rFonts w:ascii="Book Antiqua" w:hAnsi="Book Antiqua"/>
        </w:rPr>
        <w:t xml:space="preserve">and </w:t>
      </w:r>
      <w:r w:rsidRPr="007547A1">
        <w:rPr>
          <w:rFonts w:ascii="Book Antiqua" w:hAnsi="Book Antiqua"/>
        </w:rPr>
        <w:t>did not</w:t>
      </w:r>
      <w:r w:rsidRPr="007547A1" w:rsidR="00966A92">
        <w:rPr>
          <w:rFonts w:ascii="Book Antiqua" w:hAnsi="Book Antiqua"/>
        </w:rPr>
        <w:t xml:space="preserve"> </w:t>
      </w:r>
      <w:r w:rsidRPr="007547A1">
        <w:rPr>
          <w:rFonts w:ascii="Book Antiqua" w:hAnsi="Book Antiqua"/>
        </w:rPr>
        <w:t xml:space="preserve">receive bids </w:t>
      </w:r>
      <w:r w:rsidRPr="007547A1" w:rsidR="00966A92">
        <w:rPr>
          <w:rFonts w:ascii="Book Antiqua" w:hAnsi="Book Antiqua"/>
        </w:rPr>
        <w:t xml:space="preserve">on a month-alone basis </w:t>
      </w:r>
      <w:r w:rsidRPr="007547A1">
        <w:rPr>
          <w:rFonts w:ascii="Book Antiqua" w:hAnsi="Book Antiqua"/>
        </w:rPr>
        <w:t>sufficient to fill the holes left by PG&amp;E in the time remaining before the October 31</w:t>
      </w:r>
      <w:r w:rsidRPr="007547A1" w:rsidR="00966A92">
        <w:rPr>
          <w:rFonts w:ascii="Book Antiqua" w:hAnsi="Book Antiqua"/>
        </w:rPr>
        <w:t xml:space="preserve"> </w:t>
      </w:r>
      <w:r w:rsidRPr="007547A1">
        <w:rPr>
          <w:rFonts w:ascii="Book Antiqua" w:hAnsi="Book Antiqua"/>
        </w:rPr>
        <w:t>deadline.</w:t>
      </w:r>
      <w:r w:rsidRPr="007547A1" w:rsidR="00966A92">
        <w:rPr>
          <w:rFonts w:ascii="Book Antiqua" w:hAnsi="Book Antiqua"/>
        </w:rPr>
        <w:br/>
      </w:r>
    </w:p>
    <w:p w:rsidRPr="007547A1" w:rsidR="008B167E" w:rsidP="001849B2" w:rsidRDefault="00966A92" w14:paraId="6FD02B7D" w14:textId="77777777">
      <w:pPr>
        <w:numPr>
          <w:ilvl w:val="0"/>
          <w:numId w:val="10"/>
        </w:numPr>
        <w:rPr>
          <w:rFonts w:ascii="Book Antiqua" w:hAnsi="Book Antiqua"/>
        </w:rPr>
      </w:pPr>
      <w:r w:rsidRPr="007547A1">
        <w:rPr>
          <w:rFonts w:ascii="Book Antiqua" w:hAnsi="Book Antiqua"/>
        </w:rPr>
        <w:t>Af</w:t>
      </w:r>
      <w:r w:rsidRPr="007547A1" w:rsidR="008061BE">
        <w:rPr>
          <w:rFonts w:ascii="Book Antiqua" w:hAnsi="Book Antiqua"/>
        </w:rPr>
        <w:t>ter mid-August, SJCE held three other solicitations and entered bids into other</w:t>
      </w:r>
      <w:r w:rsidRPr="007547A1">
        <w:rPr>
          <w:rFonts w:ascii="Book Antiqua" w:hAnsi="Book Antiqua"/>
        </w:rPr>
        <w:t xml:space="preserve"> </w:t>
      </w:r>
      <w:r w:rsidRPr="007547A1" w:rsidR="008061BE">
        <w:rPr>
          <w:rFonts w:ascii="Book Antiqua" w:hAnsi="Book Antiqua"/>
        </w:rPr>
        <w:t>solicitations. SJCE also participated in a</w:t>
      </w:r>
      <w:r w:rsidRPr="007547A1">
        <w:rPr>
          <w:rFonts w:ascii="Book Antiqua" w:hAnsi="Book Antiqua"/>
        </w:rPr>
        <w:t xml:space="preserve"> </w:t>
      </w:r>
      <w:r w:rsidRPr="007547A1" w:rsidR="008061BE">
        <w:rPr>
          <w:rFonts w:ascii="Book Antiqua" w:hAnsi="Book Antiqua"/>
        </w:rPr>
        <w:t>bilateral exchange with other</w:t>
      </w:r>
      <w:r w:rsidRPr="007547A1">
        <w:rPr>
          <w:rFonts w:ascii="Book Antiqua" w:hAnsi="Book Antiqua"/>
        </w:rPr>
        <w:t xml:space="preserve"> </w:t>
      </w:r>
      <w:r w:rsidRPr="007547A1" w:rsidR="008061BE">
        <w:rPr>
          <w:rFonts w:ascii="Book Antiqua" w:hAnsi="Book Antiqua"/>
        </w:rPr>
        <w:t xml:space="preserve">LSEs to fill </w:t>
      </w:r>
      <w:r w:rsidRPr="007547A1" w:rsidR="008061BE">
        <w:rPr>
          <w:rFonts w:ascii="Book Antiqua" w:hAnsi="Book Antiqua"/>
        </w:rPr>
        <w:lastRenderedPageBreak/>
        <w:t xml:space="preserve">its open position. During that time, the offers SJCE received had </w:t>
      </w:r>
      <w:r w:rsidRPr="007547A1" w:rsidR="008B167E">
        <w:rPr>
          <w:rFonts w:ascii="Book Antiqua" w:hAnsi="Book Antiqua"/>
        </w:rPr>
        <w:t xml:space="preserve">what SJCE characterizes as </w:t>
      </w:r>
      <w:r w:rsidRPr="007547A1" w:rsidR="008061BE">
        <w:rPr>
          <w:rFonts w:ascii="Book Antiqua" w:hAnsi="Book Antiqua"/>
        </w:rPr>
        <w:t>unusual and</w:t>
      </w:r>
      <w:r w:rsidRPr="007547A1" w:rsidR="008B167E">
        <w:rPr>
          <w:rFonts w:ascii="Book Antiqua" w:hAnsi="Book Antiqua"/>
        </w:rPr>
        <w:t xml:space="preserve"> </w:t>
      </w:r>
      <w:r w:rsidRPr="007547A1" w:rsidR="008061BE">
        <w:rPr>
          <w:rFonts w:ascii="Book Antiqua" w:hAnsi="Book Antiqua"/>
        </w:rPr>
        <w:t xml:space="preserve">difficult terms attached, which required </w:t>
      </w:r>
      <w:r w:rsidRPr="007547A1" w:rsidR="008B167E">
        <w:rPr>
          <w:rFonts w:ascii="Book Antiqua" w:hAnsi="Book Antiqua"/>
        </w:rPr>
        <w:t xml:space="preserve">it </w:t>
      </w:r>
      <w:r w:rsidRPr="007547A1" w:rsidR="008061BE">
        <w:rPr>
          <w:rFonts w:ascii="Book Antiqua" w:hAnsi="Book Antiqua"/>
        </w:rPr>
        <w:t xml:space="preserve">to investigate internally whether it </w:t>
      </w:r>
      <w:r w:rsidRPr="007547A1" w:rsidR="008B167E">
        <w:rPr>
          <w:rFonts w:ascii="Book Antiqua" w:hAnsi="Book Antiqua"/>
        </w:rPr>
        <w:t>sh</w:t>
      </w:r>
      <w:r w:rsidRPr="007547A1" w:rsidR="008061BE">
        <w:rPr>
          <w:rFonts w:ascii="Book Antiqua" w:hAnsi="Book Antiqua"/>
        </w:rPr>
        <w:t>ould accept</w:t>
      </w:r>
      <w:r w:rsidRPr="007547A1" w:rsidR="008B167E">
        <w:rPr>
          <w:rFonts w:ascii="Book Antiqua" w:hAnsi="Book Antiqua"/>
        </w:rPr>
        <w:t xml:space="preserve"> </w:t>
      </w:r>
      <w:r w:rsidRPr="007547A1" w:rsidR="008061BE">
        <w:rPr>
          <w:rFonts w:ascii="Book Antiqua" w:hAnsi="Book Antiqua"/>
        </w:rPr>
        <w:t>them. For example, one bidder required SJCE to pay for the entire RA it would buy for 2019</w:t>
      </w:r>
      <w:r w:rsidRPr="007547A1" w:rsidR="008B167E">
        <w:rPr>
          <w:rFonts w:ascii="Book Antiqua" w:hAnsi="Book Antiqua"/>
        </w:rPr>
        <w:t xml:space="preserve"> </w:t>
      </w:r>
      <w:r w:rsidRPr="007547A1" w:rsidR="008061BE">
        <w:rPr>
          <w:rFonts w:ascii="Book Antiqua" w:hAnsi="Book Antiqua"/>
        </w:rPr>
        <w:t>prior to the commencement of 2019.</w:t>
      </w:r>
      <w:r w:rsidRPr="007547A1" w:rsidR="008B167E">
        <w:rPr>
          <w:rFonts w:ascii="Book Antiqua" w:hAnsi="Book Antiqua"/>
        </w:rPr>
        <w:br/>
      </w:r>
    </w:p>
    <w:p w:rsidRPr="007547A1" w:rsidR="008B167E" w:rsidP="008B167E" w:rsidRDefault="008B167E" w14:paraId="20215A77" w14:textId="77777777">
      <w:pPr>
        <w:numPr>
          <w:ilvl w:val="0"/>
          <w:numId w:val="10"/>
        </w:numPr>
        <w:rPr>
          <w:rFonts w:ascii="Book Antiqua" w:hAnsi="Book Antiqua"/>
        </w:rPr>
      </w:pPr>
      <w:r w:rsidRPr="007547A1">
        <w:rPr>
          <w:rFonts w:ascii="Book Antiqua" w:hAnsi="Book Antiqua"/>
        </w:rPr>
        <w:t xml:space="preserve">During this period, SJCE rejected a bid </w:t>
      </w:r>
      <w:r w:rsidRPr="007547A1" w:rsidR="008061BE">
        <w:rPr>
          <w:rFonts w:ascii="Book Antiqua" w:hAnsi="Book Antiqua"/>
        </w:rPr>
        <w:t xml:space="preserve">for about 30 </w:t>
      </w:r>
      <w:r w:rsidRPr="007547A1">
        <w:rPr>
          <w:rFonts w:ascii="Book Antiqua" w:hAnsi="Book Antiqua"/>
        </w:rPr>
        <w:t xml:space="preserve">MW </w:t>
      </w:r>
      <w:r w:rsidRPr="007547A1" w:rsidR="008061BE">
        <w:rPr>
          <w:rFonts w:ascii="Book Antiqua" w:hAnsi="Book Antiqua"/>
        </w:rPr>
        <w:t xml:space="preserve">of RA </w:t>
      </w:r>
      <w:r w:rsidRPr="007547A1">
        <w:rPr>
          <w:rFonts w:ascii="Book Antiqua" w:hAnsi="Book Antiqua"/>
        </w:rPr>
        <w:t xml:space="preserve">that </w:t>
      </w:r>
      <w:r w:rsidRPr="007547A1" w:rsidR="008061BE">
        <w:rPr>
          <w:rFonts w:ascii="Book Antiqua" w:hAnsi="Book Antiqua"/>
        </w:rPr>
        <w:t xml:space="preserve">that it needed </w:t>
      </w:r>
      <w:r w:rsidRPr="007547A1">
        <w:rPr>
          <w:rFonts w:ascii="Book Antiqua" w:hAnsi="Book Antiqua"/>
        </w:rPr>
        <w:t xml:space="preserve">to </w:t>
      </w:r>
      <w:r w:rsidRPr="007547A1" w:rsidR="008061BE">
        <w:rPr>
          <w:rFonts w:ascii="Book Antiqua" w:hAnsi="Book Antiqua"/>
        </w:rPr>
        <w:t>spread out over February, July, and October</w:t>
      </w:r>
      <w:r w:rsidRPr="007547A1">
        <w:rPr>
          <w:rFonts w:ascii="Book Antiqua" w:hAnsi="Book Antiqua"/>
        </w:rPr>
        <w:t xml:space="preserve"> and that </w:t>
      </w:r>
      <w:r w:rsidRPr="007547A1" w:rsidR="008061BE">
        <w:rPr>
          <w:rFonts w:ascii="Book Antiqua" w:hAnsi="Book Antiqua"/>
        </w:rPr>
        <w:t>also required SJCE to</w:t>
      </w:r>
      <w:r w:rsidRPr="007547A1">
        <w:rPr>
          <w:rFonts w:ascii="Book Antiqua" w:hAnsi="Book Antiqua"/>
        </w:rPr>
        <w:t xml:space="preserve"> </w:t>
      </w:r>
      <w:r w:rsidRPr="007547A1" w:rsidR="008061BE">
        <w:rPr>
          <w:rFonts w:ascii="Book Antiqua" w:hAnsi="Book Antiqua"/>
        </w:rPr>
        <w:t>buy 25 megawatts of RA that it did not need in January</w:t>
      </w:r>
      <w:r w:rsidRPr="007547A1" w:rsidR="00745A6E">
        <w:rPr>
          <w:rFonts w:ascii="Book Antiqua" w:hAnsi="Book Antiqua"/>
        </w:rPr>
        <w:t xml:space="preserve">.  Paying for the unneeded 25 MW in January </w:t>
      </w:r>
      <w:r w:rsidRPr="007547A1">
        <w:rPr>
          <w:rFonts w:ascii="Book Antiqua" w:hAnsi="Book Antiqua"/>
        </w:rPr>
        <w:t xml:space="preserve">would have effectively doubled the cost of the </w:t>
      </w:r>
      <w:r w:rsidRPr="007547A1" w:rsidR="00745A6E">
        <w:rPr>
          <w:rFonts w:ascii="Book Antiqua" w:hAnsi="Book Antiqua"/>
        </w:rPr>
        <w:t>RA that it needed in February, July, and October.</w:t>
      </w:r>
      <w:r w:rsidRPr="007547A1">
        <w:rPr>
          <w:rFonts w:ascii="Book Antiqua" w:hAnsi="Book Antiqua"/>
        </w:rPr>
        <w:br/>
      </w:r>
    </w:p>
    <w:p w:rsidRPr="007547A1" w:rsidR="00E70B77" w:rsidP="008B167E" w:rsidRDefault="008B167E" w14:paraId="3A984B0B" w14:textId="77777777">
      <w:pPr>
        <w:numPr>
          <w:ilvl w:val="0"/>
          <w:numId w:val="10"/>
        </w:numPr>
        <w:rPr>
          <w:rFonts w:ascii="Book Antiqua" w:hAnsi="Book Antiqua"/>
        </w:rPr>
      </w:pPr>
      <w:r w:rsidRPr="007547A1">
        <w:rPr>
          <w:rFonts w:ascii="Book Antiqua" w:hAnsi="Book Antiqua"/>
        </w:rPr>
        <w:t xml:space="preserve">By the time SJCE finished internally vetting the </w:t>
      </w:r>
      <w:r w:rsidRPr="007547A1" w:rsidR="00745A6E">
        <w:rPr>
          <w:rFonts w:ascii="Book Antiqua" w:hAnsi="Book Antiqua"/>
        </w:rPr>
        <w:t xml:space="preserve">bids that it received, </w:t>
      </w:r>
      <w:r w:rsidRPr="007547A1">
        <w:rPr>
          <w:rFonts w:ascii="Book Antiqua" w:hAnsi="Book Antiqua"/>
        </w:rPr>
        <w:t>some were withdrawn or reduced.</w:t>
      </w:r>
      <w:r w:rsidRPr="007547A1" w:rsidR="00E70B77">
        <w:rPr>
          <w:rFonts w:ascii="Book Antiqua" w:hAnsi="Book Antiqua"/>
        </w:rPr>
        <w:br/>
      </w:r>
    </w:p>
    <w:p w:rsidR="000D1D30" w:rsidP="00724912" w:rsidRDefault="000D1D30" w14:paraId="3BF8414C" w14:textId="1DB49A98">
      <w:pPr>
        <w:numPr>
          <w:ilvl w:val="0"/>
          <w:numId w:val="10"/>
        </w:numPr>
        <w:rPr>
          <w:rFonts w:ascii="Book Antiqua" w:hAnsi="Book Antiqua"/>
        </w:rPr>
      </w:pPr>
      <w:r w:rsidRPr="000D1D30">
        <w:rPr>
          <w:rFonts w:ascii="Book Antiqua" w:hAnsi="Book Antiqua"/>
        </w:rPr>
        <w:t xml:space="preserve">SJCE continued to procure system and flexible RA </w:t>
      </w:r>
      <w:r w:rsidR="00AF7FAE">
        <w:rPr>
          <w:rFonts w:ascii="Book Antiqua" w:hAnsi="Book Antiqua"/>
        </w:rPr>
        <w:t xml:space="preserve">to meet its month-ahead system and flexible RA requirements </w:t>
      </w:r>
      <w:r w:rsidRPr="000D1D30">
        <w:rPr>
          <w:rFonts w:ascii="Book Antiqua" w:hAnsi="Book Antiqua"/>
        </w:rPr>
        <w:t xml:space="preserve">after </w:t>
      </w:r>
      <w:r w:rsidR="00AF7FAE">
        <w:rPr>
          <w:rFonts w:ascii="Book Antiqua" w:hAnsi="Book Antiqua"/>
        </w:rPr>
        <w:t xml:space="preserve">it was cited for failure to meet its year-ahead requirements </w:t>
      </w:r>
      <w:r w:rsidRPr="000D1D30">
        <w:rPr>
          <w:rFonts w:ascii="Book Antiqua" w:hAnsi="Book Antiqua"/>
        </w:rPr>
        <w:t>and, as a result of efforts</w:t>
      </w:r>
      <w:r w:rsidRPr="004C53C7" w:rsidR="004C53C7">
        <w:t xml:space="preserve"> </w:t>
      </w:r>
      <w:r w:rsidRPr="008106C7" w:rsidR="004C53C7">
        <w:rPr>
          <w:rFonts w:ascii="Book Antiqua" w:hAnsi="Book Antiqua"/>
        </w:rPr>
        <w:t xml:space="preserve">which </w:t>
      </w:r>
      <w:r w:rsidRPr="004C53C7" w:rsidR="004C53C7">
        <w:rPr>
          <w:rFonts w:ascii="Book Antiqua" w:hAnsi="Book Antiqua"/>
        </w:rPr>
        <w:t>includ</w:t>
      </w:r>
      <w:r w:rsidR="004C53C7">
        <w:rPr>
          <w:rFonts w:ascii="Book Antiqua" w:hAnsi="Book Antiqua"/>
        </w:rPr>
        <w:t>ed</w:t>
      </w:r>
      <w:r w:rsidRPr="004C53C7" w:rsidR="004C53C7">
        <w:rPr>
          <w:rFonts w:ascii="Book Antiqua" w:hAnsi="Book Antiqua"/>
        </w:rPr>
        <w:t xml:space="preserve"> participation in 13 solicitations</w:t>
      </w:r>
      <w:r w:rsidRPr="000D1D30">
        <w:rPr>
          <w:rFonts w:ascii="Book Antiqua" w:hAnsi="Book Antiqua"/>
        </w:rPr>
        <w:t>, it made up its flexible RA deficiencies in two out of three months and reduces its system RA deficiency in one month by almost 68% and in the other month by 100 MW in time for the month-ahead compliance filings</w:t>
      </w:r>
      <w:r>
        <w:rPr>
          <w:rFonts w:ascii="Book Antiqua" w:hAnsi="Book Antiqua"/>
        </w:rPr>
        <w:t>.</w:t>
      </w:r>
      <w:r>
        <w:rPr>
          <w:rFonts w:ascii="Book Antiqua" w:hAnsi="Book Antiqua"/>
        </w:rPr>
        <w:br/>
      </w:r>
    </w:p>
    <w:p w:rsidRPr="007547A1" w:rsidR="008F5538" w:rsidP="00724912" w:rsidRDefault="00724912" w14:paraId="7F83A73B" w14:textId="1C211390">
      <w:pPr>
        <w:numPr>
          <w:ilvl w:val="0"/>
          <w:numId w:val="10"/>
        </w:numPr>
        <w:rPr>
          <w:rFonts w:ascii="Book Antiqua" w:hAnsi="Book Antiqua"/>
        </w:rPr>
      </w:pPr>
      <w:r w:rsidRPr="007547A1">
        <w:rPr>
          <w:rFonts w:ascii="Book Antiqua" w:hAnsi="Book Antiqua"/>
        </w:rPr>
        <w:t>The total amount SJCE paid for all of its 2019 RA, even with its flexible and system RA deficiencies, exceeded the amount it would have paid based on the average weighted price for 2019 RA calculated in the Energy Division’s Resource Adequacy Report by almost $4 million.</w:t>
      </w:r>
      <w:r w:rsidRPr="007547A1">
        <w:rPr>
          <w:rFonts w:ascii="Book Antiqua" w:hAnsi="Book Antiqua"/>
        </w:rPr>
        <w:br/>
      </w:r>
    </w:p>
    <w:bookmarkEnd w:id="7"/>
    <w:p w:rsidRPr="007547A1" w:rsidR="00960D3A" w:rsidP="008F5538" w:rsidRDefault="008F5538" w14:paraId="78B37226" w14:textId="77777777">
      <w:pPr>
        <w:rPr>
          <w:rFonts w:ascii="Book Antiqua" w:hAnsi="Book Antiqua"/>
        </w:rPr>
      </w:pPr>
      <w:r w:rsidRPr="007547A1">
        <w:rPr>
          <w:rFonts w:ascii="Book Antiqua" w:hAnsi="Book Antiqua"/>
        </w:rPr>
        <w:t>SJCE’s arguments</w:t>
      </w:r>
      <w:r w:rsidRPr="007547A1" w:rsidR="006D1B12">
        <w:rPr>
          <w:rFonts w:ascii="Book Antiqua" w:hAnsi="Book Antiqua"/>
        </w:rPr>
        <w:t xml:space="preserve"> as to policy</w:t>
      </w:r>
      <w:r w:rsidRPr="007547A1">
        <w:rPr>
          <w:rFonts w:ascii="Book Antiqua" w:hAnsi="Book Antiqua"/>
        </w:rPr>
        <w:t xml:space="preserve"> and the facts that it presents do not demonstrate</w:t>
      </w:r>
      <w:r w:rsidRPr="007547A1" w:rsidR="007E2E21">
        <w:rPr>
          <w:rFonts w:ascii="Book Antiqua" w:hAnsi="Book Antiqua"/>
        </w:rPr>
        <w:t xml:space="preserve"> that it was </w:t>
      </w:r>
      <w:r w:rsidRPr="007547A1">
        <w:rPr>
          <w:rFonts w:ascii="Book Antiqua" w:hAnsi="Book Antiqua"/>
        </w:rPr>
        <w:t>impossib</w:t>
      </w:r>
      <w:r w:rsidRPr="007547A1" w:rsidR="007E2E21">
        <w:rPr>
          <w:rFonts w:ascii="Book Antiqua" w:hAnsi="Book Antiqua"/>
        </w:rPr>
        <w:t xml:space="preserve">le for it to have procured its RA obligations.  </w:t>
      </w:r>
      <w:r w:rsidRPr="007547A1">
        <w:rPr>
          <w:rFonts w:ascii="Book Antiqua" w:hAnsi="Book Antiqua"/>
        </w:rPr>
        <w:t xml:space="preserve">The issue is whether it was not possible, at any point in time and under any terms, for SJCE to procure capacity that would have met its RA obligations during its deficiency periods.  SJCE’s arguments </w:t>
      </w:r>
      <w:r w:rsidRPr="007547A1" w:rsidR="007B7441">
        <w:rPr>
          <w:rFonts w:ascii="Book Antiqua" w:hAnsi="Book Antiqua"/>
        </w:rPr>
        <w:t xml:space="preserve">and facts regarding the high cost and fleeting availability of RA in a short-term market do </w:t>
      </w:r>
      <w:r w:rsidRPr="007547A1">
        <w:rPr>
          <w:rFonts w:ascii="Book Antiqua" w:hAnsi="Book Antiqua"/>
        </w:rPr>
        <w:t>not demonstrate impossibility.</w:t>
      </w:r>
      <w:r w:rsidRPr="007547A1" w:rsidR="006D1B12">
        <w:rPr>
          <w:rFonts w:ascii="Book Antiqua" w:hAnsi="Book Antiqua"/>
        </w:rPr>
        <w:t xml:space="preserve">  Indeed</w:t>
      </w:r>
      <w:r w:rsidRPr="007547A1" w:rsidR="007E2E21">
        <w:rPr>
          <w:rFonts w:ascii="Book Antiqua" w:hAnsi="Book Antiqua"/>
        </w:rPr>
        <w:t>,</w:t>
      </w:r>
      <w:r w:rsidRPr="007547A1" w:rsidR="006D1B12">
        <w:rPr>
          <w:rFonts w:ascii="Book Antiqua" w:hAnsi="Book Antiqua"/>
        </w:rPr>
        <w:t xml:space="preserve"> and to the contrary, SJCE’s facts demonstrate that</w:t>
      </w:r>
      <w:r w:rsidRPr="007547A1" w:rsidR="00960D3A">
        <w:rPr>
          <w:rFonts w:ascii="Book Antiqua" w:hAnsi="Book Antiqua"/>
        </w:rPr>
        <w:t xml:space="preserve"> there was RA available to it</w:t>
      </w:r>
      <w:r w:rsidRPr="007547A1" w:rsidR="005D0129">
        <w:rPr>
          <w:rFonts w:ascii="Book Antiqua" w:hAnsi="Book Antiqua"/>
        </w:rPr>
        <w:t xml:space="preserve"> at </w:t>
      </w:r>
      <w:r w:rsidRPr="007547A1" w:rsidR="00960D3A">
        <w:rPr>
          <w:rFonts w:ascii="Book Antiqua" w:hAnsi="Book Antiqua"/>
        </w:rPr>
        <w:t xml:space="preserve">unfavorable terms. </w:t>
      </w:r>
    </w:p>
    <w:p w:rsidRPr="007547A1" w:rsidR="00A96755" w:rsidP="00A96755" w:rsidRDefault="00745A6E" w14:paraId="172F156B" w14:textId="77777777">
      <w:pPr>
        <w:rPr>
          <w:rFonts w:ascii="Book Antiqua" w:hAnsi="Book Antiqua"/>
          <w:i/>
          <w:iCs/>
        </w:rPr>
      </w:pPr>
      <w:r w:rsidRPr="007547A1">
        <w:rPr>
          <w:rFonts w:ascii="Book Antiqua" w:hAnsi="Book Antiqua"/>
        </w:rPr>
        <w:br/>
      </w:r>
      <w:r w:rsidRPr="007547A1" w:rsidR="00A96755">
        <w:rPr>
          <w:rFonts w:ascii="Book Antiqua" w:hAnsi="Book Antiqua"/>
          <w:i/>
          <w:iCs/>
        </w:rPr>
        <w:t xml:space="preserve">Issues C and D – </w:t>
      </w:r>
      <w:r w:rsidRPr="007547A1" w:rsidR="007D5E05">
        <w:rPr>
          <w:rFonts w:ascii="Book Antiqua" w:hAnsi="Book Antiqua"/>
          <w:i/>
          <w:iCs/>
        </w:rPr>
        <w:t>Consideration of the</w:t>
      </w:r>
      <w:r w:rsidRPr="007547A1" w:rsidR="00A96755">
        <w:rPr>
          <w:rFonts w:ascii="Book Antiqua" w:hAnsi="Book Antiqua"/>
          <w:i/>
          <w:iCs/>
        </w:rPr>
        <w:t xml:space="preserve"> D.98 12 075 </w:t>
      </w:r>
      <w:r w:rsidRPr="007547A1" w:rsidR="007D5E05">
        <w:rPr>
          <w:rFonts w:ascii="Book Antiqua" w:hAnsi="Book Antiqua"/>
          <w:i/>
          <w:iCs/>
        </w:rPr>
        <w:t>f</w:t>
      </w:r>
      <w:r w:rsidRPr="007547A1" w:rsidR="00A96755">
        <w:rPr>
          <w:rFonts w:ascii="Book Antiqua" w:hAnsi="Book Antiqua"/>
          <w:i/>
          <w:iCs/>
        </w:rPr>
        <w:t xml:space="preserve">ine </w:t>
      </w:r>
      <w:r w:rsidRPr="007547A1" w:rsidR="007D5E05">
        <w:rPr>
          <w:rFonts w:ascii="Book Antiqua" w:hAnsi="Book Antiqua"/>
          <w:i/>
          <w:iCs/>
        </w:rPr>
        <w:t>a</w:t>
      </w:r>
      <w:r w:rsidRPr="007547A1" w:rsidR="00A96755">
        <w:rPr>
          <w:rFonts w:ascii="Book Antiqua" w:hAnsi="Book Antiqua"/>
          <w:i/>
          <w:iCs/>
        </w:rPr>
        <w:t xml:space="preserve">ssessment </w:t>
      </w:r>
      <w:r w:rsidRPr="007547A1" w:rsidR="007D5E05">
        <w:rPr>
          <w:rFonts w:ascii="Book Antiqua" w:hAnsi="Book Antiqua"/>
          <w:i/>
          <w:iCs/>
        </w:rPr>
        <w:t>f</w:t>
      </w:r>
      <w:r w:rsidRPr="007547A1" w:rsidR="00A96755">
        <w:rPr>
          <w:rFonts w:ascii="Book Antiqua" w:hAnsi="Book Antiqua"/>
          <w:i/>
          <w:iCs/>
        </w:rPr>
        <w:t>actors</w:t>
      </w:r>
    </w:p>
    <w:p w:rsidRPr="007547A1" w:rsidR="007D5E05" w:rsidP="00A96755" w:rsidRDefault="007D5E05" w14:paraId="045555DC" w14:textId="77777777">
      <w:pPr>
        <w:rPr>
          <w:rFonts w:ascii="Book Antiqua" w:hAnsi="Book Antiqua"/>
        </w:rPr>
      </w:pPr>
    </w:p>
    <w:p w:rsidRPr="007547A1" w:rsidR="00A96755" w:rsidP="00A96755" w:rsidRDefault="00A96755" w14:paraId="58CB7DEF" w14:textId="77777777">
      <w:pPr>
        <w:rPr>
          <w:rFonts w:ascii="Book Antiqua" w:hAnsi="Book Antiqua"/>
        </w:rPr>
      </w:pPr>
      <w:r w:rsidRPr="007547A1">
        <w:rPr>
          <w:rFonts w:ascii="Book Antiqua" w:hAnsi="Book Antiqua"/>
        </w:rPr>
        <w:t>D.98-12-075</w:t>
      </w:r>
      <w:r w:rsidRPr="007547A1" w:rsidR="00AF5F80">
        <w:rPr>
          <w:rFonts w:ascii="Book Antiqua" w:hAnsi="Book Antiqua"/>
        </w:rPr>
        <w:t xml:space="preserve"> identifies five factors </w:t>
      </w:r>
      <w:r w:rsidRPr="007547A1" w:rsidR="008451C5">
        <w:rPr>
          <w:rFonts w:ascii="Book Antiqua" w:hAnsi="Book Antiqua"/>
        </w:rPr>
        <w:t xml:space="preserve">for the Commission </w:t>
      </w:r>
      <w:r w:rsidRPr="007547A1" w:rsidR="00AF5F80">
        <w:rPr>
          <w:rFonts w:ascii="Book Antiqua" w:hAnsi="Book Antiqua"/>
        </w:rPr>
        <w:t>to consider in the assessment of fines:</w:t>
      </w:r>
      <w:r w:rsidRPr="007547A1" w:rsidR="008451C5">
        <w:rPr>
          <w:rFonts w:ascii="Book Antiqua" w:hAnsi="Book Antiqua"/>
        </w:rPr>
        <w:t xml:space="preserve">  </w:t>
      </w:r>
      <w:r w:rsidRPr="007547A1">
        <w:rPr>
          <w:rFonts w:ascii="Book Antiqua" w:hAnsi="Book Antiqua"/>
        </w:rPr>
        <w:t xml:space="preserve">(1) the severity of the offense, (2) the entity’s conduct, (3) the entity’s financial resources, (4) the role of precedent, and (5) the totality of circumstances in the public interest.  The courts similarly consider four factors to determine if a penalty is unconstitutionally excessive: (1) the party’s culpability, (2) the relationship between the </w:t>
      </w:r>
      <w:r w:rsidRPr="007547A1">
        <w:rPr>
          <w:rFonts w:ascii="Book Antiqua" w:hAnsi="Book Antiqua"/>
        </w:rPr>
        <w:lastRenderedPageBreak/>
        <w:t xml:space="preserve">harm and the penalty, (3) the party’s ability to pay, and (4) penalties imposed in similar statutes. SJCE’s assertions with respect to these factors do not merit </w:t>
      </w:r>
      <w:bookmarkStart w:name="_Hlk40869238" w:id="8"/>
      <w:r w:rsidRPr="007547A1">
        <w:rPr>
          <w:rFonts w:ascii="Book Antiqua" w:hAnsi="Book Antiqua"/>
        </w:rPr>
        <w:t>mitigating or excusing the citation penalty.</w:t>
      </w:r>
    </w:p>
    <w:p w:rsidRPr="007547A1" w:rsidR="008451C5" w:rsidP="00A96755" w:rsidRDefault="008451C5" w14:paraId="11AB2FB1" w14:textId="77777777">
      <w:pPr>
        <w:rPr>
          <w:rFonts w:ascii="Book Antiqua" w:hAnsi="Book Antiqua"/>
        </w:rPr>
      </w:pPr>
    </w:p>
    <w:bookmarkEnd w:id="8"/>
    <w:p w:rsidRPr="007547A1" w:rsidR="00A96755" w:rsidP="008451C5" w:rsidRDefault="008451C5" w14:paraId="6F51420F" w14:textId="77777777">
      <w:pPr>
        <w:numPr>
          <w:ilvl w:val="0"/>
          <w:numId w:val="9"/>
        </w:numPr>
        <w:rPr>
          <w:rFonts w:ascii="Book Antiqua" w:hAnsi="Book Antiqua"/>
        </w:rPr>
      </w:pPr>
      <w:r w:rsidRPr="007547A1">
        <w:rPr>
          <w:rFonts w:ascii="Book Antiqua" w:hAnsi="Book Antiqua"/>
        </w:rPr>
        <w:t xml:space="preserve">The </w:t>
      </w:r>
      <w:r w:rsidRPr="007547A1" w:rsidR="00A96755">
        <w:rPr>
          <w:rFonts w:ascii="Book Antiqua" w:hAnsi="Book Antiqua"/>
        </w:rPr>
        <w:t>Entity’s Conduct</w:t>
      </w:r>
    </w:p>
    <w:p w:rsidRPr="007547A1" w:rsidR="008451C5" w:rsidP="008451C5" w:rsidRDefault="008451C5" w14:paraId="1B603276" w14:textId="77777777">
      <w:pPr>
        <w:ind w:left="720"/>
        <w:rPr>
          <w:rFonts w:ascii="Book Antiqua" w:hAnsi="Book Antiqua"/>
        </w:rPr>
      </w:pPr>
    </w:p>
    <w:p w:rsidRPr="007547A1" w:rsidR="00A96755" w:rsidP="00A96755" w:rsidRDefault="00A96755" w14:paraId="547C99D4" w14:textId="77777777">
      <w:pPr>
        <w:rPr>
          <w:rFonts w:ascii="Book Antiqua" w:hAnsi="Book Antiqua"/>
        </w:rPr>
      </w:pPr>
      <w:r w:rsidRPr="007547A1">
        <w:rPr>
          <w:rFonts w:ascii="Book Antiqua" w:hAnsi="Book Antiqua"/>
        </w:rPr>
        <w:t>SJCE a</w:t>
      </w:r>
      <w:r w:rsidRPr="007547A1" w:rsidR="008451C5">
        <w:rPr>
          <w:rFonts w:ascii="Book Antiqua" w:hAnsi="Book Antiqua"/>
        </w:rPr>
        <w:t xml:space="preserve">sserts </w:t>
      </w:r>
      <w:r w:rsidRPr="007547A1">
        <w:rPr>
          <w:rFonts w:ascii="Book Antiqua" w:hAnsi="Book Antiqua"/>
        </w:rPr>
        <w:t xml:space="preserve">that unfavorable market conditions made it commercially unreasonable for it to meet its system and flexible RA requirements and </w:t>
      </w:r>
      <w:r w:rsidRPr="007547A1" w:rsidR="008451C5">
        <w:rPr>
          <w:rFonts w:ascii="Book Antiqua" w:hAnsi="Book Antiqua"/>
        </w:rPr>
        <w:t xml:space="preserve">argues that this </w:t>
      </w:r>
      <w:r w:rsidRPr="007547A1">
        <w:rPr>
          <w:rFonts w:ascii="Book Antiqua" w:hAnsi="Book Antiqua"/>
        </w:rPr>
        <w:t>should be considered as a mitigating factor for its failure to do so.  To the contrary</w:t>
      </w:r>
      <w:bookmarkStart w:name="_Hlk40868958" w:id="9"/>
      <w:r w:rsidRPr="007547A1">
        <w:rPr>
          <w:rFonts w:ascii="Book Antiqua" w:hAnsi="Book Antiqua"/>
        </w:rPr>
        <w:t xml:space="preserve">, the cost of operating as an LSE as required by law is not a mitigating factor for failure to meet those requirements.  </w:t>
      </w:r>
      <w:bookmarkEnd w:id="9"/>
      <w:r w:rsidRPr="007547A1">
        <w:rPr>
          <w:rFonts w:ascii="Book Antiqua" w:hAnsi="Book Antiqua"/>
        </w:rPr>
        <w:t xml:space="preserve">Pub. Util. Code § 380(c) and the RA program require that, </w:t>
      </w:r>
      <w:proofErr w:type="gramStart"/>
      <w:r w:rsidRPr="007547A1">
        <w:rPr>
          <w:rFonts w:ascii="Book Antiqua" w:hAnsi="Book Antiqua"/>
        </w:rPr>
        <w:t>in order to</w:t>
      </w:r>
      <w:proofErr w:type="gramEnd"/>
      <w:r w:rsidRPr="007547A1">
        <w:rPr>
          <w:rFonts w:ascii="Book Antiqua" w:hAnsi="Book Antiqua"/>
        </w:rPr>
        <w:t xml:space="preserve"> operate as an LSE, the entity must meet is procurement obligations.  Those procurement obligations include system and flexible RA requirements just as much as the capacity for direct consumption by the LSE’s end-use customers.  They are equally essential to an LSE’s ability to provide service to its customers.</w:t>
      </w:r>
    </w:p>
    <w:p w:rsidRPr="007547A1" w:rsidR="008451C5" w:rsidP="00A96755" w:rsidRDefault="008451C5" w14:paraId="4B26465D" w14:textId="77777777">
      <w:pPr>
        <w:rPr>
          <w:rFonts w:ascii="Book Antiqua" w:hAnsi="Book Antiqua"/>
        </w:rPr>
      </w:pPr>
    </w:p>
    <w:p w:rsidR="00B05EAA" w:rsidP="00A96755" w:rsidRDefault="00A96755" w14:paraId="16662A4A" w14:textId="657AEE0E">
      <w:pPr>
        <w:rPr>
          <w:rFonts w:ascii="Book Antiqua" w:hAnsi="Book Antiqua"/>
        </w:rPr>
      </w:pPr>
      <w:bookmarkStart w:name="_Hlk40952664" w:id="10"/>
      <w:r w:rsidRPr="007547A1">
        <w:rPr>
          <w:rFonts w:ascii="Book Antiqua" w:hAnsi="Book Antiqua"/>
        </w:rPr>
        <w:t xml:space="preserve">LSEs are not excused from providing service due to market conditions. </w:t>
      </w:r>
      <w:bookmarkEnd w:id="10"/>
      <w:r w:rsidR="00271BFD">
        <w:rPr>
          <w:rFonts w:ascii="Book Antiqua" w:hAnsi="Book Antiqua"/>
        </w:rPr>
        <w:t>As the Commission has stated, “[W]e do not intend to pursue any action, or to tolerate inaction, that condones or promotes continued reliance on backstop procurement when capacity can be purchased by LSEs.”</w:t>
      </w:r>
      <w:r w:rsidR="00271BFD">
        <w:rPr>
          <w:rStyle w:val="FootnoteReference"/>
          <w:rFonts w:ascii="Book Antiqua" w:hAnsi="Book Antiqua"/>
        </w:rPr>
        <w:footnoteReference w:id="2"/>
      </w:r>
      <w:r w:rsidR="00271BFD">
        <w:rPr>
          <w:rFonts w:ascii="Book Antiqua" w:hAnsi="Book Antiqua"/>
        </w:rPr>
        <w:t xml:space="preserve">  Although the Commission has indicated its interest in further exploring potential market power issues in the RA market, it has been steadfast in declining to extend the waiver process to system and flexible RA.</w:t>
      </w:r>
      <w:r w:rsidR="00271BFD">
        <w:rPr>
          <w:rStyle w:val="FootnoteReference"/>
          <w:rFonts w:ascii="Book Antiqua" w:hAnsi="Book Antiqua"/>
        </w:rPr>
        <w:footnoteReference w:id="3"/>
      </w:r>
      <w:r w:rsidR="00271BFD">
        <w:rPr>
          <w:rFonts w:ascii="Book Antiqua" w:hAnsi="Book Antiqua"/>
        </w:rPr>
        <w:t xml:space="preserve">  </w:t>
      </w:r>
      <w:r w:rsidRPr="007547A1">
        <w:rPr>
          <w:rFonts w:ascii="Book Antiqua" w:hAnsi="Book Antiqua"/>
        </w:rPr>
        <w:t xml:space="preserve">By analogy, </w:t>
      </w:r>
      <w:bookmarkStart w:name="_Hlk46137080" w:id="11"/>
      <w:r w:rsidRPr="007547A1">
        <w:rPr>
          <w:rFonts w:ascii="Book Antiqua" w:hAnsi="Book Antiqua"/>
        </w:rPr>
        <w:t>the market failure that led to the California energy crisis of 2000 and 2001 did not mitigate or excuse the electric utilities from meeting their service obligations.  The State of California addressed the crisis, not by excusing the electric utilities from procuring electricity notwithstanding its soaring cost, but by taking action to correct the market and to prosecute the bad actors in the market</w:t>
      </w:r>
      <w:bookmarkEnd w:id="11"/>
      <w:r w:rsidRPr="007547A1">
        <w:rPr>
          <w:rFonts w:ascii="Book Antiqua" w:hAnsi="Book Antiqua"/>
        </w:rPr>
        <w:t>.</w:t>
      </w:r>
      <w:r w:rsidRPr="007547A1" w:rsidR="007169D1">
        <w:rPr>
          <w:rStyle w:val="FootnoteReference"/>
          <w:rFonts w:ascii="Book Antiqua" w:hAnsi="Book Antiqua"/>
        </w:rPr>
        <w:footnoteReference w:id="4"/>
      </w:r>
    </w:p>
    <w:p w:rsidR="000D1D30" w:rsidP="00A96755" w:rsidRDefault="000D1D30" w14:paraId="380B80AE" w14:textId="2C5454C6">
      <w:pPr>
        <w:rPr>
          <w:rFonts w:ascii="Book Antiqua" w:hAnsi="Book Antiqua"/>
        </w:rPr>
      </w:pPr>
    </w:p>
    <w:p w:rsidRPr="007547A1" w:rsidR="00B05EAA" w:rsidP="00A96755" w:rsidRDefault="000D1D30" w14:paraId="68711DD1" w14:textId="670E017F">
      <w:pPr>
        <w:rPr>
          <w:rFonts w:ascii="Book Antiqua" w:hAnsi="Book Antiqua"/>
        </w:rPr>
      </w:pPr>
      <w:r>
        <w:rPr>
          <w:rFonts w:ascii="Book Antiqua" w:hAnsi="Book Antiqua"/>
        </w:rPr>
        <w:t xml:space="preserve">SJCE argues that its continuing efforts to procure system and flexible RA requirements to meet its month-ahead system and flexible RA requirements compliance even after it was cited for failure to meet its year-ahead requirements </w:t>
      </w:r>
      <w:r w:rsidR="00E14C08">
        <w:rPr>
          <w:rFonts w:ascii="Book Antiqua" w:hAnsi="Book Antiqua"/>
        </w:rPr>
        <w:t xml:space="preserve">are a mitigating factor that merits reducing or excusing the citation penalty.  </w:t>
      </w:r>
      <w:bookmarkStart w:name="_Hlk46316714" w:id="12"/>
      <w:r w:rsidRPr="00A83B5C" w:rsidR="00A83B5C">
        <w:rPr>
          <w:rFonts w:ascii="Book Antiqua" w:hAnsi="Book Antiqua"/>
        </w:rPr>
        <w:t xml:space="preserve">To the contrary, SJCE’s conduct demonstrates that its pre-citation efforts to procure its year-ahead system and flexible </w:t>
      </w:r>
      <w:r w:rsidRPr="00A83B5C" w:rsidR="00A83B5C">
        <w:rPr>
          <w:rFonts w:ascii="Book Antiqua" w:hAnsi="Book Antiqua"/>
        </w:rPr>
        <w:lastRenderedPageBreak/>
        <w:t xml:space="preserve">RA requirements were conditioned on whether it viewed the procurement terms to be commercially reasonable.  The fact that </w:t>
      </w:r>
      <w:r w:rsidR="00A83B5C">
        <w:rPr>
          <w:rFonts w:ascii="Book Antiqua" w:hAnsi="Book Antiqua"/>
        </w:rPr>
        <w:t xml:space="preserve">SJCE </w:t>
      </w:r>
      <w:r w:rsidRPr="00A83B5C" w:rsidR="00A83B5C">
        <w:rPr>
          <w:rFonts w:ascii="Book Antiqua" w:hAnsi="Book Antiqua"/>
        </w:rPr>
        <w:t xml:space="preserve">continued to solicit RA </w:t>
      </w:r>
      <w:r w:rsidR="00A83B5C">
        <w:rPr>
          <w:rFonts w:ascii="Book Antiqua" w:hAnsi="Book Antiqua"/>
        </w:rPr>
        <w:t xml:space="preserve">resources </w:t>
      </w:r>
      <w:r w:rsidRPr="00A83B5C" w:rsidR="00A83B5C">
        <w:rPr>
          <w:rFonts w:ascii="Book Antiqua" w:hAnsi="Book Antiqua"/>
        </w:rPr>
        <w:t>to meet its obligations after being cited does not demonstrate a commitment to doing so notwithstanding unfavorable market conditions.</w:t>
      </w:r>
      <w:bookmarkEnd w:id="12"/>
    </w:p>
    <w:p w:rsidRPr="007547A1" w:rsidR="00A96755" w:rsidP="00C82757" w:rsidRDefault="00A96755" w14:paraId="5691B8F6" w14:textId="77777777">
      <w:pPr>
        <w:numPr>
          <w:ilvl w:val="0"/>
          <w:numId w:val="9"/>
        </w:numPr>
        <w:rPr>
          <w:rFonts w:ascii="Book Antiqua" w:hAnsi="Book Antiqua"/>
        </w:rPr>
      </w:pPr>
      <w:r w:rsidRPr="007547A1">
        <w:rPr>
          <w:rFonts w:ascii="Book Antiqua" w:hAnsi="Book Antiqua"/>
        </w:rPr>
        <w:t>Severity of Harm</w:t>
      </w:r>
      <w:r w:rsidRPr="007547A1" w:rsidR="00C82757">
        <w:rPr>
          <w:rFonts w:ascii="Book Antiqua" w:hAnsi="Book Antiqua"/>
        </w:rPr>
        <w:br/>
      </w:r>
    </w:p>
    <w:p w:rsidRPr="007547A1" w:rsidR="00A96755" w:rsidP="005D0129" w:rsidRDefault="00A96755" w14:paraId="2F718DA2" w14:textId="77777777">
      <w:pPr>
        <w:rPr>
          <w:rFonts w:ascii="Book Antiqua" w:hAnsi="Book Antiqua"/>
        </w:rPr>
      </w:pPr>
      <w:r w:rsidRPr="007547A1">
        <w:rPr>
          <w:rFonts w:ascii="Book Antiqua" w:hAnsi="Book Antiqua"/>
        </w:rPr>
        <w:t xml:space="preserve">SJCE asserts that its </w:t>
      </w:r>
      <w:r w:rsidRPr="007547A1" w:rsidR="005D0129">
        <w:rPr>
          <w:rFonts w:ascii="Book Antiqua" w:hAnsi="Book Antiqua"/>
        </w:rPr>
        <w:t xml:space="preserve">penalty is disproportionate to the harm caused by SJCE’s deficiency because the deficiency did not result in any physical harm or threat of such harm and </w:t>
      </w:r>
      <w:r w:rsidRPr="007547A1" w:rsidR="00CC2619">
        <w:rPr>
          <w:rFonts w:ascii="Book Antiqua" w:hAnsi="Book Antiqua"/>
        </w:rPr>
        <w:t xml:space="preserve">did not </w:t>
      </w:r>
      <w:r w:rsidRPr="007547A1" w:rsidR="005D0129">
        <w:rPr>
          <w:rFonts w:ascii="Book Antiqua" w:hAnsi="Book Antiqua"/>
        </w:rPr>
        <w:t>undermine the integrity of the regulatory process</w:t>
      </w:r>
      <w:r w:rsidRPr="007547A1" w:rsidR="00CC2619">
        <w:rPr>
          <w:rFonts w:ascii="Book Antiqua" w:hAnsi="Book Antiqua"/>
        </w:rPr>
        <w:t xml:space="preserve">.  </w:t>
      </w:r>
      <w:r w:rsidRPr="007547A1">
        <w:rPr>
          <w:rFonts w:ascii="Book Antiqua" w:hAnsi="Book Antiqua"/>
        </w:rPr>
        <w:t xml:space="preserve">To the contrary, SJCE’s violations threatened the safety and reliability of the electric grid.  Even if the California Independent System Operator was not obliged to backstop the deficiency, and even if </w:t>
      </w:r>
      <w:bookmarkStart w:name="_Hlk46138539" w:id="13"/>
      <w:r w:rsidRPr="007547A1">
        <w:rPr>
          <w:rFonts w:ascii="Book Antiqua" w:hAnsi="Book Antiqua"/>
        </w:rPr>
        <w:t xml:space="preserve">the potential harm to the safety and reliability of the electric grid did not come to pass, </w:t>
      </w:r>
      <w:bookmarkStart w:name="_Hlk40869045" w:id="14"/>
      <w:r w:rsidRPr="007547A1">
        <w:rPr>
          <w:rFonts w:ascii="Book Antiqua" w:hAnsi="Book Antiqua"/>
        </w:rPr>
        <w:t xml:space="preserve">the </w:t>
      </w:r>
      <w:r w:rsidRPr="007547A1" w:rsidR="00CC2619">
        <w:rPr>
          <w:rFonts w:ascii="Book Antiqua" w:hAnsi="Book Antiqua"/>
        </w:rPr>
        <w:t xml:space="preserve">potential harm to the safety and reliability of the electric grid and </w:t>
      </w:r>
      <w:r w:rsidRPr="007547A1">
        <w:rPr>
          <w:rFonts w:ascii="Book Antiqua" w:hAnsi="Book Antiqua"/>
        </w:rPr>
        <w:t>to the integrity of the State’s resource adequacy program caused by SJCE’s failure to meet its regulatory obligations is severe</w:t>
      </w:r>
      <w:bookmarkEnd w:id="13"/>
      <w:r w:rsidRPr="007547A1">
        <w:rPr>
          <w:rFonts w:ascii="Book Antiqua" w:hAnsi="Book Antiqua"/>
        </w:rPr>
        <w:t xml:space="preserve">.  </w:t>
      </w:r>
      <w:bookmarkEnd w:id="14"/>
      <w:r w:rsidRPr="007547A1">
        <w:rPr>
          <w:rFonts w:ascii="Book Antiqua" w:hAnsi="Book Antiqua"/>
        </w:rPr>
        <w:t>By analogy, the fact that a charter party carrier’s brakes did not fail or that no claims for damages were brought against it does not mitigate the harm caused by its failure to adhere to safety check and insurance requirements.</w:t>
      </w:r>
      <w:r w:rsidRPr="007547A1" w:rsidR="00C82757">
        <w:rPr>
          <w:rFonts w:ascii="Book Antiqua" w:hAnsi="Book Antiqua"/>
        </w:rPr>
        <w:br/>
      </w:r>
    </w:p>
    <w:p w:rsidRPr="007547A1" w:rsidR="00A96755" w:rsidP="00C82757" w:rsidRDefault="00C82757" w14:paraId="325358A5" w14:textId="77777777">
      <w:pPr>
        <w:numPr>
          <w:ilvl w:val="0"/>
          <w:numId w:val="9"/>
        </w:numPr>
        <w:rPr>
          <w:rFonts w:ascii="Book Antiqua" w:hAnsi="Book Antiqua"/>
        </w:rPr>
      </w:pPr>
      <w:r w:rsidRPr="007547A1">
        <w:rPr>
          <w:rFonts w:ascii="Book Antiqua" w:hAnsi="Book Antiqua"/>
        </w:rPr>
        <w:t xml:space="preserve"> </w:t>
      </w:r>
      <w:r w:rsidRPr="007547A1" w:rsidR="00A96755">
        <w:rPr>
          <w:rFonts w:ascii="Book Antiqua" w:hAnsi="Book Antiqua"/>
        </w:rPr>
        <w:t>Entity’s Financial Resources</w:t>
      </w:r>
      <w:r w:rsidRPr="007547A1">
        <w:rPr>
          <w:rFonts w:ascii="Book Antiqua" w:hAnsi="Book Antiqua"/>
        </w:rPr>
        <w:br/>
      </w:r>
    </w:p>
    <w:p w:rsidRPr="007547A1" w:rsidR="00F5545C" w:rsidP="00B05EAA" w:rsidRDefault="00F5545C" w14:paraId="427C6EC9" w14:textId="77777777">
      <w:pPr>
        <w:rPr>
          <w:rFonts w:ascii="Book Antiqua" w:hAnsi="Book Antiqua"/>
        </w:rPr>
      </w:pPr>
      <w:r w:rsidRPr="007547A1">
        <w:rPr>
          <w:rFonts w:ascii="Book Antiqua" w:hAnsi="Book Antiqua"/>
        </w:rPr>
        <w:t xml:space="preserve">SJCE states that it provides clean energy, has low-income customers, and provides beneficial programs to its community.  </w:t>
      </w:r>
      <w:r w:rsidRPr="007547A1" w:rsidR="00A96755">
        <w:rPr>
          <w:rFonts w:ascii="Book Antiqua" w:hAnsi="Book Antiqua"/>
        </w:rPr>
        <w:t xml:space="preserve">SJCE </w:t>
      </w:r>
      <w:r w:rsidRPr="007547A1" w:rsidR="00872B9C">
        <w:rPr>
          <w:rFonts w:ascii="Book Antiqua" w:hAnsi="Book Antiqua"/>
        </w:rPr>
        <w:t xml:space="preserve">states </w:t>
      </w:r>
      <w:r w:rsidRPr="007547A1" w:rsidR="00A96755">
        <w:rPr>
          <w:rFonts w:ascii="Book Antiqua" w:hAnsi="Book Antiqua"/>
        </w:rPr>
        <w:t>that forcing it to pay the penalty would create a financial hardship b</w:t>
      </w:r>
      <w:r w:rsidRPr="007547A1" w:rsidR="003B42B4">
        <w:rPr>
          <w:rFonts w:ascii="Book Antiqua" w:hAnsi="Book Antiqua"/>
        </w:rPr>
        <w:t xml:space="preserve">ecause it would lead it to </w:t>
      </w:r>
      <w:r w:rsidRPr="007547A1" w:rsidR="00872B9C">
        <w:rPr>
          <w:rFonts w:ascii="Book Antiqua" w:hAnsi="Book Antiqua"/>
        </w:rPr>
        <w:t>divert resources that would otherwise be used to provide clean energy to its residents, pass on the costs to ratepayers, one-third of which has limited income, and forego programs that benefit the community.</w:t>
      </w:r>
    </w:p>
    <w:p w:rsidRPr="007547A1" w:rsidR="00F5545C" w:rsidP="00B05EAA" w:rsidRDefault="00F5545C" w14:paraId="3AB2DB61" w14:textId="77777777">
      <w:pPr>
        <w:rPr>
          <w:rFonts w:ascii="Book Antiqua" w:hAnsi="Book Antiqua"/>
        </w:rPr>
      </w:pPr>
    </w:p>
    <w:p w:rsidRPr="007547A1" w:rsidR="00B05EAA" w:rsidP="00B05EAA" w:rsidRDefault="00F5545C" w14:paraId="7A96E137" w14:textId="77777777">
      <w:pPr>
        <w:rPr>
          <w:rFonts w:ascii="Book Antiqua" w:hAnsi="Book Antiqua"/>
        </w:rPr>
      </w:pPr>
      <w:r w:rsidRPr="007547A1">
        <w:rPr>
          <w:rFonts w:ascii="Book Antiqua" w:hAnsi="Book Antiqua"/>
        </w:rPr>
        <w:t xml:space="preserve">The fact that SJCE provides clean energy, has low-income customers, and provides benefits to its community is not a financial condition that merits mitigating or excusing the citation penalty.  </w:t>
      </w:r>
      <w:r w:rsidRPr="007547A1" w:rsidR="00B61B5E">
        <w:rPr>
          <w:rFonts w:ascii="Book Antiqua" w:hAnsi="Book Antiqua"/>
        </w:rPr>
        <w:t xml:space="preserve">Pub. Util. Code § 380(e) requires the Commission to enforce RA requirements in a nondiscriminatory manner across all LSEs.  Many LSEs including electric corporations likewise provide clean energy, have low-income customers, and provide benefits to their communities.  </w:t>
      </w:r>
      <w:bookmarkStart w:name="_Hlk40869107" w:id="15"/>
      <w:bookmarkStart w:name="_Hlk40952858" w:id="16"/>
      <w:r w:rsidRPr="007547A1" w:rsidR="00B61B5E">
        <w:rPr>
          <w:rFonts w:ascii="Book Antiqua" w:hAnsi="Book Antiqua"/>
        </w:rPr>
        <w:t xml:space="preserve"> The RA program is not designed to excuse noncompliance by LSEs who share these characteristics.</w:t>
      </w:r>
    </w:p>
    <w:bookmarkEnd w:id="15"/>
    <w:p w:rsidRPr="007547A1" w:rsidR="00A96755" w:rsidP="00A96755" w:rsidRDefault="00A96755" w14:paraId="094AF80A" w14:textId="77777777">
      <w:pPr>
        <w:rPr>
          <w:rFonts w:ascii="Book Antiqua" w:hAnsi="Book Antiqua"/>
        </w:rPr>
      </w:pPr>
    </w:p>
    <w:bookmarkEnd w:id="16"/>
    <w:p w:rsidRPr="007547A1" w:rsidR="00A96755" w:rsidP="00C82757" w:rsidRDefault="00C82757" w14:paraId="1C1A5141" w14:textId="77777777">
      <w:pPr>
        <w:numPr>
          <w:ilvl w:val="0"/>
          <w:numId w:val="9"/>
        </w:numPr>
        <w:rPr>
          <w:rFonts w:ascii="Book Antiqua" w:hAnsi="Book Antiqua"/>
        </w:rPr>
      </w:pPr>
      <w:r w:rsidRPr="007547A1">
        <w:rPr>
          <w:rFonts w:ascii="Book Antiqua" w:hAnsi="Book Antiqua"/>
        </w:rPr>
        <w:t xml:space="preserve"> </w:t>
      </w:r>
      <w:r w:rsidRPr="007547A1" w:rsidR="00A96755">
        <w:rPr>
          <w:rFonts w:ascii="Book Antiqua" w:hAnsi="Book Antiqua"/>
        </w:rPr>
        <w:t>Role of Precedent</w:t>
      </w:r>
      <w:r w:rsidRPr="007547A1">
        <w:rPr>
          <w:rFonts w:ascii="Book Antiqua" w:hAnsi="Book Antiqua"/>
        </w:rPr>
        <w:br/>
      </w:r>
    </w:p>
    <w:p w:rsidRPr="007547A1" w:rsidR="00A96755" w:rsidP="00A96755" w:rsidRDefault="00A96755" w14:paraId="38ABF83D" w14:textId="77777777">
      <w:pPr>
        <w:rPr>
          <w:rFonts w:ascii="Book Antiqua" w:hAnsi="Book Antiqua"/>
        </w:rPr>
      </w:pPr>
      <w:r w:rsidRPr="007547A1">
        <w:rPr>
          <w:rFonts w:ascii="Book Antiqua" w:hAnsi="Book Antiqua"/>
        </w:rPr>
        <w:t xml:space="preserve">SJCE asserts that there is no precedent for this size of a citation penalty (approximately $6.8 million) for violations of RA requirements, citing to Citations No. E-4195-0051, E-4195-0046 and E-4195-0048 which ranged from approximately $1.1 million to $1.5 million.  To the contrary, the size of the citation penalty is based on a penalty schedule that is tied to the size of the deficiency.  Unless the other citation penalties were not calculated based on the </w:t>
      </w:r>
      <w:r w:rsidRPr="007547A1" w:rsidR="003B42B4">
        <w:rPr>
          <w:rFonts w:ascii="Book Antiqua" w:hAnsi="Book Antiqua"/>
        </w:rPr>
        <w:t xml:space="preserve">application of the </w:t>
      </w:r>
      <w:r w:rsidRPr="007547A1">
        <w:rPr>
          <w:rFonts w:ascii="Book Antiqua" w:hAnsi="Book Antiqua"/>
        </w:rPr>
        <w:t>penalty schedule</w:t>
      </w:r>
      <w:r w:rsidRPr="007547A1" w:rsidR="003B42B4">
        <w:rPr>
          <w:rFonts w:ascii="Book Antiqua" w:hAnsi="Book Antiqua"/>
        </w:rPr>
        <w:t xml:space="preserve"> to the size of the deficiency</w:t>
      </w:r>
      <w:r w:rsidRPr="007547A1">
        <w:rPr>
          <w:rFonts w:ascii="Book Antiqua" w:hAnsi="Book Antiqua"/>
        </w:rPr>
        <w:t xml:space="preserve"> </w:t>
      </w:r>
      <w:r w:rsidRPr="007547A1">
        <w:rPr>
          <w:rFonts w:ascii="Book Antiqua" w:hAnsi="Book Antiqua"/>
        </w:rPr>
        <w:lastRenderedPageBreak/>
        <w:t xml:space="preserve">– and SJCE makes no such assertion -- their relatively smaller size does not demonstrate a deviation from precedent with respect to </w:t>
      </w:r>
      <w:r w:rsidRPr="007547A1" w:rsidR="003B42B4">
        <w:rPr>
          <w:rFonts w:ascii="Book Antiqua" w:hAnsi="Book Antiqua"/>
        </w:rPr>
        <w:t xml:space="preserve">calculation of the </w:t>
      </w:r>
      <w:r w:rsidRPr="007547A1">
        <w:rPr>
          <w:rFonts w:ascii="Book Antiqua" w:hAnsi="Book Antiqua"/>
        </w:rPr>
        <w:t>citation penalty.</w:t>
      </w:r>
    </w:p>
    <w:p w:rsidRPr="007547A1" w:rsidR="00C82757" w:rsidP="00A96755" w:rsidRDefault="00C82757" w14:paraId="385F1CE5" w14:textId="77777777">
      <w:pPr>
        <w:rPr>
          <w:rFonts w:ascii="Book Antiqua" w:hAnsi="Book Antiqua"/>
        </w:rPr>
      </w:pPr>
    </w:p>
    <w:p w:rsidRPr="007547A1" w:rsidR="00A96755" w:rsidP="00A96755" w:rsidRDefault="00A96755" w14:paraId="33E443C6" w14:textId="77777777">
      <w:pPr>
        <w:rPr>
          <w:rFonts w:ascii="Book Antiqua" w:hAnsi="Book Antiqua"/>
        </w:rPr>
      </w:pPr>
      <w:r w:rsidRPr="007547A1">
        <w:rPr>
          <w:rFonts w:ascii="Book Antiqua" w:hAnsi="Book Antiqua"/>
        </w:rPr>
        <w:t xml:space="preserve">SJCE argues that, due to the size of the citation penalty, precedent calls for the Commission to evaluate this appeal in a formal investigation rather than under the RA citation program established in Resolution E-4195.  In support of this assertion, SJCE points to Investigation (I.) 11-06-011, an investigation on the Commission’s own motion ordering Pacific Gas and Electric Company (PG&amp;E) to show cause why it should not be sanctioned for failure to timely secure the required energy resources for a certain period of time.  To the contrary, nothing in the citation program adopted in Resolution E-4195 </w:t>
      </w:r>
      <w:r w:rsidRPr="007547A1" w:rsidR="003B42B4">
        <w:rPr>
          <w:rFonts w:ascii="Book Antiqua" w:hAnsi="Book Antiqua"/>
        </w:rPr>
        <w:t>establishes a jurisdictional limit based on the size of the scheduled penalty.</w:t>
      </w:r>
    </w:p>
    <w:p w:rsidRPr="007547A1" w:rsidR="00C82757" w:rsidP="00A96755" w:rsidRDefault="00C82757" w14:paraId="5708E0D0" w14:textId="77777777">
      <w:pPr>
        <w:rPr>
          <w:rFonts w:ascii="Book Antiqua" w:hAnsi="Book Antiqua"/>
        </w:rPr>
      </w:pPr>
    </w:p>
    <w:p w:rsidRPr="007547A1" w:rsidR="00A96755" w:rsidP="00C82757" w:rsidRDefault="00C82757" w14:paraId="0AA57C42" w14:textId="77777777">
      <w:pPr>
        <w:numPr>
          <w:ilvl w:val="0"/>
          <w:numId w:val="9"/>
        </w:numPr>
        <w:rPr>
          <w:rFonts w:ascii="Book Antiqua" w:hAnsi="Book Antiqua"/>
        </w:rPr>
      </w:pPr>
      <w:r w:rsidRPr="007547A1">
        <w:rPr>
          <w:rFonts w:ascii="Book Antiqua" w:hAnsi="Book Antiqua"/>
        </w:rPr>
        <w:t xml:space="preserve"> </w:t>
      </w:r>
      <w:r w:rsidRPr="007547A1" w:rsidR="00A96755">
        <w:rPr>
          <w:rFonts w:ascii="Book Antiqua" w:hAnsi="Book Antiqua"/>
        </w:rPr>
        <w:t>Totality of Circumstances</w:t>
      </w:r>
      <w:r w:rsidRPr="007547A1">
        <w:rPr>
          <w:rFonts w:ascii="Book Antiqua" w:hAnsi="Book Antiqua"/>
        </w:rPr>
        <w:br/>
      </w:r>
    </w:p>
    <w:p w:rsidRPr="007547A1" w:rsidR="00A96755" w:rsidP="00A96755" w:rsidRDefault="00A96755" w14:paraId="099CAAA6" w14:textId="61F3E57B">
      <w:pPr>
        <w:rPr>
          <w:rFonts w:ascii="Book Antiqua" w:hAnsi="Book Antiqua"/>
        </w:rPr>
      </w:pPr>
      <w:r w:rsidRPr="007547A1">
        <w:rPr>
          <w:rFonts w:ascii="Book Antiqua" w:hAnsi="Book Antiqua"/>
        </w:rPr>
        <w:t>As the Commission has stated, “[W]e do not intend to pursue any action, or tolerate inaction, that condones or promotes continued reliance on backstop procurement when capacity can be purchased by LSEs.”</w:t>
      </w:r>
      <w:r w:rsidR="006E70D9">
        <w:rPr>
          <w:rStyle w:val="FootnoteReference"/>
          <w:rFonts w:ascii="Book Antiqua" w:hAnsi="Book Antiqua"/>
        </w:rPr>
        <w:footnoteReference w:id="5"/>
      </w:r>
      <w:r w:rsidRPr="007547A1">
        <w:rPr>
          <w:rFonts w:ascii="Book Antiqua" w:hAnsi="Book Antiqua"/>
        </w:rPr>
        <w:t xml:space="preserve">   The RA penalty formula was established to induce compliance by ensuring that the consequences for noncompliance outweigh the costs of compliance.    SJCE’s core defense for its violations is that it was commercially unreasonable for it to meet its regulatory obligations.  </w:t>
      </w:r>
      <w:bookmarkStart w:name="_Hlk40952618" w:id="17"/>
      <w:r w:rsidRPr="007547A1" w:rsidR="00CC2619">
        <w:rPr>
          <w:rFonts w:ascii="Book Antiqua" w:hAnsi="Book Antiqua"/>
        </w:rPr>
        <w:t>Based on</w:t>
      </w:r>
      <w:r w:rsidRPr="007547A1">
        <w:rPr>
          <w:rFonts w:ascii="Book Antiqua" w:hAnsi="Book Antiqua"/>
        </w:rPr>
        <w:t xml:space="preserve"> the totality of </w:t>
      </w:r>
      <w:r w:rsidRPr="007547A1" w:rsidR="00CC2619">
        <w:rPr>
          <w:rFonts w:ascii="Book Antiqua" w:hAnsi="Book Antiqua"/>
        </w:rPr>
        <w:t>the</w:t>
      </w:r>
      <w:r w:rsidRPr="007547A1">
        <w:rPr>
          <w:rFonts w:ascii="Book Antiqua" w:hAnsi="Book Antiqua"/>
        </w:rPr>
        <w:t xml:space="preserve"> circumstances, </w:t>
      </w:r>
      <w:r w:rsidRPr="007547A1" w:rsidR="00CC2619">
        <w:rPr>
          <w:rFonts w:ascii="Book Antiqua" w:hAnsi="Book Antiqua"/>
        </w:rPr>
        <w:t>including SJCE’s conduct in failing to procure its RA requirements on the basis of commercial unreasonableness, the severity of the harm, the financial impact on SJCE’s customers, and precedent, the citation penalty should not be excused or reduced.</w:t>
      </w:r>
      <w:r w:rsidRPr="007547A1" w:rsidR="00C82757">
        <w:rPr>
          <w:rFonts w:ascii="Book Antiqua" w:hAnsi="Book Antiqua"/>
        </w:rPr>
        <w:br/>
      </w:r>
      <w:bookmarkEnd w:id="17"/>
    </w:p>
    <w:p w:rsidR="0083350A" w:rsidP="00A96755" w:rsidRDefault="0083350A" w14:paraId="7001A7CC" w14:textId="774C821C">
      <w:pPr>
        <w:rPr>
          <w:rFonts w:ascii="Book Antiqua" w:hAnsi="Book Antiqua"/>
          <w:b/>
          <w:bCs/>
        </w:rPr>
      </w:pPr>
      <w:r>
        <w:rPr>
          <w:rFonts w:ascii="Book Antiqua" w:hAnsi="Book Antiqua"/>
          <w:b/>
          <w:bCs/>
        </w:rPr>
        <w:t>COMMENTS</w:t>
      </w:r>
    </w:p>
    <w:p w:rsidR="0083350A" w:rsidP="00A96755" w:rsidRDefault="0083350A" w14:paraId="4D285A64" w14:textId="20208FAA">
      <w:pPr>
        <w:rPr>
          <w:rFonts w:ascii="Book Antiqua" w:hAnsi="Book Antiqua"/>
        </w:rPr>
      </w:pPr>
    </w:p>
    <w:p w:rsidR="0083350A" w:rsidP="00A96755" w:rsidRDefault="0083350A" w14:paraId="448C1FA1" w14:textId="3E67D2BB">
      <w:pPr>
        <w:rPr>
          <w:rFonts w:ascii="Book Antiqua" w:hAnsi="Book Antiqua"/>
        </w:rPr>
      </w:pPr>
      <w:r w:rsidRPr="0083350A">
        <w:rPr>
          <w:rFonts w:ascii="Book Antiqua" w:hAnsi="Book Antiqua"/>
        </w:rPr>
        <w:t xml:space="preserve">The draft resolution was served on the parties for public review and comment in accordance with ALJ Util. Code § 311(g)(1), Article 14 of the Commission’s Rules of Practice and Procedure, and </w:t>
      </w:r>
      <w:r>
        <w:rPr>
          <w:rFonts w:ascii="Book Antiqua" w:hAnsi="Book Antiqua"/>
        </w:rPr>
        <w:t>Rule 18</w:t>
      </w:r>
      <w:r w:rsidRPr="0083350A">
        <w:rPr>
          <w:rFonts w:ascii="Book Antiqua" w:hAnsi="Book Antiqua"/>
        </w:rPr>
        <w:t xml:space="preserve"> of Resolution ALJ-</w:t>
      </w:r>
      <w:r>
        <w:rPr>
          <w:rFonts w:ascii="Book Antiqua" w:hAnsi="Book Antiqua"/>
        </w:rPr>
        <w:t>377</w:t>
      </w:r>
      <w:r w:rsidRPr="0083350A">
        <w:rPr>
          <w:rFonts w:ascii="Book Antiqua" w:hAnsi="Book Antiqua"/>
        </w:rPr>
        <w:t xml:space="preserve">. </w:t>
      </w:r>
      <w:r w:rsidR="00223787">
        <w:rPr>
          <w:rFonts w:ascii="Book Antiqua" w:hAnsi="Book Antiqua"/>
        </w:rPr>
        <w:t xml:space="preserve"> SJCE and CPED served comments on the draft resolution on July 14, 2020.</w:t>
      </w:r>
    </w:p>
    <w:p w:rsidR="00223787" w:rsidP="00A96755" w:rsidRDefault="00223787" w14:paraId="300C1EC2" w14:textId="5C04D59C">
      <w:pPr>
        <w:rPr>
          <w:rFonts w:ascii="Book Antiqua" w:hAnsi="Book Antiqua"/>
        </w:rPr>
      </w:pPr>
    </w:p>
    <w:p w:rsidR="001E0CC7" w:rsidP="00A96755" w:rsidRDefault="00271BFD" w14:paraId="364A09F9" w14:textId="7A230648">
      <w:pPr>
        <w:rPr>
          <w:rFonts w:ascii="Book Antiqua" w:hAnsi="Book Antiqua"/>
        </w:rPr>
      </w:pPr>
      <w:r>
        <w:rPr>
          <w:rFonts w:ascii="Book Antiqua" w:hAnsi="Book Antiqua"/>
        </w:rPr>
        <w:t>SJCE objects to the draft resolution’s observation</w:t>
      </w:r>
      <w:r w:rsidR="003835EE">
        <w:rPr>
          <w:rFonts w:ascii="Book Antiqua" w:hAnsi="Book Antiqua"/>
        </w:rPr>
        <w:t xml:space="preserve">s regarding the </w:t>
      </w:r>
      <w:r w:rsidRPr="003835EE" w:rsidR="003835EE">
        <w:rPr>
          <w:rFonts w:ascii="Book Antiqua" w:hAnsi="Book Antiqua"/>
        </w:rPr>
        <w:t>California energy crisis of 2000 and 2001</w:t>
      </w:r>
      <w:r w:rsidR="003835EE">
        <w:rPr>
          <w:rFonts w:ascii="Book Antiqua" w:hAnsi="Book Antiqua"/>
        </w:rPr>
        <w:t xml:space="preserve"> and the State of California’s response to it on the basis that the facts were not officially noticed and SJCE did not have an opportunity to respond to them.  To the contrary, the ALJ took official notice of these facts in her April 17, 2020, ruling on threshold issues </w:t>
      </w:r>
      <w:r w:rsidR="00B24E99">
        <w:rPr>
          <w:rFonts w:ascii="Book Antiqua" w:hAnsi="Book Antiqua"/>
        </w:rPr>
        <w:t xml:space="preserve">and </w:t>
      </w:r>
      <w:bookmarkStart w:name="_Hlk46309513" w:id="18"/>
      <w:r w:rsidR="00B24E99">
        <w:rPr>
          <w:rFonts w:ascii="Book Antiqua" w:hAnsi="Book Antiqua"/>
        </w:rPr>
        <w:t xml:space="preserve">SJCE had and exercised the opportunity to present information relevant to the propriety of taking official notice of the matter and the tenor of the </w:t>
      </w:r>
      <w:r w:rsidR="00B24E99">
        <w:rPr>
          <w:rFonts w:ascii="Book Antiqua" w:hAnsi="Book Antiqua"/>
        </w:rPr>
        <w:lastRenderedPageBreak/>
        <w:t>matter in both its May 4, 2020, motion for reconsideration of that ruling and in these comments on the draft resolution</w:t>
      </w:r>
      <w:bookmarkEnd w:id="18"/>
      <w:r w:rsidR="00B24E99">
        <w:rPr>
          <w:rFonts w:ascii="Book Antiqua" w:hAnsi="Book Antiqua"/>
        </w:rPr>
        <w:t>.</w:t>
      </w:r>
      <w:r w:rsidR="00B24E99">
        <w:rPr>
          <w:rStyle w:val="FootnoteReference"/>
          <w:rFonts w:ascii="Book Antiqua" w:hAnsi="Book Antiqua"/>
        </w:rPr>
        <w:footnoteReference w:id="6"/>
      </w:r>
    </w:p>
    <w:p w:rsidR="00703D9A" w:rsidP="00A96755" w:rsidRDefault="00703D9A" w14:paraId="2CB4E999" w14:textId="77777777">
      <w:pPr>
        <w:rPr>
          <w:rFonts w:ascii="Book Antiqua" w:hAnsi="Book Antiqua"/>
        </w:rPr>
      </w:pPr>
    </w:p>
    <w:p w:rsidR="00E623DE" w:rsidP="00A96755" w:rsidRDefault="00E623DE" w14:paraId="61809A34" w14:textId="1359A36D">
      <w:pPr>
        <w:rPr>
          <w:rFonts w:ascii="Book Antiqua" w:hAnsi="Book Antiqua"/>
        </w:rPr>
      </w:pPr>
      <w:r>
        <w:rPr>
          <w:rFonts w:ascii="Book Antiqua" w:hAnsi="Book Antiqua"/>
        </w:rPr>
        <w:t xml:space="preserve">SJCE argues that it was denied </w:t>
      </w:r>
      <w:r w:rsidR="00F25C4D">
        <w:rPr>
          <w:rFonts w:ascii="Book Antiqua" w:hAnsi="Book Antiqua"/>
        </w:rPr>
        <w:t xml:space="preserve">due process </w:t>
      </w:r>
      <w:r w:rsidR="00D21CCD">
        <w:rPr>
          <w:rFonts w:ascii="Book Antiqua" w:hAnsi="Book Antiqua"/>
        </w:rPr>
        <w:t xml:space="preserve">because, although the October 14, 2019, ruling indicated that a later ruling would issue addressing the shifting of the burden of proof on the </w:t>
      </w:r>
      <w:r w:rsidR="00857581">
        <w:rPr>
          <w:rFonts w:ascii="Book Antiqua" w:hAnsi="Book Antiqua"/>
        </w:rPr>
        <w:t xml:space="preserve">issues related to the assessment of the penalty, </w:t>
      </w:r>
      <w:r w:rsidR="00F25C4D">
        <w:rPr>
          <w:rFonts w:ascii="Book Antiqua" w:hAnsi="Book Antiqua"/>
        </w:rPr>
        <w:t xml:space="preserve">no such ruling ensued and </w:t>
      </w:r>
      <w:r w:rsidR="00857581">
        <w:rPr>
          <w:rFonts w:ascii="Book Antiqua" w:hAnsi="Book Antiqua"/>
        </w:rPr>
        <w:t>SJCE was not given notice</w:t>
      </w:r>
      <w:r w:rsidR="00F25C4D">
        <w:rPr>
          <w:rFonts w:ascii="Book Antiqua" w:hAnsi="Book Antiqua"/>
        </w:rPr>
        <w:t xml:space="preserve"> regarding its burden under the five-factor test.  SJCE appears to misconstrue the burden of proof.  The burden of proof applies to the proof of facts, not law or policy.  </w:t>
      </w:r>
      <w:r w:rsidR="00813A90">
        <w:rPr>
          <w:rFonts w:ascii="Book Antiqua" w:hAnsi="Book Antiqua"/>
        </w:rPr>
        <w:t xml:space="preserve">The issue of who bears the burden of proving the facts in this case is moot because </w:t>
      </w:r>
      <w:proofErr w:type="gramStart"/>
      <w:r w:rsidR="00813A90">
        <w:rPr>
          <w:rFonts w:ascii="Book Antiqua" w:hAnsi="Book Antiqua"/>
        </w:rPr>
        <w:t>a</w:t>
      </w:r>
      <w:r w:rsidR="00F25C4D">
        <w:rPr>
          <w:rFonts w:ascii="Book Antiqua" w:hAnsi="Book Antiqua"/>
        </w:rPr>
        <w:t>ll of</w:t>
      </w:r>
      <w:proofErr w:type="gramEnd"/>
      <w:r w:rsidR="00F25C4D">
        <w:rPr>
          <w:rFonts w:ascii="Book Antiqua" w:hAnsi="Book Antiqua"/>
        </w:rPr>
        <w:t xml:space="preserve"> </w:t>
      </w:r>
      <w:r w:rsidR="00AD129D">
        <w:rPr>
          <w:rFonts w:ascii="Book Antiqua" w:hAnsi="Book Antiqua"/>
        </w:rPr>
        <w:t xml:space="preserve">the facts that </w:t>
      </w:r>
      <w:r w:rsidR="00F25C4D">
        <w:rPr>
          <w:rFonts w:ascii="Book Antiqua" w:hAnsi="Book Antiqua"/>
        </w:rPr>
        <w:t>SJCE</w:t>
      </w:r>
      <w:r w:rsidR="00AD129D">
        <w:rPr>
          <w:rFonts w:ascii="Book Antiqua" w:hAnsi="Book Antiqua"/>
        </w:rPr>
        <w:t xml:space="preserve"> presented before the matter was submitted</w:t>
      </w:r>
      <w:r w:rsidR="00813A90">
        <w:rPr>
          <w:rFonts w:ascii="Book Antiqua" w:hAnsi="Book Antiqua"/>
        </w:rPr>
        <w:t xml:space="preserve"> are assumed to be true.</w:t>
      </w:r>
    </w:p>
    <w:p w:rsidR="00E623DE" w:rsidP="00A96755" w:rsidRDefault="00E623DE" w14:paraId="6BF84412" w14:textId="77777777">
      <w:pPr>
        <w:rPr>
          <w:rFonts w:ascii="Book Antiqua" w:hAnsi="Book Antiqua"/>
        </w:rPr>
      </w:pPr>
    </w:p>
    <w:p w:rsidR="001E0CC7" w:rsidP="00A96755" w:rsidRDefault="00813A90" w14:paraId="0DA6C4DA" w14:textId="499C25FE">
      <w:pPr>
        <w:rPr>
          <w:rFonts w:ascii="Book Antiqua" w:hAnsi="Book Antiqua"/>
        </w:rPr>
      </w:pPr>
      <w:r>
        <w:rPr>
          <w:rFonts w:ascii="Book Antiqua" w:hAnsi="Book Antiqua"/>
        </w:rPr>
        <w:t>SJCE renews its objections raised in its motion for reconsideration of the April 14, 2020, ruling that the ALJ denied it the opportunity to present evidence in an evidentiary hearing.  As explained in both the April 14, 2020, and June 9, 2020, rulings, there is no cause or due process right to present evidence on uncontested facts that are presumed to be true.</w:t>
      </w:r>
    </w:p>
    <w:p w:rsidR="001752D0" w:rsidP="00A96755" w:rsidRDefault="001752D0" w14:paraId="066A5BF1" w14:textId="3955D7C9">
      <w:pPr>
        <w:rPr>
          <w:rFonts w:ascii="Book Antiqua" w:hAnsi="Book Antiqua"/>
        </w:rPr>
      </w:pPr>
    </w:p>
    <w:p w:rsidR="00D7400F" w:rsidP="00A96755" w:rsidRDefault="001752D0" w14:paraId="084A700B" w14:textId="4F6D158A">
      <w:pPr>
        <w:rPr>
          <w:rFonts w:ascii="Book Antiqua" w:hAnsi="Book Antiqua"/>
        </w:rPr>
      </w:pPr>
      <w:r>
        <w:rPr>
          <w:rFonts w:ascii="Book Antiqua" w:hAnsi="Book Antiqua"/>
        </w:rPr>
        <w:t xml:space="preserve">SJCE argues that missing facts of scarcity in the RA market and SJCE’s </w:t>
      </w:r>
      <w:r w:rsidR="00B935C2">
        <w:rPr>
          <w:rFonts w:ascii="Book Antiqua" w:hAnsi="Book Antiqua"/>
        </w:rPr>
        <w:t xml:space="preserve">procurement activity after the compliance deadline contradict </w:t>
      </w:r>
      <w:r w:rsidR="00B033C1">
        <w:rPr>
          <w:rFonts w:ascii="Book Antiqua" w:hAnsi="Book Antiqua"/>
        </w:rPr>
        <w:t xml:space="preserve">the conclusions that it was possible for SJCE to meet its RA obligations and that the penalty should not be excused or reduced.  </w:t>
      </w:r>
      <w:r w:rsidR="00B935C2">
        <w:rPr>
          <w:rFonts w:ascii="Book Antiqua" w:hAnsi="Book Antiqua"/>
        </w:rPr>
        <w:t>With respect to the fact of scarcity in the RA market, t</w:t>
      </w:r>
      <w:r w:rsidR="00B033C1">
        <w:rPr>
          <w:rFonts w:ascii="Book Antiqua" w:hAnsi="Book Antiqua"/>
        </w:rPr>
        <w:t>o the contrary, the findings of fact properly reflect the market conditions that SJCE faced</w:t>
      </w:r>
      <w:r w:rsidR="00B935C2">
        <w:rPr>
          <w:rFonts w:ascii="Book Antiqua" w:hAnsi="Book Antiqua"/>
        </w:rPr>
        <w:t xml:space="preserve"> and how it responded to them, including the offers that were made but withdrawn after SJCE’s inaction.  With respect to the fact of SJCE’s procurement activity after the compliance deadline, </w:t>
      </w:r>
      <w:r w:rsidR="00AC51B7">
        <w:rPr>
          <w:rFonts w:ascii="Book Antiqua" w:hAnsi="Book Antiqua"/>
        </w:rPr>
        <w:t xml:space="preserve">we acknowledge SJCE’s asserted and undisputed fact that, after </w:t>
      </w:r>
      <w:r w:rsidR="00D7400F">
        <w:rPr>
          <w:rFonts w:ascii="Book Antiqua" w:hAnsi="Book Antiqua"/>
        </w:rPr>
        <w:t xml:space="preserve">being cited for failure to meet </w:t>
      </w:r>
      <w:r w:rsidR="00AC51B7">
        <w:rPr>
          <w:rFonts w:ascii="Book Antiqua" w:hAnsi="Book Antiqua"/>
        </w:rPr>
        <w:t>the October 31 compliance deadline</w:t>
      </w:r>
      <w:r w:rsidR="00D7400F">
        <w:rPr>
          <w:rFonts w:ascii="Book Antiqua" w:hAnsi="Book Antiqua"/>
        </w:rPr>
        <w:t>, “</w:t>
      </w:r>
      <w:bookmarkStart w:name="_Hlk46314318" w:id="19"/>
      <w:r w:rsidR="00D7400F">
        <w:rPr>
          <w:rFonts w:ascii="Book Antiqua" w:hAnsi="Book Antiqua"/>
        </w:rPr>
        <w:t xml:space="preserve">SJCE continued to procure system and flexible RA to shore up its deficiencies” </w:t>
      </w:r>
      <w:bookmarkStart w:name="_Hlk46316287" w:id="20"/>
      <w:r w:rsidR="00D7400F">
        <w:rPr>
          <w:rFonts w:ascii="Book Antiqua" w:hAnsi="Book Antiqua"/>
        </w:rPr>
        <w:t xml:space="preserve">and, as a result of </w:t>
      </w:r>
      <w:r w:rsidR="00A83B5C">
        <w:rPr>
          <w:rFonts w:ascii="Book Antiqua" w:hAnsi="Book Antiqua"/>
        </w:rPr>
        <w:t xml:space="preserve">its </w:t>
      </w:r>
      <w:r w:rsidR="00D7400F">
        <w:rPr>
          <w:rFonts w:ascii="Book Antiqua" w:hAnsi="Book Antiqua"/>
        </w:rPr>
        <w:t>additional efforts</w:t>
      </w:r>
      <w:r w:rsidR="00283036">
        <w:rPr>
          <w:rFonts w:ascii="Book Antiqua" w:hAnsi="Book Antiqua"/>
        </w:rPr>
        <w:t xml:space="preserve"> including participation in 13 solicitations</w:t>
      </w:r>
      <w:r w:rsidR="00D7400F">
        <w:rPr>
          <w:rFonts w:ascii="Book Antiqua" w:hAnsi="Book Antiqua"/>
        </w:rPr>
        <w:t xml:space="preserve">, </w:t>
      </w:r>
      <w:bookmarkEnd w:id="20"/>
      <w:r w:rsidR="00D7400F">
        <w:rPr>
          <w:rFonts w:ascii="Book Antiqua" w:hAnsi="Book Antiqua"/>
        </w:rPr>
        <w:t xml:space="preserve">“SJCE was able to make up its Flexible RA deficiencies in two out of three months and reduce its System RA deficiency in one month by almost 68% and in the other month by 100MW in time for the month ahead </w:t>
      </w:r>
      <w:r w:rsidR="00D7400F">
        <w:rPr>
          <w:rFonts w:ascii="Book Antiqua" w:hAnsi="Book Antiqua"/>
        </w:rPr>
        <w:lastRenderedPageBreak/>
        <w:t>compliance filings</w:t>
      </w:r>
      <w:bookmarkEnd w:id="19"/>
      <w:r w:rsidR="00AC51B7">
        <w:rPr>
          <w:rFonts w:ascii="Book Antiqua" w:hAnsi="Book Antiqua"/>
        </w:rPr>
        <w:t>,”</w:t>
      </w:r>
      <w:r w:rsidR="00AC51B7">
        <w:rPr>
          <w:rStyle w:val="FootnoteReference"/>
          <w:rFonts w:ascii="Book Antiqua" w:hAnsi="Book Antiqua"/>
        </w:rPr>
        <w:footnoteReference w:id="7"/>
      </w:r>
      <w:r w:rsidR="00AC51B7">
        <w:rPr>
          <w:rFonts w:ascii="Book Antiqua" w:hAnsi="Book Antiqua"/>
        </w:rPr>
        <w:t xml:space="preserve"> and we revise the draft resolution to add </w:t>
      </w:r>
      <w:r w:rsidR="00283036">
        <w:rPr>
          <w:rFonts w:ascii="Book Antiqua" w:hAnsi="Book Antiqua"/>
        </w:rPr>
        <w:t xml:space="preserve">and reflect </w:t>
      </w:r>
      <w:r w:rsidR="00AC51B7">
        <w:rPr>
          <w:rFonts w:ascii="Book Antiqua" w:hAnsi="Book Antiqua"/>
        </w:rPr>
        <w:t>this finding of fact</w:t>
      </w:r>
      <w:r w:rsidR="00283036">
        <w:rPr>
          <w:rFonts w:ascii="Book Antiqua" w:hAnsi="Book Antiqua"/>
        </w:rPr>
        <w:t>.</w:t>
      </w:r>
      <w:r w:rsidR="002F58AB">
        <w:rPr>
          <w:rFonts w:ascii="Book Antiqua" w:hAnsi="Book Antiqua"/>
        </w:rPr>
        <w:t xml:space="preserve">  </w:t>
      </w:r>
    </w:p>
    <w:p w:rsidR="00AD129D" w:rsidP="00A96755" w:rsidRDefault="00AD129D" w14:paraId="0A9768A2" w14:textId="6D95D0C9">
      <w:pPr>
        <w:rPr>
          <w:rFonts w:ascii="Book Antiqua" w:hAnsi="Book Antiqua"/>
        </w:rPr>
      </w:pPr>
    </w:p>
    <w:p w:rsidR="00EF1224" w:rsidP="00AD129D" w:rsidRDefault="00AD129D" w14:paraId="079FDEF7" w14:textId="77777777">
      <w:pPr>
        <w:rPr>
          <w:rFonts w:ascii="Book Antiqua" w:hAnsi="Book Antiqua"/>
        </w:rPr>
      </w:pPr>
      <w:r>
        <w:rPr>
          <w:rFonts w:ascii="Book Antiqua" w:hAnsi="Book Antiqua"/>
        </w:rPr>
        <w:t xml:space="preserve">SJCE argues that it should have the opportunity to present evidence to prove that, </w:t>
      </w:r>
      <w:r w:rsidRPr="00AD129D">
        <w:rPr>
          <w:rFonts w:ascii="Book Antiqua" w:hAnsi="Book Antiqua"/>
        </w:rPr>
        <w:t>had SJCE accepted the</w:t>
      </w:r>
      <w:r>
        <w:rPr>
          <w:rFonts w:ascii="Book Antiqua" w:hAnsi="Book Antiqua"/>
        </w:rPr>
        <w:t xml:space="preserve"> offers that were subsequently withdrawn while SJCE </w:t>
      </w:r>
      <w:r w:rsidR="00703D9A">
        <w:rPr>
          <w:rFonts w:ascii="Book Antiqua" w:hAnsi="Book Antiqua"/>
        </w:rPr>
        <w:t xml:space="preserve">was vetting </w:t>
      </w:r>
      <w:r w:rsidR="00EF1224">
        <w:rPr>
          <w:rFonts w:ascii="Book Antiqua" w:hAnsi="Book Antiqua"/>
        </w:rPr>
        <w:t xml:space="preserve">their </w:t>
      </w:r>
      <w:r w:rsidR="00703D9A">
        <w:rPr>
          <w:rFonts w:ascii="Book Antiqua" w:hAnsi="Book Antiqua"/>
        </w:rPr>
        <w:t>terms</w:t>
      </w:r>
      <w:r w:rsidR="00EF1224">
        <w:rPr>
          <w:rFonts w:ascii="Book Antiqua" w:hAnsi="Book Antiqua"/>
        </w:rPr>
        <w:t xml:space="preserve">, </w:t>
      </w:r>
      <w:r w:rsidR="00703D9A">
        <w:rPr>
          <w:rFonts w:ascii="Book Antiqua" w:hAnsi="Book Antiqua"/>
        </w:rPr>
        <w:t xml:space="preserve">it still would have had a deficiency </w:t>
      </w:r>
      <w:r w:rsidR="00EF1224">
        <w:rPr>
          <w:rFonts w:ascii="Book Antiqua" w:hAnsi="Book Antiqua"/>
        </w:rPr>
        <w:t xml:space="preserve">that could not have been filled because there was no </w:t>
      </w:r>
      <w:r w:rsidRPr="00AD129D">
        <w:rPr>
          <w:rFonts w:ascii="Book Antiqua" w:hAnsi="Book Antiqua"/>
        </w:rPr>
        <w:t>other system or flexible RA available to buy</w:t>
      </w:r>
      <w:r w:rsidR="00EF1224">
        <w:rPr>
          <w:rFonts w:ascii="Book Antiqua" w:hAnsi="Book Antiqua"/>
        </w:rPr>
        <w:t>.</w:t>
      </w:r>
      <w:r w:rsidRPr="00AD129D">
        <w:rPr>
          <w:rFonts w:ascii="Book Antiqua" w:hAnsi="Book Antiqua"/>
        </w:rPr>
        <w:t xml:space="preserve"> </w:t>
      </w:r>
      <w:r w:rsidR="00EF1224">
        <w:rPr>
          <w:rFonts w:ascii="Book Antiqua" w:hAnsi="Book Antiqua"/>
        </w:rPr>
        <w:t xml:space="preserve"> </w:t>
      </w:r>
      <w:r>
        <w:rPr>
          <w:rFonts w:ascii="Book Antiqua" w:hAnsi="Book Antiqua"/>
        </w:rPr>
        <w:t xml:space="preserve">SJCE’s argument is untimely.  The April 14, 2020, ruling </w:t>
      </w:r>
      <w:r w:rsidR="005B4970">
        <w:rPr>
          <w:rFonts w:ascii="Book Antiqua" w:hAnsi="Book Antiqua"/>
        </w:rPr>
        <w:t xml:space="preserve">presented the ALJ’s preliminary determinations on the threshold issues based on the asserted facts presented in the pleadings, explained that it did not appear that any of asserted facts presented in the pleadings were in dispute, and invited the parties to identify whatever further process they believed to be necessary.  Instead, SJCE filed a motion for reconsideration claiming only the right to present evidence to prove the undisputed facts that it had already presented in its pleadings.  The June 9, 2020, ruling properly denied the motion for failing to identify a need for evidentiary hearing.  </w:t>
      </w:r>
      <w:r w:rsidR="00CB432B">
        <w:rPr>
          <w:rFonts w:ascii="Book Antiqua" w:hAnsi="Book Antiqua"/>
        </w:rPr>
        <w:t>The opportunity to identify additional facts that it wishes to raise is passed.</w:t>
      </w:r>
    </w:p>
    <w:p w:rsidR="00EF1224" w:rsidP="00AD129D" w:rsidRDefault="00EF1224" w14:paraId="048B36FB" w14:textId="77777777">
      <w:pPr>
        <w:rPr>
          <w:rFonts w:ascii="Book Antiqua" w:hAnsi="Book Antiqua"/>
        </w:rPr>
      </w:pPr>
    </w:p>
    <w:p w:rsidR="00EF0F3A" w:rsidP="00AD129D" w:rsidRDefault="00EF1224" w14:paraId="015049EC" w14:textId="56893849">
      <w:pPr>
        <w:rPr>
          <w:rFonts w:ascii="Book Antiqua" w:hAnsi="Book Antiqua"/>
        </w:rPr>
      </w:pPr>
      <w:r w:rsidRPr="00EF1224">
        <w:rPr>
          <w:rFonts w:ascii="Book Antiqua" w:hAnsi="Book Antiqua"/>
        </w:rPr>
        <w:t xml:space="preserve">Furthermore, the </w:t>
      </w:r>
      <w:proofErr w:type="gramStart"/>
      <w:r w:rsidRPr="00EF1224">
        <w:rPr>
          <w:rFonts w:ascii="Book Antiqua" w:hAnsi="Book Antiqua"/>
        </w:rPr>
        <w:t>newly-identified</w:t>
      </w:r>
      <w:proofErr w:type="gramEnd"/>
      <w:r w:rsidRPr="00EF1224">
        <w:rPr>
          <w:rFonts w:ascii="Book Antiqua" w:hAnsi="Book Antiqua"/>
        </w:rPr>
        <w:t xml:space="preserve"> factual issue of whether there was available RA resources after the available offers were withdrawn is not informative.  According to the undisputed facts, SJCE rejected some offers because it viewed them as commercially unreasonable and other offers were withdrawn while SJCE deliberated whether to accept them despite viewing them as difficult and unusual.  We will not entertain a debate as to whether there was available RA at an arbitrary point in time at which SJCE may have opted to seek to meet its procurement obligation.</w:t>
      </w:r>
    </w:p>
    <w:p w:rsidR="007B4480" w:rsidP="00AD129D" w:rsidRDefault="007B4480" w14:paraId="4553BB78" w14:textId="25D59B8D">
      <w:pPr>
        <w:rPr>
          <w:rFonts w:ascii="Book Antiqua" w:hAnsi="Book Antiqua"/>
        </w:rPr>
      </w:pPr>
      <w:r>
        <w:rPr>
          <w:rFonts w:ascii="Book Antiqua" w:hAnsi="Book Antiqua"/>
        </w:rPr>
        <w:t xml:space="preserve">SCJE </w:t>
      </w:r>
      <w:r w:rsidR="00810E84">
        <w:rPr>
          <w:rFonts w:ascii="Book Antiqua" w:hAnsi="Book Antiqua"/>
        </w:rPr>
        <w:t xml:space="preserve">points to the citation in its notice of appeal to </w:t>
      </w:r>
      <w:r w:rsidRPr="008106C7" w:rsidR="00556DD9">
        <w:rPr>
          <w:rFonts w:ascii="Book Antiqua" w:hAnsi="Book Antiqua"/>
          <w:i/>
          <w:iCs/>
        </w:rPr>
        <w:t xml:space="preserve">Hale v. Morgan </w:t>
      </w:r>
      <w:r w:rsidR="00556DD9">
        <w:rPr>
          <w:rFonts w:ascii="Book Antiqua" w:hAnsi="Book Antiqua"/>
        </w:rPr>
        <w:t>(1978) 22 Cal.3d 388, 404-405, in which the California Supreme Court expressed disfavor with penalty formulas that result in ever-mounting penalties and reversed a fine that was based on a penalty formula that included the number of days</w:t>
      </w:r>
      <w:r w:rsidR="00810E84">
        <w:rPr>
          <w:rFonts w:ascii="Book Antiqua" w:hAnsi="Book Antiqua"/>
        </w:rPr>
        <w:t>, and complains that the draft</w:t>
      </w:r>
      <w:r w:rsidR="00556DD9">
        <w:rPr>
          <w:rFonts w:ascii="Book Antiqua" w:hAnsi="Book Antiqua"/>
        </w:rPr>
        <w:t xml:space="preserve"> resolution does not </w:t>
      </w:r>
      <w:r w:rsidR="00810E84">
        <w:rPr>
          <w:rFonts w:ascii="Book Antiqua" w:hAnsi="Book Antiqua"/>
        </w:rPr>
        <w:t xml:space="preserve">address it or </w:t>
      </w:r>
      <w:r w:rsidR="00556DD9">
        <w:rPr>
          <w:rFonts w:ascii="Book Antiqua" w:hAnsi="Book Antiqua"/>
        </w:rPr>
        <w:t xml:space="preserve">explain </w:t>
      </w:r>
      <w:r w:rsidR="00810E84">
        <w:rPr>
          <w:rFonts w:ascii="Book Antiqua" w:hAnsi="Book Antiqua"/>
        </w:rPr>
        <w:t>why the “mechanical application of the RA penalty schedule is proper given the circumstances presented by SJCE.”</w:t>
      </w:r>
      <w:r w:rsidR="00810E84">
        <w:rPr>
          <w:rStyle w:val="FootnoteReference"/>
          <w:rFonts w:ascii="Book Antiqua" w:hAnsi="Book Antiqua"/>
        </w:rPr>
        <w:footnoteReference w:id="8"/>
      </w:r>
      <w:r w:rsidR="00556DD9">
        <w:rPr>
          <w:rFonts w:ascii="Book Antiqua" w:hAnsi="Book Antiqua"/>
        </w:rPr>
        <w:t xml:space="preserve">   </w:t>
      </w:r>
      <w:r w:rsidR="00810E84">
        <w:rPr>
          <w:rFonts w:ascii="Book Antiqua" w:hAnsi="Book Antiqua"/>
        </w:rPr>
        <w:t xml:space="preserve">SJCE’s complaint is without merit.  The draft resolution does not mechanically apply the RA penalty schedule.  Rather, the draft resolution evaluates the impossibility defense and assesses the among of the </w:t>
      </w:r>
      <w:r w:rsidRPr="00810E84" w:rsidR="00810E84">
        <w:rPr>
          <w:rFonts w:ascii="Book Antiqua" w:hAnsi="Book Antiqua"/>
        </w:rPr>
        <w:t xml:space="preserve">fine based on the </w:t>
      </w:r>
      <w:r w:rsidR="00810E84">
        <w:rPr>
          <w:rFonts w:ascii="Book Antiqua" w:hAnsi="Book Antiqua"/>
        </w:rPr>
        <w:t xml:space="preserve">five assessment factors set forth in </w:t>
      </w:r>
      <w:r w:rsidRPr="00810E84" w:rsidR="00810E84">
        <w:rPr>
          <w:rFonts w:ascii="Book Antiqua" w:hAnsi="Book Antiqua"/>
        </w:rPr>
        <w:t>D.98-12-075</w:t>
      </w:r>
      <w:r w:rsidR="00810E84">
        <w:rPr>
          <w:rFonts w:ascii="Book Antiqua" w:hAnsi="Book Antiqua"/>
        </w:rPr>
        <w:t xml:space="preserve">. </w:t>
      </w:r>
    </w:p>
    <w:p w:rsidR="007B4480" w:rsidP="00AD129D" w:rsidRDefault="007B4480" w14:paraId="4DCFC717" w14:textId="77777777">
      <w:pPr>
        <w:rPr>
          <w:rFonts w:ascii="Book Antiqua" w:hAnsi="Book Antiqua"/>
        </w:rPr>
      </w:pPr>
    </w:p>
    <w:p w:rsidR="00EF0F3A" w:rsidP="00AD129D" w:rsidRDefault="00EF0F3A" w14:paraId="282C9A17" w14:textId="4F52E714">
      <w:pPr>
        <w:rPr>
          <w:rFonts w:ascii="Book Antiqua" w:hAnsi="Book Antiqua"/>
        </w:rPr>
      </w:pPr>
      <w:r>
        <w:rPr>
          <w:rFonts w:ascii="Book Antiqua" w:hAnsi="Book Antiqua"/>
        </w:rPr>
        <w:t xml:space="preserve">The remainder of SJCE’s comments </w:t>
      </w:r>
      <w:r w:rsidR="00810E84">
        <w:rPr>
          <w:rFonts w:ascii="Book Antiqua" w:hAnsi="Book Antiqua"/>
        </w:rPr>
        <w:t xml:space="preserve">argue </w:t>
      </w:r>
      <w:r w:rsidR="008A1487">
        <w:rPr>
          <w:rFonts w:ascii="Book Antiqua" w:hAnsi="Book Antiqua"/>
        </w:rPr>
        <w:t xml:space="preserve">against </w:t>
      </w:r>
      <w:r w:rsidR="00810E84">
        <w:rPr>
          <w:rFonts w:ascii="Book Antiqua" w:hAnsi="Book Antiqua"/>
        </w:rPr>
        <w:t>the draft resolution</w:t>
      </w:r>
      <w:r w:rsidR="008A1487">
        <w:rPr>
          <w:rFonts w:ascii="Book Antiqua" w:hAnsi="Book Antiqua"/>
        </w:rPr>
        <w:t xml:space="preserve">’s assessment of the five factors.  The comments do not identify factual or legal error and do </w:t>
      </w:r>
      <w:r w:rsidR="00362FB3">
        <w:rPr>
          <w:rFonts w:ascii="Book Antiqua" w:hAnsi="Book Antiqua"/>
        </w:rPr>
        <w:t xml:space="preserve">not </w:t>
      </w:r>
      <w:r w:rsidR="001378DD">
        <w:rPr>
          <w:rFonts w:ascii="Book Antiqua" w:hAnsi="Book Antiqua"/>
        </w:rPr>
        <w:t>require further discussion.</w:t>
      </w:r>
    </w:p>
    <w:p w:rsidR="00B41DF0" w:rsidP="00AD129D" w:rsidRDefault="00B41DF0" w14:paraId="776435FB" w14:textId="5A77C476">
      <w:pPr>
        <w:rPr>
          <w:rFonts w:ascii="Book Antiqua" w:hAnsi="Book Antiqua"/>
        </w:rPr>
      </w:pPr>
    </w:p>
    <w:p w:rsidR="004A3EFB" w:rsidP="00AD129D" w:rsidRDefault="00B41DF0" w14:paraId="79E2FECD" w14:textId="63DC8A89">
      <w:pPr>
        <w:rPr>
          <w:rFonts w:ascii="Book Antiqua" w:hAnsi="Book Antiqua"/>
        </w:rPr>
      </w:pPr>
      <w:r>
        <w:rPr>
          <w:rFonts w:ascii="Book Antiqua" w:hAnsi="Book Antiqua"/>
        </w:rPr>
        <w:t>CPED</w:t>
      </w:r>
      <w:r w:rsidR="00B42836">
        <w:rPr>
          <w:rFonts w:ascii="Book Antiqua" w:hAnsi="Book Antiqua"/>
        </w:rPr>
        <w:t xml:space="preserve"> recommends revising Finding of Fact no. 8 (renumbered here as Finding of Fact no. 9) to clarify that </w:t>
      </w:r>
      <w:r w:rsidR="004A3EFB">
        <w:rPr>
          <w:rFonts w:ascii="Book Antiqua" w:hAnsi="Book Antiqua"/>
        </w:rPr>
        <w:t xml:space="preserve">the possibility that SJCE might </w:t>
      </w:r>
      <w:r w:rsidRPr="004A3EFB" w:rsidR="004A3EFB">
        <w:rPr>
          <w:rFonts w:ascii="Book Antiqua" w:hAnsi="Book Antiqua"/>
        </w:rPr>
        <w:t xml:space="preserve">divert resources </w:t>
      </w:r>
      <w:r w:rsidR="004A3EFB">
        <w:rPr>
          <w:rFonts w:ascii="Book Antiqua" w:hAnsi="Book Antiqua"/>
        </w:rPr>
        <w:t xml:space="preserve">from other operations and programs or raise rates were it required to pay the penalty is merely </w:t>
      </w:r>
      <w:r w:rsidR="00B42836">
        <w:rPr>
          <w:rFonts w:ascii="Book Antiqua" w:hAnsi="Book Antiqua"/>
        </w:rPr>
        <w:t xml:space="preserve">SJCE’s claim and not the Commission’s finding.  To the contrary, </w:t>
      </w:r>
      <w:r w:rsidR="004A3EFB">
        <w:rPr>
          <w:rFonts w:ascii="Book Antiqua" w:hAnsi="Book Antiqua"/>
        </w:rPr>
        <w:t>SJCE presented this fact in the record and CPED did not dispute it.  Furthermore, the fact is not reasonably subject to dispute.  The finding of fact properly relies on this undisputed fact.</w:t>
      </w:r>
    </w:p>
    <w:p w:rsidR="004A3EFB" w:rsidP="00AD129D" w:rsidRDefault="004A3EFB" w14:paraId="433497DE" w14:textId="77777777">
      <w:pPr>
        <w:rPr>
          <w:rFonts w:ascii="Book Antiqua" w:hAnsi="Book Antiqua"/>
        </w:rPr>
      </w:pPr>
    </w:p>
    <w:p w:rsidR="00223787" w:rsidP="00A96755" w:rsidRDefault="00223787" w14:paraId="4083B968" w14:textId="0849CC05">
      <w:pPr>
        <w:rPr>
          <w:rFonts w:ascii="Book Antiqua" w:hAnsi="Book Antiqua"/>
        </w:rPr>
      </w:pPr>
    </w:p>
    <w:p w:rsidR="0083350A" w:rsidP="00A96755" w:rsidRDefault="0083350A" w14:paraId="336C809B" w14:textId="10771C7A">
      <w:pPr>
        <w:rPr>
          <w:rFonts w:ascii="Book Antiqua" w:hAnsi="Book Antiqua"/>
          <w:b/>
          <w:bCs/>
          <w:u w:val="single"/>
        </w:rPr>
      </w:pPr>
      <w:r w:rsidRPr="0083350A">
        <w:rPr>
          <w:rFonts w:ascii="Book Antiqua" w:hAnsi="Book Antiqua"/>
        </w:rPr>
        <w:t xml:space="preserve"> </w:t>
      </w:r>
    </w:p>
    <w:p w:rsidRPr="007547A1" w:rsidR="00C82757" w:rsidP="00A96755" w:rsidRDefault="00C82757" w14:paraId="5A4B5E65" w14:textId="0A8F3838">
      <w:pPr>
        <w:rPr>
          <w:rFonts w:ascii="Book Antiqua" w:hAnsi="Book Antiqua"/>
          <w:b/>
          <w:bCs/>
          <w:u w:val="single"/>
        </w:rPr>
      </w:pPr>
      <w:r w:rsidRPr="007547A1">
        <w:rPr>
          <w:rFonts w:ascii="Book Antiqua" w:hAnsi="Book Antiqua"/>
          <w:b/>
          <w:bCs/>
          <w:u w:val="single"/>
        </w:rPr>
        <w:t>FINDINGS OF FACT</w:t>
      </w:r>
    </w:p>
    <w:p w:rsidRPr="007547A1" w:rsidR="00C82757" w:rsidP="00A96755" w:rsidRDefault="00C82757" w14:paraId="18713C75" w14:textId="77777777">
      <w:pPr>
        <w:rPr>
          <w:rFonts w:ascii="Book Antiqua" w:hAnsi="Book Antiqua"/>
        </w:rPr>
      </w:pPr>
    </w:p>
    <w:p w:rsidRPr="007547A1" w:rsidR="00B05EAA" w:rsidP="00C82757" w:rsidRDefault="00D06F16" w14:paraId="4B292055" w14:textId="77777777">
      <w:pPr>
        <w:numPr>
          <w:ilvl w:val="0"/>
          <w:numId w:val="11"/>
        </w:numPr>
        <w:rPr>
          <w:rFonts w:ascii="Book Antiqua" w:hAnsi="Book Antiqua"/>
        </w:rPr>
      </w:pPr>
      <w:r w:rsidRPr="007547A1">
        <w:rPr>
          <w:rFonts w:ascii="Book Antiqua" w:hAnsi="Book Antiqua"/>
        </w:rPr>
        <w:t xml:space="preserve">Citation No. E-4195-0052 </w:t>
      </w:r>
      <w:r w:rsidRPr="007547A1" w:rsidR="00B05EAA">
        <w:rPr>
          <w:rFonts w:ascii="Book Antiqua" w:hAnsi="Book Antiqua"/>
        </w:rPr>
        <w:t>Penalty correct</w:t>
      </w:r>
      <w:r w:rsidRPr="007547A1">
        <w:rPr>
          <w:rFonts w:ascii="Book Antiqua" w:hAnsi="Book Antiqua"/>
        </w:rPr>
        <w:t>ly identifies deficiencies in SJCE’s procurement of certain of its 2019 system and flexible RA oblig</w:t>
      </w:r>
      <w:r w:rsidRPr="007547A1" w:rsidR="007E2E21">
        <w:rPr>
          <w:rFonts w:ascii="Book Antiqua" w:hAnsi="Book Antiqua"/>
        </w:rPr>
        <w:t>a</w:t>
      </w:r>
      <w:r w:rsidRPr="007547A1">
        <w:rPr>
          <w:rFonts w:ascii="Book Antiqua" w:hAnsi="Book Antiqua"/>
        </w:rPr>
        <w:t xml:space="preserve">tions and correctly calculates the </w:t>
      </w:r>
      <w:r w:rsidRPr="007547A1" w:rsidR="007E2E21">
        <w:rPr>
          <w:rFonts w:ascii="Book Antiqua" w:hAnsi="Book Antiqua"/>
        </w:rPr>
        <w:t>penalties pursuant to the penalty schedule adopted in Resolution E-4195.</w:t>
      </w:r>
      <w:r w:rsidRPr="007547A1" w:rsidR="007E2E21">
        <w:rPr>
          <w:rFonts w:ascii="Book Antiqua" w:hAnsi="Book Antiqua"/>
        </w:rPr>
        <w:br/>
      </w:r>
    </w:p>
    <w:p w:rsidRPr="007547A1" w:rsidR="007E2E21" w:rsidP="007E2E21" w:rsidRDefault="007E2E21" w14:paraId="03CA2FD4" w14:textId="77777777">
      <w:pPr>
        <w:numPr>
          <w:ilvl w:val="0"/>
          <w:numId w:val="11"/>
        </w:numPr>
        <w:rPr>
          <w:rFonts w:ascii="Book Antiqua" w:hAnsi="Book Antiqua"/>
        </w:rPr>
      </w:pPr>
      <w:r w:rsidRPr="007547A1">
        <w:rPr>
          <w:rFonts w:ascii="Book Antiqua" w:hAnsi="Book Antiqua"/>
        </w:rPr>
        <w:t xml:space="preserve">PG&amp;E offered a bid into SJCE’s first solicitation in June 2018 which would have met almost </w:t>
      </w:r>
      <w:proofErr w:type="gramStart"/>
      <w:r w:rsidRPr="007547A1">
        <w:rPr>
          <w:rFonts w:ascii="Book Antiqua" w:hAnsi="Book Antiqua"/>
        </w:rPr>
        <w:t>all of</w:t>
      </w:r>
      <w:proofErr w:type="gramEnd"/>
      <w:r w:rsidRPr="007547A1">
        <w:rPr>
          <w:rFonts w:ascii="Book Antiqua" w:hAnsi="Book Antiqua"/>
        </w:rPr>
        <w:t xml:space="preserve"> SJCE’s 2019 RA regulatory compliance needs. However, after weeks of negotiations, PG&amp;E withdrew its offer in mid-August to sell RA for certain months, including System RA in July, September, and October.</w:t>
      </w:r>
      <w:r w:rsidRPr="007547A1">
        <w:rPr>
          <w:rFonts w:ascii="Book Antiqua" w:hAnsi="Book Antiqua"/>
        </w:rPr>
        <w:br/>
      </w:r>
    </w:p>
    <w:p w:rsidRPr="007547A1" w:rsidR="007E2E21" w:rsidP="007E2E21" w:rsidRDefault="007E2E21" w14:paraId="7E998E69" w14:textId="77777777">
      <w:pPr>
        <w:numPr>
          <w:ilvl w:val="0"/>
          <w:numId w:val="11"/>
        </w:numPr>
        <w:rPr>
          <w:rFonts w:ascii="Book Antiqua" w:hAnsi="Book Antiqua"/>
        </w:rPr>
      </w:pPr>
      <w:r w:rsidRPr="007547A1">
        <w:rPr>
          <w:rFonts w:ascii="Book Antiqua" w:hAnsi="Book Antiqua"/>
        </w:rPr>
        <w:t>SJCE accepted the PG&amp;E bid with large holes in the months of July, September, and October and did not receive bids on a month-alone basis sufficient to fill the holes left by PG&amp;E in the time remaining before the October 31 deadline.</w:t>
      </w:r>
      <w:r w:rsidRPr="007547A1">
        <w:rPr>
          <w:rFonts w:ascii="Book Antiqua" w:hAnsi="Book Antiqua"/>
        </w:rPr>
        <w:br/>
      </w:r>
    </w:p>
    <w:p w:rsidRPr="007547A1" w:rsidR="007E2E21" w:rsidP="007E2E21" w:rsidRDefault="007E2E21" w14:paraId="63F94D66" w14:textId="77777777">
      <w:pPr>
        <w:numPr>
          <w:ilvl w:val="0"/>
          <w:numId w:val="11"/>
        </w:numPr>
        <w:rPr>
          <w:rFonts w:ascii="Book Antiqua" w:hAnsi="Book Antiqua"/>
        </w:rPr>
      </w:pPr>
      <w:r w:rsidRPr="007547A1">
        <w:rPr>
          <w:rFonts w:ascii="Book Antiqua" w:hAnsi="Book Antiqua"/>
        </w:rPr>
        <w:t>After mid-August, SJCE held three other solicitations and entered bids into other solicitations. SJCE also participated in a bilateral exchange with other LSEs to fill its open position. During that time, the offers SJCE received had what SJCE characterizes as unusual and difficult terms attached, which required it to investigate internally whether it should accept them. For example, one bidder required SJCE to pay for the entire RA it would buy for 2019 prior to the commencement of 2019.</w:t>
      </w:r>
      <w:r w:rsidRPr="007547A1">
        <w:rPr>
          <w:rFonts w:ascii="Book Antiqua" w:hAnsi="Book Antiqua"/>
        </w:rPr>
        <w:br/>
      </w:r>
    </w:p>
    <w:p w:rsidRPr="007547A1" w:rsidR="007E2E21" w:rsidP="007E2E21" w:rsidRDefault="007E2E21" w14:paraId="6E1B3A9D" w14:textId="77777777">
      <w:pPr>
        <w:numPr>
          <w:ilvl w:val="0"/>
          <w:numId w:val="11"/>
        </w:numPr>
        <w:rPr>
          <w:rFonts w:ascii="Book Antiqua" w:hAnsi="Book Antiqua"/>
        </w:rPr>
      </w:pPr>
      <w:r w:rsidRPr="007547A1">
        <w:rPr>
          <w:rFonts w:ascii="Book Antiqua" w:hAnsi="Book Antiqua"/>
        </w:rPr>
        <w:t>During this period, SJCE rejected a bid for about 30 MW of RA that that it needed to spread out over February, July, and October and that also required SJCE to buy 25 megawatts of RA that it did not need in January.  Paying for the unneeded 25 MW in January would have effectively doubled the cost of the RA that it needed in February, July, and October.</w:t>
      </w:r>
      <w:r w:rsidRPr="007547A1">
        <w:rPr>
          <w:rFonts w:ascii="Book Antiqua" w:hAnsi="Book Antiqua"/>
        </w:rPr>
        <w:br/>
      </w:r>
    </w:p>
    <w:p w:rsidRPr="007547A1" w:rsidR="007E2E21" w:rsidP="007E2E21" w:rsidRDefault="007E2E21" w14:paraId="25A47CD7" w14:textId="77777777">
      <w:pPr>
        <w:numPr>
          <w:ilvl w:val="0"/>
          <w:numId w:val="11"/>
        </w:numPr>
        <w:rPr>
          <w:rFonts w:ascii="Book Antiqua" w:hAnsi="Book Antiqua"/>
        </w:rPr>
      </w:pPr>
      <w:r w:rsidRPr="007547A1">
        <w:rPr>
          <w:rFonts w:ascii="Book Antiqua" w:hAnsi="Book Antiqua"/>
        </w:rPr>
        <w:t>By the time SJCE finished internally vetting the bids that it received, some were withdrawn or reduced.</w:t>
      </w:r>
      <w:r w:rsidRPr="007547A1">
        <w:rPr>
          <w:rFonts w:ascii="Book Antiqua" w:hAnsi="Book Antiqua"/>
        </w:rPr>
        <w:br/>
      </w:r>
    </w:p>
    <w:p w:rsidRPr="007547A1" w:rsidR="007E2E21" w:rsidP="007E2E21" w:rsidRDefault="007E2E21" w14:paraId="32561BD9" w14:textId="77777777">
      <w:pPr>
        <w:numPr>
          <w:ilvl w:val="0"/>
          <w:numId w:val="11"/>
        </w:numPr>
        <w:rPr>
          <w:rFonts w:ascii="Book Antiqua" w:hAnsi="Book Antiqua"/>
        </w:rPr>
      </w:pPr>
      <w:r w:rsidRPr="007547A1">
        <w:rPr>
          <w:rFonts w:ascii="Book Antiqua" w:hAnsi="Book Antiqua"/>
        </w:rPr>
        <w:lastRenderedPageBreak/>
        <w:t>The total amount SJCE paid for all of its 2019 RA, even with its flexible and system RA deficiencies, exceeded the amount it would have paid based on the average weighted price for 2019 RA calculated in the Energy Division’s Resource Adequacy Report by almost $4 million.</w:t>
      </w:r>
      <w:r w:rsidRPr="007547A1">
        <w:rPr>
          <w:rFonts w:ascii="Book Antiqua" w:hAnsi="Book Antiqua"/>
        </w:rPr>
        <w:br/>
      </w:r>
    </w:p>
    <w:p w:rsidR="00AC51B7" w:rsidP="009F04DD" w:rsidRDefault="000D1D30" w14:paraId="1CCB7EBB" w14:textId="694120EF">
      <w:pPr>
        <w:keepNext/>
        <w:keepLines/>
        <w:numPr>
          <w:ilvl w:val="0"/>
          <w:numId w:val="11"/>
        </w:numPr>
        <w:rPr>
          <w:rFonts w:ascii="Book Antiqua" w:hAnsi="Book Antiqua"/>
        </w:rPr>
      </w:pPr>
      <w:bookmarkStart w:name="_Hlk46314418" w:id="21"/>
      <w:bookmarkStart w:name="_Hlk40953366" w:id="22"/>
      <w:r w:rsidRPr="000D1D30">
        <w:rPr>
          <w:rFonts w:ascii="Book Antiqua" w:hAnsi="Book Antiqua"/>
        </w:rPr>
        <w:t xml:space="preserve">SJCE continued to procure system and flexible RA </w:t>
      </w:r>
      <w:r w:rsidR="00E14C08">
        <w:rPr>
          <w:rFonts w:ascii="Book Antiqua" w:hAnsi="Book Antiqua"/>
        </w:rPr>
        <w:t xml:space="preserve">to meet its month-ahead compliance requirements even </w:t>
      </w:r>
      <w:r>
        <w:rPr>
          <w:rFonts w:ascii="Book Antiqua" w:hAnsi="Book Antiqua"/>
        </w:rPr>
        <w:t xml:space="preserve">after </w:t>
      </w:r>
      <w:r w:rsidR="00E14C08">
        <w:rPr>
          <w:rFonts w:ascii="Book Antiqua" w:hAnsi="Book Antiqua"/>
        </w:rPr>
        <w:t>it was cited for failure to meet its year-ahead requirements</w:t>
      </w:r>
      <w:r>
        <w:rPr>
          <w:rFonts w:ascii="Book Antiqua" w:hAnsi="Book Antiqua"/>
        </w:rPr>
        <w:t xml:space="preserve"> and, </w:t>
      </w:r>
      <w:r w:rsidRPr="000D1D30">
        <w:rPr>
          <w:rFonts w:ascii="Book Antiqua" w:hAnsi="Book Antiqua"/>
        </w:rPr>
        <w:t>as a result</w:t>
      </w:r>
      <w:r w:rsidRPr="004C53C7" w:rsidR="004C53C7">
        <w:t xml:space="preserve"> </w:t>
      </w:r>
      <w:r w:rsidRPr="004C53C7" w:rsidR="004C53C7">
        <w:rPr>
          <w:rFonts w:ascii="Book Antiqua" w:hAnsi="Book Antiqua"/>
        </w:rPr>
        <w:t>and, as a result of efforts including participation in 13 solicitations,</w:t>
      </w:r>
      <w:r w:rsidR="00E14C08">
        <w:rPr>
          <w:rFonts w:ascii="Book Antiqua" w:hAnsi="Book Antiqua"/>
        </w:rPr>
        <w:t>, it</w:t>
      </w:r>
      <w:r>
        <w:rPr>
          <w:rFonts w:ascii="Book Antiqua" w:hAnsi="Book Antiqua"/>
        </w:rPr>
        <w:t xml:space="preserve"> </w:t>
      </w:r>
      <w:r w:rsidRPr="000D1D30">
        <w:rPr>
          <w:rFonts w:ascii="Book Antiqua" w:hAnsi="Book Antiqua"/>
        </w:rPr>
        <w:t>ma</w:t>
      </w:r>
      <w:r>
        <w:rPr>
          <w:rFonts w:ascii="Book Antiqua" w:hAnsi="Book Antiqua"/>
        </w:rPr>
        <w:t>d</w:t>
      </w:r>
      <w:r w:rsidRPr="000D1D30">
        <w:rPr>
          <w:rFonts w:ascii="Book Antiqua" w:hAnsi="Book Antiqua"/>
        </w:rPr>
        <w:t xml:space="preserve">e up its </w:t>
      </w:r>
      <w:r>
        <w:rPr>
          <w:rFonts w:ascii="Book Antiqua" w:hAnsi="Book Antiqua"/>
        </w:rPr>
        <w:t>f</w:t>
      </w:r>
      <w:r w:rsidRPr="000D1D30">
        <w:rPr>
          <w:rFonts w:ascii="Book Antiqua" w:hAnsi="Book Antiqua"/>
        </w:rPr>
        <w:t>lexible RA deficiencies in two out of three months and reduce</w:t>
      </w:r>
      <w:r>
        <w:rPr>
          <w:rFonts w:ascii="Book Antiqua" w:hAnsi="Book Antiqua"/>
        </w:rPr>
        <w:t>s</w:t>
      </w:r>
      <w:r w:rsidRPr="000D1D30">
        <w:rPr>
          <w:rFonts w:ascii="Book Antiqua" w:hAnsi="Book Antiqua"/>
        </w:rPr>
        <w:t xml:space="preserve"> its </w:t>
      </w:r>
      <w:r>
        <w:rPr>
          <w:rFonts w:ascii="Book Antiqua" w:hAnsi="Book Antiqua"/>
        </w:rPr>
        <w:t>s</w:t>
      </w:r>
      <w:r w:rsidRPr="000D1D30">
        <w:rPr>
          <w:rFonts w:ascii="Book Antiqua" w:hAnsi="Book Antiqua"/>
        </w:rPr>
        <w:t>ystem RA deficiency in one month by almost 68% and in the other month by 100</w:t>
      </w:r>
      <w:r>
        <w:rPr>
          <w:rFonts w:ascii="Book Antiqua" w:hAnsi="Book Antiqua"/>
        </w:rPr>
        <w:t xml:space="preserve"> </w:t>
      </w:r>
      <w:r w:rsidRPr="000D1D30">
        <w:rPr>
          <w:rFonts w:ascii="Book Antiqua" w:hAnsi="Book Antiqua"/>
        </w:rPr>
        <w:t>MW in time for the month</w:t>
      </w:r>
      <w:r>
        <w:rPr>
          <w:rFonts w:ascii="Book Antiqua" w:hAnsi="Book Antiqua"/>
        </w:rPr>
        <w:t>-</w:t>
      </w:r>
      <w:r w:rsidRPr="000D1D30">
        <w:rPr>
          <w:rFonts w:ascii="Book Antiqua" w:hAnsi="Book Antiqua"/>
        </w:rPr>
        <w:t>ahead compliance filings</w:t>
      </w:r>
      <w:bookmarkEnd w:id="21"/>
      <w:r w:rsidR="004C53C7">
        <w:rPr>
          <w:rFonts w:ascii="Book Antiqua" w:hAnsi="Book Antiqua"/>
        </w:rPr>
        <w:t>.</w:t>
      </w:r>
      <w:r w:rsidR="00AC51B7">
        <w:rPr>
          <w:rFonts w:ascii="Book Antiqua" w:hAnsi="Book Antiqua"/>
        </w:rPr>
        <w:br/>
      </w:r>
    </w:p>
    <w:p w:rsidRPr="007547A1" w:rsidR="007E2E21" w:rsidP="009F04DD" w:rsidRDefault="00872B9C" w14:paraId="2C772235" w14:textId="73629DA0">
      <w:pPr>
        <w:keepNext/>
        <w:keepLines/>
        <w:numPr>
          <w:ilvl w:val="0"/>
          <w:numId w:val="11"/>
        </w:numPr>
        <w:rPr>
          <w:rFonts w:ascii="Book Antiqua" w:hAnsi="Book Antiqua"/>
        </w:rPr>
      </w:pPr>
      <w:r w:rsidRPr="007547A1">
        <w:rPr>
          <w:rFonts w:ascii="Book Antiqua" w:hAnsi="Book Antiqua"/>
        </w:rPr>
        <w:t xml:space="preserve">If SJCE is required to pay the penalty, </w:t>
      </w:r>
      <w:bookmarkStart w:name="_Hlk40964432" w:id="23"/>
      <w:r w:rsidRPr="007547A1">
        <w:rPr>
          <w:rFonts w:ascii="Book Antiqua" w:hAnsi="Book Antiqua"/>
        </w:rPr>
        <w:t>it might divert resources that would otherwise be used to provide clean energy to its residents, pass on the costs to ratepayers</w:t>
      </w:r>
      <w:r w:rsidRPr="007547A1" w:rsidR="003B42B4">
        <w:rPr>
          <w:rFonts w:ascii="Book Antiqua" w:hAnsi="Book Antiqua"/>
        </w:rPr>
        <w:t xml:space="preserve"> (</w:t>
      </w:r>
      <w:r w:rsidRPr="007547A1">
        <w:rPr>
          <w:rFonts w:ascii="Book Antiqua" w:hAnsi="Book Antiqua"/>
        </w:rPr>
        <w:t>one-third of which has limited income</w:t>
      </w:r>
      <w:r w:rsidRPr="007547A1" w:rsidR="003B42B4">
        <w:rPr>
          <w:rFonts w:ascii="Book Antiqua" w:hAnsi="Book Antiqua"/>
        </w:rPr>
        <w:t>)</w:t>
      </w:r>
      <w:r w:rsidRPr="007547A1">
        <w:rPr>
          <w:rFonts w:ascii="Book Antiqua" w:hAnsi="Book Antiqua"/>
        </w:rPr>
        <w:t xml:space="preserve">, and forego programs that benefit the community. </w:t>
      </w:r>
      <w:r w:rsidRPr="007547A1" w:rsidR="007E2E21">
        <w:rPr>
          <w:rFonts w:ascii="Book Antiqua" w:hAnsi="Book Antiqua"/>
        </w:rPr>
        <w:br/>
      </w:r>
      <w:bookmarkEnd w:id="22"/>
      <w:bookmarkEnd w:id="23"/>
    </w:p>
    <w:p w:rsidRPr="007547A1" w:rsidR="00B05EAA" w:rsidP="009F04DD" w:rsidRDefault="007E2E21" w14:paraId="716824F1" w14:textId="77777777">
      <w:pPr>
        <w:keepNext/>
        <w:keepLines/>
        <w:ind w:left="360"/>
        <w:rPr>
          <w:rFonts w:ascii="Book Antiqua" w:hAnsi="Book Antiqua"/>
          <w:b/>
          <w:bCs/>
          <w:u w:val="single"/>
        </w:rPr>
      </w:pPr>
      <w:r w:rsidRPr="007547A1">
        <w:rPr>
          <w:rFonts w:ascii="Book Antiqua" w:hAnsi="Book Antiqua"/>
          <w:b/>
          <w:bCs/>
          <w:u w:val="single"/>
        </w:rPr>
        <w:t>CONCLUSIONS OF LAW</w:t>
      </w:r>
    </w:p>
    <w:p w:rsidRPr="007547A1" w:rsidR="007E2E21" w:rsidP="007E2E21" w:rsidRDefault="007E2E21" w14:paraId="435E1BA6" w14:textId="77777777">
      <w:pPr>
        <w:ind w:left="360"/>
        <w:rPr>
          <w:rFonts w:ascii="Book Antiqua" w:hAnsi="Book Antiqua"/>
          <w:b/>
          <w:bCs/>
          <w:u w:val="single"/>
        </w:rPr>
      </w:pPr>
    </w:p>
    <w:p w:rsidRPr="007547A1" w:rsidR="007E2E21" w:rsidP="00E45515" w:rsidRDefault="00B05EAA" w14:paraId="0C5790F1" w14:textId="77777777">
      <w:pPr>
        <w:numPr>
          <w:ilvl w:val="0"/>
          <w:numId w:val="12"/>
        </w:numPr>
        <w:rPr>
          <w:rFonts w:ascii="Book Antiqua" w:hAnsi="Book Antiqua"/>
        </w:rPr>
      </w:pPr>
      <w:r w:rsidRPr="007547A1">
        <w:rPr>
          <w:rFonts w:ascii="Book Antiqua" w:hAnsi="Book Antiqua"/>
        </w:rPr>
        <w:t xml:space="preserve">SJCE </w:t>
      </w:r>
      <w:r w:rsidRPr="007547A1" w:rsidR="007E2E21">
        <w:rPr>
          <w:rFonts w:ascii="Book Antiqua" w:hAnsi="Book Antiqua"/>
        </w:rPr>
        <w:t>has not demonstrated that it was impossible for it to have met its RA obligations.</w:t>
      </w:r>
      <w:r w:rsidRPr="007547A1" w:rsidR="007E2E21">
        <w:rPr>
          <w:rFonts w:ascii="Book Antiqua" w:hAnsi="Book Antiqua"/>
        </w:rPr>
        <w:br/>
      </w:r>
    </w:p>
    <w:p w:rsidRPr="007547A1" w:rsidR="007E2E21" w:rsidP="007E2E21" w:rsidRDefault="007E2E21" w14:paraId="166014AB" w14:textId="77777777">
      <w:pPr>
        <w:numPr>
          <w:ilvl w:val="0"/>
          <w:numId w:val="12"/>
        </w:numPr>
        <w:rPr>
          <w:rFonts w:ascii="Book Antiqua" w:hAnsi="Book Antiqua"/>
        </w:rPr>
      </w:pPr>
      <w:r w:rsidRPr="007547A1">
        <w:rPr>
          <w:rFonts w:ascii="Book Antiqua" w:hAnsi="Book Antiqua"/>
        </w:rPr>
        <w:t>LSEs are not excused from providing service due to market conditions.</w:t>
      </w:r>
    </w:p>
    <w:p w:rsidRPr="007547A1" w:rsidR="00BF6000" w:rsidP="00266CCE" w:rsidRDefault="00BF6000" w14:paraId="7F05908D" w14:textId="77777777">
      <w:pPr>
        <w:ind w:left="720"/>
        <w:rPr>
          <w:rFonts w:ascii="Book Antiqua" w:hAnsi="Book Antiqua"/>
        </w:rPr>
      </w:pPr>
    </w:p>
    <w:p w:rsidR="00A83B5C" w:rsidP="007E2E21" w:rsidRDefault="00A83B5C" w14:paraId="3D6740F4" w14:textId="30041DAA">
      <w:pPr>
        <w:numPr>
          <w:ilvl w:val="0"/>
          <w:numId w:val="12"/>
        </w:numPr>
        <w:rPr>
          <w:rFonts w:ascii="Book Antiqua" w:hAnsi="Book Antiqua"/>
        </w:rPr>
      </w:pPr>
      <w:r w:rsidRPr="00A83B5C">
        <w:rPr>
          <w:rFonts w:ascii="Book Antiqua" w:hAnsi="Book Antiqua"/>
        </w:rPr>
        <w:t xml:space="preserve">The fact that </w:t>
      </w:r>
      <w:r>
        <w:rPr>
          <w:rFonts w:ascii="Book Antiqua" w:hAnsi="Book Antiqua"/>
        </w:rPr>
        <w:t>SJCE</w:t>
      </w:r>
      <w:r w:rsidRPr="00A83B5C">
        <w:rPr>
          <w:rFonts w:ascii="Book Antiqua" w:hAnsi="Book Antiqua"/>
        </w:rPr>
        <w:t xml:space="preserve"> continued to solicit RA </w:t>
      </w:r>
      <w:r>
        <w:rPr>
          <w:rFonts w:ascii="Book Antiqua" w:hAnsi="Book Antiqua"/>
        </w:rPr>
        <w:t xml:space="preserve">resources </w:t>
      </w:r>
      <w:r w:rsidRPr="00A83B5C">
        <w:rPr>
          <w:rFonts w:ascii="Book Antiqua" w:hAnsi="Book Antiqua"/>
        </w:rPr>
        <w:t>to meet its obligations after being cited</w:t>
      </w:r>
      <w:r>
        <w:rPr>
          <w:rFonts w:ascii="Book Antiqua" w:hAnsi="Book Antiqua"/>
        </w:rPr>
        <w:t xml:space="preserve"> </w:t>
      </w:r>
      <w:r w:rsidRPr="00A83B5C">
        <w:rPr>
          <w:rFonts w:ascii="Book Antiqua" w:hAnsi="Book Antiqua"/>
        </w:rPr>
        <w:t xml:space="preserve">does not demonstrate a commitment to </w:t>
      </w:r>
      <w:r>
        <w:rPr>
          <w:rFonts w:ascii="Book Antiqua" w:hAnsi="Book Antiqua"/>
        </w:rPr>
        <w:t xml:space="preserve">meeting its RA obligations </w:t>
      </w:r>
      <w:r w:rsidRPr="00A83B5C">
        <w:rPr>
          <w:rFonts w:ascii="Book Antiqua" w:hAnsi="Book Antiqua"/>
        </w:rPr>
        <w:t>notwithstanding unfavorable market conditions.</w:t>
      </w:r>
    </w:p>
    <w:p w:rsidR="00A83B5C" w:rsidP="008106C7" w:rsidRDefault="00A83B5C" w14:paraId="3D339E1E" w14:textId="77777777">
      <w:pPr>
        <w:pStyle w:val="ListParagraph"/>
        <w:rPr>
          <w:rFonts w:ascii="Book Antiqua" w:hAnsi="Book Antiqua"/>
        </w:rPr>
      </w:pPr>
    </w:p>
    <w:p w:rsidRPr="007547A1" w:rsidR="007E2E21" w:rsidP="007E2E21" w:rsidRDefault="007E2E21" w14:paraId="1387666A" w14:textId="41D9037A">
      <w:pPr>
        <w:numPr>
          <w:ilvl w:val="0"/>
          <w:numId w:val="12"/>
        </w:numPr>
        <w:rPr>
          <w:rFonts w:ascii="Book Antiqua" w:hAnsi="Book Antiqua"/>
        </w:rPr>
      </w:pPr>
      <w:r w:rsidRPr="007547A1">
        <w:rPr>
          <w:rFonts w:ascii="Book Antiqua" w:hAnsi="Book Antiqua"/>
        </w:rPr>
        <w:t xml:space="preserve">The potential harm to the safety and reliability of the electric grid and to the integrity of the State’s resource adequacy program caused by SJCE’s failure to meet its regulatory obligations is severe.  </w:t>
      </w:r>
      <w:r w:rsidRPr="007547A1">
        <w:rPr>
          <w:rFonts w:ascii="Book Antiqua" w:hAnsi="Book Antiqua"/>
        </w:rPr>
        <w:br/>
        <w:t xml:space="preserve"> </w:t>
      </w:r>
    </w:p>
    <w:p w:rsidRPr="007547A1" w:rsidR="007E2E21" w:rsidP="007E2E21" w:rsidRDefault="007E2E21" w14:paraId="4C70A748" w14:textId="77777777">
      <w:pPr>
        <w:numPr>
          <w:ilvl w:val="0"/>
          <w:numId w:val="12"/>
        </w:numPr>
        <w:rPr>
          <w:rFonts w:ascii="Book Antiqua" w:hAnsi="Book Antiqua"/>
        </w:rPr>
      </w:pPr>
      <w:r w:rsidRPr="007547A1">
        <w:rPr>
          <w:rFonts w:ascii="Book Antiqua" w:hAnsi="Book Antiqua"/>
        </w:rPr>
        <w:t>The fact that SJCE (like many LSEs including electric corporations) provides clean energy</w:t>
      </w:r>
      <w:r w:rsidRPr="007547A1" w:rsidR="00F5545C">
        <w:rPr>
          <w:rFonts w:ascii="Book Antiqua" w:hAnsi="Book Antiqua"/>
        </w:rPr>
        <w:t xml:space="preserve">, </w:t>
      </w:r>
      <w:r w:rsidRPr="007547A1">
        <w:rPr>
          <w:rFonts w:ascii="Book Antiqua" w:hAnsi="Book Antiqua"/>
        </w:rPr>
        <w:t xml:space="preserve">has </w:t>
      </w:r>
      <w:r w:rsidRPr="007547A1" w:rsidR="00F5545C">
        <w:rPr>
          <w:rFonts w:ascii="Book Antiqua" w:hAnsi="Book Antiqua"/>
        </w:rPr>
        <w:t>many customers with limited income, and provides community programs it might divert resources that would otherwise be used to provide clean energy to its residents, pass on the costs to ratepayers (one-third of which has limited income), and forego programs that benefit the community</w:t>
      </w:r>
      <w:r w:rsidRPr="007547A1" w:rsidR="00161CEA">
        <w:rPr>
          <w:rFonts w:ascii="Book Antiqua" w:hAnsi="Book Antiqua"/>
        </w:rPr>
        <w:t xml:space="preserve"> </w:t>
      </w:r>
      <w:r w:rsidRPr="007547A1">
        <w:rPr>
          <w:rFonts w:ascii="Book Antiqua" w:hAnsi="Book Antiqua"/>
        </w:rPr>
        <w:t>is not a financial condition that merits mitigating or excusing the citation penalty.</w:t>
      </w:r>
      <w:r w:rsidRPr="007547A1">
        <w:rPr>
          <w:rFonts w:ascii="Book Antiqua" w:hAnsi="Book Antiqua"/>
        </w:rPr>
        <w:br/>
      </w:r>
    </w:p>
    <w:p w:rsidRPr="007547A1" w:rsidR="003B42B4" w:rsidP="007E2E21" w:rsidRDefault="003B42B4" w14:paraId="18CE4688" w14:textId="77777777">
      <w:pPr>
        <w:numPr>
          <w:ilvl w:val="0"/>
          <w:numId w:val="12"/>
        </w:numPr>
        <w:rPr>
          <w:rFonts w:ascii="Book Antiqua" w:hAnsi="Book Antiqua"/>
        </w:rPr>
      </w:pPr>
      <w:r w:rsidRPr="007547A1">
        <w:rPr>
          <w:rFonts w:ascii="Book Antiqua" w:hAnsi="Book Antiqua"/>
        </w:rPr>
        <w:t xml:space="preserve">The citation penalty </w:t>
      </w:r>
      <w:r w:rsidRPr="007547A1" w:rsidR="00BF6000">
        <w:rPr>
          <w:rFonts w:ascii="Book Antiqua" w:hAnsi="Book Antiqua"/>
        </w:rPr>
        <w:t xml:space="preserve">assessed in Citation No. E-4195-0052 </w:t>
      </w:r>
      <w:r w:rsidRPr="007547A1">
        <w:rPr>
          <w:rFonts w:ascii="Book Antiqua" w:hAnsi="Book Antiqua"/>
        </w:rPr>
        <w:t>does not deviate from precedent.</w:t>
      </w:r>
      <w:r w:rsidRPr="007547A1">
        <w:rPr>
          <w:rFonts w:ascii="Book Antiqua" w:hAnsi="Book Antiqua"/>
        </w:rPr>
        <w:br/>
      </w:r>
    </w:p>
    <w:p w:rsidRPr="007547A1" w:rsidR="007E2E21" w:rsidP="007E2E21" w:rsidRDefault="007E2E21" w14:paraId="3C748CEC" w14:textId="77777777">
      <w:pPr>
        <w:numPr>
          <w:ilvl w:val="0"/>
          <w:numId w:val="12"/>
        </w:numPr>
        <w:rPr>
          <w:rFonts w:ascii="Book Antiqua" w:hAnsi="Book Antiqua"/>
        </w:rPr>
      </w:pPr>
      <w:r w:rsidRPr="007547A1">
        <w:rPr>
          <w:rFonts w:ascii="Book Antiqua" w:hAnsi="Book Antiqua"/>
        </w:rPr>
        <w:lastRenderedPageBreak/>
        <w:t>Based on the totality of the circumstances, including SJCE’s conduct in failing to procure its RA requirements on the basis of commercial unreasonableness, the severity of the harm, the financial impact on SJCE’s customers, and precedent, the citation penalty should not be excused or reduced.</w:t>
      </w:r>
      <w:r w:rsidRPr="007547A1" w:rsidR="003B42B4">
        <w:rPr>
          <w:rFonts w:ascii="Book Antiqua" w:hAnsi="Book Antiqua"/>
        </w:rPr>
        <w:br/>
      </w:r>
    </w:p>
    <w:p w:rsidRPr="007547A1" w:rsidR="003B42B4" w:rsidP="007E2E21" w:rsidRDefault="00B05EAA" w14:paraId="5E4F1871" w14:textId="77777777">
      <w:pPr>
        <w:numPr>
          <w:ilvl w:val="0"/>
          <w:numId w:val="12"/>
        </w:numPr>
        <w:rPr>
          <w:rFonts w:ascii="Book Antiqua" w:hAnsi="Book Antiqua"/>
        </w:rPr>
      </w:pPr>
      <w:r w:rsidRPr="007547A1">
        <w:rPr>
          <w:rFonts w:ascii="Book Antiqua" w:hAnsi="Book Antiqua"/>
        </w:rPr>
        <w:t xml:space="preserve">The </w:t>
      </w:r>
      <w:r w:rsidRPr="007547A1" w:rsidR="003B42B4">
        <w:rPr>
          <w:rFonts w:ascii="Book Antiqua" w:hAnsi="Book Antiqua"/>
        </w:rPr>
        <w:t>citation appeal should be denied</w:t>
      </w:r>
      <w:r w:rsidRPr="007547A1" w:rsidR="0017011F">
        <w:rPr>
          <w:rFonts w:ascii="Book Antiqua" w:hAnsi="Book Antiqua"/>
        </w:rPr>
        <w:t>.</w:t>
      </w:r>
      <w:r w:rsidRPr="007547A1" w:rsidR="003B42B4">
        <w:rPr>
          <w:rFonts w:ascii="Book Antiqua" w:hAnsi="Book Antiqua"/>
        </w:rPr>
        <w:br/>
      </w:r>
    </w:p>
    <w:p w:rsidRPr="007547A1" w:rsidR="00B05EAA" w:rsidP="00E45515" w:rsidRDefault="003B42B4" w14:paraId="1B6997AC" w14:textId="77777777">
      <w:pPr>
        <w:numPr>
          <w:ilvl w:val="0"/>
          <w:numId w:val="12"/>
        </w:numPr>
        <w:rPr>
          <w:rFonts w:ascii="Book Antiqua" w:hAnsi="Book Antiqua"/>
        </w:rPr>
      </w:pPr>
      <w:r w:rsidRPr="007547A1">
        <w:rPr>
          <w:rFonts w:ascii="Book Antiqua" w:hAnsi="Book Antiqua"/>
        </w:rPr>
        <w:t>The citation appeal should be closed.</w:t>
      </w:r>
      <w:r w:rsidRPr="007547A1">
        <w:rPr>
          <w:rFonts w:ascii="Book Antiqua" w:hAnsi="Book Antiqua"/>
        </w:rPr>
        <w:br/>
      </w:r>
    </w:p>
    <w:p w:rsidRPr="007547A1" w:rsidR="003B42B4" w:rsidP="003B42B4" w:rsidRDefault="003B42B4" w14:paraId="3CEC552F" w14:textId="77777777">
      <w:pPr>
        <w:rPr>
          <w:rFonts w:ascii="Book Antiqua" w:hAnsi="Book Antiqua"/>
        </w:rPr>
      </w:pPr>
      <w:r w:rsidRPr="007547A1">
        <w:rPr>
          <w:rFonts w:ascii="Book Antiqua" w:hAnsi="Book Antiqua"/>
        </w:rPr>
        <w:t>IT IS THEREFORE ORDERED that:</w:t>
      </w:r>
    </w:p>
    <w:p w:rsidRPr="007547A1" w:rsidR="003B42B4" w:rsidP="003B42B4" w:rsidRDefault="003B42B4" w14:paraId="518CD2A6" w14:textId="77777777">
      <w:pPr>
        <w:rPr>
          <w:rFonts w:ascii="Book Antiqua" w:hAnsi="Book Antiqua"/>
        </w:rPr>
      </w:pPr>
    </w:p>
    <w:p w:rsidRPr="007547A1" w:rsidR="003B42B4" w:rsidP="00432F1A" w:rsidRDefault="0017011F" w14:paraId="227A1DB2" w14:textId="77777777">
      <w:pPr>
        <w:numPr>
          <w:ilvl w:val="0"/>
          <w:numId w:val="13"/>
        </w:numPr>
        <w:rPr>
          <w:rFonts w:ascii="Book Antiqua" w:hAnsi="Book Antiqua"/>
        </w:rPr>
      </w:pPr>
      <w:r w:rsidRPr="007547A1">
        <w:rPr>
          <w:rFonts w:ascii="Book Antiqua" w:hAnsi="Book Antiqua"/>
        </w:rPr>
        <w:t xml:space="preserve">Appeal K.19-03-024 of Citation No. E-4195-0052 by San Jose Clean Energy </w:t>
      </w:r>
      <w:r w:rsidRPr="007547A1" w:rsidR="003B42B4">
        <w:rPr>
          <w:rFonts w:ascii="Book Antiqua" w:hAnsi="Book Antiqua"/>
        </w:rPr>
        <w:t xml:space="preserve">is </w:t>
      </w:r>
      <w:r w:rsidRPr="007547A1">
        <w:rPr>
          <w:rFonts w:ascii="Book Antiqua" w:hAnsi="Book Antiqua"/>
        </w:rPr>
        <w:t>denied.</w:t>
      </w:r>
      <w:r w:rsidRPr="007547A1" w:rsidR="00C21BED">
        <w:rPr>
          <w:rFonts w:ascii="Book Antiqua" w:hAnsi="Book Antiqua"/>
        </w:rPr>
        <w:br/>
      </w:r>
    </w:p>
    <w:p w:rsidRPr="007547A1" w:rsidR="00C21BED" w:rsidP="00E45515" w:rsidRDefault="00C21BED" w14:paraId="41D20503" w14:textId="2151C101">
      <w:pPr>
        <w:numPr>
          <w:ilvl w:val="0"/>
          <w:numId w:val="13"/>
        </w:numPr>
        <w:rPr>
          <w:rFonts w:ascii="Book Antiqua" w:hAnsi="Book Antiqua"/>
        </w:rPr>
      </w:pPr>
      <w:r w:rsidRPr="007547A1">
        <w:rPr>
          <w:rFonts w:ascii="Book Antiqua" w:hAnsi="Book Antiqua"/>
        </w:rPr>
        <w:t xml:space="preserve">San Jose Clean </w:t>
      </w:r>
      <w:r w:rsidRPr="007547A1" w:rsidR="0017011F">
        <w:rPr>
          <w:rFonts w:ascii="Book Antiqua" w:hAnsi="Book Antiqua"/>
        </w:rPr>
        <w:t>E</w:t>
      </w:r>
      <w:r w:rsidRPr="007547A1">
        <w:rPr>
          <w:rFonts w:ascii="Book Antiqua" w:hAnsi="Book Antiqua"/>
        </w:rPr>
        <w:t>nergy</w:t>
      </w:r>
      <w:r w:rsidRPr="007547A1" w:rsidR="00BF6000">
        <w:rPr>
          <w:rFonts w:ascii="Book Antiqua" w:hAnsi="Book Antiqua"/>
        </w:rPr>
        <w:t xml:space="preserve"> shall</w:t>
      </w:r>
      <w:r w:rsidRPr="007547A1">
        <w:rPr>
          <w:rFonts w:ascii="Book Antiqua" w:hAnsi="Book Antiqua"/>
        </w:rPr>
        <w:t xml:space="preserve"> pay a fine of </w:t>
      </w:r>
      <w:r w:rsidRPr="007547A1" w:rsidR="003B42B4">
        <w:rPr>
          <w:rFonts w:ascii="Book Antiqua" w:hAnsi="Book Antiqua"/>
        </w:rPr>
        <w:t>$</w:t>
      </w:r>
      <w:r w:rsidRPr="007547A1">
        <w:rPr>
          <w:rFonts w:ascii="Book Antiqua" w:hAnsi="Book Antiqua"/>
        </w:rPr>
        <w:t>6,791,155.40</w:t>
      </w:r>
      <w:r w:rsidRPr="007547A1" w:rsidR="003B42B4">
        <w:rPr>
          <w:rFonts w:ascii="Book Antiqua" w:hAnsi="Book Antiqua"/>
        </w:rPr>
        <w:t xml:space="preserve"> by check or money order payable to</w:t>
      </w:r>
      <w:r w:rsidRPr="007547A1">
        <w:rPr>
          <w:rFonts w:ascii="Book Antiqua" w:hAnsi="Book Antiqua"/>
        </w:rPr>
        <w:t xml:space="preserve"> </w:t>
      </w:r>
      <w:r w:rsidRPr="007547A1" w:rsidR="003B42B4">
        <w:rPr>
          <w:rFonts w:ascii="Book Antiqua" w:hAnsi="Book Antiqua"/>
        </w:rPr>
        <w:t>the California Public Utilities Commission and mailed or delivered to the</w:t>
      </w:r>
      <w:r w:rsidRPr="007547A1">
        <w:rPr>
          <w:rFonts w:ascii="Book Antiqua" w:hAnsi="Book Antiqua"/>
        </w:rPr>
        <w:t xml:space="preserve"> </w:t>
      </w:r>
      <w:r w:rsidRPr="007547A1" w:rsidR="003B42B4">
        <w:rPr>
          <w:rFonts w:ascii="Book Antiqua" w:hAnsi="Book Antiqua"/>
        </w:rPr>
        <w:t>Commission’s Fiscal Office at 505 Van Ness Avenue, San Francisco,</w:t>
      </w:r>
      <w:r w:rsidRPr="007547A1">
        <w:rPr>
          <w:rFonts w:ascii="Book Antiqua" w:hAnsi="Book Antiqua"/>
        </w:rPr>
        <w:t xml:space="preserve"> </w:t>
      </w:r>
      <w:r w:rsidRPr="007547A1" w:rsidR="003B42B4">
        <w:rPr>
          <w:rFonts w:ascii="Book Antiqua" w:hAnsi="Book Antiqua"/>
        </w:rPr>
        <w:t>California 94102</w:t>
      </w:r>
      <w:r w:rsidRPr="007547A1">
        <w:rPr>
          <w:rFonts w:ascii="Book Antiqua" w:hAnsi="Book Antiqua"/>
        </w:rPr>
        <w:t xml:space="preserve"> </w:t>
      </w:r>
      <w:r w:rsidRPr="007547A1" w:rsidR="003B42B4">
        <w:rPr>
          <w:rFonts w:ascii="Book Antiqua" w:hAnsi="Book Antiqua"/>
        </w:rPr>
        <w:t>within 30 days of the effective date of</w:t>
      </w:r>
      <w:r w:rsidRPr="007547A1">
        <w:rPr>
          <w:rFonts w:ascii="Book Antiqua" w:hAnsi="Book Antiqua"/>
        </w:rPr>
        <w:t xml:space="preserve"> </w:t>
      </w:r>
      <w:r w:rsidRPr="007547A1" w:rsidR="003B42B4">
        <w:rPr>
          <w:rFonts w:ascii="Book Antiqua" w:hAnsi="Book Antiqua"/>
        </w:rPr>
        <w:t xml:space="preserve">this </w:t>
      </w:r>
      <w:r w:rsidRPr="007547A1">
        <w:rPr>
          <w:rFonts w:ascii="Book Antiqua" w:hAnsi="Book Antiqua"/>
        </w:rPr>
        <w:t>r</w:t>
      </w:r>
      <w:r w:rsidRPr="007547A1" w:rsidR="003B42B4">
        <w:rPr>
          <w:rFonts w:ascii="Book Antiqua" w:hAnsi="Book Antiqua"/>
        </w:rPr>
        <w:t xml:space="preserve">esolution. </w:t>
      </w:r>
      <w:r w:rsidRPr="007547A1">
        <w:rPr>
          <w:rFonts w:ascii="Book Antiqua" w:hAnsi="Book Antiqua"/>
        </w:rPr>
        <w:br/>
      </w:r>
    </w:p>
    <w:p w:rsidRPr="007547A1" w:rsidR="00D06F16" w:rsidP="00E45515" w:rsidRDefault="00C21BED" w14:paraId="31172BA4" w14:textId="77777777">
      <w:pPr>
        <w:numPr>
          <w:ilvl w:val="0"/>
          <w:numId w:val="13"/>
        </w:numPr>
        <w:rPr>
          <w:rFonts w:ascii="Book Antiqua" w:hAnsi="Book Antiqua"/>
        </w:rPr>
      </w:pPr>
      <w:r w:rsidRPr="007547A1">
        <w:rPr>
          <w:rFonts w:ascii="Book Antiqua" w:hAnsi="Book Antiqua"/>
        </w:rPr>
        <w:t xml:space="preserve">This </w:t>
      </w:r>
      <w:r w:rsidRPr="007547A1" w:rsidR="00FC4FF5">
        <w:rPr>
          <w:rFonts w:ascii="Book Antiqua" w:hAnsi="Book Antiqua"/>
        </w:rPr>
        <w:t>proceeding</w:t>
      </w:r>
      <w:r w:rsidRPr="007547A1">
        <w:rPr>
          <w:rFonts w:ascii="Book Antiqua" w:hAnsi="Book Antiqua"/>
        </w:rPr>
        <w:t xml:space="preserve"> is closed.</w:t>
      </w:r>
    </w:p>
    <w:p w:rsidRPr="007547A1" w:rsidR="00C21BED" w:rsidP="00C21BED" w:rsidRDefault="00C21BED" w14:paraId="60F20D77" w14:textId="77777777">
      <w:pPr>
        <w:ind w:left="360"/>
        <w:rPr>
          <w:rFonts w:ascii="Book Antiqua" w:hAnsi="Book Antiqua"/>
        </w:rPr>
      </w:pPr>
    </w:p>
    <w:p w:rsidR="00C21BED" w:rsidP="00A96755" w:rsidRDefault="00C21BED" w14:paraId="09BA165C" w14:textId="1A39D4B4">
      <w:pPr>
        <w:rPr>
          <w:rFonts w:ascii="Book Antiqua" w:hAnsi="Book Antiqua"/>
        </w:rPr>
      </w:pPr>
      <w:r w:rsidRPr="007547A1">
        <w:rPr>
          <w:rFonts w:ascii="Book Antiqua" w:hAnsi="Book Antiqua"/>
        </w:rPr>
        <w:t>This resolution is effective immediately.</w:t>
      </w:r>
    </w:p>
    <w:p w:rsidR="00005E60" w:rsidP="00A96755" w:rsidRDefault="00005E60" w14:paraId="37A1B510" w14:textId="51ABFF14">
      <w:pPr>
        <w:rPr>
          <w:rFonts w:ascii="Book Antiqua" w:hAnsi="Book Antiqua"/>
        </w:rPr>
      </w:pPr>
    </w:p>
    <w:p w:rsidRPr="001D528C" w:rsidR="00005E60" w:rsidP="00005E60" w:rsidRDefault="00005E60" w14:paraId="262EAB4B" w14:textId="77777777">
      <w:pPr>
        <w:keepNext/>
        <w:keepLines/>
        <w:rPr>
          <w:rFonts w:ascii="Book Antiqua" w:hAnsi="Book Antiqua"/>
        </w:rPr>
      </w:pPr>
      <w:r w:rsidRPr="001D528C">
        <w:rPr>
          <w:rFonts w:ascii="Book Antiqua" w:hAnsi="Book Antiqua"/>
        </w:rPr>
        <w:t xml:space="preserve">I certify that the foregoing resolution was duly introduced, passed, and adopted at a conference of the Public Utilities Commission of the State of </w:t>
      </w:r>
      <w:smartTag w:uri="urn:schemas-microsoft-com:office:smarttags" w:element="State">
        <w:smartTag w:uri="urn:schemas-microsoft-com:office:smarttags" w:element="place">
          <w:r w:rsidRPr="001D528C">
            <w:rPr>
              <w:rFonts w:ascii="Book Antiqua" w:hAnsi="Book Antiqua"/>
            </w:rPr>
            <w:t>California</w:t>
          </w:r>
        </w:smartTag>
      </w:smartTag>
      <w:r w:rsidRPr="001D528C">
        <w:rPr>
          <w:rFonts w:ascii="Book Antiqua" w:hAnsi="Book Antiqua"/>
        </w:rPr>
        <w:t xml:space="preserve"> held on _______________, the following Commissioners voting favorably thereon:</w:t>
      </w:r>
    </w:p>
    <w:p w:rsidRPr="001D528C" w:rsidR="00005E60" w:rsidP="00005E60" w:rsidRDefault="00005E60" w14:paraId="676E229A" w14:textId="77777777">
      <w:pPr>
        <w:keepNext/>
        <w:keepLines/>
        <w:rPr>
          <w:rFonts w:ascii="Book Antiqua" w:hAnsi="Book Antiqua"/>
        </w:rPr>
      </w:pPr>
    </w:p>
    <w:p w:rsidRPr="001D528C" w:rsidR="00005E60" w:rsidP="00005E60" w:rsidRDefault="00005E60" w14:paraId="07325D4B" w14:textId="77777777">
      <w:pPr>
        <w:keepNext/>
        <w:keepLines/>
        <w:rPr>
          <w:rFonts w:ascii="Book Antiqua" w:hAnsi="Book Antiqua"/>
        </w:rPr>
      </w:pPr>
    </w:p>
    <w:p w:rsidRPr="001D528C" w:rsidR="00005E60" w:rsidP="00005E60" w:rsidRDefault="00005E60" w14:paraId="3231B693" w14:textId="77777777">
      <w:pPr>
        <w:keepNext/>
        <w:keepLines/>
        <w:rPr>
          <w:rFonts w:ascii="Book Antiqua" w:hAnsi="Book Antiqua"/>
        </w:rPr>
      </w:pPr>
    </w:p>
    <w:tbl>
      <w:tblPr>
        <w:tblW w:w="0" w:type="auto"/>
        <w:tblInd w:w="4320" w:type="dxa"/>
        <w:tblLayout w:type="fixed"/>
        <w:tblLook w:val="0000" w:firstRow="0" w:lastRow="0" w:firstColumn="0" w:lastColumn="0" w:noHBand="0" w:noVBand="0"/>
      </w:tblPr>
      <w:tblGrid>
        <w:gridCol w:w="4518"/>
      </w:tblGrid>
      <w:tr w:rsidRPr="001D528C" w:rsidR="00005E60" w:rsidTr="00AF6A7E" w14:paraId="0B7694B9" w14:textId="77777777">
        <w:tc>
          <w:tcPr>
            <w:tcW w:w="4518" w:type="dxa"/>
            <w:tcBorders>
              <w:bottom w:val="single" w:color="auto" w:sz="6" w:space="0"/>
            </w:tcBorders>
          </w:tcPr>
          <w:p w:rsidRPr="001D528C" w:rsidR="00005E60" w:rsidP="00AF6A7E" w:rsidRDefault="00005E60" w14:paraId="38360550" w14:textId="77777777">
            <w:pPr>
              <w:keepNext/>
              <w:keepLines/>
              <w:jc w:val="center"/>
              <w:rPr>
                <w:rFonts w:ascii="Book Antiqua" w:hAnsi="Book Antiqua"/>
              </w:rPr>
            </w:pPr>
          </w:p>
        </w:tc>
      </w:tr>
      <w:tr w:rsidRPr="001D528C" w:rsidR="00005E60" w:rsidTr="00AF6A7E" w14:paraId="2DBFC735" w14:textId="77777777">
        <w:tc>
          <w:tcPr>
            <w:tcW w:w="4518" w:type="dxa"/>
          </w:tcPr>
          <w:p w:rsidRPr="001D528C" w:rsidR="00005E60" w:rsidP="00AF6A7E" w:rsidRDefault="00005E60" w14:paraId="5F343BB2" w14:textId="77777777">
            <w:pPr>
              <w:keepNext/>
              <w:keepLines/>
              <w:spacing w:before="120"/>
              <w:jc w:val="center"/>
              <w:rPr>
                <w:rFonts w:ascii="Book Antiqua" w:hAnsi="Book Antiqua"/>
              </w:rPr>
            </w:pPr>
            <w:r w:rsidRPr="001D528C">
              <w:rPr>
                <w:rFonts w:ascii="Book Antiqua" w:hAnsi="Book Antiqua"/>
              </w:rPr>
              <w:t>ALICE STEBBINS</w:t>
            </w:r>
          </w:p>
          <w:p w:rsidRPr="001D528C" w:rsidR="00005E60" w:rsidP="00AF6A7E" w:rsidRDefault="00005E60" w14:paraId="71E3083C" w14:textId="77777777">
            <w:pPr>
              <w:keepNext/>
              <w:keepLines/>
              <w:jc w:val="center"/>
              <w:rPr>
                <w:rFonts w:ascii="Book Antiqua" w:hAnsi="Book Antiqua"/>
              </w:rPr>
            </w:pPr>
            <w:r w:rsidRPr="001D528C">
              <w:rPr>
                <w:rFonts w:ascii="Book Antiqua" w:hAnsi="Book Antiqua"/>
              </w:rPr>
              <w:t>Executive Director</w:t>
            </w:r>
          </w:p>
        </w:tc>
      </w:tr>
    </w:tbl>
    <w:p w:rsidR="00005E60" w:rsidP="00A96755" w:rsidRDefault="00005E60" w14:paraId="4E657B0E" w14:textId="77777777">
      <w:pPr>
        <w:rPr>
          <w:rFonts w:ascii="Book Antiqua" w:hAnsi="Book Antiqua"/>
        </w:rPr>
      </w:pPr>
    </w:p>
    <w:p w:rsidRPr="007547A1" w:rsidR="00005E60" w:rsidP="00005E60" w:rsidRDefault="00005E60" w14:paraId="67AF7DA0" w14:textId="53DA1E6B">
      <w:pPr>
        <w:rPr>
          <w:rFonts w:ascii="Book Antiqua" w:hAnsi="Book Antiqua"/>
        </w:rPr>
      </w:pPr>
    </w:p>
    <w:sectPr w:rsidRPr="007547A1" w:rsidR="00005E60" w:rsidSect="004D0D2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C8D2" w14:textId="77777777" w:rsidR="008A403D" w:rsidRDefault="008A403D">
      <w:r>
        <w:separator/>
      </w:r>
    </w:p>
  </w:endnote>
  <w:endnote w:type="continuationSeparator" w:id="0">
    <w:p w14:paraId="572A1524" w14:textId="77777777" w:rsidR="008A403D" w:rsidRDefault="008A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C00DBB" w14:paraId="0F3848CD" w14:textId="77777777">
      <w:tc>
        <w:tcPr>
          <w:tcW w:w="10800" w:type="dxa"/>
          <w:tcBorders>
            <w:top w:val="nil"/>
            <w:left w:val="nil"/>
            <w:bottom w:val="nil"/>
            <w:right w:val="nil"/>
          </w:tcBorders>
        </w:tcPr>
        <w:p w14:paraId="736545EB" w14:textId="77777777" w:rsidR="00C00DBB" w:rsidRDefault="00406163">
          <w:pPr>
            <w:jc w:val="center"/>
            <w:rPr>
              <w:szCs w:val="24"/>
            </w:rPr>
          </w:pPr>
          <w:r>
            <w:rPr>
              <w:szCs w:val="24"/>
            </w:rPr>
            <w:t xml:space="preserve">- </w:t>
          </w:r>
          <w:r>
            <w:rPr>
              <w:szCs w:val="24"/>
            </w:rPr>
            <w:pgNum/>
          </w:r>
          <w:r>
            <w:rPr>
              <w:szCs w:val="24"/>
            </w:rPr>
            <w:t>-</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E60ABA" w14:paraId="278740C1" w14:textId="77777777">
      <w:tc>
        <w:tcPr>
          <w:tcW w:w="10800" w:type="dxa"/>
          <w:tcBorders>
            <w:top w:val="nil"/>
            <w:left w:val="nil"/>
            <w:bottom w:val="nil"/>
            <w:right w:val="nil"/>
          </w:tcBorders>
        </w:tcPr>
        <w:p w14:paraId="0FA42760" w14:textId="77777777" w:rsidR="00E60ABA" w:rsidRDefault="00E60ABA">
          <w:pPr>
            <w:jc w:val="center"/>
            <w:rPr>
              <w:szCs w:val="24"/>
            </w:rPr>
          </w:pPr>
          <w:r>
            <w:rPr>
              <w:szCs w:val="24"/>
            </w:rPr>
            <w:t xml:space="preserve">- </w:t>
          </w:r>
          <w:r>
            <w:rPr>
              <w:szCs w:val="24"/>
            </w:rPr>
            <w:pgNum/>
          </w:r>
          <w:r>
            <w:rPr>
              <w:szCs w:val="24"/>
            </w:rPr>
            <w:t>-</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5E868" w14:textId="77777777" w:rsidR="008A403D" w:rsidRDefault="008A403D">
      <w:r>
        <w:separator/>
      </w:r>
    </w:p>
  </w:footnote>
  <w:footnote w:type="continuationSeparator" w:id="0">
    <w:p w14:paraId="077649D2" w14:textId="77777777" w:rsidR="008A403D" w:rsidRDefault="008A403D">
      <w:r>
        <w:continuationSeparator/>
      </w:r>
    </w:p>
  </w:footnote>
  <w:footnote w:id="1">
    <w:p w14:paraId="3295800A" w14:textId="77777777" w:rsidR="005476DC" w:rsidRPr="007547A1" w:rsidRDefault="005476DC" w:rsidP="0070036D">
      <w:pPr>
        <w:pStyle w:val="FootnoteText"/>
        <w:spacing w:after="120"/>
        <w:rPr>
          <w:rFonts w:ascii="Book Antiqua" w:hAnsi="Book Antiqua"/>
        </w:rPr>
      </w:pPr>
      <w:r w:rsidRPr="007547A1">
        <w:rPr>
          <w:rStyle w:val="FootnoteReference"/>
          <w:rFonts w:ascii="Book Antiqua" w:hAnsi="Book Antiqua"/>
        </w:rPr>
        <w:footnoteRef/>
      </w:r>
      <w:r w:rsidRPr="007547A1">
        <w:rPr>
          <w:rFonts w:ascii="Book Antiqua" w:hAnsi="Book Antiqua"/>
        </w:rPr>
        <w:t xml:space="preserve"> </w:t>
      </w:r>
      <w:r w:rsidRPr="0070036D">
        <w:rPr>
          <w:rFonts w:ascii="Book Antiqua" w:hAnsi="Book Antiqua"/>
          <w:sz w:val="22"/>
          <w:szCs w:val="22"/>
        </w:rPr>
        <w:t>The matter was initially assigned to ALJ Kimberly Kim, who was unavailable to preside over the prehearing conference.</w:t>
      </w:r>
      <w:r w:rsidR="00931471" w:rsidRPr="0070036D">
        <w:rPr>
          <w:rFonts w:ascii="Book Antiqua" w:hAnsi="Book Antiqua"/>
          <w:sz w:val="22"/>
          <w:szCs w:val="22"/>
        </w:rPr>
        <w:t xml:space="preserve"> The matter was reassigned to ALJ Hallie Yacknin on March 4, 2020</w:t>
      </w:r>
      <w:r w:rsidR="00931471" w:rsidRPr="007547A1">
        <w:rPr>
          <w:rFonts w:ascii="Book Antiqua" w:hAnsi="Book Antiqua"/>
        </w:rPr>
        <w:t>.</w:t>
      </w:r>
    </w:p>
  </w:footnote>
  <w:footnote w:id="2">
    <w:p w14:paraId="78B692D8" w14:textId="40987912" w:rsidR="00271BFD" w:rsidRPr="008106C7" w:rsidRDefault="00271BFD">
      <w:pPr>
        <w:pStyle w:val="FootnoteText"/>
        <w:rPr>
          <w:rFonts w:ascii="Book Antiqua" w:hAnsi="Book Antiqua"/>
        </w:rPr>
      </w:pPr>
      <w:r w:rsidRPr="008106C7">
        <w:rPr>
          <w:rFonts w:ascii="Book Antiqua" w:hAnsi="Book Antiqua"/>
        </w:rPr>
        <w:footnoteRef/>
      </w:r>
      <w:r w:rsidRPr="008106C7">
        <w:rPr>
          <w:rFonts w:ascii="Book Antiqua" w:hAnsi="Book Antiqua"/>
        </w:rPr>
        <w:t xml:space="preserve"> Decision (D.) 06-06-064 at 66.</w:t>
      </w:r>
    </w:p>
  </w:footnote>
  <w:footnote w:id="3">
    <w:p w14:paraId="43D3BE67" w14:textId="524178A9" w:rsidR="00271BFD" w:rsidRPr="008106C7" w:rsidRDefault="00271BFD">
      <w:pPr>
        <w:pStyle w:val="FootnoteText"/>
        <w:rPr>
          <w:rFonts w:ascii="Book Antiqua" w:hAnsi="Book Antiqua"/>
        </w:rPr>
      </w:pPr>
      <w:r w:rsidRPr="008106C7">
        <w:rPr>
          <w:rFonts w:ascii="Book Antiqua" w:hAnsi="Book Antiqua"/>
        </w:rPr>
        <w:footnoteRef/>
      </w:r>
      <w:r w:rsidRPr="008106C7">
        <w:rPr>
          <w:rFonts w:ascii="Book Antiqua" w:hAnsi="Book Antiqua"/>
        </w:rPr>
        <w:t xml:space="preserve"> D.19-06-026 at 18.</w:t>
      </w:r>
    </w:p>
  </w:footnote>
  <w:footnote w:id="4">
    <w:p w14:paraId="2C5DBDFA" w14:textId="77777777" w:rsidR="007169D1" w:rsidRPr="007547A1" w:rsidRDefault="007169D1">
      <w:pPr>
        <w:pStyle w:val="FootnoteText"/>
        <w:rPr>
          <w:rFonts w:ascii="Book Antiqua" w:hAnsi="Book Antiqua"/>
        </w:rPr>
      </w:pPr>
      <w:r w:rsidRPr="007547A1">
        <w:rPr>
          <w:rStyle w:val="FootnoteReference"/>
          <w:rFonts w:ascii="Book Antiqua" w:hAnsi="Book Antiqua"/>
        </w:rPr>
        <w:footnoteRef/>
      </w:r>
      <w:r w:rsidRPr="007547A1">
        <w:rPr>
          <w:rFonts w:ascii="Book Antiqua" w:hAnsi="Book Antiqua"/>
        </w:rPr>
        <w:t xml:space="preserve"> In its motion for reconsideration of the April 16, 2020, ruling, SJCE argues that the present circumstances are distinguishable because the RA program does not regulate the prices charged by suppliers and CCAs cannot recover high costs from the suppliers and pass them on to their customers.  (Motion at 10.) </w:t>
      </w:r>
      <w:r w:rsidR="00C82757" w:rsidRPr="007547A1">
        <w:rPr>
          <w:rFonts w:ascii="Book Antiqua" w:hAnsi="Book Antiqua"/>
        </w:rPr>
        <w:t xml:space="preserve"> This argument is without merit (for example, the Commission did not regulate the prices charged by suppliers during the energy crisis either) </w:t>
      </w:r>
      <w:proofErr w:type="gramStart"/>
      <w:r w:rsidR="00C82757" w:rsidRPr="007547A1">
        <w:rPr>
          <w:rFonts w:ascii="Book Antiqua" w:hAnsi="Book Antiqua"/>
        </w:rPr>
        <w:t>and</w:t>
      </w:r>
      <w:proofErr w:type="gramEnd"/>
      <w:r w:rsidR="00C82757" w:rsidRPr="007547A1">
        <w:rPr>
          <w:rFonts w:ascii="Book Antiqua" w:hAnsi="Book Antiqua"/>
        </w:rPr>
        <w:t xml:space="preserve">, in any event, misses the point. </w:t>
      </w:r>
    </w:p>
  </w:footnote>
  <w:footnote w:id="5">
    <w:p w14:paraId="64B78FB3" w14:textId="44CAEAA6" w:rsidR="006E70D9" w:rsidRDefault="006E70D9">
      <w:pPr>
        <w:pStyle w:val="FootnoteText"/>
      </w:pPr>
      <w:r>
        <w:rPr>
          <w:rStyle w:val="FootnoteReference"/>
        </w:rPr>
        <w:footnoteRef/>
      </w:r>
      <w:r>
        <w:t xml:space="preserve"> D.06-06-064 at 66.</w:t>
      </w:r>
    </w:p>
  </w:footnote>
  <w:footnote w:id="6">
    <w:p w14:paraId="7278E965" w14:textId="100719F6" w:rsidR="00B24E99" w:rsidRPr="008106C7" w:rsidRDefault="00B24E99">
      <w:pPr>
        <w:pStyle w:val="FootnoteText"/>
        <w:rPr>
          <w:rFonts w:ascii="Book Antiqua" w:hAnsi="Book Antiqua"/>
        </w:rPr>
      </w:pPr>
      <w:r w:rsidRPr="008106C7">
        <w:rPr>
          <w:rFonts w:ascii="Book Antiqua" w:hAnsi="Book Antiqua"/>
        </w:rPr>
        <w:footnoteRef/>
      </w:r>
      <w:r w:rsidRPr="008106C7">
        <w:rPr>
          <w:rFonts w:ascii="Book Antiqua" w:hAnsi="Book Antiqua"/>
        </w:rPr>
        <w:t xml:space="preserve"> </w:t>
      </w:r>
      <w:r w:rsidRPr="008106C7">
        <w:rPr>
          <w:rFonts w:ascii="Book Antiqua" w:hAnsi="Book Antiqua"/>
          <w:i/>
          <w:iCs/>
        </w:rPr>
        <w:t>See</w:t>
      </w:r>
      <w:r w:rsidRPr="008106C7">
        <w:rPr>
          <w:rFonts w:ascii="Book Antiqua" w:hAnsi="Book Antiqua"/>
        </w:rPr>
        <w:t xml:space="preserve"> Evidence Code § 455(a), “If the trial court … has taken … judicial notice of such matter [specified in Section 452 or in subdivision (f) of Section 451], the court shall afford each party reasonable opportunity … to present to the court information relevant to (1) the propriety of taking judicial notice of the matter and (2) the tenor of the matter to be noticed.”  The facts of this matter are judicially noticeable pursuant to Section Section 452(g)</w:t>
      </w:r>
      <w:r w:rsidR="00703D9A">
        <w:rPr>
          <w:rFonts w:ascii="Book Antiqua" w:hAnsi="Book Antiqua"/>
        </w:rPr>
        <w:t xml:space="preserve">. </w:t>
      </w:r>
      <w:r w:rsidRPr="008106C7">
        <w:rPr>
          <w:rFonts w:ascii="Book Antiqua" w:hAnsi="Book Antiqua"/>
        </w:rPr>
        <w:t xml:space="preserve"> (“Facts and propositions that are of such common knowledge within the territorial jurisdiction of the court that they cannot reasonably be </w:t>
      </w:r>
      <w:r w:rsidR="001E0CC7" w:rsidRPr="008106C7">
        <w:rPr>
          <w:rFonts w:ascii="Book Antiqua" w:hAnsi="Book Antiqua"/>
        </w:rPr>
        <w:t>the subject of dispute.”)</w:t>
      </w:r>
      <w:r w:rsidRPr="008106C7">
        <w:rPr>
          <w:rFonts w:ascii="Book Antiqua" w:hAnsi="Book Antiqua"/>
        </w:rPr>
        <w:t xml:space="preserve"> </w:t>
      </w:r>
      <w:r w:rsidR="00362FB3">
        <w:rPr>
          <w:rFonts w:ascii="Book Antiqua" w:hAnsi="Book Antiqua"/>
        </w:rPr>
        <w:br/>
      </w:r>
    </w:p>
  </w:footnote>
  <w:footnote w:id="7">
    <w:p w14:paraId="3201945F" w14:textId="73B4E819" w:rsidR="00AC51B7" w:rsidRDefault="00AC51B7">
      <w:pPr>
        <w:pStyle w:val="FootnoteText"/>
      </w:pPr>
      <w:r>
        <w:rPr>
          <w:rStyle w:val="FootnoteReference"/>
        </w:rPr>
        <w:footnoteRef/>
      </w:r>
      <w:r>
        <w:t xml:space="preserve"> </w:t>
      </w:r>
      <w:r w:rsidRPr="008106C7">
        <w:rPr>
          <w:rFonts w:ascii="Book Antiqua" w:hAnsi="Book Antiqua"/>
        </w:rPr>
        <w:t xml:space="preserve">SJCE </w:t>
      </w:r>
      <w:r w:rsidR="00D7400F">
        <w:rPr>
          <w:rFonts w:ascii="Book Antiqua" w:hAnsi="Book Antiqua"/>
        </w:rPr>
        <w:t>motion for reconsideration, pp. 9-10.</w:t>
      </w:r>
      <w:r w:rsidR="0016731F">
        <w:rPr>
          <w:rFonts w:ascii="Book Antiqua" w:hAnsi="Book Antiqua"/>
        </w:rPr>
        <w:br/>
      </w:r>
    </w:p>
  </w:footnote>
  <w:footnote w:id="8">
    <w:p w14:paraId="33B00C9F" w14:textId="1C0FCD53" w:rsidR="00810E84" w:rsidRDefault="00810E84">
      <w:pPr>
        <w:pStyle w:val="FootnoteText"/>
      </w:pPr>
      <w:r>
        <w:rPr>
          <w:rStyle w:val="FootnoteReference"/>
        </w:rPr>
        <w:footnoteRef/>
      </w:r>
      <w:r>
        <w:t xml:space="preserve"> SJCE comments, p.13.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E60ABA" w14:paraId="4CB48A7D" w14:textId="77777777">
      <w:tc>
        <w:tcPr>
          <w:tcW w:w="10800" w:type="dxa"/>
          <w:tcBorders>
            <w:top w:val="nil"/>
            <w:left w:val="nil"/>
            <w:bottom w:val="nil"/>
            <w:right w:val="nil"/>
          </w:tcBorders>
        </w:tcPr>
        <w:p w14:paraId="746B1B39" w14:textId="77777777" w:rsidR="00E60ABA" w:rsidRDefault="00E60ABA" w:rsidP="006F0FFA">
          <w:pPr>
            <w:adjustRightInd w:val="0"/>
            <w:ind w:left="672"/>
            <w:rPr>
              <w:rFonts w:ascii="Book Antiqua" w:hAnsi="Book Antiqua"/>
              <w:b/>
              <w:bCs/>
            </w:rPr>
          </w:pPr>
          <w:r w:rsidRPr="009335E0">
            <w:rPr>
              <w:rFonts w:ascii="Book Antiqua" w:hAnsi="Book Antiqua"/>
            </w:rPr>
            <w:t xml:space="preserve">Resolution ALJ – </w:t>
          </w:r>
          <w:proofErr w:type="gramStart"/>
          <w:r w:rsidRPr="009335E0">
            <w:rPr>
              <w:rFonts w:ascii="Book Antiqua" w:hAnsi="Book Antiqua"/>
            </w:rPr>
            <w:t>38</w:t>
          </w:r>
          <w:r>
            <w:rPr>
              <w:rFonts w:ascii="Book Antiqua" w:hAnsi="Book Antiqua"/>
            </w:rPr>
            <w:t>2</w:t>
          </w:r>
          <w:r w:rsidRPr="009335E0">
            <w:rPr>
              <w:rFonts w:ascii="Book Antiqua" w:hAnsi="Book Antiqua"/>
            </w:rPr>
            <w:t xml:space="preserve">  ALJ</w:t>
          </w:r>
          <w:proofErr w:type="gramEnd"/>
          <w:r w:rsidRPr="009335E0">
            <w:rPr>
              <w:rFonts w:ascii="Book Antiqua" w:hAnsi="Book Antiqua"/>
            </w:rPr>
            <w:t>/</w:t>
          </w:r>
          <w:r>
            <w:rPr>
              <w:rFonts w:ascii="Book Antiqua" w:hAnsi="Book Antiqua"/>
            </w:rPr>
            <w:t>xxx</w:t>
          </w:r>
          <w:r w:rsidRPr="009335E0">
            <w:rPr>
              <w:rFonts w:ascii="Book Antiqua" w:hAnsi="Book Antiqua"/>
            </w:rPr>
            <w:t>/</w:t>
          </w:r>
          <w:r>
            <w:rPr>
              <w:rFonts w:ascii="Book Antiqua" w:hAnsi="Book Antiqua"/>
            </w:rPr>
            <w:t>mph</w:t>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b/>
              <w:bCs/>
            </w:rPr>
            <w:t>DRAFT</w:t>
          </w:r>
        </w:p>
        <w:p w14:paraId="4C005B5F" w14:textId="77777777" w:rsidR="00E60ABA" w:rsidRPr="009335E0" w:rsidRDefault="00E60ABA" w:rsidP="006F0FFA">
          <w:pPr>
            <w:adjustRightInd w:val="0"/>
            <w:ind w:left="672"/>
            <w:rPr>
              <w:rFonts w:ascii="Book Antiqua" w:hAnsi="Book Antiqua"/>
              <w:b/>
              <w:bCs/>
            </w:rPr>
          </w:pPr>
        </w:p>
        <w:p w14:paraId="44BE1EE8" w14:textId="77777777" w:rsidR="00E60ABA" w:rsidRPr="004D0D22" w:rsidRDefault="00E60ABA" w:rsidP="006F0FFA">
          <w:pPr>
            <w:ind w:left="672"/>
            <w:rPr>
              <w:sz w:val="2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6C44"/>
    <w:multiLevelType w:val="hybridMultilevel"/>
    <w:tmpl w:val="6D08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448F"/>
    <w:multiLevelType w:val="hybridMultilevel"/>
    <w:tmpl w:val="13ECA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1BE6"/>
    <w:multiLevelType w:val="hybridMultilevel"/>
    <w:tmpl w:val="B1F6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550AA"/>
    <w:multiLevelType w:val="hybridMultilevel"/>
    <w:tmpl w:val="B1F6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37D7D"/>
    <w:multiLevelType w:val="hybridMultilevel"/>
    <w:tmpl w:val="11C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00766"/>
    <w:multiLevelType w:val="hybridMultilevel"/>
    <w:tmpl w:val="4D866392"/>
    <w:lvl w:ilvl="0" w:tplc="57B43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D5065"/>
    <w:multiLevelType w:val="hybridMultilevel"/>
    <w:tmpl w:val="B1F6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3202D"/>
    <w:multiLevelType w:val="hybridMultilevel"/>
    <w:tmpl w:val="1BFA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9080B"/>
    <w:multiLevelType w:val="hybridMultilevel"/>
    <w:tmpl w:val="6EDC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17793"/>
    <w:multiLevelType w:val="hybridMultilevel"/>
    <w:tmpl w:val="00FE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0"/>
  </w:num>
  <w:num w:numId="5">
    <w:abstractNumId w:val="9"/>
  </w:num>
  <w:num w:numId="6">
    <w:abstractNumId w:val="12"/>
  </w:num>
  <w:num w:numId="7">
    <w:abstractNumId w:val="4"/>
  </w:num>
  <w:num w:numId="8">
    <w:abstractNumId w:val="1"/>
  </w:num>
  <w:num w:numId="9">
    <w:abstractNumId w:val="6"/>
  </w:num>
  <w:num w:numId="10">
    <w:abstractNumId w:val="10"/>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05E60"/>
    <w:rsid w:val="00010E78"/>
    <w:rsid w:val="00021FF7"/>
    <w:rsid w:val="00023C8E"/>
    <w:rsid w:val="00031EF4"/>
    <w:rsid w:val="00032422"/>
    <w:rsid w:val="000336E4"/>
    <w:rsid w:val="00041F40"/>
    <w:rsid w:val="000509B8"/>
    <w:rsid w:val="00057F2B"/>
    <w:rsid w:val="0006163C"/>
    <w:rsid w:val="0008238A"/>
    <w:rsid w:val="00083142"/>
    <w:rsid w:val="00090DEF"/>
    <w:rsid w:val="000948B2"/>
    <w:rsid w:val="000A13C7"/>
    <w:rsid w:val="000B4A2C"/>
    <w:rsid w:val="000B7E2A"/>
    <w:rsid w:val="000C149B"/>
    <w:rsid w:val="000C1DD8"/>
    <w:rsid w:val="000C59A1"/>
    <w:rsid w:val="000C6BCB"/>
    <w:rsid w:val="000D1298"/>
    <w:rsid w:val="000D1D30"/>
    <w:rsid w:val="000D50A2"/>
    <w:rsid w:val="000F512D"/>
    <w:rsid w:val="00106387"/>
    <w:rsid w:val="00120700"/>
    <w:rsid w:val="00120BC5"/>
    <w:rsid w:val="00123F93"/>
    <w:rsid w:val="001276B3"/>
    <w:rsid w:val="001311AC"/>
    <w:rsid w:val="001378DD"/>
    <w:rsid w:val="00152BB8"/>
    <w:rsid w:val="00155541"/>
    <w:rsid w:val="00161CEA"/>
    <w:rsid w:val="00164A29"/>
    <w:rsid w:val="0016731F"/>
    <w:rsid w:val="00167F9B"/>
    <w:rsid w:val="0017011F"/>
    <w:rsid w:val="0017389F"/>
    <w:rsid w:val="001752D0"/>
    <w:rsid w:val="001849B2"/>
    <w:rsid w:val="001A17BF"/>
    <w:rsid w:val="001A3BA5"/>
    <w:rsid w:val="001A5C82"/>
    <w:rsid w:val="001B1AD6"/>
    <w:rsid w:val="001B2137"/>
    <w:rsid w:val="001B7D1C"/>
    <w:rsid w:val="001C2B02"/>
    <w:rsid w:val="001D61F3"/>
    <w:rsid w:val="001D65D1"/>
    <w:rsid w:val="001E0CC7"/>
    <w:rsid w:val="001E3BFF"/>
    <w:rsid w:val="00200714"/>
    <w:rsid w:val="00201203"/>
    <w:rsid w:val="00201BA1"/>
    <w:rsid w:val="002129F5"/>
    <w:rsid w:val="00214F83"/>
    <w:rsid w:val="00223787"/>
    <w:rsid w:val="0022490B"/>
    <w:rsid w:val="00227E62"/>
    <w:rsid w:val="00266CCE"/>
    <w:rsid w:val="00271BFD"/>
    <w:rsid w:val="0027330E"/>
    <w:rsid w:val="00280C31"/>
    <w:rsid w:val="00281F09"/>
    <w:rsid w:val="00283036"/>
    <w:rsid w:val="00283AE6"/>
    <w:rsid w:val="002840D7"/>
    <w:rsid w:val="0029430C"/>
    <w:rsid w:val="00294886"/>
    <w:rsid w:val="002B428F"/>
    <w:rsid w:val="002B60DD"/>
    <w:rsid w:val="002B75AA"/>
    <w:rsid w:val="002E4A38"/>
    <w:rsid w:val="002E6151"/>
    <w:rsid w:val="002E7E53"/>
    <w:rsid w:val="002F3BAE"/>
    <w:rsid w:val="002F58AB"/>
    <w:rsid w:val="002F6D7C"/>
    <w:rsid w:val="003003D9"/>
    <w:rsid w:val="00301EAF"/>
    <w:rsid w:val="003039CE"/>
    <w:rsid w:val="00304269"/>
    <w:rsid w:val="00307F7E"/>
    <w:rsid w:val="00315D63"/>
    <w:rsid w:val="003204B0"/>
    <w:rsid w:val="0032386D"/>
    <w:rsid w:val="0033393D"/>
    <w:rsid w:val="00335257"/>
    <w:rsid w:val="00345488"/>
    <w:rsid w:val="00353176"/>
    <w:rsid w:val="00353607"/>
    <w:rsid w:val="003571F8"/>
    <w:rsid w:val="00362FB3"/>
    <w:rsid w:val="003630CE"/>
    <w:rsid w:val="00363D81"/>
    <w:rsid w:val="00364D1E"/>
    <w:rsid w:val="00382323"/>
    <w:rsid w:val="0038314D"/>
    <w:rsid w:val="003835EE"/>
    <w:rsid w:val="003908D8"/>
    <w:rsid w:val="00392563"/>
    <w:rsid w:val="00393BF8"/>
    <w:rsid w:val="003A0E70"/>
    <w:rsid w:val="003A3379"/>
    <w:rsid w:val="003B42B4"/>
    <w:rsid w:val="003B76CB"/>
    <w:rsid w:val="003C2258"/>
    <w:rsid w:val="003F15F7"/>
    <w:rsid w:val="003F37AA"/>
    <w:rsid w:val="003F4B52"/>
    <w:rsid w:val="004046BE"/>
    <w:rsid w:val="00406163"/>
    <w:rsid w:val="00420B11"/>
    <w:rsid w:val="00422AC7"/>
    <w:rsid w:val="00425EA0"/>
    <w:rsid w:val="00432C53"/>
    <w:rsid w:val="00432F1A"/>
    <w:rsid w:val="00440026"/>
    <w:rsid w:val="004430FD"/>
    <w:rsid w:val="00444598"/>
    <w:rsid w:val="00447EF3"/>
    <w:rsid w:val="004517A6"/>
    <w:rsid w:val="00454576"/>
    <w:rsid w:val="00460D6A"/>
    <w:rsid w:val="00461EE9"/>
    <w:rsid w:val="004628F9"/>
    <w:rsid w:val="00463724"/>
    <w:rsid w:val="004648CF"/>
    <w:rsid w:val="00470348"/>
    <w:rsid w:val="00470ED5"/>
    <w:rsid w:val="004A0EC9"/>
    <w:rsid w:val="004A3EFB"/>
    <w:rsid w:val="004A572D"/>
    <w:rsid w:val="004B2B2C"/>
    <w:rsid w:val="004B5601"/>
    <w:rsid w:val="004C0660"/>
    <w:rsid w:val="004C53C7"/>
    <w:rsid w:val="004D0D22"/>
    <w:rsid w:val="004D1633"/>
    <w:rsid w:val="004E3CBA"/>
    <w:rsid w:val="004E7748"/>
    <w:rsid w:val="0050268A"/>
    <w:rsid w:val="005057E4"/>
    <w:rsid w:val="00533F08"/>
    <w:rsid w:val="00543BA3"/>
    <w:rsid w:val="005449BB"/>
    <w:rsid w:val="00546C01"/>
    <w:rsid w:val="005476DC"/>
    <w:rsid w:val="00555536"/>
    <w:rsid w:val="00556DD9"/>
    <w:rsid w:val="005633A8"/>
    <w:rsid w:val="00563E21"/>
    <w:rsid w:val="00566FB0"/>
    <w:rsid w:val="0056753C"/>
    <w:rsid w:val="00591615"/>
    <w:rsid w:val="00592BDD"/>
    <w:rsid w:val="00594CEB"/>
    <w:rsid w:val="005A6CD7"/>
    <w:rsid w:val="005B4970"/>
    <w:rsid w:val="005C057B"/>
    <w:rsid w:val="005C5E24"/>
    <w:rsid w:val="005D0129"/>
    <w:rsid w:val="005D4489"/>
    <w:rsid w:val="005D5617"/>
    <w:rsid w:val="005E53B1"/>
    <w:rsid w:val="005F058D"/>
    <w:rsid w:val="005F55D7"/>
    <w:rsid w:val="005F7F1F"/>
    <w:rsid w:val="0060003C"/>
    <w:rsid w:val="00605AEF"/>
    <w:rsid w:val="00632F9C"/>
    <w:rsid w:val="00635916"/>
    <w:rsid w:val="00641FB6"/>
    <w:rsid w:val="006604D5"/>
    <w:rsid w:val="00661EF3"/>
    <w:rsid w:val="006651AA"/>
    <w:rsid w:val="00670EE8"/>
    <w:rsid w:val="00692FDD"/>
    <w:rsid w:val="006B35E5"/>
    <w:rsid w:val="006D1B12"/>
    <w:rsid w:val="006D7B0B"/>
    <w:rsid w:val="006E6A01"/>
    <w:rsid w:val="006E70D9"/>
    <w:rsid w:val="006F0DBA"/>
    <w:rsid w:val="006F0FFA"/>
    <w:rsid w:val="006F11A0"/>
    <w:rsid w:val="006F3556"/>
    <w:rsid w:val="0070036D"/>
    <w:rsid w:val="00703D9A"/>
    <w:rsid w:val="0070638C"/>
    <w:rsid w:val="00707BBE"/>
    <w:rsid w:val="00711560"/>
    <w:rsid w:val="007169A7"/>
    <w:rsid w:val="007169D1"/>
    <w:rsid w:val="0072081E"/>
    <w:rsid w:val="00724912"/>
    <w:rsid w:val="007376D9"/>
    <w:rsid w:val="00745A6E"/>
    <w:rsid w:val="00747FA5"/>
    <w:rsid w:val="00750538"/>
    <w:rsid w:val="00753173"/>
    <w:rsid w:val="007547A1"/>
    <w:rsid w:val="00757ECE"/>
    <w:rsid w:val="0076480A"/>
    <w:rsid w:val="00770536"/>
    <w:rsid w:val="00776A01"/>
    <w:rsid w:val="00780D0A"/>
    <w:rsid w:val="00781297"/>
    <w:rsid w:val="007840AB"/>
    <w:rsid w:val="0078534B"/>
    <w:rsid w:val="0079795A"/>
    <w:rsid w:val="007A1CFB"/>
    <w:rsid w:val="007A5A8F"/>
    <w:rsid w:val="007A774B"/>
    <w:rsid w:val="007B4480"/>
    <w:rsid w:val="007B4754"/>
    <w:rsid w:val="007B484F"/>
    <w:rsid w:val="007B7441"/>
    <w:rsid w:val="007C6773"/>
    <w:rsid w:val="007D0273"/>
    <w:rsid w:val="007D5E05"/>
    <w:rsid w:val="007E2E21"/>
    <w:rsid w:val="007E60F7"/>
    <w:rsid w:val="007E7FC0"/>
    <w:rsid w:val="007F262F"/>
    <w:rsid w:val="00801258"/>
    <w:rsid w:val="008012D1"/>
    <w:rsid w:val="008061BE"/>
    <w:rsid w:val="008106C7"/>
    <w:rsid w:val="00810E84"/>
    <w:rsid w:val="00813A90"/>
    <w:rsid w:val="008174BF"/>
    <w:rsid w:val="00817B9F"/>
    <w:rsid w:val="00822656"/>
    <w:rsid w:val="008307C7"/>
    <w:rsid w:val="0083350A"/>
    <w:rsid w:val="008451C5"/>
    <w:rsid w:val="0084639C"/>
    <w:rsid w:val="0085207D"/>
    <w:rsid w:val="00857581"/>
    <w:rsid w:val="00861321"/>
    <w:rsid w:val="00866A55"/>
    <w:rsid w:val="00872B9C"/>
    <w:rsid w:val="008807F0"/>
    <w:rsid w:val="0088626F"/>
    <w:rsid w:val="0089058A"/>
    <w:rsid w:val="00894B21"/>
    <w:rsid w:val="00897C3B"/>
    <w:rsid w:val="008A1487"/>
    <w:rsid w:val="008A3410"/>
    <w:rsid w:val="008A403D"/>
    <w:rsid w:val="008B167E"/>
    <w:rsid w:val="008B4A2B"/>
    <w:rsid w:val="008C0488"/>
    <w:rsid w:val="008C32ED"/>
    <w:rsid w:val="008D4DB2"/>
    <w:rsid w:val="008E5CB0"/>
    <w:rsid w:val="008F5538"/>
    <w:rsid w:val="009002C6"/>
    <w:rsid w:val="009144A7"/>
    <w:rsid w:val="0092487E"/>
    <w:rsid w:val="00927CB4"/>
    <w:rsid w:val="00931471"/>
    <w:rsid w:val="00932101"/>
    <w:rsid w:val="00934D52"/>
    <w:rsid w:val="00950492"/>
    <w:rsid w:val="00954A71"/>
    <w:rsid w:val="009566F7"/>
    <w:rsid w:val="00960D3A"/>
    <w:rsid w:val="009666CE"/>
    <w:rsid w:val="00966A92"/>
    <w:rsid w:val="00977A23"/>
    <w:rsid w:val="009833A2"/>
    <w:rsid w:val="009929B5"/>
    <w:rsid w:val="009932EA"/>
    <w:rsid w:val="009B0867"/>
    <w:rsid w:val="009B0B31"/>
    <w:rsid w:val="009B5B5D"/>
    <w:rsid w:val="009B79F0"/>
    <w:rsid w:val="009C39E0"/>
    <w:rsid w:val="009D0A97"/>
    <w:rsid w:val="009E33B7"/>
    <w:rsid w:val="009E35E3"/>
    <w:rsid w:val="009E5796"/>
    <w:rsid w:val="009E6A79"/>
    <w:rsid w:val="009F04DD"/>
    <w:rsid w:val="009F1E9C"/>
    <w:rsid w:val="009F3978"/>
    <w:rsid w:val="00A0737A"/>
    <w:rsid w:val="00A077A7"/>
    <w:rsid w:val="00A12F55"/>
    <w:rsid w:val="00A140A7"/>
    <w:rsid w:val="00A17E6F"/>
    <w:rsid w:val="00A2104D"/>
    <w:rsid w:val="00A22639"/>
    <w:rsid w:val="00A25E39"/>
    <w:rsid w:val="00A268FC"/>
    <w:rsid w:val="00A34005"/>
    <w:rsid w:val="00A45272"/>
    <w:rsid w:val="00A47BA6"/>
    <w:rsid w:val="00A50934"/>
    <w:rsid w:val="00A5456C"/>
    <w:rsid w:val="00A76DFA"/>
    <w:rsid w:val="00A83B5C"/>
    <w:rsid w:val="00A87B8D"/>
    <w:rsid w:val="00A96755"/>
    <w:rsid w:val="00A97D71"/>
    <w:rsid w:val="00AA2B72"/>
    <w:rsid w:val="00AA3BEA"/>
    <w:rsid w:val="00AB303C"/>
    <w:rsid w:val="00AC51B7"/>
    <w:rsid w:val="00AC773A"/>
    <w:rsid w:val="00AC78FB"/>
    <w:rsid w:val="00AD129D"/>
    <w:rsid w:val="00AD38A5"/>
    <w:rsid w:val="00AE36B5"/>
    <w:rsid w:val="00AF5AAB"/>
    <w:rsid w:val="00AF5F80"/>
    <w:rsid w:val="00AF7668"/>
    <w:rsid w:val="00AF7FAE"/>
    <w:rsid w:val="00B029AA"/>
    <w:rsid w:val="00B033C1"/>
    <w:rsid w:val="00B05EAA"/>
    <w:rsid w:val="00B24E99"/>
    <w:rsid w:val="00B41DF0"/>
    <w:rsid w:val="00B42836"/>
    <w:rsid w:val="00B43256"/>
    <w:rsid w:val="00B533F8"/>
    <w:rsid w:val="00B542DB"/>
    <w:rsid w:val="00B61B5E"/>
    <w:rsid w:val="00B64E74"/>
    <w:rsid w:val="00B7450F"/>
    <w:rsid w:val="00B817BC"/>
    <w:rsid w:val="00B81FD7"/>
    <w:rsid w:val="00B828CF"/>
    <w:rsid w:val="00B861B5"/>
    <w:rsid w:val="00B935C2"/>
    <w:rsid w:val="00BA5238"/>
    <w:rsid w:val="00BB2F26"/>
    <w:rsid w:val="00BB348C"/>
    <w:rsid w:val="00BB54B6"/>
    <w:rsid w:val="00BC161A"/>
    <w:rsid w:val="00BC1C13"/>
    <w:rsid w:val="00BC2443"/>
    <w:rsid w:val="00BE74DA"/>
    <w:rsid w:val="00BF385F"/>
    <w:rsid w:val="00BF56D1"/>
    <w:rsid w:val="00BF6000"/>
    <w:rsid w:val="00C00DBB"/>
    <w:rsid w:val="00C17EB5"/>
    <w:rsid w:val="00C21BED"/>
    <w:rsid w:val="00C262DA"/>
    <w:rsid w:val="00C35196"/>
    <w:rsid w:val="00C4154A"/>
    <w:rsid w:val="00C439F9"/>
    <w:rsid w:val="00C43BAF"/>
    <w:rsid w:val="00C44DCC"/>
    <w:rsid w:val="00C47266"/>
    <w:rsid w:val="00C47C2A"/>
    <w:rsid w:val="00C47DAA"/>
    <w:rsid w:val="00C82757"/>
    <w:rsid w:val="00C84E96"/>
    <w:rsid w:val="00C86F3A"/>
    <w:rsid w:val="00C90456"/>
    <w:rsid w:val="00C974CA"/>
    <w:rsid w:val="00CA05FB"/>
    <w:rsid w:val="00CB432B"/>
    <w:rsid w:val="00CC2619"/>
    <w:rsid w:val="00CD395D"/>
    <w:rsid w:val="00CE2DF8"/>
    <w:rsid w:val="00CF1E6B"/>
    <w:rsid w:val="00CF4FF1"/>
    <w:rsid w:val="00D06F16"/>
    <w:rsid w:val="00D13274"/>
    <w:rsid w:val="00D21CCD"/>
    <w:rsid w:val="00D2215C"/>
    <w:rsid w:val="00D41539"/>
    <w:rsid w:val="00D55A27"/>
    <w:rsid w:val="00D66CE6"/>
    <w:rsid w:val="00D7400F"/>
    <w:rsid w:val="00D80C8C"/>
    <w:rsid w:val="00D81EAC"/>
    <w:rsid w:val="00D82A0F"/>
    <w:rsid w:val="00D83FDE"/>
    <w:rsid w:val="00D91A07"/>
    <w:rsid w:val="00D9447A"/>
    <w:rsid w:val="00DA1ACA"/>
    <w:rsid w:val="00DA5F05"/>
    <w:rsid w:val="00DA73BD"/>
    <w:rsid w:val="00DA7A9F"/>
    <w:rsid w:val="00DB2884"/>
    <w:rsid w:val="00DD60A7"/>
    <w:rsid w:val="00DE46A8"/>
    <w:rsid w:val="00DE54CA"/>
    <w:rsid w:val="00DE7060"/>
    <w:rsid w:val="00DF59E4"/>
    <w:rsid w:val="00E018DE"/>
    <w:rsid w:val="00E05A03"/>
    <w:rsid w:val="00E06FEF"/>
    <w:rsid w:val="00E07469"/>
    <w:rsid w:val="00E14C08"/>
    <w:rsid w:val="00E14EF2"/>
    <w:rsid w:val="00E2018D"/>
    <w:rsid w:val="00E310AF"/>
    <w:rsid w:val="00E33AC4"/>
    <w:rsid w:val="00E37B54"/>
    <w:rsid w:val="00E45515"/>
    <w:rsid w:val="00E53DF6"/>
    <w:rsid w:val="00E60ABA"/>
    <w:rsid w:val="00E623DE"/>
    <w:rsid w:val="00E678C5"/>
    <w:rsid w:val="00E7067E"/>
    <w:rsid w:val="00E70B77"/>
    <w:rsid w:val="00E83FAF"/>
    <w:rsid w:val="00EA6132"/>
    <w:rsid w:val="00EC0132"/>
    <w:rsid w:val="00EC663A"/>
    <w:rsid w:val="00ED3040"/>
    <w:rsid w:val="00ED6455"/>
    <w:rsid w:val="00EE55D2"/>
    <w:rsid w:val="00EF0F3A"/>
    <w:rsid w:val="00EF11C2"/>
    <w:rsid w:val="00EF1224"/>
    <w:rsid w:val="00EF3D20"/>
    <w:rsid w:val="00EF6CB4"/>
    <w:rsid w:val="00F05B56"/>
    <w:rsid w:val="00F213F2"/>
    <w:rsid w:val="00F25C4D"/>
    <w:rsid w:val="00F37F8F"/>
    <w:rsid w:val="00F40C64"/>
    <w:rsid w:val="00F42C58"/>
    <w:rsid w:val="00F457E8"/>
    <w:rsid w:val="00F45F6F"/>
    <w:rsid w:val="00F4704F"/>
    <w:rsid w:val="00F478C2"/>
    <w:rsid w:val="00F52F3A"/>
    <w:rsid w:val="00F5545C"/>
    <w:rsid w:val="00F5558B"/>
    <w:rsid w:val="00F624DB"/>
    <w:rsid w:val="00F6766B"/>
    <w:rsid w:val="00F724DD"/>
    <w:rsid w:val="00F730E5"/>
    <w:rsid w:val="00F73EE5"/>
    <w:rsid w:val="00F7759B"/>
    <w:rsid w:val="00F779E2"/>
    <w:rsid w:val="00F87E9A"/>
    <w:rsid w:val="00FA0B3C"/>
    <w:rsid w:val="00FA7A56"/>
    <w:rsid w:val="00FB3269"/>
    <w:rsid w:val="00FC2AB4"/>
    <w:rsid w:val="00FC4FF5"/>
    <w:rsid w:val="00FC6289"/>
    <w:rsid w:val="00FC6363"/>
    <w:rsid w:val="00FC6E41"/>
    <w:rsid w:val="00FD021E"/>
    <w:rsid w:val="00FD2216"/>
    <w:rsid w:val="00FD7363"/>
    <w:rsid w:val="00FE10BC"/>
    <w:rsid w:val="00FE2CE2"/>
    <w:rsid w:val="00FE5042"/>
    <w:rsid w:val="00FF004B"/>
    <w:rsid w:val="00FF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63D08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EAF"/>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character" w:customStyle="1" w:styleId="FootnoteTextChar">
    <w:name w:val="Footnote Text Char"/>
    <w:link w:val="FootnoteText"/>
    <w:semiHidden/>
    <w:rsid w:val="00F42C58"/>
    <w:rPr>
      <w:rFonts w:ascii="Palatino" w:hAnsi="Palatino"/>
      <w:sz w:val="24"/>
    </w:rPr>
  </w:style>
  <w:style w:type="paragraph" w:styleId="Quote">
    <w:name w:val="Quote"/>
    <w:basedOn w:val="Normal"/>
    <w:next w:val="Normal"/>
    <w:link w:val="QuoteChar"/>
    <w:uiPriority w:val="29"/>
    <w:qFormat/>
    <w:rsid w:val="00CD395D"/>
    <w:pPr>
      <w:spacing w:before="200" w:after="160"/>
      <w:ind w:left="864" w:right="864"/>
      <w:jc w:val="center"/>
    </w:pPr>
    <w:rPr>
      <w:i/>
      <w:iCs/>
      <w:color w:val="404040"/>
    </w:rPr>
  </w:style>
  <w:style w:type="character" w:customStyle="1" w:styleId="QuoteChar">
    <w:name w:val="Quote Char"/>
    <w:link w:val="Quote"/>
    <w:uiPriority w:val="29"/>
    <w:rsid w:val="00CD395D"/>
    <w:rPr>
      <w:rFonts w:ascii="Palatino" w:hAnsi="Palatino"/>
      <w:i/>
      <w:iCs/>
      <w:color w:val="404040"/>
      <w:sz w:val="24"/>
    </w:rPr>
  </w:style>
  <w:style w:type="paragraph" w:styleId="Subtitle">
    <w:name w:val="Subtitle"/>
    <w:basedOn w:val="Normal"/>
    <w:next w:val="Normal"/>
    <w:link w:val="SubtitleChar"/>
    <w:qFormat/>
    <w:rsid w:val="000B7E2A"/>
    <w:pPr>
      <w:spacing w:after="60"/>
      <w:jc w:val="center"/>
      <w:outlineLvl w:val="1"/>
    </w:pPr>
    <w:rPr>
      <w:rFonts w:ascii="Calibri Light" w:hAnsi="Calibri Light"/>
      <w:szCs w:val="24"/>
    </w:rPr>
  </w:style>
  <w:style w:type="character" w:customStyle="1" w:styleId="SubtitleChar">
    <w:name w:val="Subtitle Char"/>
    <w:link w:val="Subtitle"/>
    <w:rsid w:val="000B7E2A"/>
    <w:rPr>
      <w:rFonts w:ascii="Calibri Light" w:eastAsia="Times New Roman" w:hAnsi="Calibri Light" w:cs="Times New Roman"/>
      <w:sz w:val="24"/>
      <w:szCs w:val="24"/>
    </w:rPr>
  </w:style>
  <w:style w:type="paragraph" w:styleId="ListParagraph">
    <w:name w:val="List Paragraph"/>
    <w:basedOn w:val="Normal"/>
    <w:uiPriority w:val="34"/>
    <w:qFormat/>
    <w:rsid w:val="004E3CBA"/>
    <w:pPr>
      <w:ind w:left="720"/>
    </w:pPr>
  </w:style>
  <w:style w:type="paragraph" w:styleId="BalloonText">
    <w:name w:val="Balloon Text"/>
    <w:basedOn w:val="Normal"/>
    <w:link w:val="BalloonTextChar"/>
    <w:rsid w:val="009E33B7"/>
    <w:rPr>
      <w:rFonts w:ascii="Segoe UI" w:hAnsi="Segoe UI" w:cs="Segoe UI"/>
      <w:sz w:val="18"/>
      <w:szCs w:val="18"/>
    </w:rPr>
  </w:style>
  <w:style w:type="character" w:customStyle="1" w:styleId="BalloonTextChar">
    <w:name w:val="Balloon Text Char"/>
    <w:link w:val="BalloonText"/>
    <w:rsid w:val="009E33B7"/>
    <w:rPr>
      <w:rFonts w:ascii="Segoe UI" w:hAnsi="Segoe UI" w:cs="Segoe UI"/>
      <w:sz w:val="18"/>
      <w:szCs w:val="18"/>
    </w:rPr>
  </w:style>
  <w:style w:type="paragraph" w:styleId="Revision">
    <w:name w:val="Revision"/>
    <w:hidden/>
    <w:uiPriority w:val="99"/>
    <w:semiHidden/>
    <w:rsid w:val="00266CCE"/>
    <w:rPr>
      <w:rFonts w:ascii="Palatino" w:hAnsi="Palatino"/>
      <w:sz w:val="24"/>
    </w:rPr>
  </w:style>
  <w:style w:type="character" w:styleId="Hyperlink">
    <w:name w:val="Hyperlink"/>
    <w:rsid w:val="00382323"/>
    <w:rPr>
      <w:color w:val="0563C1"/>
      <w:u w:val="single"/>
    </w:rPr>
  </w:style>
  <w:style w:type="paragraph" w:customStyle="1" w:styleId="Default">
    <w:name w:val="Default"/>
    <w:rsid w:val="00382323"/>
    <w:pPr>
      <w:autoSpaceDE w:val="0"/>
      <w:autoSpaceDN w:val="0"/>
      <w:adjustRightInd w:val="0"/>
    </w:pPr>
    <w:rPr>
      <w:rFonts w:ascii="Book Antiqua" w:hAnsi="Book Antiqua" w:cs="Book Antiqua"/>
      <w:color w:val="000000"/>
      <w:sz w:val="24"/>
      <w:szCs w:val="24"/>
    </w:rPr>
  </w:style>
  <w:style w:type="character" w:customStyle="1" w:styleId="HeaderChar">
    <w:name w:val="Header Char"/>
    <w:basedOn w:val="DefaultParagraphFont"/>
    <w:link w:val="Header"/>
    <w:uiPriority w:val="99"/>
    <w:rsid w:val="003835EE"/>
    <w:rPr>
      <w:rFonts w:ascii="Palatino" w:hAnsi="Palatino"/>
      <w:sz w:val="24"/>
    </w:rPr>
  </w:style>
  <w:style w:type="character" w:customStyle="1" w:styleId="FooterChar">
    <w:name w:val="Footer Char"/>
    <w:basedOn w:val="DefaultParagraphFont"/>
    <w:link w:val="Footer"/>
    <w:uiPriority w:val="99"/>
    <w:rsid w:val="003835E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12F4-4515-4298-A3E3-D66AE2BF0C3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4422</ap:Words>
  <ap:Characters>23093</ap:Characters>
  <ap:Application>Microsoft Office Word</ap:Application>
  <ap:DocSecurity>4</ap:DocSecurity>
  <ap:Lines>192</ap:Lines>
  <ap:Paragraphs>54</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27461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2020-08-03T08:46:49Z</dcterms:created>
  <dcterms:modified xsi:type="dcterms:W3CDTF">2020-08-03T08:46:49Z</dcterms:modified>
</cp:coreProperties>
</file>