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3603" w:rsidR="0052521F" w:rsidP="00023603" w:rsidRDefault="0052521F" w14:paraId="58EC9861" w14:textId="67CEB408">
      <w:pPr>
        <w:tabs>
          <w:tab w:val="left" w:pos="2070"/>
          <w:tab w:val="left" w:pos="2970"/>
        </w:tabs>
        <w:ind w:right="-180"/>
        <w:rPr>
          <w:b/>
          <w:bCs/>
        </w:rPr>
      </w:pPr>
      <w:r>
        <w:t>ALJ/</w:t>
      </w:r>
      <w:r w:rsidR="003E7AEE">
        <w:t>JF2</w:t>
      </w:r>
      <w:r>
        <w:t>/</w:t>
      </w:r>
      <w:r w:rsidR="00BF087F">
        <w:t>gp2</w:t>
      </w:r>
      <w:r>
        <w:tab/>
      </w:r>
      <w:r w:rsidR="00023603">
        <w:tab/>
      </w:r>
      <w:r w:rsidR="00CA7914">
        <w:rPr>
          <w:rFonts w:ascii="Helvetica" w:hAnsi="Helvetica"/>
          <w:b/>
          <w:sz w:val="32"/>
          <w:szCs w:val="32"/>
        </w:rPr>
        <w:t>PROPOSED DECISION</w:t>
      </w:r>
      <w:r>
        <w:tab/>
      </w:r>
      <w:r w:rsidR="00023603">
        <w:tab/>
      </w:r>
      <w:r w:rsidRPr="00023603">
        <w:rPr>
          <w:b/>
          <w:bCs/>
        </w:rPr>
        <w:t>Agenda ID #</w:t>
      </w:r>
      <w:r w:rsidRPr="00023603" w:rsidR="00023603">
        <w:rPr>
          <w:b/>
          <w:bCs/>
        </w:rPr>
        <w:t>18695</w:t>
      </w:r>
    </w:p>
    <w:p w:rsidRPr="00023603" w:rsidR="0052521F" w:rsidP="00023603" w:rsidRDefault="00BF3E14" w14:paraId="079EA605" w14:textId="195EA67E">
      <w:pPr>
        <w:jc w:val="right"/>
        <w:rPr>
          <w:b/>
          <w:bCs/>
        </w:rPr>
      </w:pPr>
      <w:r w:rsidRPr="00023603">
        <w:rPr>
          <w:b/>
          <w:bCs/>
        </w:rPr>
        <w:t>Quasi-Legislative</w:t>
      </w:r>
    </w:p>
    <w:p w:rsidR="0052521F" w:rsidRDefault="0052521F" w14:paraId="6C53CD0E" w14:textId="77777777"/>
    <w:p w:rsidR="0052521F" w:rsidRDefault="0052521F" w14:paraId="65EE779D" w14:textId="77777777">
      <w:pPr>
        <w:suppressAutoHyphens/>
        <w:rPr>
          <w:sz w:val="20"/>
          <w:u w:val="single"/>
        </w:rPr>
      </w:pPr>
      <w:r>
        <w:t xml:space="preserve">Decision </w:t>
      </w:r>
      <w:r>
        <w:rPr>
          <w:u w:val="single"/>
        </w:rPr>
        <w:tab/>
      </w:r>
      <w:r>
        <w:rPr>
          <w:u w:val="single"/>
        </w:rPr>
        <w:tab/>
      </w:r>
      <w:r>
        <w:rPr>
          <w:u w:val="single"/>
        </w:rPr>
        <w:tab/>
      </w:r>
    </w:p>
    <w:p w:rsidR="0052521F" w:rsidRDefault="0052521F" w14:paraId="086FA0AC" w14:textId="77777777"/>
    <w:p w:rsidR="0052521F" w:rsidRDefault="0052521F" w14:paraId="3D73A9C5" w14:textId="77777777">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14:paraId="1944C8C1" w14:textId="77777777">
      <w:pPr>
        <w:suppressAutoHyphens/>
      </w:pPr>
    </w:p>
    <w:tbl>
      <w:tblPr>
        <w:tblW w:w="0" w:type="auto"/>
        <w:tblLayout w:type="fixed"/>
        <w:tblLook w:val="0000" w:firstRow="0" w:lastRow="0" w:firstColumn="0" w:lastColumn="0" w:noHBand="0" w:noVBand="0"/>
      </w:tblPr>
      <w:tblGrid>
        <w:gridCol w:w="5328"/>
        <w:gridCol w:w="4320"/>
      </w:tblGrid>
      <w:tr w:rsidR="0052521F" w:rsidTr="003E7AEE" w14:paraId="7E669B9E" w14:textId="77777777">
        <w:tc>
          <w:tcPr>
            <w:tcW w:w="5328" w:type="dxa"/>
            <w:tcBorders>
              <w:bottom w:val="single" w:color="auto" w:sz="6" w:space="0"/>
              <w:right w:val="single" w:color="auto" w:sz="6" w:space="0"/>
            </w:tcBorders>
          </w:tcPr>
          <w:p w:rsidR="0052521F" w:rsidRDefault="00845BDB" w14:paraId="4F049E29" w14:textId="7F347AC2">
            <w:pPr>
              <w:ind w:right="-108"/>
            </w:pPr>
            <w:r>
              <w:t xml:space="preserve">Order Instituting Rulemaking to </w:t>
            </w:r>
            <w:r w:rsidR="003C75D7">
              <w:t>Inv</w:t>
            </w:r>
            <w:r w:rsidR="003E7AEE">
              <w:t xml:space="preserve">estigate and Design Clean Energy Financing Options for Electricity and Natural Gas </w:t>
            </w:r>
            <w:r w:rsidR="00546584">
              <w:t>Customers</w:t>
            </w:r>
            <w:r>
              <w:t>.</w:t>
            </w:r>
            <w:r w:rsidR="003732A9">
              <w:t xml:space="preserve"> </w:t>
            </w:r>
          </w:p>
          <w:p w:rsidR="003732A9" w:rsidRDefault="003732A9" w14:paraId="7ED653F3" w14:textId="7A8803BF">
            <w:pPr>
              <w:ind w:right="-108"/>
            </w:pPr>
          </w:p>
        </w:tc>
        <w:tc>
          <w:tcPr>
            <w:tcW w:w="4320" w:type="dxa"/>
            <w:tcBorders>
              <w:left w:val="nil"/>
            </w:tcBorders>
          </w:tcPr>
          <w:p w:rsidR="003732A9" w:rsidRDefault="003732A9" w14:paraId="617E2EE2" w14:textId="7E47D212">
            <w:pPr>
              <w:jc w:val="center"/>
              <w:rPr>
                <w:szCs w:val="26"/>
              </w:rPr>
            </w:pPr>
          </w:p>
          <w:p w:rsidR="00BF087F" w:rsidRDefault="00BF087F" w14:paraId="24530AC1" w14:textId="77777777">
            <w:pPr>
              <w:jc w:val="center"/>
              <w:rPr>
                <w:szCs w:val="26"/>
              </w:rPr>
            </w:pPr>
          </w:p>
          <w:p w:rsidR="00845BDB" w:rsidRDefault="00BF087F" w14:paraId="0EF87D78" w14:textId="28F5F1BE">
            <w:pPr>
              <w:jc w:val="center"/>
              <w:rPr>
                <w:szCs w:val="26"/>
              </w:rPr>
            </w:pPr>
            <w:r>
              <w:rPr>
                <w:szCs w:val="26"/>
              </w:rPr>
              <w:t>R.___________</w:t>
            </w:r>
          </w:p>
          <w:p w:rsidR="0052521F" w:rsidRDefault="0052521F" w14:paraId="6DF22AF3" w14:textId="77777777">
            <w:pPr>
              <w:ind w:right="-1124"/>
            </w:pPr>
          </w:p>
        </w:tc>
      </w:tr>
    </w:tbl>
    <w:p w:rsidR="0052521F" w:rsidRDefault="0052521F" w14:paraId="416CF99B" w14:textId="77777777">
      <w:pPr>
        <w:suppressAutoHyphens/>
      </w:pPr>
    </w:p>
    <w:p w:rsidR="0052521F" w:rsidRDefault="0052521F" w14:paraId="0CB076DE" w14:textId="77777777"/>
    <w:p w:rsidR="0052521F" w:rsidRDefault="00845BDB" w14:paraId="68CCE808" w14:textId="4DC4D559">
      <w:pPr>
        <w:pStyle w:val="main"/>
        <w:rPr>
          <w:rStyle w:val="mainChar"/>
        </w:rPr>
      </w:pPr>
      <w:r>
        <w:t>ORDER INSTITUTING RULEMAKING</w:t>
      </w:r>
      <w:r w:rsidR="000A5424">
        <w:t xml:space="preserve"> </w:t>
      </w:r>
    </w:p>
    <w:p w:rsidR="0052521F" w:rsidRDefault="0052521F" w14:paraId="17EE5C64" w14:textId="77777777"/>
    <w:p w:rsidR="0052521F" w:rsidP="00845BDB" w:rsidRDefault="00845BDB" w14:paraId="2E5B27DE" w14:textId="56340FEB">
      <w:pPr>
        <w:pStyle w:val="Heading1"/>
        <w:keepNext w:val="0"/>
        <w:widowControl w:val="0"/>
        <w:numPr>
          <w:ilvl w:val="0"/>
          <w:numId w:val="0"/>
        </w:numPr>
        <w:ind w:left="450" w:right="720" w:hanging="450"/>
      </w:pPr>
      <w:bookmarkStart w:name="_Toc370798910" w:id="0"/>
      <w:r>
        <w:t>Summary</w:t>
      </w:r>
    </w:p>
    <w:p w:rsidR="00BF3E14" w:rsidP="00BF3E14" w:rsidRDefault="00BF3E14" w14:paraId="265387E2" w14:textId="3080B18C">
      <w:pPr>
        <w:pStyle w:val="standard"/>
      </w:pPr>
      <w:r>
        <w:t>Th</w:t>
      </w:r>
      <w:r w:rsidR="006F5414">
        <w:t>e</w:t>
      </w:r>
      <w:r>
        <w:t xml:space="preserve"> Commission institutes this rulemaking to examine options to assist electricity and natural gas </w:t>
      </w:r>
      <w:r w:rsidR="003732A9">
        <w:t>customers</w:t>
      </w:r>
      <w:r>
        <w:t xml:space="preserve"> with investments in </w:t>
      </w:r>
      <w:r w:rsidR="003732A9">
        <w:t xml:space="preserve">residential and commercial </w:t>
      </w:r>
      <w:r w:rsidR="003356A7">
        <w:t xml:space="preserve">buildings and at industrial </w:t>
      </w:r>
      <w:r w:rsidR="003732A9">
        <w:t xml:space="preserve">and agricultural </w:t>
      </w:r>
      <w:r w:rsidR="003356A7">
        <w:t>sites</w:t>
      </w:r>
      <w:r w:rsidR="006F5414">
        <w:t xml:space="preserve"> designed to decrease </w:t>
      </w:r>
      <w:r w:rsidR="003732A9">
        <w:t>energy</w:t>
      </w:r>
      <w:r w:rsidR="006F5414">
        <w:t xml:space="preserve"> use</w:t>
      </w:r>
      <w:r w:rsidR="003732A9">
        <w:t>, reduce greenhouse gas (GHG) emissions,</w:t>
      </w:r>
      <w:r w:rsidR="006F5414">
        <w:t xml:space="preserve"> and/or produce clean energy to support customer</w:t>
      </w:r>
      <w:r w:rsidR="003732A9">
        <w:t>s’</w:t>
      </w:r>
      <w:r w:rsidR="006F5414">
        <w:t xml:space="preserve"> </w:t>
      </w:r>
      <w:r w:rsidR="00FB6D86">
        <w:t xml:space="preserve">on-site </w:t>
      </w:r>
      <w:r w:rsidR="006F5414">
        <w:t xml:space="preserve">needs.  </w:t>
      </w:r>
      <w:r w:rsidR="003356A7">
        <w:t xml:space="preserve">This Commission has a long history of utilizing electricity and natural gas ratepayer funds to encourage customers to invest in energy-related equipment, through financial </w:t>
      </w:r>
      <w:r w:rsidR="00220066">
        <w:t xml:space="preserve">support </w:t>
      </w:r>
      <w:r w:rsidR="003356A7">
        <w:t>in various forms</w:t>
      </w:r>
      <w:r w:rsidR="00AB43BE">
        <w:t>.  Those funds are used</w:t>
      </w:r>
      <w:r w:rsidR="003356A7">
        <w:t xml:space="preserve"> to </w:t>
      </w:r>
      <w:r w:rsidR="00220066">
        <w:t>encourage</w:t>
      </w:r>
      <w:r w:rsidR="00AB43BE">
        <w:t xml:space="preserve"> investments in</w:t>
      </w:r>
      <w:r w:rsidR="003356A7">
        <w:t xml:space="preserve"> energy efficiency, demand response, </w:t>
      </w:r>
      <w:r w:rsidR="003732A9">
        <w:t xml:space="preserve">building decarbonization, </w:t>
      </w:r>
      <w:r w:rsidR="003356A7">
        <w:t xml:space="preserve">distributed solar and other self-generation technologies, </w:t>
      </w:r>
      <w:r w:rsidR="00E62B7D">
        <w:t xml:space="preserve">and </w:t>
      </w:r>
      <w:r w:rsidR="003356A7">
        <w:t>energy storage</w:t>
      </w:r>
      <w:r w:rsidR="00E62B7D">
        <w:t>, as well as</w:t>
      </w:r>
      <w:r w:rsidR="009C219C">
        <w:t xml:space="preserve"> alternative-fueled </w:t>
      </w:r>
      <w:r w:rsidR="003732A9">
        <w:t xml:space="preserve">(electricity, natural gas) </w:t>
      </w:r>
      <w:r w:rsidR="009C219C">
        <w:t>vehicles</w:t>
      </w:r>
      <w:r w:rsidR="003732A9">
        <w:t xml:space="preserve"> and related infrastructure</w:t>
      </w:r>
      <w:r w:rsidR="009C219C">
        <w:t xml:space="preserve"> located </w:t>
      </w:r>
      <w:r w:rsidR="003356A7">
        <w:t>at customer sites.</w:t>
      </w:r>
    </w:p>
    <w:p w:rsidR="003356A7" w:rsidP="00BF3E14" w:rsidRDefault="003732A9" w14:paraId="63397ADD" w14:textId="6334D043">
      <w:pPr>
        <w:pStyle w:val="standard"/>
      </w:pPr>
      <w:r>
        <w:t>The Commission has authorized this financial support in individual resource proceedings, which, with few exceptions, has resulted in each funding source being limited to a single resource type (</w:t>
      </w:r>
      <w:r w:rsidRPr="007374DE">
        <w:rPr>
          <w:i/>
          <w:iCs/>
        </w:rPr>
        <w:t>i.e.,</w:t>
      </w:r>
      <w:r>
        <w:t xml:space="preserve"> energy efficiency, self generation, energy storage etc.).  </w:t>
      </w:r>
      <w:r w:rsidR="003356A7">
        <w:t xml:space="preserve">This rulemaking is designed specifically to </w:t>
      </w:r>
      <w:r w:rsidR="003356A7">
        <w:lastRenderedPageBreak/>
        <w:t xml:space="preserve">examine options </w:t>
      </w:r>
      <w:r>
        <w:t xml:space="preserve">that </w:t>
      </w:r>
      <w:r w:rsidR="003356A7">
        <w:t xml:space="preserve">encourage larger-scale and deeper investments </w:t>
      </w:r>
      <w:r w:rsidR="009E5F99">
        <w:t xml:space="preserve">in </w:t>
      </w:r>
      <w:r>
        <w:t xml:space="preserve">one or more </w:t>
      </w:r>
      <w:r w:rsidR="009E5F99">
        <w:t xml:space="preserve">clean energy </w:t>
      </w:r>
      <w:r>
        <w:t>resources</w:t>
      </w:r>
      <w:r w:rsidR="009E5F99">
        <w:t xml:space="preserve"> </w:t>
      </w:r>
      <w:r w:rsidR="003356A7">
        <w:t xml:space="preserve">at customer sites.  In addition, this rulemaking will examine options for </w:t>
      </w:r>
      <w:r>
        <w:t xml:space="preserve">multiple sources of funding by combining and leveraging ratepayer funds with private financing to support these more </w:t>
      </w:r>
      <w:r w:rsidR="003356A7">
        <w:t xml:space="preserve">comprehensive </w:t>
      </w:r>
      <w:r>
        <w:t>investments</w:t>
      </w:r>
      <w:r w:rsidR="003356A7">
        <w:t>.</w:t>
      </w:r>
    </w:p>
    <w:p w:rsidR="003356A7" w:rsidP="00BF3E14" w:rsidRDefault="003356A7" w14:paraId="1F347ABD" w14:textId="4908DFD4">
      <w:pPr>
        <w:pStyle w:val="standard"/>
      </w:pPr>
      <w:r>
        <w:t xml:space="preserve">Financing strategies will become increasingly important as California pursues its ambitious climate protection goals in the energy sector, aiming to </w:t>
      </w:r>
      <w:r w:rsidR="00342A0C">
        <w:t xml:space="preserve">decarbonize the retail delivery of </w:t>
      </w:r>
      <w:r w:rsidR="001F1DCE">
        <w:t>electricity</w:t>
      </w:r>
      <w:r w:rsidR="00342A0C">
        <w:t xml:space="preserve"> by the year 2045, as articulated in Senate Bill 100 (De</w:t>
      </w:r>
      <w:r w:rsidR="001F1DCE">
        <w:t xml:space="preserve"> </w:t>
      </w:r>
      <w:r w:rsidR="00342A0C">
        <w:t xml:space="preserve">León, 2018) and Executive Order B-55-18, signed by </w:t>
      </w:r>
      <w:r w:rsidR="00E62B7D">
        <w:t>then-</w:t>
      </w:r>
      <w:r w:rsidR="00342A0C">
        <w:t xml:space="preserve">Governor Brown.  </w:t>
      </w:r>
    </w:p>
    <w:p w:rsidR="00342A0C" w:rsidP="00BF3E14" w:rsidRDefault="00342A0C" w14:paraId="21A12AAB" w14:textId="51967D8F">
      <w:pPr>
        <w:pStyle w:val="standard"/>
      </w:pPr>
      <w:r>
        <w:t xml:space="preserve">Achieving these goals will require </w:t>
      </w:r>
      <w:r w:rsidR="001F1DCE">
        <w:t xml:space="preserve">the </w:t>
      </w:r>
      <w:r>
        <w:t xml:space="preserve">involvement </w:t>
      </w:r>
      <w:r w:rsidR="001F1DCE">
        <w:t>of</w:t>
      </w:r>
      <w:r>
        <w:t xml:space="preserve"> California </w:t>
      </w:r>
      <w:r w:rsidR="001F1DCE">
        <w:t>customers</w:t>
      </w:r>
      <w:r w:rsidR="006C05C3">
        <w:t xml:space="preserve"> in the </w:t>
      </w:r>
      <w:r>
        <w:t xml:space="preserve">residential, commercial, industrial, and agricultural </w:t>
      </w:r>
      <w:r w:rsidR="006C05C3">
        <w:t>sectors,</w:t>
      </w:r>
      <w:r>
        <w:t xml:space="preserve"> at </w:t>
      </w:r>
      <w:r w:rsidR="001F1DCE">
        <w:t xml:space="preserve">unprecedented </w:t>
      </w:r>
      <w:r>
        <w:t xml:space="preserve">levels, including </w:t>
      </w:r>
      <w:r w:rsidR="00AB43BE">
        <w:t>people and businesses</w:t>
      </w:r>
      <w:r>
        <w:t xml:space="preserve"> in urban and rural communities, as well as </w:t>
      </w:r>
      <w:r w:rsidR="00E62B7D">
        <w:t xml:space="preserve">customers who are </w:t>
      </w:r>
      <w:r>
        <w:t>low</w:t>
      </w:r>
      <w:r w:rsidR="001F1DCE">
        <w:t xml:space="preserve"> to moderate</w:t>
      </w:r>
      <w:r>
        <w:t>-income,</w:t>
      </w:r>
      <w:r w:rsidR="001F1DCE">
        <w:t xml:space="preserve"> renters,</w:t>
      </w:r>
      <w:r>
        <w:t xml:space="preserve"> and</w:t>
      </w:r>
      <w:r w:rsidR="001F1DCE">
        <w:t>/or</w:t>
      </w:r>
      <w:r>
        <w:t xml:space="preserve"> </w:t>
      </w:r>
      <w:r w:rsidR="00E62B7D">
        <w:t xml:space="preserve">living in </w:t>
      </w:r>
      <w:r>
        <w:t>disadvantaged</w:t>
      </w:r>
      <w:r w:rsidR="001F1DCE">
        <w:t>, underserved, or vulnerable</w:t>
      </w:r>
      <w:r>
        <w:t xml:space="preserve"> communities.</w:t>
      </w:r>
      <w:r w:rsidR="001F1DCE">
        <w:t xml:space="preserve">  As we look to expand clean energy financing strategies, the Commission will look to ensure that new options will be accessible to populations that face issues of creditworthiness and barriers to accessing affordable capital.</w:t>
      </w:r>
      <w:r w:rsidR="001B1571">
        <w:rPr>
          <w:rStyle w:val="FootnoteReference"/>
        </w:rPr>
        <w:footnoteReference w:id="2"/>
      </w:r>
    </w:p>
    <w:p w:rsidRPr="00BF3E14" w:rsidR="007F78B8" w:rsidP="007F78B8" w:rsidRDefault="009C219C" w14:paraId="36F174A5" w14:textId="33766350">
      <w:pPr>
        <w:pStyle w:val="standard"/>
      </w:pPr>
      <w:r>
        <w:t>The work being undertaken in this rulemaking will be coordinated with financing-related work already underway in multiple Commission proceedings detailed in this order instituting rulemaking (OIR).  In addition, we expect to coordinate closely with the California Energy Commission (CEC)</w:t>
      </w:r>
      <w:r w:rsidR="001B1571">
        <w:t>, the California Air Resources Board (CARB),</w:t>
      </w:r>
      <w:r>
        <w:t xml:space="preserve"> and the California Advanced Energy and </w:t>
      </w:r>
      <w:r>
        <w:lastRenderedPageBreak/>
        <w:t xml:space="preserve">Alternative Transportation Financing Authority (CAEATFA), </w:t>
      </w:r>
      <w:r w:rsidR="00FB6D86">
        <w:t>housed within</w:t>
      </w:r>
      <w:r>
        <w:t xml:space="preserve"> the </w:t>
      </w:r>
      <w:r w:rsidR="00F1786E">
        <w:t xml:space="preserve">California State Treasurer’s </w:t>
      </w:r>
      <w:r>
        <w:t xml:space="preserve">Office, </w:t>
      </w:r>
      <w:r w:rsidR="00FB6D86">
        <w:t xml:space="preserve">and </w:t>
      </w:r>
      <w:r>
        <w:t xml:space="preserve">with whom </w:t>
      </w:r>
      <w:r w:rsidR="00F1786E">
        <w:t>the Commission has</w:t>
      </w:r>
      <w:r>
        <w:t xml:space="preserve"> already been collaborating on energy efficiency financing </w:t>
      </w:r>
      <w:r w:rsidR="00B54F50">
        <w:t>options</w:t>
      </w:r>
      <w:r>
        <w:t>.</w:t>
      </w:r>
    </w:p>
    <w:p w:rsidR="00A0609D" w:rsidP="00BF087F" w:rsidRDefault="00A0609D" w14:paraId="2F56958F" w14:textId="77777777">
      <w:pPr>
        <w:pStyle w:val="Heading1"/>
        <w:spacing w:before="0"/>
        <w:ind w:left="360" w:hanging="360"/>
      </w:pPr>
      <w:r w:rsidRPr="00BF087F">
        <w:t>Definitions</w:t>
      </w:r>
    </w:p>
    <w:p w:rsidR="00A0609D" w:rsidP="00A0609D" w:rsidRDefault="009E5F99" w14:paraId="27B44ABE" w14:textId="1A5BF990">
      <w:pPr>
        <w:pStyle w:val="standard"/>
      </w:pPr>
      <w:r>
        <w:t xml:space="preserve">In this section, we define several financing mechanisms that can be used to support </w:t>
      </w:r>
      <w:r w:rsidR="00F1786E">
        <w:t>customer</w:t>
      </w:r>
      <w:r>
        <w:t xml:space="preserve"> investments in energy saving</w:t>
      </w:r>
      <w:r w:rsidR="00F1786E">
        <w:t>s</w:t>
      </w:r>
      <w:r>
        <w:t xml:space="preserve"> or </w:t>
      </w:r>
      <w:r w:rsidR="00F1786E">
        <w:t>technologies</w:t>
      </w:r>
      <w:r>
        <w:t xml:space="preserve"> producing clean energy in their homes or </w:t>
      </w:r>
      <w:r w:rsidR="00E40C9B">
        <w:t>facilities</w:t>
      </w:r>
      <w:r>
        <w:t xml:space="preserve">.  Mechanisms referred to in this section will be discussed in later sections of this </w:t>
      </w:r>
      <w:r w:rsidR="00CE2B62">
        <w:t>order instituting rulemaking (</w:t>
      </w:r>
      <w:r>
        <w:t>OIR</w:t>
      </w:r>
      <w:r w:rsidR="00CE2B62">
        <w:t>)</w:t>
      </w:r>
      <w:r>
        <w:t xml:space="preserve"> and may be investigated for use in meeting the Commission’s objectives for supporting customer investments as the proceeding progresses.  </w:t>
      </w:r>
    </w:p>
    <w:p w:rsidRPr="007018C9" w:rsidR="009E5F99" w:rsidP="00A0609D" w:rsidRDefault="009E5F99" w14:paraId="2F18C8F7" w14:textId="6E3AD863">
      <w:pPr>
        <w:pStyle w:val="standard"/>
        <w:rPr>
          <w:rStyle w:val="Strong"/>
        </w:rPr>
      </w:pPr>
      <w:r>
        <w:t xml:space="preserve">There may also be additional mechanisms that the Commission should investigate </w:t>
      </w:r>
      <w:proofErr w:type="gramStart"/>
      <w:r>
        <w:t>in the course of</w:t>
      </w:r>
      <w:proofErr w:type="gramEnd"/>
      <w:r>
        <w:t xml:space="preserve"> the proceeding to support customer investments.  Parties responding to the OIR are invited to suggest additional mechanisms that the Commission should examine. </w:t>
      </w:r>
    </w:p>
    <w:p w:rsidR="00A0609D" w:rsidP="00BF087F" w:rsidRDefault="00A0609D" w14:paraId="4AA432EA" w14:textId="77777777">
      <w:pPr>
        <w:pStyle w:val="Heading2"/>
        <w:spacing w:before="0"/>
        <w:ind w:left="1714"/>
      </w:pPr>
      <w:r>
        <w:t>Loans</w:t>
      </w:r>
    </w:p>
    <w:p w:rsidR="00A0609D" w:rsidP="00A0609D" w:rsidRDefault="000B075B" w14:paraId="18421752" w14:textId="4BFEB4D1">
      <w:pPr>
        <w:pStyle w:val="sub1"/>
      </w:pPr>
      <w:r>
        <w:t>Regular</w:t>
      </w:r>
      <w:r w:rsidR="00A0609D">
        <w:t xml:space="preserve"> loans are </w:t>
      </w:r>
      <w:r>
        <w:t xml:space="preserve">typically </w:t>
      </w:r>
      <w:r w:rsidR="00A0609D">
        <w:t xml:space="preserve">secured by real property, </w:t>
      </w:r>
      <w:r w:rsidR="00F1786E">
        <w:t xml:space="preserve">or based on </w:t>
      </w:r>
      <w:r w:rsidR="00A0609D">
        <w:t xml:space="preserve">the </w:t>
      </w:r>
      <w:r>
        <w:t xml:space="preserve">customer or </w:t>
      </w:r>
      <w:r w:rsidR="00A0609D">
        <w:t xml:space="preserve">ratepayer credit rating, or both.  </w:t>
      </w:r>
      <w:r>
        <w:t xml:space="preserve">Regular loans </w:t>
      </w:r>
      <w:r w:rsidR="00A0609D">
        <w:t xml:space="preserve">do not </w:t>
      </w:r>
      <w:proofErr w:type="gramStart"/>
      <w:r w:rsidR="00A0609D">
        <w:t>take into account</w:t>
      </w:r>
      <w:proofErr w:type="gramEnd"/>
      <w:r w:rsidR="00A0609D">
        <w:t xml:space="preserve"> the potential monetary savings achieved by reduced energy costs</w:t>
      </w:r>
      <w:r>
        <w:t xml:space="preserve"> or increased energy production</w:t>
      </w:r>
      <w:r w:rsidR="00A0609D">
        <w:t>.</w:t>
      </w:r>
    </w:p>
    <w:p w:rsidR="00A0609D" w:rsidP="00A0609D" w:rsidRDefault="00A0609D" w14:paraId="2D15C6A5" w14:textId="7A51DD97">
      <w:pPr>
        <w:pStyle w:val="sub1"/>
      </w:pPr>
      <w:r>
        <w:t xml:space="preserve">Loans are generally either </w:t>
      </w:r>
      <w:r w:rsidR="007D5007">
        <w:t>“</w:t>
      </w:r>
      <w:r>
        <w:t>secured” or “unsecured</w:t>
      </w:r>
      <w:r w:rsidR="000B075B">
        <w:t>.</w:t>
      </w:r>
      <w:r>
        <w:t>”</w:t>
      </w:r>
      <w:r w:rsidR="000B075B">
        <w:t xml:space="preserve">  </w:t>
      </w:r>
      <w:r>
        <w:t xml:space="preserve">A secured loan is protected by an asset of value as </w:t>
      </w:r>
      <w:r w:rsidRPr="009962B0">
        <w:t>collateral</w:t>
      </w:r>
      <w:r>
        <w:t>. In case of loan defaults</w:t>
      </w:r>
      <w:r w:rsidR="000B075B">
        <w:t xml:space="preserve"> with a secured loan</w:t>
      </w:r>
      <w:r>
        <w:t xml:space="preserve">, the asset can be sold to cover part of the loan. </w:t>
      </w:r>
      <w:r w:rsidR="000B075B">
        <w:t xml:space="preserve"> </w:t>
      </w:r>
      <w:r>
        <w:t xml:space="preserve">Hence, collateral serves as a risk mitigating tool </w:t>
      </w:r>
      <w:r w:rsidR="00F1786E">
        <w:t>that</w:t>
      </w:r>
      <w:r>
        <w:t xml:space="preserve"> potentially </w:t>
      </w:r>
      <w:r w:rsidR="00F1786E">
        <w:t xml:space="preserve">enables </w:t>
      </w:r>
      <w:r>
        <w:t xml:space="preserve">lower interest rates, longer loan terms, and broader underwriting criteria. </w:t>
      </w:r>
      <w:r w:rsidR="000B075B">
        <w:t xml:space="preserve"> </w:t>
      </w:r>
      <w:r w:rsidRPr="00471736">
        <w:t xml:space="preserve">Property </w:t>
      </w:r>
      <w:r w:rsidR="00F1786E">
        <w:t>l</w:t>
      </w:r>
      <w:r w:rsidRPr="00471736">
        <w:t>ien</w:t>
      </w:r>
      <w:r w:rsidR="00F1786E">
        <w:t>s</w:t>
      </w:r>
      <w:r>
        <w:t>, pledged assets, and utility service</w:t>
      </w:r>
      <w:r w:rsidRPr="00B465C8">
        <w:t xml:space="preserve"> </w:t>
      </w:r>
      <w:r>
        <w:t>d</w:t>
      </w:r>
      <w:r w:rsidRPr="00B465C8">
        <w:t>isconnect</w:t>
      </w:r>
      <w:r>
        <w:t>ion are examples of loan security.</w:t>
      </w:r>
    </w:p>
    <w:p w:rsidR="00A0609D" w:rsidP="00A0609D" w:rsidRDefault="00A0609D" w14:paraId="37728288" w14:textId="408EEBCE">
      <w:pPr>
        <w:pStyle w:val="sub1"/>
      </w:pPr>
      <w:r>
        <w:t>An unsecured loan</w:t>
      </w:r>
      <w:r w:rsidR="000B075B">
        <w:t>,</w:t>
      </w:r>
      <w:r>
        <w:t xml:space="preserve"> on the other hand, relies on the borrower’s promise to repay the loan</w:t>
      </w:r>
      <w:r w:rsidR="00F1786E">
        <w:t>, instead of collateral</w:t>
      </w:r>
      <w:r>
        <w:t xml:space="preserve">. </w:t>
      </w:r>
      <w:r w:rsidR="000B075B">
        <w:t xml:space="preserve"> </w:t>
      </w:r>
      <w:r>
        <w:t xml:space="preserve">Underwriting criteria to mitigate risk of </w:t>
      </w:r>
      <w:r>
        <w:lastRenderedPageBreak/>
        <w:t xml:space="preserve">non-payment may include a minimum credit score requirement, </w:t>
      </w:r>
      <w:r w:rsidR="00F1786E">
        <w:t xml:space="preserve">on-time </w:t>
      </w:r>
      <w:r>
        <w:t xml:space="preserve">payment history, and low debt-to-income ratios. </w:t>
      </w:r>
      <w:r w:rsidR="000B075B">
        <w:t xml:space="preserve"> </w:t>
      </w:r>
      <w:r>
        <w:t>Typically, the interest rate</w:t>
      </w:r>
      <w:r w:rsidR="00F1786E">
        <w:t>s</w:t>
      </w:r>
      <w:r>
        <w:t xml:space="preserve"> for unsecured loans are higher</w:t>
      </w:r>
      <w:r w:rsidR="00F1786E">
        <w:t xml:space="preserve"> than for secured loans</w:t>
      </w:r>
      <w:r>
        <w:t>, with shorter terms and lower loan cap</w:t>
      </w:r>
      <w:r w:rsidR="000B075B">
        <w:t>s</w:t>
      </w:r>
      <w:r>
        <w:t>.</w:t>
      </w:r>
    </w:p>
    <w:p w:rsidR="00A0609D" w:rsidP="00BF087F" w:rsidRDefault="00A0609D" w14:paraId="73853DCF" w14:textId="77777777">
      <w:pPr>
        <w:pStyle w:val="Heading2"/>
        <w:spacing w:before="0"/>
        <w:ind w:left="1714"/>
      </w:pPr>
      <w:r>
        <w:t>Green Banks/Revolving Loan Funds/Green Bonds</w:t>
      </w:r>
    </w:p>
    <w:p w:rsidR="00A0609D" w:rsidP="00A0609D" w:rsidRDefault="00A0609D" w14:paraId="59A12688" w14:textId="056B8C2C">
      <w:pPr>
        <w:pStyle w:val="sub1"/>
      </w:pPr>
      <w:r>
        <w:t xml:space="preserve">These are financial institutions </w:t>
      </w:r>
      <w:r w:rsidR="0056055F">
        <w:t xml:space="preserve">or </w:t>
      </w:r>
      <w:r>
        <w:t xml:space="preserve">structures set up for the purpose of funding renewable energy and/or energy efficiency.  They are differentiated from regular loans by their purpose and by the assumption that the proceeds from currently outstanding loans will be </w:t>
      </w:r>
      <w:r w:rsidR="00F1786E">
        <w:t>converted</w:t>
      </w:r>
      <w:r>
        <w:t xml:space="preserve"> into future loans that achieve the same goals.</w:t>
      </w:r>
    </w:p>
    <w:p w:rsidR="00024972" w:rsidP="00A0609D" w:rsidRDefault="00A0609D" w14:paraId="2C1E2F42" w14:textId="70C8FAB4">
      <w:pPr>
        <w:pStyle w:val="sub1"/>
      </w:pPr>
      <w:r>
        <w:t xml:space="preserve">Green Banks are usually created by a state or local authority.  The term typically describes a public or semi-public finance authority that uses limited public dollars to leverage greater private investment in clean energy. These institutions are also known as </w:t>
      </w:r>
      <w:r w:rsidRPr="00EB1A59">
        <w:t>green investment bank</w:t>
      </w:r>
      <w:r>
        <w:t>s</w:t>
      </w:r>
      <w:r w:rsidRPr="00EB1A59">
        <w:t xml:space="preserve">, clean energy </w:t>
      </w:r>
      <w:r>
        <w:t xml:space="preserve">banks, or clean energy </w:t>
      </w:r>
      <w:r w:rsidRPr="00EB1A59">
        <w:t>finance authorit</w:t>
      </w:r>
      <w:r>
        <w:t xml:space="preserve">ies or corporations. </w:t>
      </w:r>
      <w:r w:rsidR="00F1786E">
        <w:t xml:space="preserve">The Connecticut Green Bank (CGB) was established in 2011 and was the first state green bank in the United States.  </w:t>
      </w:r>
      <w:r>
        <w:t xml:space="preserve">In </w:t>
      </w:r>
      <w:r w:rsidR="00024972">
        <w:t>Maryland</w:t>
      </w:r>
      <w:r>
        <w:t>, t</w:t>
      </w:r>
      <w:r w:rsidRPr="003E2942">
        <w:t xml:space="preserve">he Montgomery County Green Bank (MCGB) was incorporated in 2016 and is the nation’s first county-level Green Bank. </w:t>
      </w:r>
    </w:p>
    <w:p w:rsidR="001B1571" w:rsidP="00A0609D" w:rsidRDefault="00A0609D" w14:paraId="4845B632" w14:textId="0DD7360A">
      <w:pPr>
        <w:pStyle w:val="sub1"/>
      </w:pPr>
      <w:r>
        <w:t>At the state level</w:t>
      </w:r>
      <w:r w:rsidR="00024972">
        <w:t xml:space="preserve"> in California</w:t>
      </w:r>
      <w:r>
        <w:t>, t</w:t>
      </w:r>
      <w:r w:rsidRPr="003E2942">
        <w:t xml:space="preserve">he State Treasurer’s Office </w:t>
      </w:r>
      <w:r>
        <w:t>partially performs</w:t>
      </w:r>
      <w:r w:rsidRPr="003E2942">
        <w:t xml:space="preserve"> as </w:t>
      </w:r>
      <w:r>
        <w:t xml:space="preserve">a </w:t>
      </w:r>
      <w:r w:rsidRPr="003E2942">
        <w:t>Green Bank</w:t>
      </w:r>
      <w:r>
        <w:t xml:space="preserve"> by investing</w:t>
      </w:r>
      <w:r w:rsidRPr="003E2942">
        <w:t xml:space="preserve"> a portion of funds from the Pooled Money Investment Account (PMIA) in bonds that finance green projects throughout the world</w:t>
      </w:r>
      <w:r w:rsidR="00715751">
        <w:t xml:space="preserve">.  The State Treasurer’s Office operates two authorities: </w:t>
      </w:r>
      <w:r w:rsidR="001B1571">
        <w:t xml:space="preserve">CAEATFA and </w:t>
      </w:r>
      <w:r w:rsidR="00715751">
        <w:t>the Ca</w:t>
      </w:r>
      <w:r w:rsidR="001B1571">
        <w:t>lifornia Pollution Control Financing Authority (CPCFA) to help industry and government build qualified renewable energy, energy efficiency,</w:t>
      </w:r>
      <w:r w:rsidRPr="003E2942">
        <w:t xml:space="preserve"> </w:t>
      </w:r>
      <w:r w:rsidR="001B1571">
        <w:t xml:space="preserve">pollution reduction, and waste recycling projects.  Both authorities administer a wide variety of programs to help businesses and consumers.  They </w:t>
      </w:r>
      <w:r w:rsidRPr="003E2942">
        <w:lastRenderedPageBreak/>
        <w:t xml:space="preserve">finance and administer programs and projects that promote green jobs and green California industries, keep our </w:t>
      </w:r>
      <w:proofErr w:type="gramStart"/>
      <w:r w:rsidRPr="003E2942">
        <w:t>air</w:t>
      </w:r>
      <w:proofErr w:type="gramEnd"/>
      <w:r w:rsidRPr="003E2942">
        <w:t xml:space="preserve"> and water clean, and encourage conservation of natural resources and the use of </w:t>
      </w:r>
      <w:r w:rsidR="001B1571">
        <w:t>renewable</w:t>
      </w:r>
      <w:r w:rsidRPr="003E2942">
        <w:t xml:space="preserve"> energy.</w:t>
      </w:r>
      <w:r>
        <w:t xml:space="preserve"> </w:t>
      </w:r>
    </w:p>
    <w:p w:rsidRPr="00D12ED2" w:rsidR="00A0609D" w:rsidP="00A0609D" w:rsidRDefault="00A0609D" w14:paraId="165024D2" w14:textId="6971691A">
      <w:pPr>
        <w:pStyle w:val="sub1"/>
      </w:pPr>
      <w:r>
        <w:t xml:space="preserve">Finally, the </w:t>
      </w:r>
      <w:r w:rsidRPr="003E2942">
        <w:t xml:space="preserve">California Lending for Energy and Environmental Needs (CLEEN) Center sits within the </w:t>
      </w:r>
      <w:r>
        <w:t>S</w:t>
      </w:r>
      <w:r w:rsidRPr="003E2942">
        <w:t xml:space="preserve">tate’s Infrastructure </w:t>
      </w:r>
      <w:r w:rsidR="001B1571">
        <w:t xml:space="preserve">and Economic Development </w:t>
      </w:r>
      <w:r w:rsidRPr="003E2942">
        <w:t>Bank</w:t>
      </w:r>
      <w:r w:rsidR="001B1571">
        <w:t xml:space="preserve"> (IBank), which is located within the Governor’s Office of Business and Economic Development (Go-Biz) a</w:t>
      </w:r>
      <w:r w:rsidRPr="003E2942">
        <w:t>nd works to finance clean energy projects using public</w:t>
      </w:r>
      <w:r>
        <w:t>-</w:t>
      </w:r>
      <w:r w:rsidRPr="003E2942">
        <w:t>private partnerships.</w:t>
      </w:r>
      <w:r w:rsidR="001B1571">
        <w:t xml:space="preserve">  CLEEN offers two programs: </w:t>
      </w:r>
      <w:proofErr w:type="gramStart"/>
      <w:r w:rsidR="001B1571">
        <w:t>the</w:t>
      </w:r>
      <w:proofErr w:type="gramEnd"/>
      <w:r w:rsidR="001B1571">
        <w:t xml:space="preserve"> Statewide Energy Efficiency Program (SWEEP) and the Light Emitting Diode Street Lighting Program (LED).  Financing can be through a direct loan from IBank or through </w:t>
      </w:r>
      <w:proofErr w:type="gramStart"/>
      <w:r w:rsidR="001B1571">
        <w:t>publicly-offered</w:t>
      </w:r>
      <w:proofErr w:type="gramEnd"/>
      <w:r w:rsidR="001B1571">
        <w:t xml:space="preserve"> tax-exempt bonds.</w:t>
      </w:r>
    </w:p>
    <w:p w:rsidR="00A0609D" w:rsidP="00BF087F" w:rsidRDefault="00A0609D" w14:paraId="1BA157F8" w14:textId="77777777">
      <w:pPr>
        <w:pStyle w:val="Heading2"/>
        <w:spacing w:before="0"/>
        <w:ind w:left="1714"/>
      </w:pPr>
      <w:r>
        <w:t>Property Assessed Clean Energy (PACE)</w:t>
      </w:r>
    </w:p>
    <w:p w:rsidR="00A0609D" w:rsidP="00A0609D" w:rsidRDefault="00A0609D" w14:paraId="17B88A1B" w14:textId="542F527C">
      <w:pPr>
        <w:pStyle w:val="sub1"/>
      </w:pPr>
      <w:r>
        <w:t xml:space="preserve">This is a mechanism by which the </w:t>
      </w:r>
      <w:r w:rsidR="00715751">
        <w:t xml:space="preserve">financing </w:t>
      </w:r>
      <w:r>
        <w:t>is attached to the property being improved rather than</w:t>
      </w:r>
      <w:r w:rsidR="00715751">
        <w:t xml:space="preserve"> tied to</w:t>
      </w:r>
      <w:r>
        <w:t xml:space="preserve"> the person who owns the property.</w:t>
      </w:r>
    </w:p>
    <w:p w:rsidR="00A0609D" w:rsidP="00A0609D" w:rsidRDefault="00A0609D" w14:paraId="1D96EC73" w14:textId="08A84FFA">
      <w:pPr>
        <w:pStyle w:val="sub1"/>
      </w:pPr>
      <w:r>
        <w:t xml:space="preserve">Property Assessed Clean Energy (PACE) programs provide property owners with a property lien-secured loan to finance energy efficiency </w:t>
      </w:r>
      <w:r w:rsidRPr="00BB7D8E">
        <w:t xml:space="preserve">upgrades, disaster resiliency improvements, water conservation measures, or renewable energy installations </w:t>
      </w:r>
      <w:r>
        <w:t>for</w:t>
      </w:r>
      <w:r w:rsidRPr="00BB7D8E">
        <w:t xml:space="preserve"> residential, commercial, industrial</w:t>
      </w:r>
      <w:r w:rsidR="00715751">
        <w:t>, and agricultural</w:t>
      </w:r>
      <w:r w:rsidRPr="00BB7D8E">
        <w:t xml:space="preserve"> </w:t>
      </w:r>
      <w:r>
        <w:t>properties.</w:t>
      </w:r>
      <w:r w:rsidRPr="00BB7D8E">
        <w:t xml:space="preserve"> </w:t>
      </w:r>
      <w:r w:rsidR="00715751">
        <w:t xml:space="preserve"> </w:t>
      </w:r>
      <w:r>
        <w:t xml:space="preserve">PACE is usually funded by a bond issuance </w:t>
      </w:r>
      <w:r w:rsidR="00715751">
        <w:t xml:space="preserve">by regional or local authorities </w:t>
      </w:r>
      <w:r>
        <w:t>or public funds</w:t>
      </w:r>
      <w:r w:rsidR="00715751">
        <w:t xml:space="preserve">, and property owners pay back the funds via property taxes.  The Federal Housing Finance Agency (FHFA) initially </w:t>
      </w:r>
      <w:r>
        <w:t xml:space="preserve">opposed and effectively suspended residential PACE programs because their liens take priority over mortgages. </w:t>
      </w:r>
      <w:r w:rsidR="00715751">
        <w:t xml:space="preserve"> However, although the position of PACE liens has not changed, the FHFA has not taken adverse action against properties with the liens, and residential PACE financing has since become available again.  </w:t>
      </w:r>
      <w:r>
        <w:t xml:space="preserve">Commercial PACE liens have not been opposed, since commercial mortgages </w:t>
      </w:r>
      <w:r>
        <w:lastRenderedPageBreak/>
        <w:t xml:space="preserve">and loans typically require the borrower to get the lender’s permission before voluntarily taking on an additional liability, such as a PACE assessment. </w:t>
      </w:r>
    </w:p>
    <w:p w:rsidR="00A0609D" w:rsidP="00A0609D" w:rsidRDefault="00A0609D" w14:paraId="2710F5E7" w14:textId="19E0C0CA">
      <w:pPr>
        <w:pStyle w:val="sub1"/>
      </w:pPr>
      <w:r w:rsidRPr="00853C9F">
        <w:t xml:space="preserve">In California, PACE financing is available in </w:t>
      </w:r>
      <w:r>
        <w:t xml:space="preserve">many </w:t>
      </w:r>
      <w:r w:rsidRPr="00853C9F">
        <w:t xml:space="preserve">jurisdictions, or </w:t>
      </w:r>
      <w:r w:rsidR="00715751">
        <w:t>“</w:t>
      </w:r>
      <w:r w:rsidRPr="00853C9F">
        <w:t>PACE districts,</w:t>
      </w:r>
      <w:r w:rsidR="00715751">
        <w:t>”</w:t>
      </w:r>
      <w:r w:rsidRPr="00853C9F">
        <w:t xml:space="preserve"> in which local governments have authorized special taxes or contractual assessments for these improvements. </w:t>
      </w:r>
      <w:r w:rsidR="00715751">
        <w:t xml:space="preserve"> </w:t>
      </w:r>
      <w:r w:rsidRPr="00853C9F">
        <w:t xml:space="preserve">PACE assessments are associated with the property, not the property owner, and therefore transfer to </w:t>
      </w:r>
      <w:r w:rsidR="00715751">
        <w:t>a</w:t>
      </w:r>
      <w:r w:rsidRPr="00853C9F">
        <w:t xml:space="preserve"> new owner upon sale of the property.</w:t>
      </w:r>
    </w:p>
    <w:p w:rsidRPr="00D12ED2" w:rsidR="00B14080" w:rsidP="00A0609D" w:rsidRDefault="00B14080" w14:paraId="5E50BD94" w14:textId="09ED2A16">
      <w:pPr>
        <w:pStyle w:val="sub1"/>
      </w:pPr>
      <w:r>
        <w:t xml:space="preserve">Residential PACE financing has also been associated with some anti-consumer business practices in California, particularly by contractors, though </w:t>
      </w:r>
      <w:r w:rsidR="0056055F">
        <w:t xml:space="preserve">this approach </w:t>
      </w:r>
      <w:r>
        <w:t xml:space="preserve">may merit further exploration due to its benefits, if stronger consumer protections can be ensured.  </w:t>
      </w:r>
    </w:p>
    <w:p w:rsidR="00A0609D" w:rsidP="00BF087F" w:rsidRDefault="00A0609D" w14:paraId="50B6583D" w14:textId="7D48E6C2">
      <w:pPr>
        <w:pStyle w:val="Heading2"/>
        <w:spacing w:before="0"/>
        <w:ind w:left="1714"/>
      </w:pPr>
      <w:r>
        <w:t>On</w:t>
      </w:r>
      <w:r w:rsidR="00715751">
        <w:t>-</w:t>
      </w:r>
      <w:r>
        <w:t>Bill Financing (OBF)</w:t>
      </w:r>
    </w:p>
    <w:p w:rsidR="00A0609D" w:rsidP="00A0609D" w:rsidRDefault="00A0609D" w14:paraId="7E63F446" w14:textId="1C354451">
      <w:pPr>
        <w:pStyle w:val="sub1"/>
      </w:pPr>
      <w:r w:rsidRPr="0050312C">
        <w:t xml:space="preserve">On-bill financing </w:t>
      </w:r>
      <w:r>
        <w:t xml:space="preserve">(OBF) is a mechanism allowing </w:t>
      </w:r>
      <w:r w:rsidRPr="0050312C">
        <w:t>the utility</w:t>
      </w:r>
      <w:r>
        <w:t xml:space="preserve"> customer</w:t>
      </w:r>
      <w:r w:rsidRPr="0050312C">
        <w:t xml:space="preserve"> to </w:t>
      </w:r>
      <w:r>
        <w:t>pay for the</w:t>
      </w:r>
      <w:r w:rsidRPr="0050312C">
        <w:t xml:space="preserve"> cost of the upgrade</w:t>
      </w:r>
      <w:r>
        <w:t>s</w:t>
      </w:r>
      <w:r w:rsidR="00DB3C43">
        <w:t>, currently limited to energy efficiency</w:t>
      </w:r>
      <w:r w:rsidRPr="0050312C">
        <w:t xml:space="preserve">, which is then repaid </w:t>
      </w:r>
      <w:r w:rsidRPr="00D3513A">
        <w:t>through a fixed monthly installment on their utility bills.</w:t>
      </w:r>
    </w:p>
    <w:p w:rsidR="00A0609D" w:rsidP="00A0609D" w:rsidRDefault="00A0609D" w14:paraId="5B9F12A5" w14:textId="6FA0DB31">
      <w:pPr>
        <w:pStyle w:val="sub1"/>
      </w:pPr>
      <w:r>
        <w:t xml:space="preserve">In California, each of the major utilities administers an OBF program within </w:t>
      </w:r>
      <w:r w:rsidR="00DB3C43">
        <w:t>its</w:t>
      </w:r>
      <w:r>
        <w:t xml:space="preserve"> own territory. </w:t>
      </w:r>
      <w:r w:rsidR="00BF087F">
        <w:t xml:space="preserve"> </w:t>
      </w:r>
      <w:r w:rsidR="00DB3C43">
        <w:t>Each</w:t>
      </w:r>
      <w:r>
        <w:t xml:space="preserve"> of them offer</w:t>
      </w:r>
      <w:r w:rsidR="00DB3C43">
        <w:t>s</w:t>
      </w:r>
      <w:r>
        <w:t xml:space="preserve"> a </w:t>
      </w:r>
      <w:proofErr w:type="gramStart"/>
      <w:r>
        <w:t>nearly-uniform</w:t>
      </w:r>
      <w:proofErr w:type="gramEnd"/>
      <w:r>
        <w:t xml:space="preserve"> OBF program using ratepayer funds as the loan capital pool, and offer interest-free, energy efficiency funds to qualified non-residential customers with qualified projects. There is no prepayment penalty and loans are not transferable. </w:t>
      </w:r>
      <w:r w:rsidR="00BF087F">
        <w:t xml:space="preserve"> </w:t>
      </w:r>
      <w:r w:rsidRPr="009F0DA3">
        <w:t>The loan charge holds equal priority to the energy charge</w:t>
      </w:r>
      <w:r>
        <w:t>, meaning</w:t>
      </w:r>
      <w:r w:rsidRPr="009F0DA3">
        <w:t xml:space="preserve"> failure to pay the OBF loan </w:t>
      </w:r>
      <w:r>
        <w:t>may</w:t>
      </w:r>
      <w:r w:rsidRPr="009F0DA3">
        <w:t xml:space="preserve"> result in energy service disconnection </w:t>
      </w:r>
      <w:r>
        <w:t xml:space="preserve">and hence </w:t>
      </w:r>
      <w:r w:rsidRPr="009F0DA3">
        <w:t>reduces the risk of default</w:t>
      </w:r>
      <w:r>
        <w:t>s</w:t>
      </w:r>
      <w:r w:rsidRPr="009F0DA3">
        <w:t xml:space="preserve">.  </w:t>
      </w:r>
    </w:p>
    <w:p w:rsidR="00A0609D" w:rsidP="00BF087F" w:rsidRDefault="00A0609D" w14:paraId="009B2F78" w14:textId="3E4D9443">
      <w:pPr>
        <w:pStyle w:val="Heading2"/>
        <w:spacing w:before="0"/>
        <w:ind w:left="1714"/>
      </w:pPr>
      <w:r>
        <w:t>On</w:t>
      </w:r>
      <w:r w:rsidR="00DB3C43">
        <w:t>-</w:t>
      </w:r>
      <w:r>
        <w:t>Bill Repayment (OBR)</w:t>
      </w:r>
    </w:p>
    <w:p w:rsidRPr="00D12ED2" w:rsidR="00A0609D" w:rsidP="00A0609D" w:rsidRDefault="00A0609D" w14:paraId="5C78B4CE" w14:textId="17A663C0">
      <w:pPr>
        <w:pStyle w:val="sub1"/>
      </w:pPr>
      <w:r>
        <w:t xml:space="preserve">This is an arrangement by which a third-party lender provides the funds for the improvement and the utility collects repayment as a part of the monthly bill.  It differs from OBF in that the utility or its ratepayers do not provide the </w:t>
      </w:r>
      <w:r>
        <w:lastRenderedPageBreak/>
        <w:t xml:space="preserve">capital, but instead provide only the collection mechanism for the loan.  It is considered potentially less risky by some private lenders because </w:t>
      </w:r>
      <w:r w:rsidR="00DB3C43">
        <w:t>customers</w:t>
      </w:r>
      <w:r>
        <w:t xml:space="preserve"> are statistically more likely to pay their utility bills than other monthly bills.  In addition, if the financed upgrade saves or produces energy, the mechanism can result in</w:t>
      </w:r>
      <w:r w:rsidR="00DB3C43">
        <w:t xml:space="preserve"> energy savings and</w:t>
      </w:r>
      <w:r>
        <w:t xml:space="preserve"> little or no </w:t>
      </w:r>
      <w:r w:rsidR="00DB3C43">
        <w:t xml:space="preserve">net </w:t>
      </w:r>
      <w:r>
        <w:t xml:space="preserve">increase in monthly bills to the </w:t>
      </w:r>
      <w:r w:rsidR="00DB3C43">
        <w:t>customer</w:t>
      </w:r>
      <w:r>
        <w:t>.</w:t>
      </w:r>
    </w:p>
    <w:p w:rsidR="00A0609D" w:rsidP="00A0609D" w:rsidRDefault="00A0609D" w14:paraId="1DBD351B" w14:textId="6A744703">
      <w:pPr>
        <w:spacing w:line="360" w:lineRule="auto"/>
        <w:ind w:firstLine="720"/>
      </w:pPr>
      <w:r>
        <w:t xml:space="preserve">On-bill repayment (OBR) is a financing mechanism that enables utility customers who secured financing of their </w:t>
      </w:r>
      <w:r w:rsidRPr="007C460E">
        <w:t xml:space="preserve">energy efficiency, distributed generation, and storage </w:t>
      </w:r>
      <w:r>
        <w:t xml:space="preserve">improvements projects from a third-party lender </w:t>
      </w:r>
      <w:r w:rsidRPr="00821B2B">
        <w:t xml:space="preserve">such as </w:t>
      </w:r>
      <w:r w:rsidR="00DB3C43">
        <w:t xml:space="preserve">a </w:t>
      </w:r>
      <w:r w:rsidRPr="00821B2B">
        <w:t xml:space="preserve">bank </w:t>
      </w:r>
      <w:r w:rsidR="00DB3C43">
        <w:t>or</w:t>
      </w:r>
      <w:r w:rsidRPr="00821B2B">
        <w:t xml:space="preserve"> credit union</w:t>
      </w:r>
      <w:r>
        <w:t>, to make repayment of the loan through their utility bill. One of the benefits of this mechanism is to consolidate energy</w:t>
      </w:r>
      <w:r w:rsidR="00DB3C43">
        <w:t>-</w:t>
      </w:r>
      <w:r>
        <w:t>related payments in one single utility bill.</w:t>
      </w:r>
      <w:r w:rsidRPr="00821B2B">
        <w:t xml:space="preserve"> </w:t>
      </w:r>
      <w:r>
        <w:t xml:space="preserve">The utility’s primary role is billing and payment processing, but the utility could also be involved with marketing, qualification of contractors, and project inspection.  However, this mechanism requires a complex arrangement among parties such as </w:t>
      </w:r>
      <w:r w:rsidR="00DB3C43">
        <w:t>utilities</w:t>
      </w:r>
      <w:r>
        <w:t>, financing institution</w:t>
      </w:r>
      <w:r w:rsidR="00DB3C43">
        <w:t>s</w:t>
      </w:r>
      <w:r>
        <w:t>, c</w:t>
      </w:r>
      <w:r w:rsidR="00BF087F">
        <w:t>u</w:t>
      </w:r>
      <w:r>
        <w:t>st</w:t>
      </w:r>
      <w:r w:rsidR="00BF087F">
        <w:t>o</w:t>
      </w:r>
      <w:r>
        <w:t>mer</w:t>
      </w:r>
      <w:r w:rsidR="00DB3C43">
        <w:t>s</w:t>
      </w:r>
      <w:r>
        <w:t>, and regulatory entities</w:t>
      </w:r>
      <w:r w:rsidR="00DB3C43">
        <w:t>,</w:t>
      </w:r>
      <w:r>
        <w:t xml:space="preserve"> as well as </w:t>
      </w:r>
      <w:r w:rsidR="00DB3C43">
        <w:t>robust information</w:t>
      </w:r>
      <w:r>
        <w:t xml:space="preserve"> technology infrastructure. </w:t>
      </w:r>
    </w:p>
    <w:p w:rsidR="00A0609D" w:rsidP="00BF087F" w:rsidRDefault="00A0609D" w14:paraId="02F16E47" w14:textId="77777777">
      <w:pPr>
        <w:pStyle w:val="Heading2"/>
        <w:spacing w:before="0"/>
        <w:ind w:left="1714"/>
      </w:pPr>
      <w:r>
        <w:t>Tariff On-Bill (TOB) or Tariff-Based Recovery (TBR)</w:t>
      </w:r>
    </w:p>
    <w:p w:rsidR="00A0609D" w:rsidP="00A0609D" w:rsidRDefault="00A0609D" w14:paraId="03205E5B" w14:textId="3D61B8E8">
      <w:pPr>
        <w:pStyle w:val="sub1"/>
      </w:pPr>
      <w:r>
        <w:t xml:space="preserve">This is an opt-in tariff that allows </w:t>
      </w:r>
      <w:r w:rsidR="00DB3C43">
        <w:t xml:space="preserve">renters and </w:t>
      </w:r>
      <w:r>
        <w:t xml:space="preserve">property owners </w:t>
      </w:r>
      <w:r w:rsidR="00DB3C43">
        <w:t xml:space="preserve">alike </w:t>
      </w:r>
      <w:r>
        <w:t xml:space="preserve">to have energy efficiency </w:t>
      </w:r>
      <w:r w:rsidR="00DB3C43">
        <w:t xml:space="preserve">or related </w:t>
      </w:r>
      <w:r>
        <w:t xml:space="preserve">improvements made without any out-of-pocket expenses or incurring any debt.  This model </w:t>
      </w:r>
      <w:r w:rsidR="000E1BD5">
        <w:t xml:space="preserve">generally </w:t>
      </w:r>
      <w:r>
        <w:t>assumes that energy cost reduction is greater than the cost of repayment for the improvements.</w:t>
      </w:r>
    </w:p>
    <w:p w:rsidR="00FE6BDC" w:rsidP="00A0609D" w:rsidRDefault="00DB3C43" w14:paraId="2749D809" w14:textId="4DDBA151">
      <w:pPr>
        <w:pStyle w:val="sub1"/>
      </w:pPr>
      <w:r>
        <w:t>TOB, also known as</w:t>
      </w:r>
      <w:r w:rsidR="00A0609D">
        <w:t xml:space="preserve"> </w:t>
      </w:r>
      <w:r w:rsidR="00A0609D">
        <w:t>TRB</w:t>
      </w:r>
      <w:r>
        <w:t>,</w:t>
      </w:r>
      <w:r w:rsidR="00A0609D">
        <w:t xml:space="preserve"> is a mechanism through which the utility finances </w:t>
      </w:r>
      <w:r>
        <w:t>qualifying</w:t>
      </w:r>
      <w:r w:rsidR="00A0609D">
        <w:t xml:space="preserve"> projects using (usually, but not necessarily) its own capital.  In this mechanism, when the utility uses its own capital, the investment in the energy performance of homes and buildings is recognized as a system reliability </w:t>
      </w:r>
      <w:r w:rsidR="00A0609D">
        <w:lastRenderedPageBreak/>
        <w:t xml:space="preserve">investment and the utility utilizes its established authority to add tariffs for system investments to </w:t>
      </w:r>
      <w:r>
        <w:t>customer</w:t>
      </w:r>
      <w:r w:rsidR="00A0609D">
        <w:t xml:space="preserve"> bills as the collection mechanism. </w:t>
      </w:r>
      <w:r>
        <w:t xml:space="preserve"> </w:t>
      </w:r>
      <w:r w:rsidR="00A0609D">
        <w:t xml:space="preserve">A tariff is not categorized as a loan to the customer; therefore, it does not add to the debt profile of the property owner </w:t>
      </w:r>
      <w:r w:rsidR="009C08FF">
        <w:t xml:space="preserve">in </w:t>
      </w:r>
      <w:r w:rsidR="00A0609D">
        <w:t>the way</w:t>
      </w:r>
      <w:r w:rsidR="009C08FF">
        <w:t xml:space="preserve"> that</w:t>
      </w:r>
      <w:r w:rsidR="00A0609D">
        <w:t xml:space="preserve"> a bank loan would. </w:t>
      </w:r>
      <w:r w:rsidR="000E1BD5">
        <w:t xml:space="preserve"> </w:t>
      </w:r>
      <w:r w:rsidR="00A0609D">
        <w:t>Additionally, the</w:t>
      </w:r>
      <w:r w:rsidRPr="00AF6AC2" w:rsidR="00A0609D">
        <w:t xml:space="preserve"> investment in energy savings is tied to the meter of the physical property and it is transferable with the sale of the property</w:t>
      </w:r>
      <w:r w:rsidR="009C08FF">
        <w:t xml:space="preserve"> or resumption of utility service by a new customer at the premise</w:t>
      </w:r>
      <w:r w:rsidRPr="00AF6AC2" w:rsidR="00A0609D">
        <w:t>.</w:t>
      </w:r>
      <w:r w:rsidR="00A0609D">
        <w:t xml:space="preserve"> </w:t>
      </w:r>
      <w:r w:rsidR="000E1BD5">
        <w:t xml:space="preserve"> </w:t>
      </w:r>
    </w:p>
    <w:p w:rsidR="00A0609D" w:rsidP="00A0609D" w:rsidRDefault="00A0609D" w14:paraId="0BD08442" w14:textId="0DF55F73">
      <w:pPr>
        <w:pStyle w:val="sub1"/>
      </w:pPr>
      <w:r>
        <w:t xml:space="preserve">In this mechanism, the utility must request approval of the tariffed service from </w:t>
      </w:r>
      <w:r w:rsidR="009C08FF">
        <w:t>a</w:t>
      </w:r>
      <w:r>
        <w:t xml:space="preserve"> regulatory entity such as </w:t>
      </w:r>
      <w:r w:rsidR="009C08FF">
        <w:t xml:space="preserve">the </w:t>
      </w:r>
      <w:r>
        <w:t>Commission.  This mechanism</w:t>
      </w:r>
      <w:r w:rsidRPr="00AF6AC2">
        <w:t xml:space="preserve"> can be utilized by renters and customers with </w:t>
      </w:r>
      <w:r w:rsidR="009C08FF">
        <w:t>lower</w:t>
      </w:r>
      <w:r>
        <w:t xml:space="preserve"> credit scores</w:t>
      </w:r>
      <w:r w:rsidR="009C08FF">
        <w:t xml:space="preserve"> than typically required to obtain a loan</w:t>
      </w:r>
      <w:r>
        <w:t xml:space="preserve">. </w:t>
      </w:r>
      <w:r w:rsidR="000E1BD5">
        <w:t xml:space="preserve"> These types of mechanisms can reach customers with lower incomes.  </w:t>
      </w:r>
    </w:p>
    <w:p w:rsidR="00A0609D" w:rsidP="00BF087F" w:rsidRDefault="00A0609D" w14:paraId="01755E7E" w14:textId="77777777">
      <w:pPr>
        <w:pStyle w:val="Heading2"/>
        <w:spacing w:before="0"/>
        <w:ind w:left="1714"/>
      </w:pPr>
      <w:r>
        <w:t>Tax Equity</w:t>
      </w:r>
    </w:p>
    <w:p w:rsidR="00A0609D" w:rsidP="00A0609D" w:rsidRDefault="00A0609D" w14:paraId="0EB6BAF4" w14:textId="13158CA7">
      <w:pPr>
        <w:pStyle w:val="sub1"/>
      </w:pPr>
      <w:r>
        <w:t xml:space="preserve">Tax equity refers to </w:t>
      </w:r>
      <w:proofErr w:type="gramStart"/>
      <w:r>
        <w:t>a number of</w:t>
      </w:r>
      <w:proofErr w:type="gramEnd"/>
      <w:r>
        <w:t xml:space="preserve"> financing structures where entities that have a tax liability are able to provide equity to energy projects</w:t>
      </w:r>
      <w:r w:rsidR="005E2E4B">
        <w:t xml:space="preserve">, </w:t>
      </w:r>
      <w:r>
        <w:t>generally renewable energy</w:t>
      </w:r>
      <w:r w:rsidR="005E2E4B">
        <w:t xml:space="preserve"> projects,</w:t>
      </w:r>
      <w:r>
        <w:t xml:space="preserve"> in exchange for ownership interests sufficient to reduce their tax liability.</w:t>
      </w:r>
    </w:p>
    <w:p w:rsidR="00A0609D" w:rsidP="00A0609D" w:rsidRDefault="00A0609D" w14:paraId="132ED872" w14:textId="3CC19924">
      <w:pPr>
        <w:pStyle w:val="sub1"/>
      </w:pPr>
      <w:r>
        <w:t>T</w:t>
      </w:r>
      <w:r w:rsidRPr="00DF182B">
        <w:t xml:space="preserve">ax equity financing </w:t>
      </w:r>
      <w:r>
        <w:t>is not limited to the energy sector.</w:t>
      </w:r>
      <w:r w:rsidRPr="00DF182B">
        <w:t xml:space="preserve"> These </w:t>
      </w:r>
      <w:r>
        <w:t>transactions</w:t>
      </w:r>
      <w:r w:rsidRPr="00DF182B">
        <w:t xml:space="preserve"> involve one party agreeing to assign the rights to claim the tax credits to another party in exchange for an equity investment (</w:t>
      </w:r>
      <w:r w:rsidRPr="00BF087F">
        <w:rPr>
          <w:i/>
          <w:iCs/>
        </w:rPr>
        <w:t>i.e.,</w:t>
      </w:r>
      <w:r w:rsidRPr="00DF182B">
        <w:t xml:space="preserve"> cash financing). The exchange is sometimes referred to as “monetizing,” “selling,” or “trading” the tax credits. </w:t>
      </w:r>
      <w:r>
        <w:t xml:space="preserve">The two energy-related mechanisms are </w:t>
      </w:r>
      <w:r w:rsidRPr="00DF182B">
        <w:t>the renewable electricity production tax credit (PTC) and energy investment tax credit (ITC).</w:t>
      </w:r>
      <w:r w:rsidRPr="00E64B05">
        <w:t xml:space="preserve"> Policies can also affect the demand for tax equity. </w:t>
      </w:r>
    </w:p>
    <w:p w:rsidRPr="00E31780" w:rsidR="00A0609D" w:rsidP="00A0609D" w:rsidRDefault="00A0609D" w14:paraId="07323611" w14:textId="50542800">
      <w:pPr>
        <w:pStyle w:val="sub1"/>
      </w:pPr>
      <w:r w:rsidRPr="00E64B05">
        <w:t xml:space="preserve">For example, with </w:t>
      </w:r>
      <w:r w:rsidR="001535AC">
        <w:t>f</w:t>
      </w:r>
      <w:r w:rsidR="005E2E4B">
        <w:t xml:space="preserve">ederal </w:t>
      </w:r>
      <w:r w:rsidRPr="00E64B05">
        <w:t xml:space="preserve">renewable energy tax incentives phasing down, renewable energy investors may have fewer tax credits they are seeking to monetize. For renewable energy projects, tax equity is generally more expensive </w:t>
      </w:r>
      <w:r w:rsidRPr="00E64B05">
        <w:lastRenderedPageBreak/>
        <w:t>than other sources of debt financing</w:t>
      </w:r>
      <w:r>
        <w:t>.</w:t>
      </w:r>
      <w:r>
        <w:rPr>
          <w:rStyle w:val="FootnoteReference"/>
        </w:rPr>
        <w:footnoteReference w:id="3"/>
      </w:r>
      <w:r>
        <w:t xml:space="preserve"> </w:t>
      </w:r>
      <w:r w:rsidR="00BF087F">
        <w:t xml:space="preserve"> </w:t>
      </w:r>
      <w:r w:rsidRPr="00064B90">
        <w:t xml:space="preserve">Up until </w:t>
      </w:r>
      <w:r>
        <w:t>the COVID-19 pandemic</w:t>
      </w:r>
      <w:r w:rsidRPr="00064B90">
        <w:t xml:space="preserve">, many industrial and utility solar development projects </w:t>
      </w:r>
      <w:r>
        <w:t>had</w:t>
      </w:r>
      <w:r w:rsidRPr="00064B90">
        <w:t xml:space="preserve"> been financed through tax equity financing.</w:t>
      </w:r>
    </w:p>
    <w:p w:rsidR="00A0609D" w:rsidP="00BF087F" w:rsidRDefault="00A0609D" w14:paraId="2C50DF30" w14:textId="7719F500">
      <w:pPr>
        <w:pStyle w:val="Heading2"/>
        <w:spacing w:before="0"/>
        <w:ind w:left="1714"/>
      </w:pPr>
      <w:r>
        <w:t xml:space="preserve">Loan Loss Reserves </w:t>
      </w:r>
    </w:p>
    <w:p w:rsidR="00A0609D" w:rsidP="00A0609D" w:rsidRDefault="00A0609D" w14:paraId="358F0EB1" w14:textId="36381210">
      <w:pPr>
        <w:pStyle w:val="sub1"/>
      </w:pPr>
      <w:r>
        <w:t xml:space="preserve">Loan loss reserves (LLRs) are funds set aside to ensure that lenders are not impacted, or </w:t>
      </w:r>
      <w:r w:rsidR="005E2E4B">
        <w:t>are less</w:t>
      </w:r>
      <w:r>
        <w:t xml:space="preserve"> impact</w:t>
      </w:r>
      <w:r w:rsidR="005E2E4B">
        <w:t>ed</w:t>
      </w:r>
      <w:r>
        <w:t xml:space="preserve">, in the case of a borrower default.  The increased surety allows the lending institution to loan the money at more favorable terms.  This method has similar effects as interest rate buydowns, but the LLR funds can be used for multiple loans </w:t>
      </w:r>
      <w:proofErr w:type="gramStart"/>
      <w:r>
        <w:t>as long as</w:t>
      </w:r>
      <w:proofErr w:type="gramEnd"/>
      <w:r>
        <w:t xml:space="preserve"> there are not excessive levels of default.</w:t>
      </w:r>
    </w:p>
    <w:p w:rsidR="00A0609D" w:rsidP="00A0609D" w:rsidRDefault="00A0609D" w14:paraId="4C335AC1" w14:textId="262E5A34">
      <w:pPr>
        <w:pStyle w:val="sub1"/>
      </w:pPr>
      <w:r>
        <w:t>An LLR is a form of credit enhancement.  Credit enhancements improve the chances that a lender will be repai</w:t>
      </w:r>
      <w:r w:rsidR="005E2E4B">
        <w:t>d</w:t>
      </w:r>
      <w:r>
        <w:t xml:space="preserve"> for </w:t>
      </w:r>
      <w:r w:rsidR="005E2E4B">
        <w:t>providing the upfront capital for a</w:t>
      </w:r>
      <w:r>
        <w:t xml:space="preserve"> clean energy investment.  An LLR is a set</w:t>
      </w:r>
      <w:r w:rsidR="005E2E4B">
        <w:t>-</w:t>
      </w:r>
      <w:r>
        <w:t>aside fund to pay for a portion (</w:t>
      </w:r>
      <w:r w:rsidRPr="00BF087F">
        <w:rPr>
          <w:i/>
          <w:iCs/>
        </w:rPr>
        <w:t>e.g.</w:t>
      </w:r>
      <w:r>
        <w:t>, 90</w:t>
      </w:r>
      <w:r w:rsidR="00BF087F">
        <w:t> </w:t>
      </w:r>
      <w:r>
        <w:t xml:space="preserve">percent of the outstanding loan amount) of defaulted loans.  The LLR </w:t>
      </w:r>
      <w:r w:rsidR="005E2E4B">
        <w:t xml:space="preserve">pool size </w:t>
      </w:r>
      <w:r>
        <w:t xml:space="preserve">is typically capped between 5 percent and 20 percent of the total loan pool.  This mechanism gives the lender added assurance that may encourage them to broaden their lending criteria and be more willing to lend funds to lower-income customers or those with less favorable credit scores.  </w:t>
      </w:r>
    </w:p>
    <w:p w:rsidR="00A0609D" w:rsidP="00BF087F" w:rsidRDefault="00A0609D" w14:paraId="692D73FB" w14:textId="25244E91">
      <w:pPr>
        <w:pStyle w:val="Heading2"/>
        <w:spacing w:before="0"/>
        <w:ind w:left="1714"/>
      </w:pPr>
      <w:r>
        <w:t>Interest Rate Buydowns</w:t>
      </w:r>
      <w:r w:rsidR="005E2E4B">
        <w:t xml:space="preserve"> (IRBs)</w:t>
      </w:r>
    </w:p>
    <w:p w:rsidR="00A0609D" w:rsidP="00A0609D" w:rsidRDefault="00A0609D" w14:paraId="0FC7442C" w14:textId="77777777">
      <w:pPr>
        <w:pStyle w:val="sub1"/>
      </w:pPr>
      <w:r>
        <w:t>An interest-rate buydown (IRB) is a process where a third party contributes funds to the lending institution for the purposes of making a loan more affordable.</w:t>
      </w:r>
    </w:p>
    <w:p w:rsidRPr="003E7AEE" w:rsidR="00A0609D" w:rsidP="00A0609D" w:rsidRDefault="00A0609D" w14:paraId="6A8EF33F" w14:textId="756C0E95">
      <w:pPr>
        <w:pStyle w:val="sub1"/>
      </w:pPr>
      <w:r w:rsidRPr="00C65595">
        <w:t xml:space="preserve">IRBs are often considered </w:t>
      </w:r>
      <w:r>
        <w:t>as a mechanism to</w:t>
      </w:r>
      <w:r w:rsidRPr="00C65595">
        <w:t xml:space="preserve"> lower</w:t>
      </w:r>
      <w:r>
        <w:t xml:space="preserve"> </w:t>
      </w:r>
      <w:r w:rsidRPr="00C65595">
        <w:t>the interest rate</w:t>
      </w:r>
      <w:r>
        <w:t xml:space="preserve"> for the customer</w:t>
      </w:r>
      <w:r w:rsidRPr="00C65595">
        <w:t xml:space="preserve">. </w:t>
      </w:r>
      <w:r>
        <w:t xml:space="preserve"> </w:t>
      </w:r>
      <w:r w:rsidRPr="00C65595">
        <w:t xml:space="preserve">An IRB is essentially a subsidy paid at the closing </w:t>
      </w:r>
      <w:r>
        <w:t xml:space="preserve">of the loan </w:t>
      </w:r>
      <w:r w:rsidRPr="00C65595">
        <w:t xml:space="preserve">to enable a lender to justify a lower interest rate on a loan. </w:t>
      </w:r>
      <w:r>
        <w:t xml:space="preserve"> </w:t>
      </w:r>
      <w:r w:rsidRPr="00C65595">
        <w:t xml:space="preserve">IRBs are useful when the cost of </w:t>
      </w:r>
      <w:r w:rsidRPr="00C65595">
        <w:lastRenderedPageBreak/>
        <w:t>capital plus the cost of originating and servicing the loans result</w:t>
      </w:r>
      <w:r>
        <w:t>s</w:t>
      </w:r>
      <w:r w:rsidRPr="00C65595">
        <w:t xml:space="preserve"> in an interest rate that borrowers may not find attractive</w:t>
      </w:r>
      <w:r>
        <w:t xml:space="preserve"> or affordable. </w:t>
      </w:r>
      <w:r w:rsidRPr="00C65595">
        <w:t xml:space="preserve"> </w:t>
      </w:r>
      <w:r>
        <w:t xml:space="preserve">For example, a regulatory authority could buy down the interest rate </w:t>
      </w:r>
      <w:r w:rsidR="005E2E4B">
        <w:t xml:space="preserve">on a </w:t>
      </w:r>
      <w:r>
        <w:t xml:space="preserve">loan </w:t>
      </w:r>
      <w:r w:rsidRPr="00E304C8">
        <w:t xml:space="preserve">for financing of an eligible </w:t>
      </w:r>
      <w:r>
        <w:t>e</w:t>
      </w:r>
      <w:r w:rsidRPr="00E304C8">
        <w:t xml:space="preserve">nergy </w:t>
      </w:r>
      <w:r>
        <w:t>e</w:t>
      </w:r>
      <w:r w:rsidRPr="00E304C8">
        <w:t xml:space="preserve">fficiency project </w:t>
      </w:r>
      <w:r>
        <w:t>that is offered at a market rate of 7</w:t>
      </w:r>
      <w:r w:rsidR="00BF087F">
        <w:t xml:space="preserve"> percent</w:t>
      </w:r>
      <w:r>
        <w:t xml:space="preserve"> by 2</w:t>
      </w:r>
      <w:r w:rsidR="00BF087F">
        <w:t xml:space="preserve"> percent</w:t>
      </w:r>
      <w:r>
        <w:t xml:space="preserve"> and effectively lower the loan interest rate offered to the customer to 5</w:t>
      </w:r>
      <w:r w:rsidR="00BF087F">
        <w:t> percent</w:t>
      </w:r>
      <w:r>
        <w:t>.  In this scenario, the customer pays 5</w:t>
      </w:r>
      <w:r w:rsidR="00BF087F">
        <w:t xml:space="preserve"> percent</w:t>
      </w:r>
      <w:r>
        <w:t xml:space="preserve"> interest on the loan and the financial lender receives the additional 2</w:t>
      </w:r>
      <w:r w:rsidR="00BF087F">
        <w:t xml:space="preserve"> percent</w:t>
      </w:r>
      <w:r>
        <w:t xml:space="preserve"> from a public fund, to bring the total interest earned to the market rate of 7</w:t>
      </w:r>
      <w:r w:rsidR="00BF087F">
        <w:t xml:space="preserve"> percent</w:t>
      </w:r>
      <w:r>
        <w:t xml:space="preserve">.   </w:t>
      </w:r>
      <w:r w:rsidRPr="00C65595">
        <w:t>IRBs can be expensive</w:t>
      </w:r>
      <w:r>
        <w:t xml:space="preserve"> to the sponsoring public </w:t>
      </w:r>
      <w:proofErr w:type="gramStart"/>
      <w:r>
        <w:t>agency, but</w:t>
      </w:r>
      <w:proofErr w:type="gramEnd"/>
      <w:r>
        <w:t xml:space="preserve"> may be a useful way to jump-start marketing of project</w:t>
      </w:r>
      <w:r w:rsidR="005E2E4B">
        <w:t>s</w:t>
      </w:r>
      <w:r>
        <w:t xml:space="preserve"> or may act as a stimulus tool to encourage energy saving investments.</w:t>
      </w:r>
    </w:p>
    <w:p w:rsidR="006D39AE" w:rsidP="00BF087F" w:rsidRDefault="007F78B8" w14:paraId="1DDF1004" w14:textId="7478F8F2">
      <w:pPr>
        <w:pStyle w:val="Heading1"/>
        <w:spacing w:before="0"/>
        <w:ind w:left="360" w:hanging="360"/>
      </w:pPr>
      <w:r>
        <w:t>Background</w:t>
      </w:r>
    </w:p>
    <w:p w:rsidR="007E7140" w:rsidP="00FE6BDC" w:rsidRDefault="00086DDA" w14:paraId="48C977F2" w14:textId="41B984CC">
      <w:pPr>
        <w:pStyle w:val="standard"/>
      </w:pPr>
      <w:r>
        <w:t xml:space="preserve">This section summarizes the Commission’s activities with respect to clean energy financing, going back approximately a decade, and organized by resource area.  </w:t>
      </w:r>
    </w:p>
    <w:p w:rsidR="00086DDA" w:rsidP="00BF087F" w:rsidRDefault="00086DDA" w14:paraId="7C7C0C1F" w14:textId="77777777">
      <w:pPr>
        <w:pStyle w:val="Heading2"/>
        <w:spacing w:before="0"/>
        <w:ind w:left="1714"/>
      </w:pPr>
      <w:r>
        <w:t xml:space="preserve">Energy Efficiency </w:t>
      </w:r>
    </w:p>
    <w:p w:rsidR="00086DDA" w:rsidP="00086DDA" w:rsidRDefault="00086DDA" w14:paraId="35FD44E2" w14:textId="546FB2F5">
      <w:pPr>
        <w:pStyle w:val="standard"/>
      </w:pPr>
      <w:r>
        <w:t xml:space="preserve">The Legislature has regularly sought the actions of the Commission in studying, designing, and implementing financing strategies for energy efficiency purposes.  Assembly Bill (AB) 758 (Skinner, 2009), which primarily required the CEC to design a strategy to maximize energy efficiency and conservation strategies in existing buildings in the state, also required the Commission to </w:t>
      </w:r>
      <w:r w:rsidRPr="007E7140">
        <w:t xml:space="preserve">investigate the ability of electrical corporations and gas corporations to provide energy efficiency financing options to their customers to implement the </w:t>
      </w:r>
      <w:r>
        <w:t xml:space="preserve">CEC’s </w:t>
      </w:r>
      <w:r w:rsidRPr="007E7140">
        <w:t xml:space="preserve">comprehensive </w:t>
      </w:r>
      <w:r>
        <w:t xml:space="preserve">existing buildings </w:t>
      </w:r>
      <w:r w:rsidRPr="007E7140">
        <w:t xml:space="preserve">program </w:t>
      </w:r>
      <w:r>
        <w:t xml:space="preserve">design required by the law.  </w:t>
      </w:r>
    </w:p>
    <w:p w:rsidR="00086DDA" w:rsidP="00086DDA" w:rsidRDefault="00086DDA" w14:paraId="50486845" w14:textId="47FDC218">
      <w:pPr>
        <w:pStyle w:val="standard"/>
      </w:pPr>
      <w:r>
        <w:t>The Commission’s initial work on financing for energy efficiency purposes was conducted in 2010</w:t>
      </w:r>
      <w:r w:rsidR="005E2E4B">
        <w:t xml:space="preserve"> and </w:t>
      </w:r>
      <w:r>
        <w:t xml:space="preserve">2011, and culminated in a report titled “Energy </w:t>
      </w:r>
      <w:r>
        <w:lastRenderedPageBreak/>
        <w:t>Efficiency Financing in California:</w:t>
      </w:r>
      <w:r w:rsidR="00BF087F">
        <w:t xml:space="preserve"> </w:t>
      </w:r>
      <w:r>
        <w:t xml:space="preserve"> Needs and Gaps,” conducted by Harcourt, Brown, and Carey </w:t>
      </w:r>
      <w:r w:rsidR="005E2E4B">
        <w:t>that was</w:t>
      </w:r>
      <w:r>
        <w:t xml:space="preserve"> published July 8, 2011.</w:t>
      </w:r>
      <w:r>
        <w:rPr>
          <w:rStyle w:val="FootnoteReference"/>
        </w:rPr>
        <w:footnoteReference w:id="4"/>
      </w:r>
      <w:r>
        <w:t xml:space="preserve"> </w:t>
      </w:r>
    </w:p>
    <w:p w:rsidR="00086DDA" w:rsidP="00086DDA" w:rsidRDefault="00086DDA" w14:paraId="04D4F490" w14:textId="6D0BFAA4">
      <w:pPr>
        <w:pStyle w:val="standard"/>
      </w:pPr>
      <w:r>
        <w:t>In 2012 and 2013, the Commission began working with CAEATFA, and in September of 2013 authorized approximately $75 million in funding for pilot programs to be launched in support of seven specific sectoral approaches.</w:t>
      </w:r>
      <w:r>
        <w:rPr>
          <w:rStyle w:val="FootnoteReference"/>
        </w:rPr>
        <w:footnoteReference w:id="5"/>
      </w:r>
      <w:r>
        <w:t xml:space="preserve">  The pilot programs and approaches have been amended several times since 2013.</w:t>
      </w:r>
      <w:r>
        <w:rPr>
          <w:rStyle w:val="FootnoteReference"/>
        </w:rPr>
        <w:footnoteReference w:id="6"/>
      </w:r>
      <w:r>
        <w:t xml:space="preserve">   </w:t>
      </w:r>
    </w:p>
    <w:p w:rsidR="00086DDA" w:rsidP="00086DDA" w:rsidRDefault="00086DDA" w14:paraId="7FFC9E24" w14:textId="667BF8DF">
      <w:pPr>
        <w:pStyle w:val="sub1"/>
      </w:pPr>
      <w:r>
        <w:t>SB 350 (De</w:t>
      </w:r>
      <w:r w:rsidR="005E2E4B">
        <w:t xml:space="preserve"> </w:t>
      </w:r>
      <w:r>
        <w:t xml:space="preserve">León, 2015), which included a goal of doubling the amount of energy efficiency in buildings in California by 2030, also included financing mechanisms as one of the </w:t>
      </w:r>
      <w:r w:rsidR="005E2E4B">
        <w:t xml:space="preserve">potential </w:t>
      </w:r>
      <w:r>
        <w:t xml:space="preserve">means to achieving this goal. </w:t>
      </w:r>
    </w:p>
    <w:p w:rsidR="00086DDA" w:rsidP="00086DDA" w:rsidRDefault="00086DDA" w14:paraId="542D50A6" w14:textId="41776997">
      <w:pPr>
        <w:pStyle w:val="sub1"/>
      </w:pPr>
      <w:r>
        <w:t xml:space="preserve">Currently, the Commission oversees a mix of statewide energy efficiency financing pilots and </w:t>
      </w:r>
      <w:r w:rsidR="008D0265">
        <w:t xml:space="preserve">investor-owned </w:t>
      </w:r>
      <w:r>
        <w:t>utility</w:t>
      </w:r>
      <w:r w:rsidR="008D0265">
        <w:t xml:space="preserve"> (IOU)</w:t>
      </w:r>
      <w:r>
        <w:t>-administered OBF programs.</w:t>
      </w:r>
      <w:r w:rsidRPr="008A0403">
        <w:t xml:space="preserve"> </w:t>
      </w:r>
      <w:r w:rsidR="00E40C9B">
        <w:t xml:space="preserve"> </w:t>
      </w:r>
      <w:r>
        <w:t>CAEATFA,</w:t>
      </w:r>
      <w:r w:rsidRPr="008A0403">
        <w:t xml:space="preserve"> </w:t>
      </w:r>
      <w:r>
        <w:t xml:space="preserve">on behalf of the Commission, administers </w:t>
      </w:r>
      <w:r w:rsidRPr="008A0403">
        <w:t xml:space="preserve">the </w:t>
      </w:r>
      <w:r>
        <w:t>s</w:t>
      </w:r>
      <w:r w:rsidRPr="008A0403">
        <w:t xml:space="preserve">tatewide </w:t>
      </w:r>
      <w:r>
        <w:t>financing p</w:t>
      </w:r>
      <w:r w:rsidRPr="008A0403">
        <w:t xml:space="preserve">ilot </w:t>
      </w:r>
      <w:r>
        <w:t>p</w:t>
      </w:r>
      <w:r w:rsidRPr="008A0403">
        <w:t>rograms</w:t>
      </w:r>
      <w:r>
        <w:t xml:space="preserve"> hub called the </w:t>
      </w:r>
      <w:r w:rsidRPr="001D120A">
        <w:t>California Hub for Energy Efficiency Financing</w:t>
      </w:r>
      <w:r>
        <w:t xml:space="preserve"> (CHEEF), including</w:t>
      </w:r>
      <w:r w:rsidR="008D0265">
        <w:t xml:space="preserve"> a</w:t>
      </w:r>
      <w:r>
        <w:t xml:space="preserve"> small business pilot and affordable multifamily financing pilots that were launched in 2019.</w:t>
      </w:r>
      <w:r>
        <w:rPr>
          <w:rStyle w:val="FootnoteReference"/>
        </w:rPr>
        <w:footnoteReference w:id="7"/>
      </w:r>
      <w:r>
        <w:t xml:space="preserve"> In addition, as of April 2020, </w:t>
      </w:r>
      <w:r w:rsidR="008D0265">
        <w:t>CAEATFA</w:t>
      </w:r>
      <w:r>
        <w:t xml:space="preserve"> also continues running the</w:t>
      </w:r>
      <w:r w:rsidRPr="008F0AF9">
        <w:t xml:space="preserve"> Residential Energy Efficiency Loan (REEL)</w:t>
      </w:r>
      <w:r>
        <w:t xml:space="preserve"> pilot that was authorized as a full-scale program.</w:t>
      </w:r>
      <w:r>
        <w:rPr>
          <w:rStyle w:val="FootnoteReference"/>
        </w:rPr>
        <w:footnoteReference w:id="8"/>
      </w:r>
      <w:r>
        <w:t xml:space="preserve">  T</w:t>
      </w:r>
      <w:r w:rsidRPr="008A0403">
        <w:t xml:space="preserve">he </w:t>
      </w:r>
      <w:r w:rsidR="008D0265">
        <w:t>utilities</w:t>
      </w:r>
      <w:r>
        <w:t xml:space="preserve"> administer </w:t>
      </w:r>
      <w:r w:rsidR="005E2E4B">
        <w:t xml:space="preserve">non-residential </w:t>
      </w:r>
      <w:r w:rsidRPr="008A0403">
        <w:t>OBF program</w:t>
      </w:r>
      <w:r>
        <w:t>s in their respective territories</w:t>
      </w:r>
      <w:r w:rsidRPr="008A0403">
        <w:t>.</w:t>
      </w:r>
      <w:r>
        <w:rPr>
          <w:rStyle w:val="FootnoteReference"/>
        </w:rPr>
        <w:footnoteReference w:id="9"/>
      </w:r>
      <w:r w:rsidRPr="008A0403">
        <w:t xml:space="preserve"> </w:t>
      </w:r>
    </w:p>
    <w:p w:rsidR="00086DDA" w:rsidP="000E1BD5" w:rsidRDefault="00086DDA" w14:paraId="697BE4E4" w14:textId="540A190E">
      <w:pPr>
        <w:pStyle w:val="sub1"/>
      </w:pPr>
      <w:r>
        <w:t xml:space="preserve">Below is a chronological summary of the </w:t>
      </w:r>
      <w:r>
        <w:t xml:space="preserve">CPUC’s </w:t>
      </w:r>
      <w:r>
        <w:t xml:space="preserve">major decisions and events on energy efficiency financing: </w:t>
      </w:r>
    </w:p>
    <w:p w:rsidR="00086DDA" w:rsidP="00086DDA" w:rsidRDefault="00086DDA" w14:paraId="5108F0F1" w14:textId="22700D06">
      <w:pPr>
        <w:pStyle w:val="sub1"/>
      </w:pPr>
      <w:r>
        <w:lastRenderedPageBreak/>
        <w:t>In D.05-09-043, the Commission directed utilities to explore on-bill financing during 2006-08 as a way to remove the first-cost barrier to rapid deployment of energy efficiency measures by allowing customers to finance these measures on their energy bills at low interest or no interest.</w:t>
      </w:r>
    </w:p>
    <w:p w:rsidR="00086DDA" w:rsidP="00086DDA" w:rsidRDefault="00086DDA" w14:paraId="5F103FE4" w14:textId="600B947B">
      <w:pPr>
        <w:pStyle w:val="sub1"/>
      </w:pPr>
      <w:r>
        <w:t xml:space="preserve">The </w:t>
      </w:r>
      <w:r w:rsidR="008D0265">
        <w:t>Long</w:t>
      </w:r>
      <w:r w:rsidR="00530534">
        <w:t>-</w:t>
      </w:r>
      <w:r w:rsidR="008D0265">
        <w:t xml:space="preserve">Term Energy Efficiency </w:t>
      </w:r>
      <w:r>
        <w:t>Strategic Plan adopted in D.08-09-040 identified the need for financing solutions in both the residential and commercial sectors.</w:t>
      </w:r>
    </w:p>
    <w:p w:rsidR="00086DDA" w:rsidP="00086DDA" w:rsidRDefault="00086DDA" w14:paraId="0D6FEEB7" w14:textId="14E7FE7C">
      <w:pPr>
        <w:pStyle w:val="sub1"/>
      </w:pPr>
      <w:r>
        <w:t>In D. 09-09-047, the Commission, approved a</w:t>
      </w:r>
      <w:r w:rsidR="005E2E4B">
        <w:t xml:space="preserve"> non-residential</w:t>
      </w:r>
      <w:r w:rsidR="009C08FF">
        <w:rPr>
          <w:rStyle w:val="FootnoteReference"/>
        </w:rPr>
        <w:footnoteReference w:id="10"/>
      </w:r>
      <w:r>
        <w:t xml:space="preserve"> </w:t>
      </w:r>
      <w:r w:rsidR="008D0265">
        <w:t>OBF</w:t>
      </w:r>
      <w:r>
        <w:t xml:space="preserve"> program as part of the energy efficiency funding for all four of the major energy </w:t>
      </w:r>
      <w:r w:rsidR="008D0265">
        <w:t>IOUs</w:t>
      </w:r>
      <w:r>
        <w:t xml:space="preserve"> while adopting a nearly-uniform </w:t>
      </w:r>
      <w:r w:rsidR="008D0265">
        <w:t>OBF</w:t>
      </w:r>
      <w:r>
        <w:t xml:space="preserve"> program using ratepayer funds as the loan capital pool </w:t>
      </w:r>
      <w:r w:rsidRPr="00E76D0F">
        <w:t>for all major IOUs</w:t>
      </w:r>
      <w:r>
        <w:t>. Additionally, the decision set the budget for each IOU</w:t>
      </w:r>
      <w:r w:rsidR="008D0265">
        <w:t>.</w:t>
      </w:r>
      <w:r>
        <w:rPr>
          <w:rStyle w:val="FootnoteReference"/>
        </w:rPr>
        <w:footnoteReference w:id="11"/>
      </w:r>
      <w:r>
        <w:t xml:space="preserve"> </w:t>
      </w:r>
      <w:r w:rsidR="009C08FF">
        <w:t xml:space="preserve"> </w:t>
      </w:r>
      <w:r w:rsidRPr="008D1584">
        <w:t>Under the</w:t>
      </w:r>
      <w:r>
        <w:t xml:space="preserve"> OBF</w:t>
      </w:r>
      <w:r w:rsidRPr="008D1584">
        <w:t xml:space="preserve"> program, a utility provides eligible customers with unsecured loans</w:t>
      </w:r>
      <w:r>
        <w:t xml:space="preserve"> </w:t>
      </w:r>
      <w:r w:rsidRPr="008D1584">
        <w:t xml:space="preserve">covering 100 percent of the energy efficiency equipment and installation costs (net of rebates and other incentives) </w:t>
      </w:r>
      <w:r w:rsidR="008D0265">
        <w:t>at</w:t>
      </w:r>
      <w:r w:rsidRPr="008D1584">
        <w:t xml:space="preserve"> zero percent interest. </w:t>
      </w:r>
    </w:p>
    <w:p w:rsidRPr="00FA7D0B" w:rsidR="00086DDA" w:rsidP="00086DDA" w:rsidRDefault="00086DDA" w14:paraId="1A2590A4" w14:textId="5DCDB06E">
      <w:pPr>
        <w:pStyle w:val="sub1"/>
      </w:pPr>
      <w:r w:rsidRPr="00FA7D0B">
        <w:t>In D</w:t>
      </w:r>
      <w:r w:rsidR="005E2E4B">
        <w:t>.</w:t>
      </w:r>
      <w:r w:rsidRPr="00FA7D0B">
        <w:t xml:space="preserve">12-05-015, the </w:t>
      </w:r>
      <w:r w:rsidR="008D0265">
        <w:t>Commission</w:t>
      </w:r>
      <w:r w:rsidRPr="00FA7D0B">
        <w:t xml:space="preserve"> envisioned a long-term goal of developing new, scalable, and leveraged financing products to overcome the first cost of energy efficiency upgrades and induce customers to participate in projects that produce deeper energy savings than would be achieved utilizing mostly traditional program approaches such as audits, rebates, and access to consumption data.</w:t>
      </w:r>
      <w:r w:rsidRPr="00FA7D0B">
        <w:rPr>
          <w:vertAlign w:val="superscript"/>
        </w:rPr>
        <w:footnoteReference w:id="12"/>
      </w:r>
      <w:r w:rsidRPr="00FA7D0B">
        <w:t xml:space="preserve">  </w:t>
      </w:r>
    </w:p>
    <w:p w:rsidRPr="00FA7D0B" w:rsidR="00086DDA" w:rsidP="00086DDA" w:rsidRDefault="00086DDA" w14:paraId="2E2A92DC" w14:textId="7B40FA3A">
      <w:pPr>
        <w:pStyle w:val="sub1"/>
      </w:pPr>
      <w:r w:rsidRPr="00FA7D0B">
        <w:t xml:space="preserve">In D.12-11-015, the </w:t>
      </w:r>
      <w:r w:rsidR="005E2E4B">
        <w:t>Commission</w:t>
      </w:r>
      <w:r w:rsidRPr="00FA7D0B">
        <w:t xml:space="preserve"> approved up to $75.2 million</w:t>
      </w:r>
      <w:r w:rsidRPr="00FA7D0B">
        <w:rPr>
          <w:vertAlign w:val="superscript"/>
        </w:rPr>
        <w:footnoteReference w:id="13"/>
      </w:r>
      <w:r w:rsidRPr="00FA7D0B">
        <w:t xml:space="preserve"> of ratepayer funds for innovative and new energy efficiency financing pilots.  </w:t>
      </w:r>
      <w:r w:rsidRPr="00FA7D0B">
        <w:lastRenderedPageBreak/>
        <w:t xml:space="preserve">However, the actual design of the energy efficiency financing pilots was deferred to a later </w:t>
      </w:r>
      <w:r w:rsidR="008D0265">
        <w:t>d</w:t>
      </w:r>
      <w:r w:rsidRPr="00FA7D0B">
        <w:t>ecision</w:t>
      </w:r>
      <w:r w:rsidR="009C08FF">
        <w:t>, which became D.13-09-044</w:t>
      </w:r>
      <w:r w:rsidRPr="00FA7D0B">
        <w:t>.</w:t>
      </w:r>
    </w:p>
    <w:p w:rsidRPr="00FA7D0B" w:rsidR="00086DDA" w:rsidP="00086DDA" w:rsidRDefault="00086DDA" w14:paraId="3250CD00" w14:textId="1EF79F78">
      <w:pPr>
        <w:pStyle w:val="sub1"/>
      </w:pPr>
      <w:r w:rsidRPr="00FA7D0B">
        <w:t>D.13-09-044 implemented and expanded incentives for financing options for energy efficiency improvements across all market sectors.</w:t>
      </w:r>
      <w:r w:rsidRPr="00FA7D0B">
        <w:rPr>
          <w:vertAlign w:val="superscript"/>
        </w:rPr>
        <w:footnoteReference w:id="14"/>
      </w:r>
      <w:r w:rsidRPr="00FA7D0B">
        <w:t xml:space="preserve"> </w:t>
      </w:r>
      <w:r w:rsidR="00E40C9B">
        <w:t xml:space="preserve"> </w:t>
      </w:r>
      <w:r w:rsidRPr="00FA7D0B">
        <w:t xml:space="preserve">Relevant </w:t>
      </w:r>
      <w:r w:rsidR="008D0265">
        <w:t>Commission</w:t>
      </w:r>
      <w:r w:rsidRPr="00FA7D0B">
        <w:t xml:space="preserve"> directives in this decision include</w:t>
      </w:r>
      <w:r w:rsidR="008D0265">
        <w:t>d</w:t>
      </w:r>
      <w:r w:rsidRPr="00FA7D0B">
        <w:t>:</w:t>
      </w:r>
    </w:p>
    <w:p w:rsidRPr="00FA7D0B" w:rsidR="00086DDA" w:rsidP="00BF087F" w:rsidRDefault="00086DDA" w14:paraId="60D552FD" w14:textId="028BE8D8">
      <w:pPr>
        <w:pStyle w:val="sub1"/>
        <w:numPr>
          <w:ilvl w:val="0"/>
          <w:numId w:val="11"/>
        </w:numPr>
        <w:spacing w:after="120" w:line="240" w:lineRule="auto"/>
        <w:ind w:right="1440"/>
      </w:pPr>
      <w:r w:rsidRPr="00FA7D0B">
        <w:t>The allocation of $65.9 million to launch selected</w:t>
      </w:r>
      <w:r>
        <w:t xml:space="preserve"> financing</w:t>
      </w:r>
      <w:r w:rsidRPr="00FA7D0B">
        <w:t xml:space="preserve"> pilots designed to test whether incentives stimulate markets to attract private capital, through investment of limited ratepayer funds</w:t>
      </w:r>
      <w:r w:rsidR="005E2E4B">
        <w:t>;</w:t>
      </w:r>
      <w:r w:rsidRPr="00FA7D0B">
        <w:rPr>
          <w:vertAlign w:val="superscript"/>
        </w:rPr>
        <w:footnoteReference w:id="15"/>
      </w:r>
    </w:p>
    <w:p w:rsidRPr="00FA7D0B" w:rsidR="00086DDA" w:rsidP="00BF087F" w:rsidRDefault="00086DDA" w14:paraId="72DD9384" w14:textId="4BA4F965">
      <w:pPr>
        <w:pStyle w:val="sub1"/>
        <w:numPr>
          <w:ilvl w:val="0"/>
          <w:numId w:val="10"/>
        </w:numPr>
        <w:spacing w:after="120" w:line="240" w:lineRule="auto"/>
        <w:ind w:right="1440"/>
      </w:pPr>
      <w:r w:rsidRPr="00FA7D0B">
        <w:t>Authorization for CAEATFA to establish a “hub” for the finance pilots</w:t>
      </w:r>
      <w:r w:rsidR="005E2E4B">
        <w:t xml:space="preserve"> (</w:t>
      </w:r>
      <w:r w:rsidRPr="00BF087F" w:rsidR="005E2E4B">
        <w:rPr>
          <w:i/>
          <w:iCs/>
        </w:rPr>
        <w:t>i.e.,</w:t>
      </w:r>
      <w:r w:rsidR="005E2E4B">
        <w:t xml:space="preserve"> </w:t>
      </w:r>
      <w:r w:rsidRPr="00FA7D0B">
        <w:t>CHEEF</w:t>
      </w:r>
      <w:r w:rsidR="005E2E4B">
        <w:t>);</w:t>
      </w:r>
      <w:r w:rsidRPr="00FA7D0B">
        <w:rPr>
          <w:vertAlign w:val="superscript"/>
        </w:rPr>
        <w:footnoteReference w:id="16"/>
      </w:r>
    </w:p>
    <w:p w:rsidRPr="00FA7D0B" w:rsidR="00086DDA" w:rsidP="00BF087F" w:rsidRDefault="008D0265" w14:paraId="39712677" w14:textId="6DE78ABD">
      <w:pPr>
        <w:pStyle w:val="sub1"/>
        <w:numPr>
          <w:ilvl w:val="0"/>
          <w:numId w:val="10"/>
        </w:numPr>
        <w:spacing w:after="120" w:line="240" w:lineRule="auto"/>
        <w:ind w:right="1440"/>
      </w:pPr>
      <w:r>
        <w:t>A</w:t>
      </w:r>
      <w:r w:rsidRPr="00FA7D0B" w:rsidR="00086DDA">
        <w:t xml:space="preserve"> focus on the goal of expanding access to financing instruments by key customer segments, in particular customers underserved by existing energy efficiency financing and </w:t>
      </w:r>
      <w:proofErr w:type="gramStart"/>
      <w:r w:rsidRPr="00FA7D0B" w:rsidR="00086DDA">
        <w:t>programs</w:t>
      </w:r>
      <w:r w:rsidR="005E2E4B">
        <w:t>;</w:t>
      </w:r>
      <w:proofErr w:type="gramEnd"/>
    </w:p>
    <w:p w:rsidRPr="00FA7D0B" w:rsidR="00086DDA" w:rsidP="00BF087F" w:rsidRDefault="008D0265" w14:paraId="44DD7248" w14:textId="18FBF692">
      <w:pPr>
        <w:pStyle w:val="sub1"/>
        <w:numPr>
          <w:ilvl w:val="0"/>
          <w:numId w:val="10"/>
        </w:numPr>
        <w:spacing w:after="120" w:line="240" w:lineRule="auto"/>
        <w:ind w:right="1440"/>
      </w:pPr>
      <w:r>
        <w:t>L</w:t>
      </w:r>
      <w:r w:rsidRPr="00FA7D0B" w:rsidR="00086DDA">
        <w:t>everaging of limited ratepayer energy efficiency funds for credit enhancements, which function as a</w:t>
      </w:r>
      <w:r w:rsidR="005E2E4B">
        <w:t>n LLR</w:t>
      </w:r>
      <w:r w:rsidRPr="00FA7D0B" w:rsidR="00086DDA">
        <w:t>, to provide incentives to lenders to extend or improve credit terms for energy efficiency projects. In this form of credit enhancement, a percentage of a loan is set aside to cover the lender’s potential losses</w:t>
      </w:r>
      <w:r w:rsidR="005E2E4B">
        <w:t>; and</w:t>
      </w:r>
    </w:p>
    <w:p w:rsidRPr="00FA7D0B" w:rsidR="00086DDA" w:rsidP="00BF087F" w:rsidRDefault="008D0265" w14:paraId="7E75FFD5" w14:textId="3FD45747">
      <w:pPr>
        <w:pStyle w:val="sub1"/>
        <w:numPr>
          <w:ilvl w:val="0"/>
          <w:numId w:val="10"/>
        </w:numPr>
        <w:spacing w:after="120" w:line="240" w:lineRule="auto"/>
        <w:ind w:right="1440"/>
      </w:pPr>
      <w:r>
        <w:t>T</w:t>
      </w:r>
      <w:r w:rsidRPr="00FA7D0B" w:rsidR="00086DDA">
        <w:t xml:space="preserve">esting </w:t>
      </w:r>
      <w:r w:rsidR="00086DDA">
        <w:t xml:space="preserve">of </w:t>
      </w:r>
      <w:r w:rsidRPr="00FA7D0B" w:rsidR="00086DDA">
        <w:t>whether transitional ratepayer support for</w:t>
      </w:r>
      <w:r w:rsidR="00086DDA">
        <w:t xml:space="preserve"> </w:t>
      </w:r>
      <w:r w:rsidRPr="00FA7D0B" w:rsidR="00086DDA">
        <w:t xml:space="preserve">credit enhancement can lead to self-supporting energy efficiency finance in the future. </w:t>
      </w:r>
    </w:p>
    <w:p w:rsidRPr="00FA7D0B" w:rsidR="00086DDA" w:rsidP="00086DDA" w:rsidRDefault="00086DDA" w14:paraId="0FE479C1" w14:textId="77777777">
      <w:pPr>
        <w:pStyle w:val="sub1"/>
      </w:pPr>
      <w:r w:rsidRPr="00FA7D0B">
        <w:rPr>
          <w:iCs/>
        </w:rPr>
        <w:t>D.17-03-026</w:t>
      </w:r>
      <w:r w:rsidRPr="00FA7D0B">
        <w:rPr>
          <w:i/>
          <w:iCs/>
        </w:rPr>
        <w:t xml:space="preserve"> </w:t>
      </w:r>
      <w:r w:rsidRPr="00FA7D0B">
        <w:t xml:space="preserve">addressed </w:t>
      </w:r>
      <w:proofErr w:type="gramStart"/>
      <w:r w:rsidRPr="00FA7D0B">
        <w:t>a number of</w:t>
      </w:r>
      <w:proofErr w:type="gramEnd"/>
      <w:r w:rsidRPr="00FA7D0B">
        <w:t xml:space="preserve"> issues related to the energy efficiency pilot programs, including:</w:t>
      </w:r>
    </w:p>
    <w:p w:rsidRPr="00FA7D0B" w:rsidR="00086DDA" w:rsidP="00BF087F" w:rsidRDefault="00086DDA" w14:paraId="4B1F9FD4" w14:textId="65AC13EE">
      <w:pPr>
        <w:pStyle w:val="sub1"/>
        <w:numPr>
          <w:ilvl w:val="0"/>
          <w:numId w:val="12"/>
        </w:numPr>
        <w:spacing w:after="120" w:line="240" w:lineRule="auto"/>
        <w:ind w:right="1440"/>
      </w:pPr>
      <w:r>
        <w:t>Establishing that t</w:t>
      </w:r>
      <w:r w:rsidRPr="00FA7D0B">
        <w:t xml:space="preserve">he CPUC will provide for energy efficiency program funding to support the </w:t>
      </w:r>
      <w:r>
        <w:t xml:space="preserve">financing </w:t>
      </w:r>
      <w:r w:rsidRPr="00FA7D0B">
        <w:t xml:space="preserve">pilot programs for their full lifecycle, </w:t>
      </w:r>
      <w:r w:rsidR="008D0265">
        <w:t>(</w:t>
      </w:r>
      <w:r w:rsidRPr="00D049C2">
        <w:rPr>
          <w:i/>
          <w:iCs/>
        </w:rPr>
        <w:t>i.e.</w:t>
      </w:r>
      <w:r w:rsidRPr="00FA7D0B">
        <w:t xml:space="preserve">, for the full duration of </w:t>
      </w:r>
      <w:r w:rsidRPr="00FA7D0B">
        <w:lastRenderedPageBreak/>
        <w:t>pilot program operation and loan servicing</w:t>
      </w:r>
      <w:r w:rsidR="008D0265">
        <w:t>)</w:t>
      </w:r>
      <w:r w:rsidRPr="00FA7D0B">
        <w:t>, primarily through funding already authorized in D.13-09-044</w:t>
      </w:r>
      <w:r w:rsidR="005E2E4B">
        <w:t>;</w:t>
      </w:r>
      <w:r w:rsidRPr="00FA7D0B">
        <w:rPr>
          <w:vertAlign w:val="superscript"/>
        </w:rPr>
        <w:footnoteReference w:id="17"/>
      </w:r>
      <w:r w:rsidR="005E2E4B">
        <w:t xml:space="preserve"> and</w:t>
      </w:r>
    </w:p>
    <w:p w:rsidRPr="00FA7D0B" w:rsidR="00086DDA" w:rsidP="00BF087F" w:rsidRDefault="00086DDA" w14:paraId="12839054" w14:textId="08F89ED9">
      <w:pPr>
        <w:pStyle w:val="sub1"/>
        <w:numPr>
          <w:ilvl w:val="0"/>
          <w:numId w:val="12"/>
        </w:numPr>
        <w:spacing w:after="120" w:line="240" w:lineRule="auto"/>
        <w:ind w:right="1440"/>
      </w:pPr>
      <w:r>
        <w:t>Direct</w:t>
      </w:r>
      <w:r w:rsidR="008D0265">
        <w:t>ing</w:t>
      </w:r>
      <w:r>
        <w:t xml:space="preserve"> that m</w:t>
      </w:r>
      <w:r w:rsidRPr="00FA7D0B">
        <w:t>etrics be established for each pilot program</w:t>
      </w:r>
      <w:r>
        <w:t>, and that t</w:t>
      </w:r>
      <w:r w:rsidRPr="00FA7D0B">
        <w:t>he metrics selected should focus on the definition of success for each of the pilots beyond customer uptake or number of transactions, with an ultimate focus on value</w:t>
      </w:r>
      <w:r w:rsidR="00193F21">
        <w:t xml:space="preserve"> </w:t>
      </w:r>
      <w:r w:rsidRPr="00FA7D0B">
        <w:t>added toward achieving energy savings.</w:t>
      </w:r>
      <w:r w:rsidRPr="00FA7D0B">
        <w:rPr>
          <w:vertAlign w:val="superscript"/>
        </w:rPr>
        <w:footnoteReference w:id="18"/>
      </w:r>
    </w:p>
    <w:p w:rsidR="00086DDA" w:rsidP="00086DDA" w:rsidRDefault="00086DDA" w14:paraId="2561C440" w14:textId="52E8950C">
      <w:pPr>
        <w:pStyle w:val="sub1"/>
      </w:pPr>
      <w:r w:rsidRPr="00FA7D0B">
        <w:t xml:space="preserve">Resolution E-4900, issued on December 14, 2017, adopted metrics as tools to contribute to the determination of the long-term viability of </w:t>
      </w:r>
      <w:r>
        <w:t>energy efficiency</w:t>
      </w:r>
      <w:r w:rsidRPr="00FA7D0B">
        <w:t xml:space="preserve"> financing pilots. In the Resolution, the </w:t>
      </w:r>
      <w:r w:rsidR="00105F81">
        <w:t>Commission</w:t>
      </w:r>
      <w:r w:rsidRPr="00FA7D0B">
        <w:t xml:space="preserve"> ordered </w:t>
      </w:r>
      <w:r>
        <w:t>a set of metrics to be</w:t>
      </w:r>
      <w:r w:rsidRPr="00FA7D0B">
        <w:t xml:space="preserve"> adopted </w:t>
      </w:r>
      <w:r>
        <w:t>(</w:t>
      </w:r>
      <w:r w:rsidRPr="00FA7D0B">
        <w:t xml:space="preserve">Attachment 1 </w:t>
      </w:r>
      <w:r>
        <w:t>to the</w:t>
      </w:r>
      <w:r w:rsidRPr="00FA7D0B">
        <w:t xml:space="preserve"> Resolution</w:t>
      </w:r>
      <w:r>
        <w:t>)</w:t>
      </w:r>
      <w:r w:rsidRPr="00FA7D0B">
        <w:t xml:space="preserve"> to be utilized by the </w:t>
      </w:r>
      <w:r w:rsidR="00105F81">
        <w:t>Commission,</w:t>
      </w:r>
      <w:r w:rsidRPr="00FA7D0B">
        <w:t xml:space="preserve"> along with other considerations to assess the results of the REEL pilot.</w:t>
      </w:r>
    </w:p>
    <w:p w:rsidRPr="00530534" w:rsidR="00086DDA" w:rsidP="00086DDA" w:rsidRDefault="00086DDA" w14:paraId="32B2A132" w14:textId="3A53080D">
      <w:pPr>
        <w:spacing w:line="360" w:lineRule="auto"/>
        <w:ind w:firstLine="720"/>
        <w:rPr>
          <w:iCs/>
        </w:rPr>
      </w:pPr>
      <w:r w:rsidRPr="00530534">
        <w:rPr>
          <w:iCs/>
        </w:rPr>
        <w:t xml:space="preserve">In D.19-03-001, the </w:t>
      </w:r>
      <w:r w:rsidRPr="00530534" w:rsidR="00105F81">
        <w:rPr>
          <w:iCs/>
        </w:rPr>
        <w:t>C</w:t>
      </w:r>
      <w:r w:rsidRPr="00530534">
        <w:rPr>
          <w:iCs/>
        </w:rPr>
        <w:t xml:space="preserve">ommission granted PG&amp;E’s Petition for Modification of Decision D.09-09-047 to increase its </w:t>
      </w:r>
      <w:r w:rsidRPr="00530534" w:rsidR="000A5424">
        <w:rPr>
          <w:iCs/>
        </w:rPr>
        <w:t>OBF</w:t>
      </w:r>
      <w:r w:rsidRPr="00530534">
        <w:rPr>
          <w:iCs/>
        </w:rPr>
        <w:t xml:space="preserve"> loan limits.</w:t>
      </w:r>
      <w:r w:rsidR="00193F21">
        <w:rPr>
          <w:iCs/>
        </w:rPr>
        <w:t xml:space="preserve">  Additionally: </w:t>
      </w:r>
    </w:p>
    <w:p w:rsidRPr="00530534" w:rsidR="00086DDA" w:rsidP="00D049C2" w:rsidRDefault="00086DDA" w14:paraId="09DEBBC2" w14:textId="344DD1AB">
      <w:pPr>
        <w:numPr>
          <w:ilvl w:val="0"/>
          <w:numId w:val="19"/>
        </w:numPr>
        <w:tabs>
          <w:tab w:val="left" w:pos="1080"/>
        </w:tabs>
        <w:spacing w:after="120"/>
        <w:ind w:left="1166" w:right="1440" w:hanging="446"/>
        <w:rPr>
          <w:iCs/>
        </w:rPr>
      </w:pPr>
      <w:r w:rsidRPr="00530534">
        <w:rPr>
          <w:iCs/>
        </w:rPr>
        <w:t xml:space="preserve">The Commission allowed the other IOUs to file advice letters for modification of their OBF loans terms and conditions to match PG&amp;E’s terms and </w:t>
      </w:r>
      <w:proofErr w:type="gramStart"/>
      <w:r w:rsidRPr="00530534">
        <w:rPr>
          <w:iCs/>
        </w:rPr>
        <w:t>caps</w:t>
      </w:r>
      <w:r w:rsidR="00193F21">
        <w:rPr>
          <w:iCs/>
        </w:rPr>
        <w:t>;</w:t>
      </w:r>
      <w:proofErr w:type="gramEnd"/>
    </w:p>
    <w:p w:rsidRPr="00530534" w:rsidR="00086DDA" w:rsidP="00D049C2" w:rsidRDefault="00105F81" w14:paraId="40D5A49E" w14:textId="451F6734">
      <w:pPr>
        <w:numPr>
          <w:ilvl w:val="0"/>
          <w:numId w:val="19"/>
        </w:numPr>
        <w:tabs>
          <w:tab w:val="left" w:pos="1080"/>
        </w:tabs>
        <w:spacing w:after="120"/>
        <w:ind w:left="1166" w:right="1440" w:hanging="446"/>
        <w:rPr>
          <w:iCs/>
        </w:rPr>
      </w:pPr>
      <w:r w:rsidRPr="00530534">
        <w:rPr>
          <w:iCs/>
        </w:rPr>
        <w:t>E</w:t>
      </w:r>
      <w:r w:rsidRPr="00530534" w:rsidR="00086DDA">
        <w:rPr>
          <w:iCs/>
        </w:rPr>
        <w:t xml:space="preserve">ach of the IOUs </w:t>
      </w:r>
      <w:r w:rsidRPr="00530534">
        <w:rPr>
          <w:iCs/>
        </w:rPr>
        <w:t>was directed to file</w:t>
      </w:r>
      <w:r w:rsidRPr="00530534" w:rsidR="00086DDA">
        <w:rPr>
          <w:iCs/>
        </w:rPr>
        <w:t xml:space="preserve"> a Tier 2 advice letter to show that it has appropriate safeguards and controls in place to manage any requested increase in the terms or caps on on-bill financing loans, and to prioritize OBF loan funds to cover projects with the largest savings</w:t>
      </w:r>
      <w:r w:rsidR="00193F21">
        <w:rPr>
          <w:iCs/>
        </w:rPr>
        <w:t xml:space="preserve">; and </w:t>
      </w:r>
      <w:r w:rsidRPr="00530534" w:rsidR="00086DDA">
        <w:rPr>
          <w:iCs/>
        </w:rPr>
        <w:t xml:space="preserve"> </w:t>
      </w:r>
    </w:p>
    <w:p w:rsidRPr="00D049C2" w:rsidR="00E40C9B" w:rsidP="00D049C2" w:rsidRDefault="00086DDA" w14:paraId="739A34E1" w14:textId="26E4F1E6">
      <w:pPr>
        <w:numPr>
          <w:ilvl w:val="0"/>
          <w:numId w:val="18"/>
        </w:numPr>
        <w:spacing w:after="120"/>
        <w:ind w:left="1166" w:right="1440" w:hanging="446"/>
        <w:rPr>
          <w:iCs/>
        </w:rPr>
      </w:pPr>
      <w:r w:rsidRPr="00530534">
        <w:rPr>
          <w:iCs/>
        </w:rPr>
        <w:t xml:space="preserve">Loans of more than $250,000 </w:t>
      </w:r>
      <w:r w:rsidRPr="00530534" w:rsidR="00105F81">
        <w:rPr>
          <w:iCs/>
        </w:rPr>
        <w:t>were</w:t>
      </w:r>
      <w:r w:rsidRPr="00530534">
        <w:rPr>
          <w:iCs/>
        </w:rPr>
        <w:t xml:space="preserve"> not permitted to be combined with rebates or incentives.</w:t>
      </w:r>
      <w:r w:rsidRPr="00530534">
        <w:rPr>
          <w:iCs/>
          <w:sz w:val="24"/>
          <w:vertAlign w:val="superscript"/>
        </w:rPr>
        <w:footnoteReference w:id="19"/>
      </w:r>
    </w:p>
    <w:p w:rsidR="00086DDA" w:rsidP="00086DDA" w:rsidRDefault="00086DDA" w14:paraId="5E23CF75" w14:textId="4BDFB016">
      <w:pPr>
        <w:pStyle w:val="sub1"/>
      </w:pPr>
      <w:r>
        <w:t>Resolution E-5072 for Disposition of the REEL</w:t>
      </w:r>
      <w:r w:rsidR="00105F81">
        <w:t xml:space="preserve"> program was</w:t>
      </w:r>
      <w:r w:rsidRPr="004037C8">
        <w:t xml:space="preserve"> issued on April 17, 2020</w:t>
      </w:r>
      <w:r>
        <w:t>, and provided the following direction:</w:t>
      </w:r>
    </w:p>
    <w:p w:rsidR="00086DDA" w:rsidP="00D049C2" w:rsidRDefault="00086DDA" w14:paraId="46D05267" w14:textId="5956B357">
      <w:pPr>
        <w:pStyle w:val="sub1"/>
        <w:numPr>
          <w:ilvl w:val="0"/>
          <w:numId w:val="17"/>
        </w:numPr>
        <w:spacing w:after="120" w:line="240" w:lineRule="auto"/>
        <w:ind w:left="1080" w:right="1440"/>
      </w:pPr>
      <w:r>
        <w:lastRenderedPageBreak/>
        <w:t xml:space="preserve">The REEL pilot </w:t>
      </w:r>
      <w:r w:rsidR="00105F81">
        <w:t>should</w:t>
      </w:r>
      <w:r>
        <w:t xml:space="preserve"> continue as a full-scale program. CAEATFA </w:t>
      </w:r>
      <w:r w:rsidR="00105F81">
        <w:t>was asked to</w:t>
      </w:r>
      <w:r>
        <w:t xml:space="preserve"> continue as the administrator of the REEL </w:t>
      </w:r>
      <w:proofErr w:type="gramStart"/>
      <w:r>
        <w:t>program</w:t>
      </w:r>
      <w:r w:rsidR="00193F21">
        <w:t>;</w:t>
      </w:r>
      <w:proofErr w:type="gramEnd"/>
    </w:p>
    <w:p w:rsidR="00086DDA" w:rsidP="00D049C2" w:rsidRDefault="00086DDA" w14:paraId="40F6102F" w14:textId="2EC130F6">
      <w:pPr>
        <w:pStyle w:val="sub1"/>
        <w:numPr>
          <w:ilvl w:val="1"/>
          <w:numId w:val="20"/>
        </w:numPr>
        <w:tabs>
          <w:tab w:val="left" w:pos="1260"/>
        </w:tabs>
        <w:spacing w:after="120" w:line="240" w:lineRule="auto"/>
        <w:ind w:left="1080" w:right="1440"/>
      </w:pPr>
      <w:r>
        <w:t xml:space="preserve">The authorized budget for the administration of the REEL program and the energy efficiency pilots for fiscal years 2020-2021 and 2021-2022 </w:t>
      </w:r>
      <w:r w:rsidR="00105F81">
        <w:t>were</w:t>
      </w:r>
      <w:r>
        <w:t xml:space="preserve"> continue</w:t>
      </w:r>
      <w:r w:rsidR="00105F81">
        <w:t>d</w:t>
      </w:r>
      <w:r>
        <w:t xml:space="preserve"> at near the </w:t>
      </w:r>
      <w:r w:rsidR="00105F81">
        <w:t>previous</w:t>
      </w:r>
      <w:r>
        <w:t xml:space="preserve"> level, and CAEATFA </w:t>
      </w:r>
      <w:r w:rsidR="00105F81">
        <w:t>wa</w:t>
      </w:r>
      <w:r>
        <w:t xml:space="preserve">s authorized to make enhancements to the REEL and the financing pilots for maintenance and improvement of information technology and administrative needs during the interim period before the next </w:t>
      </w:r>
      <w:r w:rsidR="00105F81">
        <w:t>Commission</w:t>
      </w:r>
      <w:r>
        <w:t xml:space="preserve"> decision</w:t>
      </w:r>
      <w:r w:rsidR="00193F21">
        <w:t>;</w:t>
      </w:r>
      <w:r>
        <w:t xml:space="preserve"> </w:t>
      </w:r>
    </w:p>
    <w:p w:rsidR="00086DDA" w:rsidP="00D049C2" w:rsidRDefault="00086DDA" w14:paraId="3AD7C1F4" w14:textId="59E1BA03">
      <w:pPr>
        <w:pStyle w:val="sub1"/>
        <w:numPr>
          <w:ilvl w:val="1"/>
          <w:numId w:val="20"/>
        </w:numPr>
        <w:tabs>
          <w:tab w:val="left" w:pos="1530"/>
        </w:tabs>
        <w:spacing w:after="120" w:line="240" w:lineRule="auto"/>
        <w:ind w:left="1080" w:right="1440"/>
      </w:pPr>
      <w:r>
        <w:t xml:space="preserve">The large IOUs </w:t>
      </w:r>
      <w:r w:rsidR="000A5424">
        <w:t>were required to</w:t>
      </w:r>
      <w:r>
        <w:t xml:space="preserve"> continue to provide funds to CAEATFA for administration of the program and pilots</w:t>
      </w:r>
      <w:r w:rsidR="00105F81">
        <w:t>,</w:t>
      </w:r>
      <w:r>
        <w:t xml:space="preserve"> as already directed through </w:t>
      </w:r>
      <w:r w:rsidR="00105F81">
        <w:t>Commission</w:t>
      </w:r>
      <w:r>
        <w:t xml:space="preserve"> decisions. Should these already-authorized funds become exhausted before the next decision addressing the energy efficiency financing program and pilots, then CAEATFA </w:t>
      </w:r>
      <w:r w:rsidR="00105F81">
        <w:t>was authorized to</w:t>
      </w:r>
      <w:r>
        <w:t xml:space="preserve"> shift funds from the existing credit enhancement pool to support the budget for the REEL and energy efficiency pilots while awaiting future direction from the </w:t>
      </w:r>
      <w:r w:rsidR="00105F81">
        <w:t>Commission</w:t>
      </w:r>
      <w:r w:rsidR="00193F21">
        <w:t>;</w:t>
      </w:r>
    </w:p>
    <w:p w:rsidR="00086DDA" w:rsidP="00D049C2" w:rsidRDefault="00086DDA" w14:paraId="0238702E" w14:textId="4A51D414">
      <w:pPr>
        <w:pStyle w:val="sub1"/>
        <w:numPr>
          <w:ilvl w:val="1"/>
          <w:numId w:val="20"/>
        </w:numPr>
        <w:tabs>
          <w:tab w:val="left" w:pos="1530"/>
        </w:tabs>
        <w:spacing w:after="120" w:line="240" w:lineRule="auto"/>
        <w:ind w:left="1080" w:right="1440"/>
      </w:pPr>
      <w:r>
        <w:t xml:space="preserve">The IOUs </w:t>
      </w:r>
      <w:r w:rsidR="00105F81">
        <w:t>also</w:t>
      </w:r>
      <w:r w:rsidR="000A5424">
        <w:t xml:space="preserve"> were required</w:t>
      </w:r>
      <w:r>
        <w:t xml:space="preserve"> to continue providing support for </w:t>
      </w:r>
      <w:r w:rsidR="00193F21">
        <w:t>i</w:t>
      </w:r>
      <w:r>
        <w:t xml:space="preserve">nformation </w:t>
      </w:r>
      <w:r w:rsidR="00193F21">
        <w:t>t</w:t>
      </w:r>
      <w:r>
        <w:t>echnology, marketing, and administration of the REEL and other energy efficiency pilots administered by CAEATFA</w:t>
      </w:r>
      <w:r w:rsidR="00105F81">
        <w:t>,</w:t>
      </w:r>
      <w:r>
        <w:t xml:space="preserve"> with funds drawn at the present level until the </w:t>
      </w:r>
      <w:r w:rsidR="00105F81">
        <w:t>Commission</w:t>
      </w:r>
      <w:r>
        <w:t xml:space="preserve"> provides new direction through a </w:t>
      </w:r>
      <w:proofErr w:type="gramStart"/>
      <w:r>
        <w:t>decision</w:t>
      </w:r>
      <w:r w:rsidR="00193F21">
        <w:t>;</w:t>
      </w:r>
      <w:proofErr w:type="gramEnd"/>
    </w:p>
    <w:p w:rsidR="00086DDA" w:rsidP="00D049C2" w:rsidRDefault="00086DDA" w14:paraId="4A345393" w14:textId="63BDBD8A">
      <w:pPr>
        <w:pStyle w:val="sub1"/>
        <w:numPr>
          <w:ilvl w:val="1"/>
          <w:numId w:val="20"/>
        </w:numPr>
        <w:spacing w:after="120" w:line="240" w:lineRule="auto"/>
        <w:ind w:left="1080" w:right="1440"/>
      </w:pPr>
      <w:r>
        <w:t>The lead utility for finance (</w:t>
      </w:r>
      <w:r w:rsidRPr="00D049C2">
        <w:rPr>
          <w:i/>
          <w:iCs/>
        </w:rPr>
        <w:t>i.e.</w:t>
      </w:r>
      <w:r>
        <w:t>, Southern California Gas Company</w:t>
      </w:r>
      <w:r w:rsidR="00105F81">
        <w:t xml:space="preserve"> (SoCalGas)</w:t>
      </w:r>
      <w:r>
        <w:t xml:space="preserve">) </w:t>
      </w:r>
      <w:r w:rsidR="00105F81">
        <w:t>was</w:t>
      </w:r>
      <w:r>
        <w:t xml:space="preserve"> authorized to extend </w:t>
      </w:r>
      <w:r w:rsidR="00105F81">
        <w:t xml:space="preserve">the </w:t>
      </w:r>
      <w:r>
        <w:t xml:space="preserve">contracts that it holds for marketing, education, </w:t>
      </w:r>
      <w:r w:rsidR="00193F21">
        <w:t xml:space="preserve">and </w:t>
      </w:r>
      <w:r>
        <w:t xml:space="preserve">outreach (ME&amp;O) to support the energy efficiency financing program and pilots if needed, and the IOUs </w:t>
      </w:r>
      <w:r w:rsidR="00105F81">
        <w:t>were required to</w:t>
      </w:r>
      <w:r>
        <w:t xml:space="preserve"> continue providing funds at the </w:t>
      </w:r>
      <w:r w:rsidR="00105F81">
        <w:t>previous</w:t>
      </w:r>
      <w:r>
        <w:t xml:space="preserve"> level</w:t>
      </w:r>
      <w:r w:rsidR="00105F81">
        <w:t>s</w:t>
      </w:r>
      <w:r>
        <w:t xml:space="preserve"> and in the </w:t>
      </w:r>
      <w:r w:rsidR="00105F81">
        <w:t>existing</w:t>
      </w:r>
      <w:r>
        <w:t xml:space="preserve"> manner to fund the </w:t>
      </w:r>
      <w:r w:rsidR="00105F81">
        <w:t>ME&amp;O</w:t>
      </w:r>
      <w:r>
        <w:t xml:space="preserve"> activities</w:t>
      </w:r>
      <w:r w:rsidR="00105F81">
        <w:t xml:space="preserve">, </w:t>
      </w:r>
      <w:r>
        <w:t xml:space="preserve">until the </w:t>
      </w:r>
      <w:r w:rsidR="00105F81">
        <w:t>Commission</w:t>
      </w:r>
      <w:r>
        <w:t xml:space="preserve"> provides new direction through a decision</w:t>
      </w:r>
      <w:r w:rsidR="00193F21">
        <w:t>;</w:t>
      </w:r>
    </w:p>
    <w:p w:rsidR="00086DDA" w:rsidP="00D049C2" w:rsidRDefault="00086DDA" w14:paraId="54771774" w14:textId="0FC9ED1C">
      <w:pPr>
        <w:pStyle w:val="sub1"/>
        <w:numPr>
          <w:ilvl w:val="1"/>
          <w:numId w:val="20"/>
        </w:numPr>
        <w:spacing w:after="120" w:line="240" w:lineRule="auto"/>
        <w:ind w:left="1080" w:right="1440"/>
      </w:pPr>
      <w:r>
        <w:t xml:space="preserve">The IOUs </w:t>
      </w:r>
      <w:r w:rsidR="00105F81">
        <w:t>were</w:t>
      </w:r>
      <w:r>
        <w:t xml:space="preserve"> allowed to use the following mechanisms to support the energy efficiency program and pilots and </w:t>
      </w:r>
      <w:r>
        <w:lastRenderedPageBreak/>
        <w:t>draw the funds used to continue ME&amp;O contracts: (1)</w:t>
      </w:r>
      <w:r w:rsidR="00D049C2">
        <w:t> </w:t>
      </w:r>
      <w:r w:rsidR="00193F21">
        <w:t>u</w:t>
      </w:r>
      <w:r>
        <w:t xml:space="preserve">tilize unspent funds from previously approved administrative funding approved through the 2018-2020 </w:t>
      </w:r>
      <w:r w:rsidR="00105F81">
        <w:t>Energy Efficiency</w:t>
      </w:r>
      <w:r>
        <w:t xml:space="preserve"> Finance Pilots Budget advice letters; (2)</w:t>
      </w:r>
      <w:r w:rsidR="00D049C2">
        <w:t> </w:t>
      </w:r>
      <w:r>
        <w:t xml:space="preserve">utilize the Annual Budget Advice Letter (ABAL) process by including funds for the program and pilots in the authorized annual energy efficiency budget or use the ABAL process to request new approval of funding from the previous year’s unspent, uncommitted energy efficiency funds; </w:t>
      </w:r>
      <w:r w:rsidR="00D049C2">
        <w:t xml:space="preserve"> </w:t>
      </w:r>
      <w:r>
        <w:t xml:space="preserve">(3) as provided in D.17-03-026, the IOUs may file a separate Tier 2 advice letter containing details of the costs to be covered and proposing the funding source, whether previously authorized energy efficiency program funding or incremental funding; </w:t>
      </w:r>
      <w:r w:rsidR="00D049C2">
        <w:t xml:space="preserve"> </w:t>
      </w:r>
      <w:r>
        <w:t>or (4) The IOUs may also include these funds in future business plan filings subject to future direction from Commission decisions</w:t>
      </w:r>
      <w:r w:rsidR="00193F21">
        <w:t>; and</w:t>
      </w:r>
    </w:p>
    <w:p w:rsidR="00086DDA" w:rsidP="00D049C2" w:rsidRDefault="00086DDA" w14:paraId="59EA3BA7" w14:textId="5A8AF9B0">
      <w:pPr>
        <w:pStyle w:val="sub1"/>
        <w:numPr>
          <w:ilvl w:val="1"/>
          <w:numId w:val="20"/>
        </w:numPr>
        <w:spacing w:after="120" w:line="240" w:lineRule="auto"/>
        <w:ind w:left="1080" w:right="1440"/>
      </w:pPr>
      <w:r>
        <w:t xml:space="preserve"> The resolution did not address any expanded scope for the REEL program nor for any other financing pilot beyond practical enhancements for maintenance or improvement of functions to allow for scaling of the program and pilots, such as provision of information technology, data gathering, or administration. </w:t>
      </w:r>
    </w:p>
    <w:p w:rsidRPr="00FA7D0B" w:rsidR="00086DDA" w:rsidP="00086DDA" w:rsidRDefault="00086DDA" w14:paraId="26A4D158" w14:textId="77777777">
      <w:pPr>
        <w:pStyle w:val="sub1"/>
        <w:rPr>
          <w:u w:val="single"/>
        </w:rPr>
      </w:pPr>
      <w:r w:rsidRPr="00FA7D0B">
        <w:rPr>
          <w:u w:val="single"/>
        </w:rPr>
        <w:t>Evaluation Studies and Reports</w:t>
      </w:r>
    </w:p>
    <w:p w:rsidRPr="00FA7D0B" w:rsidR="00086DDA" w:rsidP="00D049C2" w:rsidRDefault="00086DDA" w14:paraId="363062AC" w14:textId="2099CB8D">
      <w:pPr>
        <w:pStyle w:val="sub1"/>
      </w:pPr>
      <w:r w:rsidRPr="00FA7D0B">
        <w:rPr>
          <w:bCs/>
        </w:rPr>
        <w:t xml:space="preserve">In addition to the above-referenced decisions, rulings, </w:t>
      </w:r>
      <w:r>
        <w:rPr>
          <w:bCs/>
        </w:rPr>
        <w:t>and resolutions</w:t>
      </w:r>
      <w:r w:rsidR="00193F21">
        <w:rPr>
          <w:bCs/>
        </w:rPr>
        <w:t xml:space="preserve">, </w:t>
      </w:r>
      <w:r w:rsidRPr="00FA7D0B">
        <w:rPr>
          <w:bCs/>
        </w:rPr>
        <w:t>several ratepayer-funded evaluations have been conducted on the REEL program. These include but are not limited to:</w:t>
      </w:r>
    </w:p>
    <w:p w:rsidRPr="00FA7D0B" w:rsidR="00086DDA" w:rsidP="00086DDA" w:rsidRDefault="00086DDA" w14:paraId="79461EAC" w14:textId="77777777">
      <w:pPr>
        <w:pStyle w:val="sub1"/>
        <w:rPr>
          <w:bCs/>
        </w:rPr>
      </w:pPr>
      <w:r w:rsidRPr="00FA7D0B">
        <w:rPr>
          <w:bCs/>
          <w:i/>
          <w:iCs/>
        </w:rPr>
        <w:t>Final CPUC REEL Pilot Impact Evaluation Considerations, December 29, 2017</w:t>
      </w:r>
      <w:r w:rsidRPr="00FA7D0B">
        <w:rPr>
          <w:bCs/>
          <w:vertAlign w:val="superscript"/>
        </w:rPr>
        <w:footnoteReference w:id="20"/>
      </w:r>
    </w:p>
    <w:p w:rsidRPr="00D049C2" w:rsidR="00086DDA" w:rsidP="00D049C2" w:rsidRDefault="00086DDA" w14:paraId="1675FD77" w14:textId="7985AC6C">
      <w:pPr>
        <w:pStyle w:val="sub1"/>
        <w:rPr>
          <w:bCs/>
        </w:rPr>
      </w:pPr>
      <w:r w:rsidRPr="00FA7D0B">
        <w:rPr>
          <w:bCs/>
        </w:rPr>
        <w:t xml:space="preserve">This document was meant to serve as a starting point to consider how to conduct an evaluation of the REEL </w:t>
      </w:r>
      <w:r w:rsidR="00193F21">
        <w:rPr>
          <w:bCs/>
        </w:rPr>
        <w:t>pilot</w:t>
      </w:r>
      <w:r w:rsidRPr="00FA7D0B">
        <w:rPr>
          <w:bCs/>
        </w:rPr>
        <w:t xml:space="preserve"> and what issues would need to be addressed.</w:t>
      </w:r>
      <w:r w:rsidR="00260A12">
        <w:rPr>
          <w:bCs/>
        </w:rPr>
        <w:t xml:space="preserve">  </w:t>
      </w:r>
      <w:r w:rsidRPr="00FA7D0B">
        <w:rPr>
          <w:bCs/>
        </w:rPr>
        <w:t xml:space="preserve">The document presented recommendations for the upcoming impact evaluation based on loans issued through the program </w:t>
      </w:r>
      <w:r w:rsidR="00260A12">
        <w:rPr>
          <w:bCs/>
        </w:rPr>
        <w:t>beginning in</w:t>
      </w:r>
      <w:r w:rsidRPr="00FA7D0B">
        <w:rPr>
          <w:bCs/>
        </w:rPr>
        <w:t xml:space="preserve"> July 2016. </w:t>
      </w:r>
      <w:r w:rsidRPr="00FA7D0B">
        <w:rPr>
          <w:bCs/>
        </w:rPr>
        <w:lastRenderedPageBreak/>
        <w:t xml:space="preserve">This document summarized the information that Opinion Dynamics and Dunsky Energy Consulting collected to monitor the REEL Pilot, assessed its data tracking, and developed ways to evaluate it for energy savings and cost-effectiveness. The information contained in this document was collected and analyzed between 2015-2017. </w:t>
      </w:r>
    </w:p>
    <w:p w:rsidRPr="00FA7D0B" w:rsidR="00086DDA" w:rsidP="00086DDA" w:rsidRDefault="00086DDA" w14:paraId="47897C45" w14:textId="2B3C763C">
      <w:pPr>
        <w:pStyle w:val="sub1"/>
        <w:rPr>
          <w:b/>
          <w:u w:val="single"/>
        </w:rPr>
      </w:pPr>
      <w:r w:rsidRPr="00FA7D0B">
        <w:rPr>
          <w:bCs/>
          <w:i/>
          <w:iCs/>
        </w:rPr>
        <w:t>PY 2014 Finance Residential Market Baseline Study Report, March 2016</w:t>
      </w:r>
      <w:r w:rsidRPr="00FA7D0B">
        <w:rPr>
          <w:vertAlign w:val="superscript"/>
        </w:rPr>
        <w:footnoteReference w:id="21"/>
      </w:r>
    </w:p>
    <w:p w:rsidRPr="00FA7D0B" w:rsidR="00086DDA" w:rsidP="00086DDA" w:rsidRDefault="00086DDA" w14:paraId="00714C32" w14:textId="1355E574">
      <w:pPr>
        <w:pStyle w:val="sub1"/>
        <w:rPr>
          <w:b/>
          <w:u w:val="single"/>
        </w:rPr>
      </w:pPr>
      <w:r w:rsidRPr="00FA7D0B">
        <w:rPr>
          <w:bCs/>
        </w:rPr>
        <w:t xml:space="preserve">The purpose of this study was to identify the characteristics of the market for financing products for energy efficient upgrades. </w:t>
      </w:r>
      <w:r w:rsidR="00D049C2">
        <w:rPr>
          <w:bCs/>
        </w:rPr>
        <w:t xml:space="preserve"> </w:t>
      </w:r>
      <w:r w:rsidRPr="00FA7D0B">
        <w:rPr>
          <w:bCs/>
        </w:rPr>
        <w:t>As a “baseline,” this study provided a “snapshot” of the market before the statewide residential energy efficiency financing pilots launch. This study helped develop an understanding of the market for energy efficiency financing and provided a</w:t>
      </w:r>
      <w:r w:rsidR="00193F21">
        <w:rPr>
          <w:bCs/>
        </w:rPr>
        <w:t>n initial</w:t>
      </w:r>
      <w:r w:rsidRPr="00FA7D0B">
        <w:rPr>
          <w:bCs/>
        </w:rPr>
        <w:t xml:space="preserve"> measurement of the market to help assess market transformation over time. </w:t>
      </w:r>
      <w:r w:rsidR="00E40C9B">
        <w:rPr>
          <w:bCs/>
        </w:rPr>
        <w:t xml:space="preserve"> </w:t>
      </w:r>
      <w:r w:rsidRPr="00FA7D0B">
        <w:rPr>
          <w:bCs/>
        </w:rPr>
        <w:t>Further, because at the time of completion of this report the pilots were not launched yet, this study had the potential to inform their design.</w:t>
      </w:r>
      <w:r w:rsidR="00E40C9B">
        <w:rPr>
          <w:bCs/>
        </w:rPr>
        <w:t xml:space="preserve"> </w:t>
      </w:r>
      <w:r w:rsidRPr="00FA7D0B">
        <w:rPr>
          <w:bCs/>
        </w:rPr>
        <w:t xml:space="preserve"> Some of the pertinent findings were:</w:t>
      </w:r>
    </w:p>
    <w:p w:rsidRPr="00FA7D0B" w:rsidR="00086DDA" w:rsidP="00D049C2" w:rsidRDefault="00086DDA" w14:paraId="1584C793" w14:textId="614FE502">
      <w:pPr>
        <w:pStyle w:val="sub1"/>
        <w:numPr>
          <w:ilvl w:val="0"/>
          <w:numId w:val="21"/>
        </w:numPr>
        <w:spacing w:after="120" w:line="240" w:lineRule="auto"/>
        <w:ind w:right="1440"/>
      </w:pPr>
      <w:r w:rsidRPr="00FA7D0B">
        <w:t xml:space="preserve">About one-third of homeowners completed energy-related upgrades in the last two years, but only a small fraction of them (one-quarter) used any type of </w:t>
      </w:r>
      <w:proofErr w:type="gramStart"/>
      <w:r w:rsidRPr="00FA7D0B">
        <w:t>financing</w:t>
      </w:r>
      <w:r w:rsidR="00193F21">
        <w:t>;</w:t>
      </w:r>
      <w:proofErr w:type="gramEnd"/>
    </w:p>
    <w:p w:rsidRPr="00FA7D0B" w:rsidR="00086DDA" w:rsidP="00D049C2" w:rsidRDefault="00086DDA" w14:paraId="21E908BB" w14:textId="1FCAFC09">
      <w:pPr>
        <w:pStyle w:val="sub1"/>
        <w:numPr>
          <w:ilvl w:val="0"/>
          <w:numId w:val="21"/>
        </w:numPr>
        <w:spacing w:after="120" w:line="240" w:lineRule="auto"/>
        <w:ind w:right="1440"/>
      </w:pPr>
      <w:r w:rsidRPr="00FA7D0B">
        <w:t xml:space="preserve">Customers typically used conventional financing rather than energy efficiency-specific </w:t>
      </w:r>
      <w:proofErr w:type="gramStart"/>
      <w:r w:rsidRPr="00FA7D0B">
        <w:t>financing</w:t>
      </w:r>
      <w:r w:rsidR="00193F21">
        <w:t>;</w:t>
      </w:r>
      <w:proofErr w:type="gramEnd"/>
    </w:p>
    <w:p w:rsidRPr="00FA7D0B" w:rsidR="00086DDA" w:rsidP="00D049C2" w:rsidRDefault="00086DDA" w14:paraId="0400A100" w14:textId="61D48E73">
      <w:pPr>
        <w:pStyle w:val="sub1"/>
        <w:numPr>
          <w:ilvl w:val="0"/>
          <w:numId w:val="21"/>
        </w:numPr>
        <w:spacing w:after="120" w:line="240" w:lineRule="auto"/>
        <w:ind w:right="1440"/>
      </w:pPr>
      <w:r w:rsidRPr="00FA7D0B">
        <w:t>Awareness of energy</w:t>
      </w:r>
      <w:r w:rsidR="00E40C9B">
        <w:t>-</w:t>
      </w:r>
      <w:r w:rsidRPr="00FA7D0B">
        <w:t xml:space="preserve">efficient financing is low among homeowners. </w:t>
      </w:r>
    </w:p>
    <w:p w:rsidRPr="00FA7D0B" w:rsidR="00086DDA" w:rsidP="00D049C2" w:rsidRDefault="00086DDA" w14:paraId="272D3B88" w14:textId="4F1592B2">
      <w:pPr>
        <w:pStyle w:val="sub1"/>
        <w:numPr>
          <w:ilvl w:val="0"/>
          <w:numId w:val="21"/>
        </w:numPr>
        <w:spacing w:after="120" w:line="240" w:lineRule="auto"/>
        <w:ind w:right="1440"/>
      </w:pPr>
      <w:r w:rsidRPr="00FA7D0B">
        <w:t xml:space="preserve">The opportunity for financing to help fund and grow energy-related projects in the near future is </w:t>
      </w:r>
      <w:proofErr w:type="gramStart"/>
      <w:r w:rsidRPr="00FA7D0B">
        <w:t>significant</w:t>
      </w:r>
      <w:r w:rsidR="00193F21">
        <w:t>;</w:t>
      </w:r>
      <w:proofErr w:type="gramEnd"/>
    </w:p>
    <w:p w:rsidRPr="00FA7D0B" w:rsidR="00086DDA" w:rsidP="00D049C2" w:rsidRDefault="00086DDA" w14:paraId="0D5186EC" w14:textId="61F9FBF1">
      <w:pPr>
        <w:pStyle w:val="sub1"/>
        <w:numPr>
          <w:ilvl w:val="0"/>
          <w:numId w:val="21"/>
        </w:numPr>
        <w:spacing w:after="120" w:line="240" w:lineRule="auto"/>
        <w:ind w:right="1440"/>
      </w:pPr>
      <w:r w:rsidRPr="00FA7D0B">
        <w:t>High interest rates for non-</w:t>
      </w:r>
      <w:r w:rsidR="00E40C9B">
        <w:t>energy-related</w:t>
      </w:r>
      <w:r w:rsidRPr="00FA7D0B">
        <w:t xml:space="preserve"> financing products prevent many homeowners from financing </w:t>
      </w:r>
      <w:r w:rsidR="00E40C9B">
        <w:t>energy efficiency</w:t>
      </w:r>
      <w:r w:rsidRPr="00FA7D0B">
        <w:t xml:space="preserve"> upgrades, but the </w:t>
      </w:r>
      <w:r w:rsidR="00193F21">
        <w:t>p</w:t>
      </w:r>
      <w:r w:rsidRPr="00FA7D0B">
        <w:t xml:space="preserve">ilots may help </w:t>
      </w:r>
      <w:r w:rsidRPr="00FA7D0B">
        <w:lastRenderedPageBreak/>
        <w:t xml:space="preserve">overcome this barrier since </w:t>
      </w:r>
      <w:r w:rsidR="00E40C9B">
        <w:t>energy efficiency</w:t>
      </w:r>
      <w:r w:rsidRPr="00FA7D0B">
        <w:t xml:space="preserve"> financing interest rates are significantly lower than market interest rates</w:t>
      </w:r>
      <w:r w:rsidR="00193F21">
        <w:t>; and</w:t>
      </w:r>
    </w:p>
    <w:p w:rsidRPr="00FA7D0B" w:rsidR="00086DDA" w:rsidP="00D049C2" w:rsidRDefault="00086DDA" w14:paraId="0BB1B18A" w14:textId="54A6916F">
      <w:pPr>
        <w:pStyle w:val="sub1"/>
        <w:numPr>
          <w:ilvl w:val="0"/>
          <w:numId w:val="21"/>
        </w:numPr>
        <w:spacing w:after="120" w:line="240" w:lineRule="auto"/>
        <w:ind w:right="1440"/>
      </w:pPr>
      <w:r w:rsidRPr="00FA7D0B">
        <w:t>Contractors are aware of energy</w:t>
      </w:r>
      <w:r w:rsidR="00E40C9B">
        <w:t>-</w:t>
      </w:r>
      <w:r w:rsidRPr="00FA7D0B">
        <w:t xml:space="preserve">efficient financing options, but only a small portion promote them directly. </w:t>
      </w:r>
    </w:p>
    <w:p w:rsidRPr="00D049C2" w:rsidR="00086DDA" w:rsidP="00D049C2" w:rsidRDefault="00086DDA" w14:paraId="58A60F3A" w14:textId="6AB23D9C">
      <w:pPr>
        <w:pStyle w:val="sub1"/>
        <w:rPr>
          <w:bCs/>
        </w:rPr>
      </w:pPr>
      <w:r w:rsidRPr="00FA7D0B">
        <w:rPr>
          <w:bCs/>
        </w:rPr>
        <w:t>Overall, this study indicated that the pilots are targeting segments of the energy-related upgrade market that have limited access to energy efficiency financing and conventional lending products.</w:t>
      </w:r>
    </w:p>
    <w:p w:rsidRPr="00FA7D0B" w:rsidR="00086DDA" w:rsidP="00086DDA" w:rsidRDefault="00086DDA" w14:paraId="75A2FAAF" w14:textId="77777777">
      <w:pPr>
        <w:pStyle w:val="sub1"/>
        <w:rPr>
          <w:b/>
          <w:bCs/>
          <w:u w:val="single"/>
        </w:rPr>
      </w:pPr>
      <w:r w:rsidRPr="00FA7D0B">
        <w:rPr>
          <w:i/>
          <w:iCs/>
        </w:rPr>
        <w:t>Statewide Finance Pilot Marketing, Education, and Outreach Process Evaluation, November 17, 2017</w:t>
      </w:r>
      <w:r w:rsidRPr="00FA7D0B">
        <w:rPr>
          <w:vertAlign w:val="superscript"/>
        </w:rPr>
        <w:footnoteReference w:id="22"/>
      </w:r>
    </w:p>
    <w:p w:rsidRPr="00FA7D0B" w:rsidR="00086DDA" w:rsidP="00086DDA" w:rsidRDefault="00086DDA" w14:paraId="08780AE2" w14:textId="2138EBB7">
      <w:pPr>
        <w:pStyle w:val="sub1"/>
      </w:pPr>
      <w:r w:rsidRPr="00FA7D0B">
        <w:t>This report present</w:t>
      </w:r>
      <w:r w:rsidR="00E40C9B">
        <w:t>ed</w:t>
      </w:r>
      <w:r w:rsidRPr="00FA7D0B">
        <w:t xml:space="preserve"> the results of a process evaluation of the new California Statewide Financing Pilots’ ME&amp;O Campaign (“the Campaign”) that began in June 2017. The Campaign’s foundational activities were designed to eventually lead to the following longer-term objectives:</w:t>
      </w:r>
    </w:p>
    <w:p w:rsidRPr="00FA7D0B" w:rsidR="00086DDA" w:rsidP="00D049C2" w:rsidRDefault="00086DDA" w14:paraId="00462499" w14:textId="77777777">
      <w:pPr>
        <w:pStyle w:val="sub1"/>
        <w:numPr>
          <w:ilvl w:val="0"/>
          <w:numId w:val="22"/>
        </w:numPr>
        <w:spacing w:after="120" w:line="240" w:lineRule="auto"/>
        <w:ind w:right="1440"/>
      </w:pPr>
      <w:r w:rsidRPr="00FA7D0B">
        <w:t xml:space="preserve">Increased Strategic Partner awareness and understanding of Financing Pilot opportunities available to the relevant market </w:t>
      </w:r>
      <w:proofErr w:type="gramStart"/>
      <w:r w:rsidRPr="00FA7D0B">
        <w:t>sectors;</w:t>
      </w:r>
      <w:proofErr w:type="gramEnd"/>
    </w:p>
    <w:p w:rsidRPr="00FA7D0B" w:rsidR="00086DDA" w:rsidP="00D049C2" w:rsidRDefault="00086DDA" w14:paraId="1DF6A04E" w14:textId="77777777">
      <w:pPr>
        <w:pStyle w:val="sub1"/>
        <w:numPr>
          <w:ilvl w:val="0"/>
          <w:numId w:val="22"/>
        </w:numPr>
        <w:spacing w:after="120" w:line="240" w:lineRule="auto"/>
        <w:ind w:right="1440"/>
      </w:pPr>
      <w:r w:rsidRPr="00FA7D0B">
        <w:t xml:space="preserve">Increased Strategic Partner communications with target customers (potential borrowers) about Financing Pilot </w:t>
      </w:r>
      <w:proofErr w:type="gramStart"/>
      <w:r w:rsidRPr="00FA7D0B">
        <w:t>opportunities;</w:t>
      </w:r>
      <w:proofErr w:type="gramEnd"/>
    </w:p>
    <w:p w:rsidRPr="00FA7D0B" w:rsidR="00086DDA" w:rsidP="00D049C2" w:rsidRDefault="00086DDA" w14:paraId="197095F3" w14:textId="77777777">
      <w:pPr>
        <w:pStyle w:val="sub1"/>
        <w:numPr>
          <w:ilvl w:val="0"/>
          <w:numId w:val="22"/>
        </w:numPr>
        <w:spacing w:after="120" w:line="240" w:lineRule="auto"/>
        <w:ind w:right="1440"/>
      </w:pPr>
      <w:r w:rsidRPr="00FA7D0B">
        <w:t>Increased target customer awareness of the availability of financing and the key differentiating benefits of the Financing Pilots; and</w:t>
      </w:r>
    </w:p>
    <w:p w:rsidRPr="00FA7D0B" w:rsidR="00086DDA" w:rsidP="00D049C2" w:rsidRDefault="00086DDA" w14:paraId="0F354354" w14:textId="77777777">
      <w:pPr>
        <w:pStyle w:val="sub1"/>
        <w:numPr>
          <w:ilvl w:val="0"/>
          <w:numId w:val="22"/>
        </w:numPr>
        <w:spacing w:after="120" w:line="240" w:lineRule="auto"/>
        <w:ind w:right="1440"/>
      </w:pPr>
      <w:r w:rsidRPr="00FA7D0B">
        <w:t>Increased volume of target customers taking initial action to seek financing.</w:t>
      </w:r>
    </w:p>
    <w:p w:rsidRPr="00FA7D0B" w:rsidR="00086DDA" w:rsidP="00086DDA" w:rsidRDefault="00086DDA" w14:paraId="09649BE6" w14:textId="77777777">
      <w:pPr>
        <w:pStyle w:val="sub1"/>
      </w:pPr>
      <w:r w:rsidRPr="00FA7D0B">
        <w:t>Some of the conclusions were:</w:t>
      </w:r>
    </w:p>
    <w:p w:rsidRPr="00FA7D0B" w:rsidR="00086DDA" w:rsidP="00D049C2" w:rsidRDefault="00086DDA" w14:paraId="73BD8ABD" w14:textId="65C29C5F">
      <w:pPr>
        <w:pStyle w:val="sub1"/>
        <w:numPr>
          <w:ilvl w:val="0"/>
          <w:numId w:val="23"/>
        </w:numPr>
        <w:spacing w:after="120" w:line="240" w:lineRule="auto"/>
        <w:ind w:right="1440"/>
      </w:pPr>
      <w:r w:rsidRPr="00FA7D0B">
        <w:t xml:space="preserve">The Campaign has developed a strong core theory of market facilitation with a clear path for reaching the </w:t>
      </w:r>
      <w:proofErr w:type="gramStart"/>
      <w:r w:rsidRPr="00FA7D0B">
        <w:t>customer</w:t>
      </w:r>
      <w:r w:rsidR="00FA0CA4">
        <w:t>;</w:t>
      </w:r>
      <w:proofErr w:type="gramEnd"/>
    </w:p>
    <w:p w:rsidRPr="00FA7D0B" w:rsidR="00086DDA" w:rsidP="00D049C2" w:rsidRDefault="00086DDA" w14:paraId="498059BD" w14:textId="51F04691">
      <w:pPr>
        <w:pStyle w:val="sub1"/>
        <w:numPr>
          <w:ilvl w:val="0"/>
          <w:numId w:val="23"/>
        </w:numPr>
        <w:spacing w:after="120" w:line="240" w:lineRule="auto"/>
        <w:ind w:right="1440"/>
      </w:pPr>
      <w:r w:rsidRPr="00FA7D0B">
        <w:lastRenderedPageBreak/>
        <w:t xml:space="preserve">Financial </w:t>
      </w:r>
      <w:r w:rsidR="006E0FD7">
        <w:t>i</w:t>
      </w:r>
      <w:r w:rsidRPr="00FA7D0B">
        <w:t>nstitutions report that the Campaign has been generally supportive of their needs and that they have seen an uptick in customer interest in energy efficiency financing</w:t>
      </w:r>
      <w:r w:rsidR="00FA0CA4">
        <w:t>; and</w:t>
      </w:r>
    </w:p>
    <w:p w:rsidRPr="00FA7D0B" w:rsidR="00086DDA" w:rsidP="00D049C2" w:rsidRDefault="00086DDA" w14:paraId="5BFF82D9" w14:textId="77777777">
      <w:pPr>
        <w:pStyle w:val="sub1"/>
        <w:numPr>
          <w:ilvl w:val="0"/>
          <w:numId w:val="23"/>
        </w:numPr>
        <w:spacing w:after="120" w:line="240" w:lineRule="auto"/>
        <w:ind w:right="1440"/>
      </w:pPr>
      <w:r w:rsidRPr="00FA7D0B">
        <w:t>The fundamental data tracking systems are in place to assess Campaign progress towards its goals. The Campaign has several highly detailed tracking systems in place to support evaluation, including a monthly metrics report with key performance indicators (KPIs) for each campaign activity, a monthly budget tracker, and a day-to-day marketing activity tracker.</w:t>
      </w:r>
    </w:p>
    <w:p w:rsidRPr="00FA7D0B" w:rsidR="00086DDA" w:rsidP="00086DDA" w:rsidRDefault="00086DDA" w14:paraId="744B9AD7" w14:textId="77777777">
      <w:pPr>
        <w:pStyle w:val="sub1"/>
        <w:rPr>
          <w:i/>
          <w:iCs/>
        </w:rPr>
      </w:pPr>
      <w:r w:rsidRPr="00FA7D0B">
        <w:rPr>
          <w:i/>
          <w:iCs/>
        </w:rPr>
        <w:t>Energy Division Mid-Point Review Document, November 2016</w:t>
      </w:r>
    </w:p>
    <w:p w:rsidRPr="00FA7D0B" w:rsidR="00EA53B7" w:rsidP="00D049C2" w:rsidRDefault="00086DDA" w14:paraId="1479BE30" w14:textId="47A8BEEF">
      <w:pPr>
        <w:pStyle w:val="sub1"/>
      </w:pPr>
      <w:r w:rsidRPr="00FA7D0B">
        <w:t xml:space="preserve">In November 2016, Energy Division developed a mid-point review document that provided background information, described the reasons for the </w:t>
      </w:r>
      <w:r w:rsidR="00FA0CA4">
        <w:t>Commission’s</w:t>
      </w:r>
      <w:r w:rsidRPr="00FA7D0B">
        <w:t xml:space="preserve"> interest in energy financing, discussed the reasons for cost overruns and uncertainties among the pilots, discussed CAEATFA’s budget, and considered lessons learned at that point from the pilots.</w:t>
      </w:r>
    </w:p>
    <w:p w:rsidRPr="00FA7D0B" w:rsidR="00086DDA" w:rsidP="00086DDA" w:rsidRDefault="00086DDA" w14:paraId="4C9A2CC3" w14:textId="4DBC67F9">
      <w:pPr>
        <w:pStyle w:val="sub1"/>
      </w:pPr>
      <w:r w:rsidRPr="00FA7D0B">
        <w:rPr>
          <w:i/>
          <w:iCs/>
        </w:rPr>
        <w:t>Residential Energy Efficiency Loan Assistance Pilot-Impact Evaluation, January,</w:t>
      </w:r>
      <w:r w:rsidR="00D049C2">
        <w:rPr>
          <w:i/>
          <w:iCs/>
        </w:rPr>
        <w:t> </w:t>
      </w:r>
      <w:r w:rsidRPr="00FA7D0B">
        <w:rPr>
          <w:i/>
          <w:iCs/>
        </w:rPr>
        <w:t>2020</w:t>
      </w:r>
      <w:r w:rsidRPr="00FA7D0B">
        <w:rPr>
          <w:vertAlign w:val="superscript"/>
        </w:rPr>
        <w:footnoteReference w:id="23"/>
      </w:r>
    </w:p>
    <w:p w:rsidRPr="00FA7D0B" w:rsidR="00086DDA" w:rsidP="00086DDA" w:rsidRDefault="00086DDA" w14:paraId="51B40B15" w14:textId="12D464EA">
      <w:pPr>
        <w:pStyle w:val="sub1"/>
      </w:pPr>
      <w:r w:rsidRPr="00FA7D0B">
        <w:t xml:space="preserve">The purpose of this study </w:t>
      </w:r>
      <w:r>
        <w:t>was to</w:t>
      </w:r>
      <w:r w:rsidRPr="00FA7D0B">
        <w:t xml:space="preserve"> evaluate the first two years of the REEL program</w:t>
      </w:r>
      <w:r w:rsidR="00B828F9">
        <w:t>,</w:t>
      </w:r>
      <w:r w:rsidRPr="00FA7D0B">
        <w:rPr>
          <w:vertAlign w:val="superscript"/>
        </w:rPr>
        <w:footnoteReference w:id="24"/>
      </w:r>
      <w:r w:rsidRPr="00FA7D0B">
        <w:t xml:space="preserve"> with the overarching goal of determining how well the pilot met metrics set in Resolution E-4900 and achieved or addressed the goals originally set by the </w:t>
      </w:r>
      <w:r w:rsidR="00B828F9">
        <w:t>Commission</w:t>
      </w:r>
      <w:r w:rsidRPr="00FA7D0B">
        <w:t xml:space="preserve"> in D.12-05-015 and the subsequent decisions</w:t>
      </w:r>
      <w:r w:rsidR="00B828F9">
        <w:t xml:space="preserve"> and</w:t>
      </w:r>
      <w:r w:rsidRPr="00FA7D0B">
        <w:t xml:space="preserve"> rulings.  Beyond metrics set in the Resolution E-4900, the </w:t>
      </w:r>
      <w:r>
        <w:t>s</w:t>
      </w:r>
      <w:r w:rsidRPr="00FA7D0B">
        <w:t>tudy explored additional performance indicators to provide the CPUC with findings and suggestions to determine if and how a ratepayer</w:t>
      </w:r>
      <w:r w:rsidR="00FA0CA4">
        <w:t>-</w:t>
      </w:r>
      <w:r w:rsidRPr="00FA7D0B">
        <w:t xml:space="preserve">supported mechanism can help remove or </w:t>
      </w:r>
      <w:r w:rsidRPr="00FA7D0B">
        <w:lastRenderedPageBreak/>
        <w:t xml:space="preserve">reduce hurdles for potential customers. </w:t>
      </w:r>
      <w:r w:rsidR="00D049C2">
        <w:t xml:space="preserve"> </w:t>
      </w:r>
      <w:r w:rsidRPr="00FA7D0B">
        <w:t>These performance indicators addressed issues including:</w:t>
      </w:r>
    </w:p>
    <w:p w:rsidRPr="00FA7D0B" w:rsidR="00086DDA" w:rsidP="00D049C2" w:rsidRDefault="00086DDA" w14:paraId="031A0118" w14:textId="69EF4A6B">
      <w:pPr>
        <w:pStyle w:val="sub1"/>
        <w:numPr>
          <w:ilvl w:val="0"/>
          <w:numId w:val="24"/>
        </w:numPr>
        <w:spacing w:after="120" w:line="240" w:lineRule="auto"/>
        <w:ind w:right="1440"/>
      </w:pPr>
      <w:r w:rsidRPr="00FA7D0B">
        <w:t xml:space="preserve">Characteristics of </w:t>
      </w:r>
      <w:proofErr w:type="gramStart"/>
      <w:r w:rsidRPr="00FA7D0B">
        <w:t>participation</w:t>
      </w:r>
      <w:r w:rsidR="00FA0CA4">
        <w:t>;</w:t>
      </w:r>
      <w:proofErr w:type="gramEnd"/>
    </w:p>
    <w:p w:rsidRPr="00FA7D0B" w:rsidR="00086DDA" w:rsidP="00D049C2" w:rsidRDefault="00086DDA" w14:paraId="17A8AEBE" w14:textId="5CE1AA24">
      <w:pPr>
        <w:pStyle w:val="sub1"/>
        <w:numPr>
          <w:ilvl w:val="0"/>
          <w:numId w:val="24"/>
        </w:numPr>
        <w:spacing w:after="120" w:line="240" w:lineRule="auto"/>
        <w:ind w:right="1440"/>
      </w:pPr>
      <w:r w:rsidRPr="00FA7D0B">
        <w:t xml:space="preserve">Energy </w:t>
      </w:r>
      <w:proofErr w:type="gramStart"/>
      <w:r w:rsidRPr="00FA7D0B">
        <w:t>savings</w:t>
      </w:r>
      <w:r w:rsidR="00FA0CA4">
        <w:t>;</w:t>
      </w:r>
      <w:proofErr w:type="gramEnd"/>
    </w:p>
    <w:p w:rsidRPr="00FA7D0B" w:rsidR="00086DDA" w:rsidP="00D049C2" w:rsidRDefault="00086DDA" w14:paraId="3D446B45" w14:textId="58490AA8">
      <w:pPr>
        <w:pStyle w:val="sub1"/>
        <w:numPr>
          <w:ilvl w:val="0"/>
          <w:numId w:val="24"/>
        </w:numPr>
        <w:spacing w:after="120" w:line="240" w:lineRule="auto"/>
        <w:ind w:right="1440"/>
      </w:pPr>
      <w:r w:rsidRPr="00FA7D0B">
        <w:t xml:space="preserve">Influence of REEL on the </w:t>
      </w:r>
      <w:proofErr w:type="gramStart"/>
      <w:r w:rsidRPr="00FA7D0B">
        <w:t>market</w:t>
      </w:r>
      <w:r w:rsidR="00FA0CA4">
        <w:t>;</w:t>
      </w:r>
      <w:proofErr w:type="gramEnd"/>
    </w:p>
    <w:p w:rsidRPr="00FA7D0B" w:rsidR="00086DDA" w:rsidP="00D049C2" w:rsidRDefault="00086DDA" w14:paraId="04D4020C" w14:textId="052AB83C">
      <w:pPr>
        <w:pStyle w:val="sub1"/>
        <w:numPr>
          <w:ilvl w:val="0"/>
          <w:numId w:val="24"/>
        </w:numPr>
        <w:spacing w:after="120" w:line="240" w:lineRule="auto"/>
        <w:ind w:right="1440"/>
      </w:pPr>
      <w:r w:rsidRPr="00FA7D0B">
        <w:t>Costs vs. benefits to run the</w:t>
      </w:r>
      <w:r w:rsidR="00FA0CA4">
        <w:t xml:space="preserve"> </w:t>
      </w:r>
      <w:proofErr w:type="gramStart"/>
      <w:r w:rsidR="00FA0CA4">
        <w:t>p</w:t>
      </w:r>
      <w:r w:rsidRPr="00FA7D0B">
        <w:t>ilot</w:t>
      </w:r>
      <w:r w:rsidR="00FA0CA4">
        <w:t>;</w:t>
      </w:r>
      <w:proofErr w:type="gramEnd"/>
    </w:p>
    <w:p w:rsidRPr="00FA7D0B" w:rsidR="00086DDA" w:rsidP="00D049C2" w:rsidRDefault="00086DDA" w14:paraId="545F40E1" w14:textId="52EA8A2C">
      <w:pPr>
        <w:pStyle w:val="sub1"/>
        <w:numPr>
          <w:ilvl w:val="0"/>
          <w:numId w:val="24"/>
        </w:numPr>
        <w:spacing w:after="120" w:line="240" w:lineRule="auto"/>
        <w:ind w:right="1440"/>
      </w:pPr>
      <w:r w:rsidRPr="00FA7D0B">
        <w:t xml:space="preserve">Stakeholders’ perspectives on the design and implementation </w:t>
      </w:r>
      <w:proofErr w:type="gramStart"/>
      <w:r w:rsidRPr="00FA7D0B">
        <w:t>approach</w:t>
      </w:r>
      <w:r w:rsidR="00FA0CA4">
        <w:t>;</w:t>
      </w:r>
      <w:proofErr w:type="gramEnd"/>
    </w:p>
    <w:p w:rsidRPr="00FA7D0B" w:rsidR="00086DDA" w:rsidP="00D049C2" w:rsidRDefault="00086DDA" w14:paraId="6548CC41" w14:textId="0AC3928E">
      <w:pPr>
        <w:pStyle w:val="sub1"/>
        <w:numPr>
          <w:ilvl w:val="0"/>
          <w:numId w:val="24"/>
        </w:numPr>
        <w:spacing w:after="120" w:line="240" w:lineRule="auto"/>
        <w:ind w:right="1440"/>
      </w:pPr>
      <w:r w:rsidRPr="00FA7D0B">
        <w:t xml:space="preserve">Potential to further scale the pilot to a full </w:t>
      </w:r>
      <w:proofErr w:type="gramStart"/>
      <w:r w:rsidRPr="00FA7D0B">
        <w:t>program</w:t>
      </w:r>
      <w:r w:rsidR="00FA0CA4">
        <w:t>;</w:t>
      </w:r>
      <w:proofErr w:type="gramEnd"/>
    </w:p>
    <w:p w:rsidRPr="00FA7D0B" w:rsidR="00086DDA" w:rsidP="00D049C2" w:rsidRDefault="00086DDA" w14:paraId="34D0D59F" w14:textId="449B450E">
      <w:pPr>
        <w:pStyle w:val="sub1"/>
        <w:numPr>
          <w:ilvl w:val="0"/>
          <w:numId w:val="24"/>
        </w:numPr>
        <w:spacing w:after="120" w:line="240" w:lineRule="auto"/>
        <w:ind w:right="1440"/>
      </w:pPr>
      <w:r w:rsidRPr="00FA7D0B">
        <w:t>Comparison of the REEL model to other models in practice outside California</w:t>
      </w:r>
      <w:r w:rsidR="00FA0CA4">
        <w:t>; and</w:t>
      </w:r>
    </w:p>
    <w:p w:rsidRPr="00FA7D0B" w:rsidR="00086DDA" w:rsidP="00D049C2" w:rsidRDefault="00086DDA" w14:paraId="4A9FFFD7" w14:textId="65462539">
      <w:pPr>
        <w:pStyle w:val="sub1"/>
        <w:numPr>
          <w:ilvl w:val="0"/>
          <w:numId w:val="16"/>
        </w:numPr>
        <w:spacing w:after="120" w:line="240" w:lineRule="auto"/>
        <w:ind w:right="1440"/>
      </w:pPr>
      <w:r w:rsidRPr="00FA7D0B">
        <w:t>Changes and trends since 2012</w:t>
      </w:r>
      <w:r w:rsidR="00FA0CA4">
        <w:t>.</w:t>
      </w:r>
      <w:r w:rsidRPr="00FA7D0B">
        <w:rPr>
          <w:vertAlign w:val="superscript"/>
        </w:rPr>
        <w:footnoteReference w:id="25"/>
      </w:r>
    </w:p>
    <w:p w:rsidR="00086DDA" w:rsidP="00B828F9" w:rsidRDefault="00B828F9" w14:paraId="7726B517" w14:textId="2AE629FE">
      <w:pPr>
        <w:pStyle w:val="sub1"/>
        <w:ind w:firstLine="0"/>
      </w:pPr>
      <w:r>
        <w:t>The following is a</w:t>
      </w:r>
      <w:r w:rsidR="00086DDA">
        <w:t xml:space="preserve"> summary of key assessments, conclusions, and recommendations: </w:t>
      </w:r>
    </w:p>
    <w:p w:rsidR="00086DDA" w:rsidP="00B97231" w:rsidRDefault="00B828F9" w14:paraId="22FE3954" w14:textId="4BE353E1">
      <w:pPr>
        <w:pStyle w:val="sub1"/>
        <w:numPr>
          <w:ilvl w:val="0"/>
          <w:numId w:val="17"/>
        </w:numPr>
        <w:spacing w:after="120" w:line="240" w:lineRule="auto"/>
        <w:ind w:left="1080" w:right="1440"/>
      </w:pPr>
      <w:r>
        <w:t>L</w:t>
      </w:r>
      <w:r w:rsidR="00086DDA">
        <w:t xml:space="preserve">ending does not appear to be going to customers with poor credit scores; many of these energy efficiency projects would not have occurred at all without REEL or customers would have piecemealed the upgrades over a longer period of time; and the </w:t>
      </w:r>
      <w:r w:rsidR="00FA0CA4">
        <w:t>p</w:t>
      </w:r>
      <w:r w:rsidR="00086DDA">
        <w:t xml:space="preserve">ilot has the potential to garner more energy savings for the state than would occur naturally in the marketplace. Concluded REEL is successful reaching underserved </w:t>
      </w:r>
      <w:proofErr w:type="gramStart"/>
      <w:r w:rsidR="00086DDA">
        <w:t>communitie</w:t>
      </w:r>
      <w:r w:rsidR="00FA0CA4">
        <w:t>s;</w:t>
      </w:r>
      <w:proofErr w:type="gramEnd"/>
    </w:p>
    <w:p w:rsidR="00086DDA" w:rsidP="00B97231" w:rsidRDefault="00B828F9" w14:paraId="0DEA1CAB" w14:textId="02D562D4">
      <w:pPr>
        <w:pStyle w:val="sub1"/>
        <w:numPr>
          <w:ilvl w:val="0"/>
          <w:numId w:val="17"/>
        </w:numPr>
        <w:spacing w:after="120" w:line="240" w:lineRule="auto"/>
        <w:ind w:left="1080" w:right="1440"/>
      </w:pPr>
      <w:r>
        <w:t>T</w:t>
      </w:r>
      <w:r w:rsidR="00086DDA">
        <w:t xml:space="preserve">he </w:t>
      </w:r>
      <w:r w:rsidR="00FA0CA4">
        <w:t>p</w:t>
      </w:r>
      <w:r w:rsidR="00086DDA">
        <w:t xml:space="preserve">ilot has measurable gross and net energy savings at the meter level and has the potential to garner more energy savings than would occur naturally in the marketplace. Therefore, the </w:t>
      </w:r>
      <w:r w:rsidR="00FA0CA4">
        <w:t>p</w:t>
      </w:r>
      <w:r w:rsidR="00086DDA">
        <w:t xml:space="preserve">ilot is producing energy savings and the gross and net savings methods will need to account for the appropriate baseline </w:t>
      </w:r>
      <w:r w:rsidR="00FA0CA4">
        <w:t>to</w:t>
      </w:r>
      <w:r w:rsidR="00086DDA">
        <w:t xml:space="preserve"> avoid double counting with rebate </w:t>
      </w:r>
      <w:proofErr w:type="gramStart"/>
      <w:r w:rsidR="00086DDA">
        <w:t>programs</w:t>
      </w:r>
      <w:r w:rsidR="00FA0CA4">
        <w:t>;</w:t>
      </w:r>
      <w:proofErr w:type="gramEnd"/>
    </w:p>
    <w:p w:rsidR="00086DDA" w:rsidP="00B97231" w:rsidRDefault="00B828F9" w14:paraId="695A74BB" w14:textId="00A012FF">
      <w:pPr>
        <w:pStyle w:val="sub1"/>
        <w:numPr>
          <w:ilvl w:val="0"/>
          <w:numId w:val="17"/>
        </w:numPr>
        <w:spacing w:after="120" w:line="240" w:lineRule="auto"/>
        <w:ind w:left="1080" w:right="1440"/>
      </w:pPr>
      <w:r>
        <w:t>L</w:t>
      </w:r>
      <w:r w:rsidR="00086DDA">
        <w:t xml:space="preserve">oan growth rate is increasing and can scale further. </w:t>
      </w:r>
      <w:r w:rsidR="00FA0CA4">
        <w:t xml:space="preserve"> S</w:t>
      </w:r>
      <w:r w:rsidR="00086DDA">
        <w:t xml:space="preserve">ome changes are necessary to achieve scalability and hence </w:t>
      </w:r>
      <w:r w:rsidR="00FA0CA4">
        <w:t xml:space="preserve">it was </w:t>
      </w:r>
      <w:r w:rsidR="00086DDA">
        <w:t xml:space="preserve">recommended to enroll a large volume lender with </w:t>
      </w:r>
      <w:r w:rsidR="00086DDA">
        <w:lastRenderedPageBreak/>
        <w:t xml:space="preserve">physical branches covering more of the state. </w:t>
      </w:r>
      <w:r>
        <w:t xml:space="preserve"> </w:t>
      </w:r>
      <w:r w:rsidR="00086DDA">
        <w:t xml:space="preserve">Additionally, it </w:t>
      </w:r>
      <w:r>
        <w:t>was</w:t>
      </w:r>
      <w:r w:rsidR="00086DDA">
        <w:t xml:space="preserve"> recommended to make all efforts to support Retail Installment Contracts (RICs), or a single originator clearing house for all loans</w:t>
      </w:r>
      <w:r>
        <w:t>,</w:t>
      </w:r>
      <w:r w:rsidR="00086DDA">
        <w:t xml:space="preserve"> regardless of lender</w:t>
      </w:r>
      <w:r w:rsidR="00FA0CA4">
        <w:t>; and</w:t>
      </w:r>
    </w:p>
    <w:p w:rsidR="00086DDA" w:rsidP="00B97231" w:rsidRDefault="00086DDA" w14:paraId="4E3D1501" w14:textId="18057B75">
      <w:pPr>
        <w:pStyle w:val="sub1"/>
        <w:numPr>
          <w:ilvl w:val="0"/>
          <w:numId w:val="17"/>
        </w:numPr>
        <w:spacing w:after="120" w:line="240" w:lineRule="auto"/>
        <w:ind w:left="1080" w:right="1440"/>
      </w:pPr>
      <w:r>
        <w:t xml:space="preserve">It </w:t>
      </w:r>
      <w:r w:rsidR="00B828F9">
        <w:t>wa</w:t>
      </w:r>
      <w:r>
        <w:t>s too early to assess loan performance in terms of defaults and “bridge loans</w:t>
      </w:r>
      <w:r w:rsidR="00B828F9">
        <w:t>.</w:t>
      </w:r>
      <w:r>
        <w:t xml:space="preserve">”  However, </w:t>
      </w:r>
      <w:r w:rsidR="00B828F9">
        <w:t>i</w:t>
      </w:r>
      <w:r>
        <w:t>f default rates continue to be low, REEL could consider reducing the amount of funds set aside in LLR, thereby increasing leverage ratios.</w:t>
      </w:r>
    </w:p>
    <w:p w:rsidR="00086DDA" w:rsidP="00E40C9B" w:rsidRDefault="00086DDA" w14:paraId="185BB6DC" w14:textId="77777777">
      <w:pPr>
        <w:pStyle w:val="Heading2"/>
      </w:pPr>
      <w:r>
        <w:t>Building Decarbonization</w:t>
      </w:r>
    </w:p>
    <w:p w:rsidRPr="00D12ED2" w:rsidR="00086DDA" w:rsidP="00503907" w:rsidRDefault="00086DDA" w14:paraId="1182D431" w14:textId="1B8BAB3B">
      <w:pPr>
        <w:pStyle w:val="sub1"/>
      </w:pPr>
      <w:r w:rsidRPr="00D12ED2">
        <w:t xml:space="preserve">The </w:t>
      </w:r>
      <w:r w:rsidR="00503907">
        <w:t xml:space="preserve">Commission instituted a rulemaking, partly in response to SB 1477 (Stern, 2018), to address policies related to building decarbonization in general.  So far, the Commission has issued a decision (D.20-03-027) on pilot programs as required by SB 1477.  In later phases of the proceeding, the Commission is addressing larger policy questions related to the decarbonization of buildings, including </w:t>
      </w:r>
      <w:r w:rsidR="00FA0CA4">
        <w:t>rate-related considerations</w:t>
      </w:r>
      <w:r w:rsidR="00503907">
        <w:t xml:space="preserve"> and opportunities to support rebuilding after wildfires, among many other issues.  </w:t>
      </w:r>
      <w:proofErr w:type="gramStart"/>
      <w:r w:rsidR="00503907">
        <w:t>In the course of</w:t>
      </w:r>
      <w:proofErr w:type="gramEnd"/>
      <w:r w:rsidR="00503907">
        <w:t xml:space="preserve"> the proceeding, financing options have been discussed as </w:t>
      </w:r>
      <w:r w:rsidR="00FA0CA4">
        <w:t xml:space="preserve">a </w:t>
      </w:r>
      <w:r w:rsidR="00503907">
        <w:t xml:space="preserve">potential mechanism to encourage more building decarbonization.  On the scale that will be necessary to meet the SB </w:t>
      </w:r>
      <w:r w:rsidR="00F120EF">
        <w:t xml:space="preserve">350 and SB </w:t>
      </w:r>
      <w:r w:rsidR="00503907">
        <w:t xml:space="preserve">100 goals, </w:t>
      </w:r>
      <w:r w:rsidR="00A26EBB">
        <w:t xml:space="preserve">as well as the many other state environmental goals, </w:t>
      </w:r>
      <w:r w:rsidR="00503907">
        <w:t xml:space="preserve">mechanisms beyond incentives will almost certainly be necessary and there is a strong nexus between our building decarbonization work and the financing mechanisms we intend to explore in this proceeding. </w:t>
      </w:r>
    </w:p>
    <w:p w:rsidR="00086DDA" w:rsidP="00086DDA" w:rsidRDefault="00086DDA" w14:paraId="63130D1A" w14:textId="599BA666">
      <w:pPr>
        <w:pStyle w:val="Heading2"/>
      </w:pPr>
      <w:r>
        <w:t>S</w:t>
      </w:r>
      <w:r w:rsidR="00BB1C9B">
        <w:t xml:space="preserve">elf-Generation Incentive Program </w:t>
      </w:r>
      <w:r w:rsidR="00FA0CA4">
        <w:t xml:space="preserve">(SGIP) </w:t>
      </w:r>
      <w:r w:rsidR="00BB1C9B">
        <w:t>and California Solar Initiative</w:t>
      </w:r>
      <w:r w:rsidR="00FA0CA4">
        <w:t xml:space="preserve"> (CSI)</w:t>
      </w:r>
    </w:p>
    <w:p w:rsidR="00E96D60" w:rsidP="00086DDA" w:rsidRDefault="00E96D60" w14:paraId="73393738" w14:textId="78E10F4B">
      <w:pPr>
        <w:pStyle w:val="sub1"/>
      </w:pPr>
      <w:r>
        <w:t>During the early years of the self-generation incentive program (SGIP), which spawned the California Solar Initiative (CSI) to encourage the installation of solar on rooftops in the state, the solar industry itself began to offer innovative financing options to customers interested in investing in solar.  Rooftop solar leases</w:t>
      </w:r>
      <w:proofErr w:type="gramStart"/>
      <w:r>
        <w:t>, in particular, were</w:t>
      </w:r>
      <w:proofErr w:type="gramEnd"/>
      <w:r>
        <w:t xml:space="preserve"> not contemplated at the start of the program, but </w:t>
      </w:r>
      <w:r>
        <w:lastRenderedPageBreak/>
        <w:t xml:space="preserve">became the standard </w:t>
      </w:r>
      <w:r w:rsidR="00FA0CA4">
        <w:t xml:space="preserve">marketing </w:t>
      </w:r>
      <w:r>
        <w:t xml:space="preserve">approach within a few years.  By continuing to own the solar systems, some solar companies were able to take advantage of aggregating numerous small systems and packaging them for tax credit purposes.  Incentive funds, instead of being paid to customers directly for purchasing systems, could go to contractors or installers who kept ownership in the systems while passing on the benefits to customers.  </w:t>
      </w:r>
    </w:p>
    <w:p w:rsidR="00FA0CA4" w:rsidP="00086DDA" w:rsidRDefault="00FA0CA4" w14:paraId="6D149E3D" w14:textId="6FE05734">
      <w:pPr>
        <w:pStyle w:val="sub1"/>
      </w:pPr>
      <w:r>
        <w:t xml:space="preserve">Starting in 2015, the Commission authorized Third Party Ownership (TPO) for solar systems funded under the </w:t>
      </w:r>
      <w:proofErr w:type="gramStart"/>
      <w:r>
        <w:t>Single Family</w:t>
      </w:r>
      <w:proofErr w:type="gramEnd"/>
      <w:r>
        <w:t xml:space="preserve"> Solar Homes (S</w:t>
      </w:r>
      <w:r w:rsidR="00B97231">
        <w:t>F</w:t>
      </w:r>
      <w:r>
        <w:t>SH) program, one of two low-income solar installation programs under CSI.  This TPO model has enabled monetization of the ITC for hundreds of low-income single-family homeowners who lack sufficient tax liability to utilize the ITC to reduce the cost of installing clean energy technologies.  This is one example of how, by ensuring adequate consumer protections, financing mechanisms can be deployed to benefit low-income customers.</w:t>
      </w:r>
    </w:p>
    <w:p w:rsidR="00FA0CA4" w:rsidP="00086DDA" w:rsidRDefault="00FA0CA4" w14:paraId="1E277303" w14:textId="1255C0AA">
      <w:pPr>
        <w:pStyle w:val="sub1"/>
      </w:pPr>
      <w:r>
        <w:t>In 2020, Pacific Gas and Electric</w:t>
      </w:r>
      <w:r w:rsidR="00FD2E8E">
        <w:t xml:space="preserve"> Company</w:t>
      </w:r>
      <w:r>
        <w:t xml:space="preserve"> (PG&amp;E) proposed a financial assistance pilot to support low-income </w:t>
      </w:r>
      <w:r w:rsidR="003D3387">
        <w:t>customers taking advantage of SGIP incentives for energy storage.  Through D.19-09-027, the Commission increased the incentive available under the SGIP equity budget to $0.85 per watt hour (</w:t>
      </w:r>
      <w:r w:rsidR="0074168F">
        <w:t>Wh</w:t>
      </w:r>
      <w:r w:rsidR="003D3387">
        <w:t xml:space="preserve">) and established a new equity resiliency budget with an incentive of $1.00 per Wh.  These incentive levels were adopted to cover, substantially or completely, the cost of installing energy storage for low-income customers and vulnerable communities.  Notably, however, SGIP only pays rebates for technologies after they are installed.  As such, PG&amp;E recognized that the need for upfront capital to cover the cost of system installation poses a potentially insurmountable barrier for many equity customers.  Through Resolution E-5086, adopted by the Commission on July 16, 2020,  PG&amp;E will begin enabling project developers working with these customers to receive 50 percent of the rebate amount upfront, </w:t>
      </w:r>
      <w:r w:rsidR="003D3387">
        <w:lastRenderedPageBreak/>
        <w:t>but they must guarantee that customers will not be asked to pay any funds out of pocket prior to receiving the SGIP rebate.</w:t>
      </w:r>
    </w:p>
    <w:p w:rsidR="003D3387" w:rsidP="00086DDA" w:rsidRDefault="003D3387" w14:paraId="32F859A9" w14:textId="18834919">
      <w:pPr>
        <w:pStyle w:val="sub1"/>
      </w:pPr>
      <w:r>
        <w:t>While PG&amp;E also proposed an OBF pilot for non-residential equity customers pursuing energy storage, Resolution E-5806 rejected this component of PG&amp;E’s proposal without prejudice, due to an insufficient level of detail provided in the advice letter.  As discussed in Resolution E-5086, PG&amp;E may revise and resubmit its OBF proposal for non-residential customers for further consideration.  Notably, through this effort, PG&amp;E proposed to pilot pairing OBF-funded energy efficiency projects with OBF-funded energy storage projects occurring at the same site, albeit with different sources of capital for the different portions of the projects.</w:t>
      </w:r>
    </w:p>
    <w:p w:rsidR="00086DDA" w:rsidP="00086DDA" w:rsidRDefault="00086DDA" w14:paraId="7D11F7CA" w14:textId="6B27A92F">
      <w:pPr>
        <w:pStyle w:val="Heading2"/>
      </w:pPr>
      <w:r>
        <w:t>T</w:t>
      </w:r>
      <w:r w:rsidR="00B07CC7">
        <w:t xml:space="preserve">ransportation </w:t>
      </w:r>
      <w:r>
        <w:t>E</w:t>
      </w:r>
      <w:r w:rsidR="00B07CC7">
        <w:t>le</w:t>
      </w:r>
      <w:r w:rsidR="00503907">
        <w:t>c</w:t>
      </w:r>
      <w:r w:rsidR="00B07CC7">
        <w:t>trification</w:t>
      </w:r>
    </w:p>
    <w:p w:rsidR="00086DDA" w:rsidP="00086DDA" w:rsidRDefault="00B07CC7" w14:paraId="355BEA1C" w14:textId="1E4D12B2">
      <w:pPr>
        <w:pStyle w:val="sub1"/>
      </w:pPr>
      <w:r>
        <w:t xml:space="preserve">On February 3, 2020, in the </w:t>
      </w:r>
      <w:r w:rsidR="003D3387">
        <w:t>transportation</w:t>
      </w:r>
      <w:r>
        <w:t xml:space="preserve"> electrification rulemaking</w:t>
      </w:r>
      <w:r w:rsidR="003D3387">
        <w:t xml:space="preserve"> (R.18</w:t>
      </w:r>
      <w:r w:rsidR="00B97231">
        <w:noBreakHyphen/>
      </w:r>
      <w:r w:rsidR="003D3387">
        <w:t>12-006)</w:t>
      </w:r>
      <w:r>
        <w:t xml:space="preserve">, the Commission </w:t>
      </w:r>
      <w:r w:rsidR="003D3387">
        <w:t xml:space="preserve">issued a ruling releasing a Commission staff </w:t>
      </w:r>
      <w:r>
        <w:t>draft Transportation Electrification Framework (TEF).</w:t>
      </w:r>
      <w:r>
        <w:rPr>
          <w:rStyle w:val="FootnoteReference"/>
        </w:rPr>
        <w:footnoteReference w:id="26"/>
      </w:r>
      <w:r>
        <w:t xml:space="preserve">  </w:t>
      </w:r>
      <w:r w:rsidR="00F56037">
        <w:t>The approximately 200</w:t>
      </w:r>
      <w:r w:rsidR="003D3387">
        <w:t>-</w:t>
      </w:r>
      <w:r w:rsidR="00F56037">
        <w:t>page staff proposal</w:t>
      </w:r>
      <w:r w:rsidR="003D3387">
        <w:t xml:space="preserve"> included a section discussing</w:t>
      </w:r>
      <w:r w:rsidR="00F56037">
        <w:t xml:space="preserve"> alternative financing options for </w:t>
      </w:r>
      <w:r w:rsidR="003D3387">
        <w:t xml:space="preserve">customer-owned transportation </w:t>
      </w:r>
      <w:r w:rsidR="00F56037">
        <w:t>electrification</w:t>
      </w:r>
      <w:r w:rsidR="003D3387">
        <w:t xml:space="preserve"> infrastructure</w:t>
      </w:r>
      <w:r w:rsidR="00F56037">
        <w:t>.</w:t>
      </w:r>
      <w:r w:rsidR="00F56037">
        <w:rPr>
          <w:rStyle w:val="FootnoteReference"/>
        </w:rPr>
        <w:footnoteReference w:id="27"/>
      </w:r>
      <w:r w:rsidR="00F56037">
        <w:t xml:space="preserve">  Comments </w:t>
      </w:r>
      <w:r w:rsidR="003D3387">
        <w:t xml:space="preserve">on </w:t>
      </w:r>
      <w:r w:rsidR="00F56037">
        <w:t>the TEF</w:t>
      </w:r>
      <w:r w:rsidR="003D3387">
        <w:t>’s alternative financing section</w:t>
      </w:r>
      <w:r w:rsidR="00F56037">
        <w:t xml:space="preserve"> are due </w:t>
      </w:r>
      <w:r w:rsidR="003D3387">
        <w:t>in August 2020</w:t>
      </w:r>
      <w:r w:rsidR="00F56037">
        <w:t>.  Thus, t</w:t>
      </w:r>
      <w:r w:rsidRPr="00812F56" w:rsidR="00086DDA">
        <w:t xml:space="preserve">he </w:t>
      </w:r>
      <w:r w:rsidR="00F56037">
        <w:t xml:space="preserve">Commission’s </w:t>
      </w:r>
      <w:r w:rsidRPr="00812F56" w:rsidR="00086DDA">
        <w:t xml:space="preserve">transportation electrification team is </w:t>
      </w:r>
      <w:r w:rsidR="00F56037">
        <w:t xml:space="preserve">actively </w:t>
      </w:r>
      <w:r w:rsidRPr="00812F56" w:rsidR="00086DDA">
        <w:t xml:space="preserve">considering financing programs to pay for </w:t>
      </w:r>
      <w:r w:rsidR="003D3387">
        <w:t>customer side of the meter tr</w:t>
      </w:r>
      <w:r w:rsidR="00A72E21">
        <w:t xml:space="preserve">ansportation electrification </w:t>
      </w:r>
      <w:r w:rsidRPr="00812F56" w:rsidR="00086DDA">
        <w:t>infrastructure</w:t>
      </w:r>
      <w:r w:rsidR="00F56037">
        <w:t xml:space="preserve">.  </w:t>
      </w:r>
    </w:p>
    <w:p w:rsidRPr="00812F56" w:rsidR="00503907" w:rsidP="00086DDA" w:rsidRDefault="00A72E21" w14:paraId="6B7CEA74" w14:textId="41A1CD68">
      <w:pPr>
        <w:pStyle w:val="sub1"/>
      </w:pPr>
      <w:r>
        <w:t xml:space="preserve">The TEF proposal explicitly identified OBF and TOB as potential options for the IOUs to explore to help mitigate the ratepayer-funded share of TE </w:t>
      </w:r>
      <w:proofErr w:type="gramStart"/>
      <w:r>
        <w:lastRenderedPageBreak/>
        <w:t>investments, but</w:t>
      </w:r>
      <w:proofErr w:type="gramEnd"/>
      <w:r>
        <w:t xml:space="preserve"> cautioned against authorizing a program until further information is collected.  The TEF highlighted </w:t>
      </w:r>
      <w:proofErr w:type="gramStart"/>
      <w:r>
        <w:t>a number of</w:t>
      </w:r>
      <w:proofErr w:type="gramEnd"/>
      <w:r>
        <w:t xml:space="preserve"> key factors that make replicating the IOUs’ previous OBF and TOB efforts difficult, primarily due to the higher cost per site for TE programs compared to the average project funded by OBF for energy efficiency.  There are additional complications with implementing the pay-as-you-save model used for energy efficiency programs, as the inherent nature of TE programs will increase customer demand, rather than reduce it.  The TEF recommended that the Commission direct the utilities to host a public workshop to discuss their capacity to administer an OBF or TOB program and the potential structures for such programs. </w:t>
      </w:r>
    </w:p>
    <w:p w:rsidR="00086DDA" w:rsidP="00086DDA" w:rsidRDefault="00086DDA" w14:paraId="55E8DB97" w14:textId="77777777">
      <w:pPr>
        <w:pStyle w:val="Heading2"/>
      </w:pPr>
      <w:r>
        <w:t>Resiliency and Microgrids</w:t>
      </w:r>
    </w:p>
    <w:p w:rsidR="00D4188E" w:rsidP="00086DDA" w:rsidRDefault="00A72E21" w14:paraId="184D4A9E" w14:textId="5C0C3C02">
      <w:pPr>
        <w:pStyle w:val="standard"/>
      </w:pPr>
      <w:r>
        <w:t xml:space="preserve">The Commission opened an OIR regarding microgrids and resiliency strategies (R.19-09-009) in September 2019, pursuant to SB 1339 (Stern, 2018).  The rulemaking was initiated to design a framework surrounding the commercialization of microgrids and additional technologies and strategies for achieving resiliency goals, particularly in the face of wildfires and public safety power shutoffs. </w:t>
      </w:r>
    </w:p>
    <w:p w:rsidR="00A72E21" w:rsidP="00086DDA" w:rsidRDefault="00D02F21" w14:paraId="5C670FB6" w14:textId="79A2AADD">
      <w:pPr>
        <w:pStyle w:val="standard"/>
      </w:pPr>
      <w:r>
        <w:t>New m</w:t>
      </w:r>
      <w:r w:rsidR="00A72E21">
        <w:t xml:space="preserve">icrogrids </w:t>
      </w:r>
      <w:r>
        <w:t>in California often</w:t>
      </w:r>
      <w:r w:rsidR="00A72E21">
        <w:t xml:space="preserve"> include at least two different types of distributed energy resources with high capital costs (generation and storage), making them subject to the same financing challenges that such resources face individually, compounded.  Moreover, the additional technical challenges associated with having the capability to serve local loads safely during islanded operation mean that microgrids can also require detailed engineering design and commissioning work.  These soft costs further increase the initial costs of a microgrid.</w:t>
      </w:r>
    </w:p>
    <w:p w:rsidR="00A72E21" w:rsidP="00086DDA" w:rsidRDefault="00A72E21" w14:paraId="59C33D58" w14:textId="4C36BD78">
      <w:pPr>
        <w:pStyle w:val="standard"/>
      </w:pPr>
      <w:r>
        <w:t xml:space="preserve">Microgrids that rely on inverter-based resources, such as solar photovoltaics, battery energy storage, or fuel cells, trend even higher than those </w:t>
      </w:r>
      <w:r>
        <w:lastRenderedPageBreak/>
        <w:t>based on rotating masses, such as reciprocating engines or turbines.  The higher initial costs of such micro</w:t>
      </w:r>
      <w:r w:rsidR="002A5802">
        <w:t>g</w:t>
      </w:r>
      <w:r>
        <w:t xml:space="preserve">rids is a result of both the underlying technology capital costs of those </w:t>
      </w:r>
      <w:r w:rsidR="002A5802">
        <w:t>resources, and because of the additional engineering, or oversizing, required to ensure safety in the absence of rotating masses (rotating masses generate higher fault currents than inverter-based devices, and protection systems usually depend on fault current generation to operate safely).</w:t>
      </w:r>
    </w:p>
    <w:p w:rsidR="002A5802" w:rsidP="00086DDA" w:rsidRDefault="002A5802" w14:paraId="6B0F938F" w14:textId="59B09559">
      <w:pPr>
        <w:pStyle w:val="standard"/>
      </w:pPr>
      <w:r>
        <w:t xml:space="preserve">High initial costs can discourage investment in </w:t>
      </w:r>
      <w:proofErr w:type="gramStart"/>
      <w:r>
        <w:t>low-emissions</w:t>
      </w:r>
      <w:proofErr w:type="gramEnd"/>
      <w:r>
        <w:t xml:space="preserve"> microgrids, particularly for low-income individuals or communities that may stand to benefit the most from avoiding emissions of alternative solutions, such as diesel backup generators.  As a result, it is particularly important to ensure that differences in financing opportunities for </w:t>
      </w:r>
      <w:proofErr w:type="gramStart"/>
      <w:r>
        <w:t>lower-emissions</w:t>
      </w:r>
      <w:proofErr w:type="gramEnd"/>
      <w:r>
        <w:t xml:space="preserve"> microgrids does not replicate and exacerbate historical inequities in air pollution and health burdens.</w:t>
      </w:r>
    </w:p>
    <w:p w:rsidR="00D02F21" w:rsidP="00086DDA" w:rsidRDefault="00D02F21" w14:paraId="20F0CE5B" w14:textId="7B4628C1">
      <w:pPr>
        <w:pStyle w:val="standard"/>
      </w:pPr>
      <w:r>
        <w:t xml:space="preserve">Although microgrids come in a wide variety of sizes and configurations, one of the most important characteristics for regulatory purposes is </w:t>
      </w:r>
      <w:proofErr w:type="gramStart"/>
      <w:r>
        <w:t>whether or not</w:t>
      </w:r>
      <w:proofErr w:type="gramEnd"/>
      <w:r>
        <w:t xml:space="preserve"> the utility owns the underlying physical assets.  Financial and operational aspects of utility-owned assets are subject to specific rules and oversight consistent with the utilities’ status as regulated entities.  Furthermore, the barriers to financing utility-owned assets are usually different from those facing individual customers.  In general, microgrid assets that are not utility-owned are more </w:t>
      </w:r>
      <w:proofErr w:type="gramStart"/>
      <w:r>
        <w:t>similar to</w:t>
      </w:r>
      <w:proofErr w:type="gramEnd"/>
      <w:r>
        <w:t xml:space="preserve"> other types of distributed energy resources.  Consequently, it is reasonable to exclude utility-owned microgrid assets from the scope of this rulemaking.</w:t>
      </w:r>
    </w:p>
    <w:p w:rsidRPr="007F78B8" w:rsidR="002A5802" w:rsidP="00086DDA" w:rsidRDefault="002A5802" w14:paraId="1DBF9013" w14:textId="449C6FEC">
      <w:pPr>
        <w:pStyle w:val="standard"/>
      </w:pPr>
      <w:r>
        <w:t xml:space="preserve">To that end, the Commission approved a program proposed by PG&amp;E in the microgrids and resiliency rulemaking that includes defraying costs of microgrid development, with priority given to vulnerable groups, including disadvantaged communities.  The Commission is also currently considering financing program ideas for microgrids in two staff papers issued by ruling in </w:t>
      </w:r>
      <w:r>
        <w:lastRenderedPageBreak/>
        <w:t xml:space="preserve">R.19-09-009 </w:t>
      </w:r>
      <w:r w:rsidR="00D02F21">
        <w:t xml:space="preserve">on July 22, 2020 </w:t>
      </w:r>
      <w:r>
        <w:t>and could benefit from opportunities developed in this rulemaking as well.</w:t>
      </w:r>
    </w:p>
    <w:p w:rsidR="00845BDB" w:rsidP="00B97231" w:rsidRDefault="00845BDB" w14:paraId="62EA8622" w14:textId="0F677214">
      <w:pPr>
        <w:pStyle w:val="Heading1"/>
        <w:ind w:left="360" w:right="720" w:hanging="360"/>
      </w:pPr>
      <w:r>
        <w:t>Preliminary Scoping Memo</w:t>
      </w:r>
      <w:r w:rsidR="00256D58">
        <w:t xml:space="preserve"> </w:t>
      </w:r>
    </w:p>
    <w:p w:rsidRPr="005D3719" w:rsidR="0092022D" w:rsidP="0092022D" w:rsidRDefault="0092022D" w14:paraId="5A28A163" w14:textId="6E91E5BF">
      <w:pPr>
        <w:pStyle w:val="standard"/>
      </w:pPr>
      <w:r w:rsidRPr="005D3719">
        <w:rPr>
          <w:rFonts w:cs="Book Antiqua"/>
          <w:color w:val="000000"/>
          <w:szCs w:val="26"/>
        </w:rPr>
        <w:t>This rulemaking will be conducted in accordance with Article 6 of the Commission's Rules of Practice and Procedure, “Rulemaking.”</w:t>
      </w:r>
      <w:r w:rsidRPr="005D3719">
        <w:rPr>
          <w:rStyle w:val="FootnoteReference"/>
          <w:rFonts w:cs="Book Antiqua"/>
          <w:color w:val="000000"/>
          <w:szCs w:val="26"/>
        </w:rPr>
        <w:footnoteReference w:id="28"/>
      </w:r>
      <w:r w:rsidRPr="005D3719">
        <w:rPr>
          <w:rFonts w:cs="Book Antiqua"/>
          <w:color w:val="000000"/>
          <w:szCs w:val="26"/>
        </w:rPr>
        <w:t xml:space="preserve">  As required by Rule 7.1(d), this OIR includes a preliminary scoping memo as set forth below, and preliminarily determines the category of this proceeding and the need for hearing.</w:t>
      </w:r>
    </w:p>
    <w:p w:rsidRPr="004A7884" w:rsidR="004A7884" w:rsidP="004A7884" w:rsidRDefault="00B848C0" w14:paraId="63C44767" w14:textId="77777777">
      <w:pPr>
        <w:pStyle w:val="Heading2"/>
      </w:pPr>
      <w:r>
        <w:t>Issues</w:t>
      </w:r>
    </w:p>
    <w:p w:rsidR="0049729B" w:rsidP="00845BDB" w:rsidRDefault="00BB1C9B" w14:paraId="6C1A90D5" w14:textId="6E2EAFF0">
      <w:pPr>
        <w:pStyle w:val="standard"/>
      </w:pPr>
      <w:r>
        <w:t xml:space="preserve">As described in Section 2 above, the Commission has been investigating and piloting financing-related mechanisms for </w:t>
      </w:r>
      <w:proofErr w:type="gramStart"/>
      <w:r>
        <w:t>a number of</w:t>
      </w:r>
      <w:proofErr w:type="gramEnd"/>
      <w:r>
        <w:t xml:space="preserve"> years, especially in </w:t>
      </w:r>
      <w:r w:rsidR="0049729B">
        <w:t>the area of</w:t>
      </w:r>
      <w:r>
        <w:t xml:space="preserve"> energy efficiency.  In other areas, such as during the development of the </w:t>
      </w:r>
      <w:r w:rsidR="00FA0CA4">
        <w:t>CSI</w:t>
      </w:r>
      <w:r>
        <w:t xml:space="preserve"> and the success of the rooftop solar installation industry in California, the industry itself developed innovative financing mechanisms such as </w:t>
      </w:r>
      <w:r w:rsidR="0049729B">
        <w:t xml:space="preserve">solar leases.  PACE was another innovation that has helped some customer segments finance energy improvements.  </w:t>
      </w:r>
    </w:p>
    <w:p w:rsidR="00BB1C9B" w:rsidP="00845BDB" w:rsidRDefault="0049729B" w14:paraId="471930C2" w14:textId="6B2057F1">
      <w:pPr>
        <w:pStyle w:val="standard"/>
      </w:pPr>
      <w:r>
        <w:t xml:space="preserve">While a number of these initiatives have had success in some markets, the Commission has thus far lacked a cohesive and comprehensive strategy for helping customers finance energy improvements to their homes and buildings.  Much work has been done in a resource-specific manner, for either rooftop solar or energy efficiency. </w:t>
      </w:r>
    </w:p>
    <w:p w:rsidR="0049729B" w:rsidP="00845BDB" w:rsidRDefault="0049729B" w14:paraId="737E6600" w14:textId="54392471">
      <w:pPr>
        <w:pStyle w:val="standard"/>
      </w:pPr>
      <w:r>
        <w:t xml:space="preserve">However, as more customers consider investing in additional technologies, such as battery storage to complement their solar systems, </w:t>
      </w:r>
      <w:r w:rsidR="00FA0CA4">
        <w:t xml:space="preserve">heat pumps, </w:t>
      </w:r>
      <w:r>
        <w:t xml:space="preserve">or </w:t>
      </w:r>
      <w:r>
        <w:lastRenderedPageBreak/>
        <w:t xml:space="preserve">electric vehicles, </w:t>
      </w:r>
      <w:r w:rsidR="001020E4">
        <w:t>it is time for the Commission to consider options for financing more holistically and comprehensively.</w:t>
      </w:r>
    </w:p>
    <w:p w:rsidR="001020E4" w:rsidP="00845BDB" w:rsidRDefault="001020E4" w14:paraId="624F8FDB" w14:textId="625E7828">
      <w:pPr>
        <w:pStyle w:val="standard"/>
      </w:pPr>
      <w:r>
        <w:t>From research and experience particular</w:t>
      </w:r>
      <w:r w:rsidR="00EF7145">
        <w:t>ly</w:t>
      </w:r>
      <w:r>
        <w:t xml:space="preserve"> with financing energy efficiency projects at customer premises, </w:t>
      </w:r>
      <w:proofErr w:type="gramStart"/>
      <w:r>
        <w:t xml:space="preserve">it is clear that </w:t>
      </w:r>
      <w:r w:rsidR="00FA0CA4">
        <w:t>customers</w:t>
      </w:r>
      <w:proofErr w:type="gramEnd"/>
      <w:r>
        <w:t xml:space="preserve"> do not </w:t>
      </w:r>
      <w:r w:rsidR="00EF7145">
        <w:t>approach investments</w:t>
      </w:r>
      <w:r>
        <w:t xml:space="preserve"> in the same </w:t>
      </w:r>
      <w:r w:rsidR="00FA0CA4">
        <w:t>resource-specific manner</w:t>
      </w:r>
      <w:r>
        <w:t xml:space="preserve"> </w:t>
      </w:r>
      <w:r w:rsidR="00FA0CA4">
        <w:t>that the Commission uses to make funding decisions</w:t>
      </w:r>
      <w:r>
        <w:t xml:space="preserve">.  Customers may want to invest in some energy efficiency upgrades at the same time they install a solar system or a battery storage system and an electric vehicle.  Currently, they may have some PACE options that will allow all of these investments to be rolled into one loan, but otherwise our offerings are specific to energy efficiency, or may come in the form of a lease from a solar or storage company.  </w:t>
      </w:r>
      <w:r w:rsidR="002A5802">
        <w:t xml:space="preserve">Viewing these projects holistically can also benefit the customer when it comes to accurate system sizing for both generation and storage. </w:t>
      </w:r>
    </w:p>
    <w:p w:rsidR="00375731" w:rsidP="00845BDB" w:rsidRDefault="00375731" w14:paraId="094DBAFB" w14:textId="27BB78AD">
      <w:pPr>
        <w:pStyle w:val="standard"/>
      </w:pPr>
      <w:r>
        <w:t>The purpose of this proceeding is to provide a venue for investigating and designing mechanisms that can help customers finance all of the energy investments they might wish to make on their properties, without artificial barriers</w:t>
      </w:r>
      <w:r w:rsidR="00EF7145">
        <w:t>, such as those</w:t>
      </w:r>
      <w:r>
        <w:t xml:space="preserve"> caused by regulatory rules related to funding source.</w:t>
      </w:r>
      <w:r w:rsidR="002A5802">
        <w:t xml:space="preserve">  T</w:t>
      </w:r>
      <w:r w:rsidR="0023743A">
        <w:t xml:space="preserve">his proceeding will also recognize that just as there are different financing needs across customer segments, there are a diversity of needs within customer segments.  This diversity includes, but is not limited to, access to capital, creditworthiness, funding to rehabilitate the home or building, awareness of and exposure to new energy technologies, and potential that results in certain communities continually being underserved. </w:t>
      </w:r>
    </w:p>
    <w:p w:rsidR="00375731" w:rsidP="00845BDB" w:rsidRDefault="00375731" w14:paraId="528EDAC3" w14:textId="558DFC17">
      <w:pPr>
        <w:pStyle w:val="standard"/>
      </w:pPr>
      <w:r>
        <w:t>In addition, ultimately our goal is not to rely solely on ratepayer sources of funding to help encourage customers</w:t>
      </w:r>
      <w:r w:rsidR="002A5802">
        <w:t>, potentially through their contractors,</w:t>
      </w:r>
      <w:r>
        <w:t xml:space="preserve"> to make more comprehensive investments in their buildings.  The most successful long-term strategies are likely to involve the use of a small amount of ratepayer </w:t>
      </w:r>
      <w:r>
        <w:lastRenderedPageBreak/>
        <w:t>support, coupled with a much larger amount of private capital provided by financial institutions.</w:t>
      </w:r>
    </w:p>
    <w:p w:rsidR="00375731" w:rsidP="00845BDB" w:rsidRDefault="00375731" w14:paraId="1376B350" w14:textId="0F0C4F4C">
      <w:pPr>
        <w:pStyle w:val="standard"/>
      </w:pPr>
      <w:r>
        <w:t xml:space="preserve">To </w:t>
      </w:r>
      <w:r w:rsidR="0023743A">
        <w:t xml:space="preserve">help ensure long-term programmatic success, it will </w:t>
      </w:r>
      <w:r w:rsidR="001857BB">
        <w:t xml:space="preserve">likely </w:t>
      </w:r>
      <w:r w:rsidR="0023743A">
        <w:t xml:space="preserve">be necessary to track </w:t>
      </w:r>
      <w:r>
        <w:t xml:space="preserve">data </w:t>
      </w:r>
      <w:r w:rsidR="0023743A">
        <w:t>on</w:t>
      </w:r>
      <w:r>
        <w:t xml:space="preserve"> the performance of energy projects</w:t>
      </w:r>
      <w:r w:rsidR="0023743A">
        <w:t xml:space="preserve"> and provide </w:t>
      </w:r>
      <w:r>
        <w:t xml:space="preserve">some ratepayer funding to reduce risks, in order to show the financial industry that there is a large and viable market in California for financing energy projects.  </w:t>
      </w:r>
    </w:p>
    <w:p w:rsidR="00375731" w:rsidP="00845BDB" w:rsidRDefault="00375731" w14:paraId="4A4BE113" w14:textId="405343FB">
      <w:pPr>
        <w:pStyle w:val="standard"/>
      </w:pPr>
      <w:r>
        <w:t xml:space="preserve">In addition, because of the large number of households qualifying as low-income in California, </w:t>
      </w:r>
      <w:r w:rsidR="001B0471">
        <w:t xml:space="preserve">and with </w:t>
      </w:r>
      <w:r w:rsidR="001857BB">
        <w:t>Californians’ financial</w:t>
      </w:r>
      <w:r w:rsidR="001B0471">
        <w:t xml:space="preserve"> situation</w:t>
      </w:r>
      <w:r w:rsidR="001857BB">
        <w:t>s</w:t>
      </w:r>
      <w:r w:rsidR="001B0471">
        <w:t xml:space="preserve"> </w:t>
      </w:r>
      <w:r>
        <w:t xml:space="preserve">likely worsening considerably since the </w:t>
      </w:r>
      <w:r w:rsidR="001857BB">
        <w:t>onset</w:t>
      </w:r>
      <w:r>
        <w:t xml:space="preserve"> of the COVID-19 pandemic, </w:t>
      </w:r>
      <w:r w:rsidR="001857BB">
        <w:t xml:space="preserve">it is all the more critical </w:t>
      </w:r>
      <w:r>
        <w:t xml:space="preserve">to become even more creative about how we can </w:t>
      </w:r>
      <w:r w:rsidR="001B0471">
        <w:t>support</w:t>
      </w:r>
      <w:r>
        <w:t xml:space="preserve"> customers invest</w:t>
      </w:r>
      <w:r w:rsidR="001B0471">
        <w:t>ing</w:t>
      </w:r>
      <w:r>
        <w:t xml:space="preserve"> in energy projects that ultimately improve their properties</w:t>
      </w:r>
      <w:r w:rsidR="001857BB">
        <w:t>,</w:t>
      </w:r>
      <w:r>
        <w:t xml:space="preserve"> save money on energy bills</w:t>
      </w:r>
      <w:r w:rsidR="001857BB">
        <w:t>, improve air quality, and provide for health and comfort</w:t>
      </w:r>
      <w:r>
        <w:t xml:space="preserve"> in the long run.</w:t>
      </w:r>
    </w:p>
    <w:p w:rsidR="001B0471" w:rsidP="00845BDB" w:rsidRDefault="001B0471" w14:paraId="23665103" w14:textId="5136CB8D">
      <w:pPr>
        <w:pStyle w:val="standard"/>
      </w:pPr>
      <w:r>
        <w:t>Thus, this endeavor will require crossing traditional regulatory boundaries and bringing creativity to the process of enabling investment in energy infrastructure on the customer side of the meter.</w:t>
      </w:r>
    </w:p>
    <w:p w:rsidR="001B0471" w:rsidP="00845BDB" w:rsidRDefault="001B0471" w14:paraId="3E2BB39E" w14:textId="2DA90829">
      <w:pPr>
        <w:pStyle w:val="standard"/>
      </w:pPr>
      <w:r>
        <w:t xml:space="preserve">Within the scope of this proceeding will be any mechanism that provides a financing option to a </w:t>
      </w:r>
      <w:r w:rsidR="001857BB">
        <w:t>customer</w:t>
      </w:r>
      <w:r>
        <w:t xml:space="preserve"> investing in energy equipment</w:t>
      </w:r>
      <w:r w:rsidR="001857BB">
        <w:t xml:space="preserve"> behind the meter</w:t>
      </w:r>
      <w:r>
        <w:t>.  The mechanisms may include, but are not limited to, the mechanisms listed in Section 1 of this OIR:</w:t>
      </w:r>
    </w:p>
    <w:p w:rsidR="001B0471" w:rsidP="00B97231" w:rsidRDefault="001B0471" w14:paraId="784F910A" w14:textId="653E94F3">
      <w:pPr>
        <w:pStyle w:val="standard"/>
        <w:numPr>
          <w:ilvl w:val="0"/>
          <w:numId w:val="9"/>
        </w:numPr>
        <w:spacing w:after="120" w:line="240" w:lineRule="auto"/>
        <w:ind w:left="1080" w:right="1440"/>
      </w:pPr>
      <w:r>
        <w:t>Loans</w:t>
      </w:r>
    </w:p>
    <w:p w:rsidR="001B0471" w:rsidP="00B97231" w:rsidRDefault="001B0471" w14:paraId="2CE50B0A" w14:textId="051D8D56">
      <w:pPr>
        <w:pStyle w:val="standard"/>
        <w:numPr>
          <w:ilvl w:val="0"/>
          <w:numId w:val="9"/>
        </w:numPr>
        <w:spacing w:after="120" w:line="240" w:lineRule="auto"/>
        <w:ind w:left="1080" w:right="1440"/>
      </w:pPr>
      <w:r>
        <w:t>Green Banks</w:t>
      </w:r>
    </w:p>
    <w:p w:rsidR="001B0471" w:rsidP="00B97231" w:rsidRDefault="001B0471" w14:paraId="59C3D7A9" w14:textId="2596166F">
      <w:pPr>
        <w:pStyle w:val="standard"/>
        <w:numPr>
          <w:ilvl w:val="0"/>
          <w:numId w:val="9"/>
        </w:numPr>
        <w:spacing w:after="120" w:line="240" w:lineRule="auto"/>
        <w:ind w:left="1080" w:right="1440"/>
      </w:pPr>
      <w:r>
        <w:t>PACE</w:t>
      </w:r>
    </w:p>
    <w:p w:rsidR="001B0471" w:rsidP="00B97231" w:rsidRDefault="001B0471" w14:paraId="09E76197" w14:textId="24A1FFF5">
      <w:pPr>
        <w:pStyle w:val="standard"/>
        <w:numPr>
          <w:ilvl w:val="0"/>
          <w:numId w:val="9"/>
        </w:numPr>
        <w:spacing w:after="120" w:line="240" w:lineRule="auto"/>
        <w:ind w:left="1080" w:right="1440"/>
      </w:pPr>
      <w:r>
        <w:t>OBF</w:t>
      </w:r>
    </w:p>
    <w:p w:rsidR="001B0471" w:rsidP="00B97231" w:rsidRDefault="001B0471" w14:paraId="75E52C92" w14:textId="48AAC8D6">
      <w:pPr>
        <w:pStyle w:val="standard"/>
        <w:numPr>
          <w:ilvl w:val="0"/>
          <w:numId w:val="9"/>
        </w:numPr>
        <w:spacing w:after="120" w:line="240" w:lineRule="auto"/>
        <w:ind w:left="1080" w:right="1440"/>
      </w:pPr>
      <w:r>
        <w:t>OBR</w:t>
      </w:r>
    </w:p>
    <w:p w:rsidR="001B0471" w:rsidP="00B97231" w:rsidRDefault="001B0471" w14:paraId="6C42F424" w14:textId="3534DE6C">
      <w:pPr>
        <w:pStyle w:val="standard"/>
        <w:numPr>
          <w:ilvl w:val="0"/>
          <w:numId w:val="9"/>
        </w:numPr>
        <w:spacing w:after="120" w:line="240" w:lineRule="auto"/>
        <w:ind w:left="1080" w:right="1440"/>
      </w:pPr>
      <w:r>
        <w:t>T</w:t>
      </w:r>
      <w:r w:rsidR="001857BB">
        <w:t>OB/TBR</w:t>
      </w:r>
    </w:p>
    <w:p w:rsidR="001B0471" w:rsidP="00B97231" w:rsidRDefault="001B0471" w14:paraId="1B9003E5" w14:textId="5071A10B">
      <w:pPr>
        <w:pStyle w:val="standard"/>
        <w:numPr>
          <w:ilvl w:val="0"/>
          <w:numId w:val="9"/>
        </w:numPr>
        <w:spacing w:after="120" w:line="240" w:lineRule="auto"/>
        <w:ind w:left="1080" w:right="1440"/>
      </w:pPr>
      <w:r>
        <w:t>Tax Equity</w:t>
      </w:r>
    </w:p>
    <w:p w:rsidR="001B0471" w:rsidP="00B97231" w:rsidRDefault="001B0471" w14:paraId="323C0D19" w14:textId="63A4F0B7">
      <w:pPr>
        <w:pStyle w:val="standard"/>
        <w:numPr>
          <w:ilvl w:val="0"/>
          <w:numId w:val="9"/>
        </w:numPr>
        <w:spacing w:after="120" w:line="240" w:lineRule="auto"/>
        <w:ind w:left="1080" w:right="1440"/>
      </w:pPr>
      <w:r>
        <w:t>Loan Loss Reserves</w:t>
      </w:r>
    </w:p>
    <w:p w:rsidR="001B0471" w:rsidP="00B97231" w:rsidRDefault="001B0471" w14:paraId="49B393D7" w14:textId="752F26EA">
      <w:pPr>
        <w:pStyle w:val="standard"/>
        <w:numPr>
          <w:ilvl w:val="0"/>
          <w:numId w:val="9"/>
        </w:numPr>
        <w:spacing w:after="120" w:line="240" w:lineRule="auto"/>
        <w:ind w:left="1080" w:right="1440"/>
      </w:pPr>
      <w:r>
        <w:lastRenderedPageBreak/>
        <w:t>Interest Rate Buydowns</w:t>
      </w:r>
    </w:p>
    <w:p w:rsidR="001B0471" w:rsidP="001B0471" w:rsidRDefault="001B0471" w14:paraId="2CF4DA1E" w14:textId="5A4A78F1">
      <w:pPr>
        <w:pStyle w:val="standard"/>
      </w:pPr>
      <w:r>
        <w:t xml:space="preserve">We expect it will be logical to develop a set of </w:t>
      </w:r>
      <w:r w:rsidR="00567CA3">
        <w:t xml:space="preserve">options that the Commission can consider for deployment via the IOUs and/or in partnership with other entities including the CEC, CAEATFA, community choice aggregators (CCAs), as well as private sector entities.  </w:t>
      </w:r>
    </w:p>
    <w:p w:rsidR="004157B8" w:rsidP="001B0471" w:rsidRDefault="00837AEA" w14:paraId="3907D7EB" w14:textId="04C28D57">
      <w:pPr>
        <w:pStyle w:val="standard"/>
      </w:pPr>
      <w:r>
        <w:t xml:space="preserve">During consideration of these mechanisms, one of the key questions will be how to ensure consumer protection so that </w:t>
      </w:r>
      <w:r w:rsidR="001857BB">
        <w:t>customers</w:t>
      </w:r>
      <w:r>
        <w:t xml:space="preserve"> are appropriately informed about the obligations they may be taking on by financing one or more energy improvements.  </w:t>
      </w:r>
      <w:r w:rsidR="004157B8">
        <w:t xml:space="preserve">We will also need to be careful to ensure that opting in to one or more financing mechanisms does not </w:t>
      </w:r>
      <w:r w:rsidR="001857BB">
        <w:t xml:space="preserve">significantly </w:t>
      </w:r>
      <w:r w:rsidR="004157B8">
        <w:t>increase the risk of disconnection from service for non-payment of utility bills.</w:t>
      </w:r>
    </w:p>
    <w:p w:rsidR="00837AEA" w:rsidP="001B0471" w:rsidRDefault="00837AEA" w14:paraId="760EAEB5" w14:textId="5BA34533">
      <w:pPr>
        <w:pStyle w:val="standard"/>
      </w:pPr>
      <w:r>
        <w:t xml:space="preserve">In addition, we will explore how to ensure equity and inclusion of different types of customers, </w:t>
      </w:r>
      <w:r w:rsidR="001857BB">
        <w:t>so that</w:t>
      </w:r>
      <w:r>
        <w:t xml:space="preserve"> benefits accrue to the broadest possible set of customers, regardless of income or credit history. </w:t>
      </w:r>
    </w:p>
    <w:p w:rsidR="00837AEA" w:rsidP="001B0471" w:rsidRDefault="00837AEA" w14:paraId="654B5226" w14:textId="42C1810C">
      <w:pPr>
        <w:pStyle w:val="standard"/>
      </w:pPr>
      <w:r>
        <w:t xml:space="preserve">In so doing, we will explore the traditional barriers to deployment of energy efficiency, renewable energy, storage, and </w:t>
      </w:r>
      <w:r w:rsidR="001857BB">
        <w:t>zero-emission</w:t>
      </w:r>
      <w:r>
        <w:t xml:space="preserve"> vehicles, to try to find solutions to those barriers, which may include, but not be limited to:</w:t>
      </w:r>
    </w:p>
    <w:p w:rsidR="00837AEA" w:rsidP="00B97231" w:rsidRDefault="00837AEA" w14:paraId="7CF1C825" w14:textId="57A070F0">
      <w:pPr>
        <w:pStyle w:val="standard"/>
        <w:numPr>
          <w:ilvl w:val="0"/>
          <w:numId w:val="26"/>
        </w:numPr>
        <w:spacing w:after="120" w:line="240" w:lineRule="auto"/>
        <w:ind w:left="1080" w:right="1440"/>
      </w:pPr>
      <w:r>
        <w:t xml:space="preserve">Split incentives, where investments are made by a landlord but accrue to a renter, or </w:t>
      </w:r>
      <w:proofErr w:type="gramStart"/>
      <w:r>
        <w:t>vice versa</w:t>
      </w:r>
      <w:r w:rsidR="004157B8">
        <w:t>;</w:t>
      </w:r>
      <w:proofErr w:type="gramEnd"/>
    </w:p>
    <w:p w:rsidR="004157B8" w:rsidP="00B97231" w:rsidRDefault="004157B8" w14:paraId="554C1AC2" w14:textId="41199D0D">
      <w:pPr>
        <w:pStyle w:val="standard"/>
        <w:numPr>
          <w:ilvl w:val="0"/>
          <w:numId w:val="26"/>
        </w:numPr>
        <w:spacing w:after="120" w:line="240" w:lineRule="auto"/>
        <w:ind w:left="1080" w:right="1440"/>
      </w:pPr>
      <w:r>
        <w:t xml:space="preserve">Lack of access to capital and/or constraints on cash </w:t>
      </w:r>
      <w:proofErr w:type="gramStart"/>
      <w:r>
        <w:t>flow;</w:t>
      </w:r>
      <w:proofErr w:type="gramEnd"/>
    </w:p>
    <w:p w:rsidR="004157B8" w:rsidP="00B97231" w:rsidRDefault="004157B8" w14:paraId="052C8EAC" w14:textId="2372E227">
      <w:pPr>
        <w:pStyle w:val="standard"/>
        <w:numPr>
          <w:ilvl w:val="0"/>
          <w:numId w:val="26"/>
        </w:numPr>
        <w:spacing w:after="120" w:line="240" w:lineRule="auto"/>
        <w:ind w:left="1080" w:right="1440"/>
      </w:pPr>
      <w:r>
        <w:t>Low credit scores</w:t>
      </w:r>
      <w:r w:rsidR="001857BB">
        <w:t>; and</w:t>
      </w:r>
    </w:p>
    <w:p w:rsidR="001857BB" w:rsidP="00B97231" w:rsidRDefault="001857BB" w14:paraId="095AB588" w14:textId="3B825D05">
      <w:pPr>
        <w:pStyle w:val="standard"/>
        <w:numPr>
          <w:ilvl w:val="0"/>
          <w:numId w:val="26"/>
        </w:numPr>
        <w:spacing w:after="120" w:line="240" w:lineRule="auto"/>
        <w:ind w:left="1080" w:right="1440"/>
      </w:pPr>
      <w:r>
        <w:t>Challenges with offering utility financing tools to residential customers under current California lending laws.</w:t>
      </w:r>
    </w:p>
    <w:p w:rsidR="00671CA9" w:rsidP="001B0471" w:rsidRDefault="00671CA9" w14:paraId="683BEDB2" w14:textId="3506216E">
      <w:pPr>
        <w:pStyle w:val="standard"/>
      </w:pPr>
      <w:r>
        <w:t>In the past,</w:t>
      </w:r>
      <w:r>
        <w:rPr>
          <w:rStyle w:val="FootnoteReference"/>
        </w:rPr>
        <w:footnoteReference w:id="29"/>
      </w:r>
      <w:r>
        <w:t xml:space="preserve"> the Commission has identified numerous potential benefits to expanding financing options, including:</w:t>
      </w:r>
    </w:p>
    <w:p w:rsidR="00671CA9" w:rsidP="00B97231" w:rsidRDefault="00671CA9" w14:paraId="473D59C5" w14:textId="400A2F60">
      <w:pPr>
        <w:pStyle w:val="standard"/>
        <w:numPr>
          <w:ilvl w:val="0"/>
          <w:numId w:val="27"/>
        </w:numPr>
        <w:spacing w:after="120" w:line="240" w:lineRule="auto"/>
        <w:ind w:right="1440"/>
      </w:pPr>
      <w:r>
        <w:lastRenderedPageBreak/>
        <w:t xml:space="preserve">Overcoming the “first cost” of energy </w:t>
      </w:r>
      <w:proofErr w:type="gramStart"/>
      <w:r>
        <w:t>upgrades;</w:t>
      </w:r>
      <w:proofErr w:type="gramEnd"/>
    </w:p>
    <w:p w:rsidR="00671CA9" w:rsidP="00B97231" w:rsidRDefault="00671CA9" w14:paraId="61C84E70" w14:textId="4F18867C">
      <w:pPr>
        <w:pStyle w:val="standard"/>
        <w:numPr>
          <w:ilvl w:val="0"/>
          <w:numId w:val="27"/>
        </w:numPr>
        <w:spacing w:after="120" w:line="240" w:lineRule="auto"/>
        <w:ind w:right="1440"/>
      </w:pPr>
      <w:r>
        <w:t xml:space="preserve">Leveraging ratepayer funds by bringing in private </w:t>
      </w:r>
      <w:proofErr w:type="gramStart"/>
      <w:r>
        <w:t>capital;</w:t>
      </w:r>
      <w:proofErr w:type="gramEnd"/>
    </w:p>
    <w:p w:rsidR="00671CA9" w:rsidP="00B97231" w:rsidRDefault="00671CA9" w14:paraId="5533C84D" w14:textId="77777777">
      <w:pPr>
        <w:pStyle w:val="standard"/>
        <w:numPr>
          <w:ilvl w:val="0"/>
          <w:numId w:val="27"/>
        </w:numPr>
        <w:spacing w:after="120" w:line="240" w:lineRule="auto"/>
        <w:ind w:right="1440"/>
      </w:pPr>
      <w:r>
        <w:t xml:space="preserve">Increasing sales of clean energy products and </w:t>
      </w:r>
      <w:proofErr w:type="gramStart"/>
      <w:r>
        <w:t>services;</w:t>
      </w:r>
      <w:proofErr w:type="gramEnd"/>
    </w:p>
    <w:p w:rsidR="00671CA9" w:rsidP="00B97231" w:rsidRDefault="00671CA9" w14:paraId="07906028" w14:textId="77777777">
      <w:pPr>
        <w:pStyle w:val="standard"/>
        <w:numPr>
          <w:ilvl w:val="0"/>
          <w:numId w:val="27"/>
        </w:numPr>
        <w:spacing w:after="120" w:line="240" w:lineRule="auto"/>
        <w:ind w:right="1440"/>
      </w:pPr>
      <w:r>
        <w:t>Reaching a broader set of customers and market segments; and</w:t>
      </w:r>
    </w:p>
    <w:p w:rsidR="00671CA9" w:rsidP="00B97231" w:rsidRDefault="00671CA9" w14:paraId="7AEC12EB" w14:textId="076FC8C2">
      <w:pPr>
        <w:pStyle w:val="standard"/>
        <w:numPr>
          <w:ilvl w:val="0"/>
          <w:numId w:val="27"/>
        </w:numPr>
        <w:spacing w:after="120" w:line="240" w:lineRule="auto"/>
        <w:ind w:right="1440"/>
      </w:pPr>
      <w:r>
        <w:t xml:space="preserve">Encouraging customers to invest in projects that will achieve deeper benefits in the form of energy savings or energy production. </w:t>
      </w:r>
    </w:p>
    <w:p w:rsidR="004157B8" w:rsidP="001B0471" w:rsidRDefault="004157B8" w14:paraId="4934B97A" w14:textId="13376BF3">
      <w:pPr>
        <w:pStyle w:val="standard"/>
      </w:pPr>
      <w:r>
        <w:t>In order to provide value and accessible financing options to the broadest possible population, we may also need to explore options that are specific to affordable housing and/or multi</w:t>
      </w:r>
      <w:r w:rsidR="001857BB">
        <w:t>-</w:t>
      </w:r>
      <w:r>
        <w:t>family buildings, which have a particular set of challenges and barriers that have been traditionally difficult to crack.</w:t>
      </w:r>
    </w:p>
    <w:p w:rsidR="00567CA3" w:rsidP="001B0471" w:rsidRDefault="00567CA3" w14:paraId="57C0D943" w14:textId="18DCD517">
      <w:pPr>
        <w:pStyle w:val="standard"/>
      </w:pPr>
      <w:r>
        <w:t xml:space="preserve">At this stage, the scope of this proceeding is intended to be very open-ended, and we seek comments from parties about how best to target and scope the proceeding to result in maximum benefit to </w:t>
      </w:r>
      <w:r w:rsidR="001857BB">
        <w:t>customers</w:t>
      </w:r>
      <w:r>
        <w:t xml:space="preserve"> in California.</w:t>
      </w:r>
      <w:r w:rsidR="004157B8">
        <w:t xml:space="preserve">  Ultimately, we hope to identify several options that can be scaled to address large parts of </w:t>
      </w:r>
      <w:r w:rsidR="001857BB">
        <w:t xml:space="preserve">both </w:t>
      </w:r>
      <w:r w:rsidR="004157B8">
        <w:t xml:space="preserve">the residential and </w:t>
      </w:r>
      <w:r w:rsidR="001857BB">
        <w:t>non-residential customer</w:t>
      </w:r>
      <w:r w:rsidR="004157B8">
        <w:t xml:space="preserve"> sectors in California.</w:t>
      </w:r>
    </w:p>
    <w:p w:rsidR="004157B8" w:rsidP="001B0471" w:rsidRDefault="004157B8" w14:paraId="5C0EE3B0" w14:textId="6AE7A3D3">
      <w:pPr>
        <w:pStyle w:val="standard"/>
      </w:pPr>
      <w:r>
        <w:t xml:space="preserve">One specific set of issues that we know we will need to address in the short term relates to the energy efficiency financing pilot programs that CAEATFA has been administering in partnership with the Commission for </w:t>
      </w:r>
      <w:proofErr w:type="gramStart"/>
      <w:r>
        <w:t>a number of</w:t>
      </w:r>
      <w:proofErr w:type="gramEnd"/>
      <w:r>
        <w:t xml:space="preserve"> years.  CAEATFA has been consistently hearing feedback from their financial partners, particularly in the REEL program, that it would be beneficial if the program could allow financing of other types of measures in addition to energy efficiency.  We will explore this issue in the proceeding, as well as address the need for continued and/or expanded budget support for CAEATFA to continue to administer the energy efficiency financing programs.</w:t>
      </w:r>
    </w:p>
    <w:p w:rsidR="001857BB" w:rsidP="001B0471" w:rsidRDefault="001857BB" w14:paraId="5384D900" w14:textId="77C51EFB">
      <w:pPr>
        <w:pStyle w:val="standard"/>
      </w:pPr>
      <w:r>
        <w:lastRenderedPageBreak/>
        <w:t>CAEATFA’s budget for the administration of the REEL program and the energy efficiency pilots is authorized for Fiscal Years 2020-2021 and 2021-2022, and CAEATFA is authorized to make enhancements to REEL and other financing pilots for maintenance and improvement of information technology and administrative needs during the interim period before another Commission decision.</w:t>
      </w:r>
      <w:r>
        <w:rPr>
          <w:rStyle w:val="FootnoteReference"/>
        </w:rPr>
        <w:footnoteReference w:id="30"/>
      </w:r>
      <w:r>
        <w:t xml:space="preserve">  </w:t>
      </w:r>
    </w:p>
    <w:p w:rsidRPr="005D3719" w:rsidR="00845BDB" w:rsidRDefault="00845BDB" w14:paraId="034E6CE0" w14:textId="77777777">
      <w:pPr>
        <w:pStyle w:val="standard"/>
      </w:pPr>
      <w:r w:rsidRPr="005D3719">
        <w:t>The precise issues to be addressed and the process for addressing those issues will be set forth in an Assigned Commissioner’s Scoping Memo.</w:t>
      </w:r>
    </w:p>
    <w:p w:rsidR="004A7884" w:rsidP="004A7884" w:rsidRDefault="004A7884" w14:paraId="6B2F3F32" w14:textId="77777777">
      <w:pPr>
        <w:pStyle w:val="Heading2"/>
      </w:pPr>
      <w:r>
        <w:t>Categorization</w:t>
      </w:r>
      <w:r w:rsidR="0092022D">
        <w:t xml:space="preserve">; </w:t>
      </w:r>
      <w:r w:rsidRPr="0092022D" w:rsidR="0092022D">
        <w:rPr>
          <w:i/>
        </w:rPr>
        <w:t>Ex Parte</w:t>
      </w:r>
      <w:r w:rsidR="0092022D">
        <w:t xml:space="preserve"> Communications; </w:t>
      </w:r>
      <w:r>
        <w:t>Need for Hearing</w:t>
      </w:r>
    </w:p>
    <w:p w:rsidRPr="005D3719" w:rsidR="004A7884" w:rsidP="004A7884" w:rsidRDefault="004A7884" w14:paraId="0E984F16" w14:textId="435D0119">
      <w:pPr>
        <w:pStyle w:val="standard"/>
      </w:pPr>
      <w:r w:rsidRPr="005D3719">
        <w:t>The Commission’s Rules of Practice and Procedure require that an order instituting rulemaking preliminarily determine the category of the proceeding and the need for hearing.  As a preliminary matter, we det</w:t>
      </w:r>
      <w:r w:rsidRPr="005D3719" w:rsidR="0092022D">
        <w:t xml:space="preserve">ermine that this proceeding is </w:t>
      </w:r>
      <w:r w:rsidRPr="005D3719">
        <w:t>quasi-legislative, because our consideration and approval of this matter would establish policy or rules affecting a class of regulated utilities</w:t>
      </w:r>
      <w:r w:rsidRPr="005D3719" w:rsidR="0092022D">
        <w:t xml:space="preserve">.  Accordingly, </w:t>
      </w:r>
      <w:r w:rsidRPr="005D3719" w:rsidR="0092022D">
        <w:rPr>
          <w:i/>
        </w:rPr>
        <w:t>ex parte</w:t>
      </w:r>
      <w:r w:rsidRPr="005D3719" w:rsidR="0092022D">
        <w:t xml:space="preserve"> communications are permitted without restriction or reporting requirement pursuant to Article 8 of the Rules</w:t>
      </w:r>
      <w:r w:rsidR="003E7AEE">
        <w:t>.</w:t>
      </w:r>
      <w:r w:rsidRPr="005D3719" w:rsidR="00A65E8B">
        <w:t xml:space="preserve"> </w:t>
      </w:r>
    </w:p>
    <w:p w:rsidRPr="005D3719" w:rsidR="004A7884" w:rsidP="0092022D" w:rsidRDefault="0092022D" w14:paraId="041EC474" w14:textId="79FC5CB9">
      <w:pPr>
        <w:spacing w:line="360" w:lineRule="auto"/>
        <w:ind w:firstLine="720"/>
      </w:pPr>
      <w:r w:rsidRPr="005D3719">
        <w:t xml:space="preserve">We are also required to preliminarily determine if hearings are necessary.  We preliminarily determine that hearings </w:t>
      </w:r>
      <w:r w:rsidR="003E7AEE">
        <w:t>are not</w:t>
      </w:r>
      <w:r w:rsidRPr="005D3719">
        <w:t xml:space="preserve"> necessary.  </w:t>
      </w:r>
    </w:p>
    <w:p w:rsidR="00B848C0" w:rsidP="00B848C0" w:rsidRDefault="00B848C0" w14:paraId="2B63583B" w14:textId="77777777">
      <w:pPr>
        <w:pStyle w:val="Heading2"/>
      </w:pPr>
      <w:r>
        <w:t>Preliminary Schedule</w:t>
      </w:r>
    </w:p>
    <w:p w:rsidRPr="005D3719" w:rsidR="00B848C0" w:rsidP="00B848C0" w:rsidRDefault="00B848C0" w14:paraId="1D3C8ADB" w14:textId="646653BE">
      <w:pPr>
        <w:pStyle w:val="standard"/>
      </w:pPr>
      <w:r w:rsidRPr="005D3719">
        <w:t xml:space="preserve">The </w:t>
      </w:r>
      <w:r w:rsidR="000075C4">
        <w:t xml:space="preserve">preliminary </w:t>
      </w:r>
      <w:r w:rsidRPr="005D3719">
        <w:t>schedule is</w:t>
      </w:r>
      <w:r w:rsidR="000075C4">
        <w:t xml:space="preserve"> as follows</w:t>
      </w:r>
      <w:r w:rsidRPr="005D3719">
        <w:t>:</w:t>
      </w:r>
    </w:p>
    <w:p w:rsidRPr="009945F6" w:rsidR="00B848C0" w:rsidP="00836E00" w:rsidRDefault="00B848C0" w14:paraId="36A7A89C" w14:textId="44A779B6">
      <w:pPr>
        <w:pStyle w:val="standard"/>
        <w:jc w:val="center"/>
        <w:rPr>
          <w:b/>
        </w:rPr>
      </w:pPr>
    </w:p>
    <w:tbl>
      <w:tblPr>
        <w:tblW w:w="95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15" w:type="dxa"/>
          <w:right w:w="115" w:type="dxa"/>
        </w:tblCellMar>
        <w:tblLook w:val="0000" w:firstRow="0" w:lastRow="0" w:firstColumn="0" w:lastColumn="0" w:noHBand="0" w:noVBand="0"/>
      </w:tblPr>
      <w:tblGrid>
        <w:gridCol w:w="6763"/>
        <w:gridCol w:w="2827"/>
      </w:tblGrid>
      <w:tr w:rsidRPr="00F63EE1" w:rsidR="00B848C0" w:rsidTr="00FA7D0B" w14:paraId="3FA01B09" w14:textId="77777777">
        <w:trPr>
          <w:trHeight w:val="300"/>
          <w:tblHeader/>
          <w:jc w:val="center"/>
        </w:trPr>
        <w:tc>
          <w:tcPr>
            <w:tcW w:w="6763" w:type="dxa"/>
            <w:shd w:val="clear" w:color="auto" w:fill="auto"/>
            <w:noWrap/>
            <w:vAlign w:val="bottom"/>
          </w:tcPr>
          <w:p w:rsidRPr="00F63EE1" w:rsidR="00B848C0" w:rsidP="00FA7D0B" w:rsidRDefault="00B848C0" w14:paraId="58FC3339" w14:textId="77777777">
            <w:pPr>
              <w:spacing w:before="60" w:after="60"/>
              <w:jc w:val="center"/>
              <w:rPr>
                <w:b/>
              </w:rPr>
            </w:pPr>
            <w:r>
              <w:rPr>
                <w:b/>
              </w:rPr>
              <w:t>EVENT</w:t>
            </w:r>
          </w:p>
        </w:tc>
        <w:tc>
          <w:tcPr>
            <w:tcW w:w="2827" w:type="dxa"/>
            <w:vAlign w:val="bottom"/>
          </w:tcPr>
          <w:p w:rsidRPr="00F63EE1" w:rsidR="00B848C0" w:rsidP="00FA7D0B" w:rsidRDefault="00B848C0" w14:paraId="5E4607A5" w14:textId="77777777">
            <w:pPr>
              <w:spacing w:before="60" w:after="60"/>
              <w:jc w:val="center"/>
              <w:rPr>
                <w:b/>
              </w:rPr>
            </w:pPr>
            <w:r>
              <w:rPr>
                <w:b/>
              </w:rPr>
              <w:t>DATE</w:t>
            </w:r>
          </w:p>
        </w:tc>
      </w:tr>
      <w:tr w:rsidRPr="00C532EB" w:rsidR="00B848C0" w:rsidTr="00B97231" w14:paraId="464A6B71" w14:textId="77777777">
        <w:trPr>
          <w:trHeight w:val="300"/>
          <w:jc w:val="center"/>
        </w:trPr>
        <w:tc>
          <w:tcPr>
            <w:tcW w:w="6763" w:type="dxa"/>
            <w:shd w:val="clear" w:color="auto" w:fill="auto"/>
            <w:noWrap/>
            <w:vAlign w:val="center"/>
          </w:tcPr>
          <w:p w:rsidRPr="00C532EB" w:rsidR="00B848C0" w:rsidP="00B97231" w:rsidRDefault="00B848C0" w14:paraId="7C39F6CB" w14:textId="77777777">
            <w:pPr>
              <w:spacing w:before="60" w:after="60"/>
            </w:pPr>
            <w:r>
              <w:t>Comments on OIR filed and served</w:t>
            </w:r>
          </w:p>
        </w:tc>
        <w:tc>
          <w:tcPr>
            <w:tcW w:w="2827" w:type="dxa"/>
            <w:vAlign w:val="bottom"/>
          </w:tcPr>
          <w:p w:rsidRPr="00C532EB" w:rsidR="00B848C0" w:rsidP="00FA7D0B" w:rsidRDefault="00567CA3" w14:paraId="56BDB15F" w14:textId="3FBBB7F4">
            <w:pPr>
              <w:spacing w:before="60" w:after="60"/>
            </w:pPr>
            <w:r>
              <w:t>3</w:t>
            </w:r>
            <w:r w:rsidR="00B848C0">
              <w:t>0 days from OIR</w:t>
            </w:r>
            <w:r>
              <w:t xml:space="preserve"> publication</w:t>
            </w:r>
          </w:p>
        </w:tc>
      </w:tr>
      <w:tr w:rsidRPr="00C532EB" w:rsidR="00B848C0" w:rsidTr="00B97231" w14:paraId="529F5242" w14:textId="77777777">
        <w:trPr>
          <w:trHeight w:val="300"/>
          <w:jc w:val="center"/>
        </w:trPr>
        <w:tc>
          <w:tcPr>
            <w:tcW w:w="6763" w:type="dxa"/>
            <w:shd w:val="clear" w:color="auto" w:fill="auto"/>
            <w:noWrap/>
            <w:vAlign w:val="center"/>
          </w:tcPr>
          <w:p w:rsidRPr="00C532EB" w:rsidR="00B848C0" w:rsidP="00B97231" w:rsidRDefault="00B848C0" w14:paraId="3008B767" w14:textId="77777777">
            <w:pPr>
              <w:spacing w:before="60" w:after="60"/>
            </w:pPr>
            <w:r>
              <w:lastRenderedPageBreak/>
              <w:t>Reply comments on OIR filed and served</w:t>
            </w:r>
          </w:p>
        </w:tc>
        <w:tc>
          <w:tcPr>
            <w:tcW w:w="2827" w:type="dxa"/>
            <w:vAlign w:val="bottom"/>
          </w:tcPr>
          <w:p w:rsidRPr="00C532EB" w:rsidR="00B848C0" w:rsidP="00FA7D0B" w:rsidRDefault="00567CA3" w14:paraId="5970ACBA" w14:textId="0E5758CE">
            <w:pPr>
              <w:spacing w:before="60" w:after="60"/>
            </w:pPr>
            <w:r>
              <w:t>4</w:t>
            </w:r>
            <w:r w:rsidR="00B848C0">
              <w:t>5 days from OIR</w:t>
            </w:r>
            <w:r>
              <w:t xml:space="preserve"> publication</w:t>
            </w:r>
          </w:p>
        </w:tc>
      </w:tr>
      <w:tr w:rsidRPr="00C532EB" w:rsidR="00B848C0" w:rsidTr="00B97231" w14:paraId="0CCCF4DC" w14:textId="77777777">
        <w:trPr>
          <w:trHeight w:val="300"/>
          <w:jc w:val="center"/>
        </w:trPr>
        <w:tc>
          <w:tcPr>
            <w:tcW w:w="6763" w:type="dxa"/>
            <w:shd w:val="clear" w:color="auto" w:fill="auto"/>
            <w:noWrap/>
            <w:vAlign w:val="center"/>
          </w:tcPr>
          <w:p w:rsidRPr="00C532EB" w:rsidR="00B848C0" w:rsidP="00B97231" w:rsidRDefault="00B848C0" w14:paraId="54500D8F" w14:textId="77777777">
            <w:pPr>
              <w:spacing w:before="60" w:after="60"/>
            </w:pPr>
            <w:r w:rsidRPr="00C532EB">
              <w:t xml:space="preserve">Prehearing conference  </w:t>
            </w:r>
          </w:p>
        </w:tc>
        <w:tc>
          <w:tcPr>
            <w:tcW w:w="2827" w:type="dxa"/>
            <w:vAlign w:val="bottom"/>
          </w:tcPr>
          <w:p w:rsidRPr="00C532EB" w:rsidR="00B848C0" w:rsidP="00FA7D0B" w:rsidRDefault="00567CA3" w14:paraId="1E250210" w14:textId="745FC40A">
            <w:pPr>
              <w:spacing w:after="60"/>
            </w:pPr>
            <w:r>
              <w:t>Fall 2020</w:t>
            </w:r>
          </w:p>
        </w:tc>
      </w:tr>
      <w:tr w:rsidRPr="00C532EB" w:rsidR="00B848C0" w:rsidTr="00FA7D0B" w14:paraId="7EC986E2" w14:textId="77777777">
        <w:trPr>
          <w:trHeight w:val="300"/>
          <w:jc w:val="center"/>
        </w:trPr>
        <w:tc>
          <w:tcPr>
            <w:tcW w:w="6763" w:type="dxa"/>
            <w:shd w:val="clear" w:color="auto" w:fill="auto"/>
            <w:noWrap/>
            <w:vAlign w:val="bottom"/>
          </w:tcPr>
          <w:p w:rsidRPr="00C532EB" w:rsidR="00B848C0" w:rsidP="00FA7D0B" w:rsidRDefault="00B848C0" w14:paraId="2DDA559E" w14:textId="77777777">
            <w:pPr>
              <w:spacing w:before="60" w:after="60"/>
            </w:pPr>
            <w:r w:rsidRPr="00C532EB">
              <w:t>Scoping memo</w:t>
            </w:r>
          </w:p>
        </w:tc>
        <w:tc>
          <w:tcPr>
            <w:tcW w:w="2827" w:type="dxa"/>
            <w:vAlign w:val="bottom"/>
          </w:tcPr>
          <w:p w:rsidRPr="00C532EB" w:rsidR="00B848C0" w:rsidP="00FA7D0B" w:rsidRDefault="00567CA3" w14:paraId="2C1362FE" w14:textId="611AD52B">
            <w:pPr>
              <w:spacing w:before="60" w:after="60"/>
            </w:pPr>
            <w:r>
              <w:t>Fall 2020</w:t>
            </w:r>
          </w:p>
        </w:tc>
      </w:tr>
      <w:tr w:rsidRPr="00C532EB" w:rsidR="00B848C0" w:rsidTr="00FA7D0B" w14:paraId="7944EF89" w14:textId="77777777">
        <w:trPr>
          <w:trHeight w:val="300"/>
          <w:jc w:val="center"/>
        </w:trPr>
        <w:tc>
          <w:tcPr>
            <w:tcW w:w="6763" w:type="dxa"/>
            <w:shd w:val="clear" w:color="auto" w:fill="auto"/>
            <w:noWrap/>
            <w:vAlign w:val="bottom"/>
          </w:tcPr>
          <w:p w:rsidRPr="00C532EB" w:rsidR="00B848C0" w:rsidP="00FA7D0B" w:rsidRDefault="00567CA3" w14:paraId="1448796D" w14:textId="701F3C82">
            <w:pPr>
              <w:spacing w:before="60" w:after="60"/>
            </w:pPr>
            <w:r>
              <w:t xml:space="preserve">Preliminary </w:t>
            </w:r>
            <w:r w:rsidR="001857BB">
              <w:t>w</w:t>
            </w:r>
            <w:r>
              <w:t xml:space="preserve">orkshop to discuss </w:t>
            </w:r>
            <w:r w:rsidR="00580A59">
              <w:t xml:space="preserve">financing mechanism </w:t>
            </w:r>
            <w:r>
              <w:t>options</w:t>
            </w:r>
          </w:p>
        </w:tc>
        <w:tc>
          <w:tcPr>
            <w:tcW w:w="2827" w:type="dxa"/>
            <w:vAlign w:val="bottom"/>
          </w:tcPr>
          <w:p w:rsidRPr="00C532EB" w:rsidR="00B848C0" w:rsidP="00FA7D0B" w:rsidRDefault="00567CA3" w14:paraId="3B66FEAC" w14:textId="1B9C0A0D">
            <w:pPr>
              <w:spacing w:after="60"/>
            </w:pPr>
            <w:r>
              <w:t>Fall</w:t>
            </w:r>
            <w:r w:rsidR="004424C7">
              <w:t>/Winter</w:t>
            </w:r>
            <w:r>
              <w:t xml:space="preserve"> 2020</w:t>
            </w:r>
          </w:p>
        </w:tc>
      </w:tr>
      <w:tr w:rsidRPr="00C532EB" w:rsidR="004424C7" w:rsidTr="00FA7D0B" w14:paraId="3A534310" w14:textId="77777777">
        <w:trPr>
          <w:trHeight w:val="300"/>
          <w:jc w:val="center"/>
        </w:trPr>
        <w:tc>
          <w:tcPr>
            <w:tcW w:w="6763" w:type="dxa"/>
            <w:shd w:val="clear" w:color="auto" w:fill="auto"/>
            <w:noWrap/>
            <w:vAlign w:val="bottom"/>
          </w:tcPr>
          <w:p w:rsidR="004424C7" w:rsidP="004424C7" w:rsidRDefault="004424C7" w14:paraId="072A9456" w14:textId="0B9FE60A">
            <w:pPr>
              <w:spacing w:before="60" w:after="60"/>
            </w:pPr>
            <w:r>
              <w:t>Staff proposal and/or request for post-workshop comments</w:t>
            </w:r>
          </w:p>
        </w:tc>
        <w:tc>
          <w:tcPr>
            <w:tcW w:w="2827" w:type="dxa"/>
            <w:vAlign w:val="bottom"/>
          </w:tcPr>
          <w:p w:rsidR="004424C7" w:rsidP="004424C7" w:rsidRDefault="004424C7" w14:paraId="07895374" w14:textId="1048D45E">
            <w:pPr>
              <w:spacing w:before="60" w:after="60"/>
            </w:pPr>
            <w:r>
              <w:t>Winter 2020</w:t>
            </w:r>
          </w:p>
        </w:tc>
      </w:tr>
      <w:tr w:rsidRPr="00C532EB" w:rsidR="004424C7" w:rsidTr="00FA7D0B" w14:paraId="31EFEA3A" w14:textId="77777777">
        <w:trPr>
          <w:trHeight w:val="300"/>
          <w:jc w:val="center"/>
        </w:trPr>
        <w:tc>
          <w:tcPr>
            <w:tcW w:w="6763" w:type="dxa"/>
            <w:shd w:val="clear" w:color="auto" w:fill="auto"/>
            <w:noWrap/>
            <w:vAlign w:val="bottom"/>
          </w:tcPr>
          <w:p w:rsidR="004424C7" w:rsidP="004424C7" w:rsidRDefault="004424C7" w14:paraId="020E64CA" w14:textId="16244344">
            <w:pPr>
              <w:spacing w:before="60" w:after="60"/>
            </w:pPr>
            <w:r>
              <w:t>Party comments and replies filed and served</w:t>
            </w:r>
          </w:p>
        </w:tc>
        <w:tc>
          <w:tcPr>
            <w:tcW w:w="2827" w:type="dxa"/>
            <w:vAlign w:val="bottom"/>
          </w:tcPr>
          <w:p w:rsidR="004424C7" w:rsidP="004424C7" w:rsidRDefault="004424C7" w14:paraId="7D3D40E7" w14:textId="08354AD8">
            <w:pPr>
              <w:spacing w:before="60" w:after="60"/>
            </w:pPr>
            <w:r>
              <w:t>Winter 2020-2021</w:t>
            </w:r>
          </w:p>
        </w:tc>
      </w:tr>
      <w:tr w:rsidRPr="00C532EB" w:rsidR="004424C7" w:rsidTr="00FA7D0B" w14:paraId="411802F7" w14:textId="77777777">
        <w:trPr>
          <w:trHeight w:val="300"/>
          <w:jc w:val="center"/>
        </w:trPr>
        <w:tc>
          <w:tcPr>
            <w:tcW w:w="6763" w:type="dxa"/>
            <w:shd w:val="clear" w:color="auto" w:fill="auto"/>
            <w:noWrap/>
            <w:vAlign w:val="bottom"/>
          </w:tcPr>
          <w:p w:rsidR="004424C7" w:rsidP="004424C7" w:rsidRDefault="004424C7" w14:paraId="5CF9029F" w14:textId="6D082E7B">
            <w:pPr>
              <w:spacing w:before="60" w:after="60"/>
            </w:pPr>
            <w:r>
              <w:t>Ruling seeking comments on issues specific to CAEATFA continuing administration of financing programs in partnership with the Commission</w:t>
            </w:r>
          </w:p>
        </w:tc>
        <w:tc>
          <w:tcPr>
            <w:tcW w:w="2827" w:type="dxa"/>
            <w:vAlign w:val="bottom"/>
          </w:tcPr>
          <w:p w:rsidR="004424C7" w:rsidP="004424C7" w:rsidRDefault="004424C7" w14:paraId="57E6820D" w14:textId="57DF9DF6">
            <w:pPr>
              <w:spacing w:before="60" w:after="60"/>
            </w:pPr>
            <w:r>
              <w:t>Spring 2021</w:t>
            </w:r>
          </w:p>
        </w:tc>
      </w:tr>
      <w:tr w:rsidRPr="00C532EB" w:rsidR="004424C7" w:rsidTr="00FA7D0B" w14:paraId="756920B7" w14:textId="77777777">
        <w:trPr>
          <w:trHeight w:val="300"/>
          <w:jc w:val="center"/>
        </w:trPr>
        <w:tc>
          <w:tcPr>
            <w:tcW w:w="6763" w:type="dxa"/>
            <w:shd w:val="clear" w:color="auto" w:fill="auto"/>
            <w:noWrap/>
            <w:vAlign w:val="bottom"/>
          </w:tcPr>
          <w:p w:rsidR="004424C7" w:rsidP="004424C7" w:rsidRDefault="004424C7" w14:paraId="33ADA1BD" w14:textId="33FDE82D">
            <w:pPr>
              <w:spacing w:before="60" w:after="60"/>
            </w:pPr>
            <w:r>
              <w:t>Party comments and replies filed and served</w:t>
            </w:r>
          </w:p>
        </w:tc>
        <w:tc>
          <w:tcPr>
            <w:tcW w:w="2827" w:type="dxa"/>
            <w:vAlign w:val="bottom"/>
          </w:tcPr>
          <w:p w:rsidR="004424C7" w:rsidP="004424C7" w:rsidRDefault="004424C7" w14:paraId="2722998B" w14:textId="4B632334">
            <w:pPr>
              <w:spacing w:before="60" w:after="60"/>
            </w:pPr>
            <w:r>
              <w:t>Spring 2021</w:t>
            </w:r>
          </w:p>
        </w:tc>
      </w:tr>
      <w:tr w:rsidRPr="00C532EB" w:rsidR="004424C7" w:rsidTr="00FA7D0B" w14:paraId="71FFFE99" w14:textId="77777777">
        <w:trPr>
          <w:trHeight w:val="300"/>
          <w:jc w:val="center"/>
        </w:trPr>
        <w:tc>
          <w:tcPr>
            <w:tcW w:w="6763" w:type="dxa"/>
            <w:shd w:val="clear" w:color="auto" w:fill="auto"/>
            <w:noWrap/>
            <w:vAlign w:val="bottom"/>
          </w:tcPr>
          <w:p w:rsidRPr="00C532EB" w:rsidR="004424C7" w:rsidP="004424C7" w:rsidRDefault="004424C7" w14:paraId="5D1907A9" w14:textId="7D07F322">
            <w:pPr>
              <w:spacing w:before="60" w:after="60"/>
            </w:pPr>
            <w:r>
              <w:t>Proposed D</w:t>
            </w:r>
            <w:r w:rsidRPr="00C532EB">
              <w:t xml:space="preserve">ecision </w:t>
            </w:r>
            <w:r>
              <w:t>addressing CAEATFA-related financing issues</w:t>
            </w:r>
            <w:r w:rsidR="00580A59">
              <w:t xml:space="preserve"> and other preliminary options</w:t>
            </w:r>
          </w:p>
        </w:tc>
        <w:tc>
          <w:tcPr>
            <w:tcW w:w="2827" w:type="dxa"/>
            <w:vAlign w:val="bottom"/>
          </w:tcPr>
          <w:p w:rsidRPr="00C532EB" w:rsidR="004424C7" w:rsidP="004424C7" w:rsidRDefault="004424C7" w14:paraId="2447CFEA" w14:textId="3CD841BE">
            <w:pPr>
              <w:spacing w:before="60" w:after="60"/>
            </w:pPr>
            <w:r>
              <w:t>Summer 2021</w:t>
            </w:r>
          </w:p>
        </w:tc>
      </w:tr>
      <w:tr w:rsidRPr="00C532EB" w:rsidR="00D252C3" w:rsidTr="00FA7D0B" w14:paraId="1D18EB4A" w14:textId="77777777">
        <w:trPr>
          <w:trHeight w:val="300"/>
          <w:jc w:val="center"/>
        </w:trPr>
        <w:tc>
          <w:tcPr>
            <w:tcW w:w="6763" w:type="dxa"/>
            <w:shd w:val="clear" w:color="auto" w:fill="auto"/>
            <w:noWrap/>
            <w:vAlign w:val="bottom"/>
          </w:tcPr>
          <w:p w:rsidR="00D252C3" w:rsidP="004424C7" w:rsidRDefault="00D252C3" w14:paraId="06BB6EE1" w14:textId="02AF302B">
            <w:pPr>
              <w:spacing w:before="60" w:after="60"/>
            </w:pPr>
            <w:r>
              <w:t>Other activities related to broader financing options</w:t>
            </w:r>
          </w:p>
        </w:tc>
        <w:tc>
          <w:tcPr>
            <w:tcW w:w="2827" w:type="dxa"/>
            <w:vAlign w:val="bottom"/>
          </w:tcPr>
          <w:p w:rsidR="00D252C3" w:rsidP="004424C7" w:rsidRDefault="00D252C3" w14:paraId="5F99748B" w14:textId="28DEA039">
            <w:pPr>
              <w:spacing w:before="60" w:after="60"/>
            </w:pPr>
            <w:r>
              <w:t>TBD</w:t>
            </w:r>
          </w:p>
        </w:tc>
      </w:tr>
    </w:tbl>
    <w:p w:rsidRPr="00B97231" w:rsidR="00B848C0" w:rsidP="00B97231" w:rsidRDefault="00B848C0" w14:paraId="605694E0" w14:textId="77777777">
      <w:pPr>
        <w:pStyle w:val="standard"/>
        <w:rPr>
          <w:sz w:val="10"/>
          <w:szCs w:val="10"/>
        </w:rPr>
      </w:pPr>
    </w:p>
    <w:p w:rsidRPr="005D3719" w:rsidR="00B848C0" w:rsidP="00B848C0" w:rsidRDefault="00837AEA" w14:paraId="749A471D" w14:textId="35A34010">
      <w:pPr>
        <w:pStyle w:val="standard"/>
      </w:pPr>
      <w:r>
        <w:t>A</w:t>
      </w:r>
      <w:r w:rsidRPr="005D3719" w:rsidR="00B848C0">
        <w:t xml:space="preserve"> prehearing conference (PHC) will be held for the purposes of </w:t>
      </w:r>
      <w:r>
        <w:t xml:space="preserve">informing the scoping memo and </w:t>
      </w:r>
      <w:r w:rsidRPr="005D3719" w:rsidR="00B848C0">
        <w:t xml:space="preserve">discussing schedule and process.  The PHC </w:t>
      </w:r>
      <w:r>
        <w:t>will be scheduled as soon as possible.</w:t>
      </w:r>
    </w:p>
    <w:p w:rsidRPr="005D3719" w:rsidR="00B848C0" w:rsidP="002D7C12" w:rsidRDefault="00B848C0" w14:paraId="5DA71965" w14:textId="3A83D038">
      <w:pPr>
        <w:pStyle w:val="standard"/>
      </w:pPr>
      <w:r w:rsidRPr="005D3719">
        <w:t xml:space="preserve">The Assigned Commissioner or the assigned Administrative Law Judge (ALJ) may </w:t>
      </w:r>
      <w:r w:rsidR="000075C4">
        <w:t>modify</w:t>
      </w:r>
      <w:r w:rsidRPr="005D3719">
        <w:t xml:space="preserve"> the schedule to promote efficient and fair administration of this proceeding.  </w:t>
      </w:r>
      <w:r w:rsidRPr="005D3719" w:rsidR="002D7C12">
        <w:t xml:space="preserve">Today’s decision sets due date for comments </w:t>
      </w:r>
      <w:r w:rsidR="00837AEA">
        <w:t xml:space="preserve">and reply comments </w:t>
      </w:r>
      <w:r w:rsidRPr="005D3719" w:rsidR="002D7C12">
        <w:t xml:space="preserve">on the OIR.  The </w:t>
      </w:r>
      <w:r w:rsidRPr="005D3719">
        <w:t xml:space="preserve">schedule for the remainder of </w:t>
      </w:r>
      <w:r w:rsidRPr="005D3719" w:rsidR="006D39AE">
        <w:t xml:space="preserve">the proceeding will be adopted </w:t>
      </w:r>
      <w:r w:rsidRPr="005D3719">
        <w:t xml:space="preserve">in the Assigned Commissioner’s Scoping Memo. </w:t>
      </w:r>
      <w:r w:rsidRPr="005D3719" w:rsidR="002D7C12">
        <w:t xml:space="preserve"> </w:t>
      </w:r>
    </w:p>
    <w:p w:rsidRPr="009945F6" w:rsidR="002D7C12" w:rsidP="002D7C12" w:rsidRDefault="002D7C12" w14:paraId="3646C434" w14:textId="42EDD6CF">
      <w:pPr>
        <w:spacing w:line="360" w:lineRule="auto"/>
        <w:ind w:firstLine="720"/>
        <w:rPr>
          <w:rFonts w:eastAsia="Book Antiqua" w:cs="Book Antiqua"/>
          <w:szCs w:val="26"/>
        </w:rPr>
      </w:pPr>
      <w:r w:rsidRPr="009945F6">
        <w:rPr>
          <w:rFonts w:eastAsia="Book Antiqua" w:cs="Book Antiqua"/>
          <w:szCs w:val="26"/>
        </w:rPr>
        <w:t xml:space="preserve">Due to the complexity and number of issues in this proceeding, it is the Commission’s intent to complete this proceeding within </w:t>
      </w:r>
      <w:r w:rsidR="00256D58">
        <w:rPr>
          <w:rFonts w:eastAsia="Book Antiqua" w:cs="Book Antiqua"/>
          <w:szCs w:val="26"/>
        </w:rPr>
        <w:t>24</w:t>
      </w:r>
      <w:r w:rsidRPr="009945F6" w:rsidR="00633574">
        <w:rPr>
          <w:rFonts w:eastAsia="Book Antiqua" w:cs="Book Antiqua"/>
          <w:szCs w:val="26"/>
        </w:rPr>
        <w:t xml:space="preserve"> </w:t>
      </w:r>
      <w:r w:rsidRPr="009945F6">
        <w:rPr>
          <w:rFonts w:eastAsia="Book Antiqua" w:cs="Book Antiqua"/>
          <w:szCs w:val="26"/>
        </w:rPr>
        <w:t>months of the date this decision is adopted. (Public Utilities Code § 1701.5(b).)</w:t>
      </w:r>
    </w:p>
    <w:p w:rsidRPr="005D3719" w:rsidR="002D7C12" w:rsidP="002D7C12" w:rsidRDefault="002D7C12" w14:paraId="53E1BE47" w14:textId="77777777">
      <w:pPr>
        <w:spacing w:line="360" w:lineRule="auto"/>
        <w:ind w:firstLine="720"/>
        <w:rPr>
          <w:rFonts w:eastAsia="Book Antiqua" w:cs="Book Antiqua"/>
          <w:szCs w:val="26"/>
        </w:rPr>
      </w:pPr>
      <w:r w:rsidRPr="005D3719">
        <w:rPr>
          <w:rFonts w:eastAsia="Book Antiqua" w:cs="Book Antiqua"/>
          <w:szCs w:val="26"/>
        </w:rPr>
        <w:lastRenderedPageBreak/>
        <w:t>If there are any workshops in this proceeding, notice of such workshops will be posted on the Commission’s Daily Calendar to inform the public that a decision-maker or an advisor may be present at those meetings or workshops.  Parties shall check the Daily Calendar regularly for such notices.</w:t>
      </w:r>
    </w:p>
    <w:bookmarkEnd w:id="0"/>
    <w:p w:rsidR="00251E09" w:rsidP="00B97231" w:rsidRDefault="00251E09" w14:paraId="164D9D43" w14:textId="77777777">
      <w:pPr>
        <w:pStyle w:val="Heading1"/>
        <w:tabs>
          <w:tab w:val="clear" w:pos="720"/>
        </w:tabs>
        <w:spacing w:before="0"/>
        <w:ind w:left="360" w:hanging="360"/>
      </w:pPr>
      <w:r>
        <w:t>Respondents</w:t>
      </w:r>
    </w:p>
    <w:p w:rsidR="00251E09" w:rsidP="00251E09" w:rsidRDefault="0061023F" w14:paraId="3A96C34B" w14:textId="271F1EE1">
      <w:pPr>
        <w:pStyle w:val="standard"/>
      </w:pPr>
      <w:r>
        <w:t>The large electricity and natural gas investor-owned utilities</w:t>
      </w:r>
      <w:r w:rsidRPr="005D3719" w:rsidR="00251E09">
        <w:t xml:space="preserve"> are named as respondents to this proceeding.</w:t>
      </w:r>
      <w:r>
        <w:t xml:space="preserve">  These </w:t>
      </w:r>
      <w:proofErr w:type="gramStart"/>
      <w:r>
        <w:t>include:</w:t>
      </w:r>
      <w:proofErr w:type="gramEnd"/>
      <w:r>
        <w:t xml:space="preserve"> </w:t>
      </w:r>
      <w:r w:rsidR="00120841">
        <w:t>PG&amp;E</w:t>
      </w:r>
      <w:r>
        <w:t xml:space="preserve">, San Diego Gas &amp; Electric Company, Southern California Edison Company, and Southern California Gas Company.  </w:t>
      </w:r>
    </w:p>
    <w:p w:rsidR="00D252C3" w:rsidP="00251E09" w:rsidRDefault="00D252C3" w14:paraId="6ED0A161" w14:textId="0CF90DE3">
      <w:pPr>
        <w:pStyle w:val="standard"/>
      </w:pPr>
      <w:r>
        <w:t xml:space="preserve">We also invite the other small and multi-jurisdictional IOUs, electric cooperatives, as well as other load-serving entities in electricity including community choice aggregators and electric service providers, to become parties to this rulemaking should they wish to participate and offer some of the alternatives developed in the course of the proceeding. </w:t>
      </w:r>
    </w:p>
    <w:p w:rsidR="00251E09" w:rsidP="00B97231" w:rsidRDefault="00251E09" w14:paraId="44CEF7AD" w14:textId="77777777">
      <w:pPr>
        <w:pStyle w:val="Heading1"/>
        <w:tabs>
          <w:tab w:val="clear" w:pos="720"/>
        </w:tabs>
        <w:spacing w:before="0"/>
        <w:ind w:left="360" w:hanging="360"/>
      </w:pPr>
      <w:r>
        <w:t>Service of OIR</w:t>
      </w:r>
    </w:p>
    <w:p w:rsidRPr="005D3719" w:rsidR="00251E09" w:rsidP="00251E09" w:rsidRDefault="00251E09" w14:paraId="5300831C" w14:textId="77777777">
      <w:pPr>
        <w:pStyle w:val="sub1"/>
        <w:rPr>
          <w:szCs w:val="26"/>
        </w:rPr>
      </w:pPr>
      <w:r w:rsidRPr="005D3719">
        <w:rPr>
          <w:szCs w:val="26"/>
        </w:rPr>
        <w:t>This OIR shall be served on all respondents.</w:t>
      </w:r>
    </w:p>
    <w:p w:rsidR="00251E09" w:rsidP="00251E09" w:rsidRDefault="00251E09" w14:paraId="55B2AC27" w14:textId="078BBD5E">
      <w:pPr>
        <w:pStyle w:val="sub1"/>
        <w:rPr>
          <w:szCs w:val="26"/>
        </w:rPr>
      </w:pPr>
      <w:r w:rsidRPr="005D3719">
        <w:rPr>
          <w:szCs w:val="26"/>
        </w:rPr>
        <w:t>In addition, in the interest of broad notice, this OIR will be served on the official service lists for the following proceedings</w:t>
      </w:r>
      <w:r w:rsidR="0061023F">
        <w:rPr>
          <w:szCs w:val="26"/>
        </w:rPr>
        <w:t>, which may be undertaking activities relevant to the consideration of the topics in this OIR.</w:t>
      </w:r>
    </w:p>
    <w:tbl>
      <w:tblPr>
        <w:tblStyle w:val="TableGrid"/>
        <w:tblW w:w="0" w:type="auto"/>
        <w:tblLook w:val="04A0" w:firstRow="1" w:lastRow="0" w:firstColumn="1" w:lastColumn="0" w:noHBand="0" w:noVBand="1"/>
      </w:tblPr>
      <w:tblGrid>
        <w:gridCol w:w="5755"/>
        <w:gridCol w:w="3595"/>
      </w:tblGrid>
      <w:tr w:rsidR="0061023F" w:rsidTr="0061023F" w14:paraId="2B657D3D" w14:textId="77777777">
        <w:tc>
          <w:tcPr>
            <w:tcW w:w="5755" w:type="dxa"/>
          </w:tcPr>
          <w:p w:rsidRPr="0061023F" w:rsidR="0061023F" w:rsidP="0061023F" w:rsidRDefault="0061023F" w14:paraId="6D990BB5" w14:textId="1E1A91CC">
            <w:pPr>
              <w:pStyle w:val="sub1"/>
              <w:ind w:firstLine="0"/>
              <w:rPr>
                <w:b/>
                <w:bCs/>
                <w:szCs w:val="26"/>
              </w:rPr>
            </w:pPr>
            <w:r w:rsidRPr="0061023F">
              <w:rPr>
                <w:b/>
                <w:bCs/>
                <w:szCs w:val="26"/>
              </w:rPr>
              <w:t>Proceeding Topic</w:t>
            </w:r>
          </w:p>
        </w:tc>
        <w:tc>
          <w:tcPr>
            <w:tcW w:w="3595" w:type="dxa"/>
          </w:tcPr>
          <w:p w:rsidRPr="0061023F" w:rsidR="0061023F" w:rsidP="0061023F" w:rsidRDefault="0061023F" w14:paraId="23631691" w14:textId="362A6053">
            <w:pPr>
              <w:pStyle w:val="sub1"/>
              <w:ind w:firstLine="0"/>
              <w:rPr>
                <w:b/>
                <w:bCs/>
                <w:szCs w:val="26"/>
              </w:rPr>
            </w:pPr>
            <w:r w:rsidRPr="0061023F">
              <w:rPr>
                <w:b/>
                <w:bCs/>
                <w:szCs w:val="26"/>
              </w:rPr>
              <w:t>Proceeding Number</w:t>
            </w:r>
          </w:p>
        </w:tc>
      </w:tr>
      <w:tr w:rsidR="0061023F" w:rsidTr="0061023F" w14:paraId="53C33EAB" w14:textId="77777777">
        <w:tc>
          <w:tcPr>
            <w:tcW w:w="5755" w:type="dxa"/>
          </w:tcPr>
          <w:p w:rsidR="0061023F" w:rsidP="0061023F" w:rsidRDefault="0061023F" w14:paraId="6F82485A" w14:textId="7C57F74D">
            <w:pPr>
              <w:pStyle w:val="sub1"/>
              <w:spacing w:line="240" w:lineRule="auto"/>
              <w:ind w:firstLine="0"/>
              <w:rPr>
                <w:szCs w:val="26"/>
              </w:rPr>
            </w:pPr>
            <w:r>
              <w:rPr>
                <w:szCs w:val="26"/>
              </w:rPr>
              <w:t xml:space="preserve">Energy Efficiency </w:t>
            </w:r>
          </w:p>
        </w:tc>
        <w:tc>
          <w:tcPr>
            <w:tcW w:w="3595" w:type="dxa"/>
          </w:tcPr>
          <w:p w:rsidR="0061023F" w:rsidP="0061023F" w:rsidRDefault="0061023F" w14:paraId="741E9190" w14:textId="7C8E161C">
            <w:pPr>
              <w:pStyle w:val="sub1"/>
              <w:spacing w:line="240" w:lineRule="auto"/>
              <w:ind w:firstLine="0"/>
              <w:rPr>
                <w:szCs w:val="26"/>
              </w:rPr>
            </w:pPr>
            <w:r>
              <w:rPr>
                <w:szCs w:val="26"/>
              </w:rPr>
              <w:t>R.13-11-005</w:t>
            </w:r>
          </w:p>
        </w:tc>
      </w:tr>
      <w:tr w:rsidR="0061023F" w:rsidTr="0061023F" w14:paraId="3C056B40" w14:textId="77777777">
        <w:tc>
          <w:tcPr>
            <w:tcW w:w="5755" w:type="dxa"/>
            <w:shd w:val="clear" w:color="auto" w:fill="auto"/>
          </w:tcPr>
          <w:p w:rsidR="0061023F" w:rsidP="0061023F" w:rsidRDefault="0061023F" w14:paraId="6C053FA4" w14:textId="57E8C27E">
            <w:pPr>
              <w:pStyle w:val="sub1"/>
              <w:spacing w:line="240" w:lineRule="auto"/>
              <w:ind w:firstLine="0"/>
              <w:rPr>
                <w:szCs w:val="26"/>
              </w:rPr>
            </w:pPr>
            <w:r w:rsidRPr="00576A94">
              <w:rPr>
                <w:lang w:eastAsia="ja-JP"/>
              </w:rPr>
              <w:t xml:space="preserve">Demand Response </w:t>
            </w:r>
          </w:p>
        </w:tc>
        <w:tc>
          <w:tcPr>
            <w:tcW w:w="3595" w:type="dxa"/>
            <w:shd w:val="clear" w:color="auto" w:fill="auto"/>
          </w:tcPr>
          <w:p w:rsidR="0061023F" w:rsidP="0061023F" w:rsidRDefault="0061023F" w14:paraId="177A3A7C" w14:textId="77777777">
            <w:pPr>
              <w:pStyle w:val="standard"/>
              <w:spacing w:line="240" w:lineRule="auto"/>
              <w:ind w:firstLine="0"/>
              <w:rPr>
                <w:lang w:eastAsia="ja-JP"/>
              </w:rPr>
            </w:pPr>
            <w:r w:rsidRPr="00576A94">
              <w:rPr>
                <w:lang w:eastAsia="ja-JP"/>
              </w:rPr>
              <w:t>R.13-09-011</w:t>
            </w:r>
            <w:r>
              <w:rPr>
                <w:lang w:eastAsia="ja-JP"/>
              </w:rPr>
              <w:t xml:space="preserve"> and</w:t>
            </w:r>
          </w:p>
          <w:p w:rsidR="0061023F" w:rsidP="0061023F" w:rsidRDefault="0061023F" w14:paraId="20677522" w14:textId="4722714D">
            <w:pPr>
              <w:pStyle w:val="sub1"/>
              <w:spacing w:line="240" w:lineRule="auto"/>
              <w:ind w:firstLine="0"/>
              <w:rPr>
                <w:szCs w:val="26"/>
              </w:rPr>
            </w:pPr>
            <w:r>
              <w:rPr>
                <w:lang w:eastAsia="ja-JP"/>
              </w:rPr>
              <w:t>A.17-01-012 et al.</w:t>
            </w:r>
          </w:p>
        </w:tc>
      </w:tr>
      <w:tr w:rsidR="0061023F" w:rsidTr="0061023F" w14:paraId="24108E11" w14:textId="77777777">
        <w:tc>
          <w:tcPr>
            <w:tcW w:w="5755" w:type="dxa"/>
            <w:shd w:val="clear" w:color="auto" w:fill="auto"/>
          </w:tcPr>
          <w:p w:rsidR="0061023F" w:rsidP="0061023F" w:rsidRDefault="0061023F" w14:paraId="36F03E2F" w14:textId="0F61710A">
            <w:pPr>
              <w:pStyle w:val="sub1"/>
              <w:spacing w:line="240" w:lineRule="auto"/>
              <w:ind w:firstLine="0"/>
              <w:rPr>
                <w:szCs w:val="26"/>
              </w:rPr>
            </w:pPr>
            <w:r>
              <w:rPr>
                <w:lang w:eastAsia="ja-JP"/>
              </w:rPr>
              <w:t>Net Energy Metering</w:t>
            </w:r>
          </w:p>
        </w:tc>
        <w:tc>
          <w:tcPr>
            <w:tcW w:w="3595" w:type="dxa"/>
            <w:shd w:val="clear" w:color="auto" w:fill="auto"/>
          </w:tcPr>
          <w:p w:rsidR="0061023F" w:rsidP="0061023F" w:rsidRDefault="0061023F" w14:paraId="398E52F0" w14:textId="283A4CD9">
            <w:pPr>
              <w:pStyle w:val="sub1"/>
              <w:spacing w:line="240" w:lineRule="auto"/>
              <w:ind w:firstLine="0"/>
              <w:rPr>
                <w:szCs w:val="26"/>
              </w:rPr>
            </w:pPr>
            <w:r w:rsidRPr="00803155">
              <w:rPr>
                <w:lang w:eastAsia="ja-JP"/>
              </w:rPr>
              <w:t>R.14</w:t>
            </w:r>
            <w:r>
              <w:rPr>
                <w:lang w:eastAsia="ja-JP"/>
              </w:rPr>
              <w:noBreakHyphen/>
            </w:r>
            <w:r w:rsidRPr="00803155">
              <w:rPr>
                <w:lang w:eastAsia="ja-JP"/>
              </w:rPr>
              <w:t>07</w:t>
            </w:r>
            <w:r>
              <w:rPr>
                <w:lang w:eastAsia="ja-JP"/>
              </w:rPr>
              <w:noBreakHyphen/>
            </w:r>
            <w:r w:rsidRPr="00803155">
              <w:rPr>
                <w:lang w:eastAsia="ja-JP"/>
              </w:rPr>
              <w:t>002</w:t>
            </w:r>
          </w:p>
        </w:tc>
      </w:tr>
      <w:tr w:rsidR="0061023F" w:rsidTr="0061023F" w14:paraId="63D087A8" w14:textId="77777777">
        <w:tc>
          <w:tcPr>
            <w:tcW w:w="5755" w:type="dxa"/>
            <w:shd w:val="clear" w:color="auto" w:fill="auto"/>
          </w:tcPr>
          <w:p w:rsidR="0061023F" w:rsidP="0061023F" w:rsidRDefault="0061023F" w14:paraId="2A26E397" w14:textId="5FA2EDDB">
            <w:pPr>
              <w:pStyle w:val="sub1"/>
              <w:spacing w:line="240" w:lineRule="auto"/>
              <w:ind w:firstLine="0"/>
              <w:rPr>
                <w:szCs w:val="26"/>
              </w:rPr>
            </w:pPr>
            <w:r w:rsidRPr="00576A94">
              <w:rPr>
                <w:lang w:eastAsia="ja-JP"/>
              </w:rPr>
              <w:t>Evaluation of Integrated Distributed Energy Resource Programs</w:t>
            </w:r>
          </w:p>
        </w:tc>
        <w:tc>
          <w:tcPr>
            <w:tcW w:w="3595" w:type="dxa"/>
            <w:shd w:val="clear" w:color="auto" w:fill="auto"/>
          </w:tcPr>
          <w:p w:rsidR="0061023F" w:rsidP="0061023F" w:rsidRDefault="0061023F" w14:paraId="30F5E149" w14:textId="088BE046">
            <w:pPr>
              <w:pStyle w:val="sub1"/>
              <w:spacing w:line="240" w:lineRule="auto"/>
              <w:ind w:firstLine="0"/>
              <w:rPr>
                <w:szCs w:val="26"/>
              </w:rPr>
            </w:pPr>
            <w:r w:rsidRPr="00576A94">
              <w:rPr>
                <w:lang w:eastAsia="ja-JP"/>
              </w:rPr>
              <w:t>R.14-10-003</w:t>
            </w:r>
          </w:p>
        </w:tc>
      </w:tr>
      <w:tr w:rsidR="0061023F" w:rsidTr="0061023F" w14:paraId="21050136" w14:textId="77777777">
        <w:tc>
          <w:tcPr>
            <w:tcW w:w="5755" w:type="dxa"/>
            <w:shd w:val="clear" w:color="auto" w:fill="auto"/>
          </w:tcPr>
          <w:p w:rsidR="0061023F" w:rsidP="0061023F" w:rsidRDefault="0061023F" w14:paraId="51F12593" w14:textId="42D6C52D">
            <w:pPr>
              <w:pStyle w:val="sub1"/>
              <w:spacing w:line="240" w:lineRule="auto"/>
              <w:ind w:firstLine="0"/>
              <w:rPr>
                <w:szCs w:val="26"/>
              </w:rPr>
            </w:pPr>
            <w:r w:rsidRPr="00576A94">
              <w:rPr>
                <w:lang w:eastAsia="ja-JP"/>
              </w:rPr>
              <w:t>Distribution Resources Plan</w:t>
            </w:r>
            <w:r>
              <w:rPr>
                <w:lang w:eastAsia="ja-JP"/>
              </w:rPr>
              <w:t>s</w:t>
            </w:r>
          </w:p>
        </w:tc>
        <w:tc>
          <w:tcPr>
            <w:tcW w:w="3595" w:type="dxa"/>
            <w:shd w:val="clear" w:color="auto" w:fill="auto"/>
          </w:tcPr>
          <w:p w:rsidR="0061023F" w:rsidP="0061023F" w:rsidRDefault="0061023F" w14:paraId="2B3B67AC" w14:textId="7FFCEE48">
            <w:pPr>
              <w:pStyle w:val="sub1"/>
              <w:spacing w:line="240" w:lineRule="auto"/>
              <w:ind w:firstLine="0"/>
              <w:rPr>
                <w:szCs w:val="26"/>
              </w:rPr>
            </w:pPr>
            <w:r w:rsidRPr="00576A94">
              <w:rPr>
                <w:lang w:eastAsia="ja-JP"/>
              </w:rPr>
              <w:t>R.14-08-013</w:t>
            </w:r>
          </w:p>
        </w:tc>
      </w:tr>
      <w:tr w:rsidR="0061023F" w:rsidTr="0061023F" w14:paraId="1C08CC09" w14:textId="77777777">
        <w:tc>
          <w:tcPr>
            <w:tcW w:w="5755" w:type="dxa"/>
            <w:shd w:val="clear" w:color="auto" w:fill="auto"/>
          </w:tcPr>
          <w:p w:rsidR="0061023F" w:rsidP="0061023F" w:rsidRDefault="0061023F" w14:paraId="52DCC14D" w14:textId="254E4D19">
            <w:pPr>
              <w:pStyle w:val="sub1"/>
              <w:spacing w:line="240" w:lineRule="auto"/>
              <w:ind w:firstLine="0"/>
              <w:rPr>
                <w:szCs w:val="26"/>
              </w:rPr>
            </w:pPr>
            <w:r w:rsidRPr="00576A94">
              <w:rPr>
                <w:lang w:eastAsia="ja-JP"/>
              </w:rPr>
              <w:t>California Solar Initiative and Distributed Generation</w:t>
            </w:r>
          </w:p>
        </w:tc>
        <w:tc>
          <w:tcPr>
            <w:tcW w:w="3595" w:type="dxa"/>
            <w:shd w:val="clear" w:color="auto" w:fill="auto"/>
          </w:tcPr>
          <w:p w:rsidR="0061023F" w:rsidP="0061023F" w:rsidRDefault="0061023F" w14:paraId="47BCDDDE" w14:textId="77777777">
            <w:pPr>
              <w:pStyle w:val="sub1"/>
              <w:spacing w:line="240" w:lineRule="auto"/>
              <w:ind w:firstLine="0"/>
              <w:rPr>
                <w:lang w:eastAsia="ja-JP"/>
              </w:rPr>
            </w:pPr>
            <w:r w:rsidRPr="00576A94">
              <w:rPr>
                <w:lang w:eastAsia="ja-JP"/>
              </w:rPr>
              <w:t>R.12-11-005</w:t>
            </w:r>
          </w:p>
          <w:p w:rsidR="00B75579" w:rsidP="0061023F" w:rsidRDefault="00B75579" w14:paraId="79F08AC6" w14:textId="03957425">
            <w:pPr>
              <w:pStyle w:val="sub1"/>
              <w:spacing w:line="240" w:lineRule="auto"/>
              <w:ind w:firstLine="0"/>
              <w:rPr>
                <w:szCs w:val="26"/>
              </w:rPr>
            </w:pPr>
            <w:r>
              <w:rPr>
                <w:lang w:eastAsia="ja-JP"/>
              </w:rPr>
              <w:t>R.20-05-012</w:t>
            </w:r>
          </w:p>
        </w:tc>
      </w:tr>
      <w:tr w:rsidR="0061023F" w:rsidTr="0061023F" w14:paraId="21714879" w14:textId="77777777">
        <w:tc>
          <w:tcPr>
            <w:tcW w:w="5755" w:type="dxa"/>
            <w:shd w:val="clear" w:color="auto" w:fill="auto"/>
          </w:tcPr>
          <w:p w:rsidR="0061023F" w:rsidP="0061023F" w:rsidRDefault="0061023F" w14:paraId="5357767A" w14:textId="71323264">
            <w:pPr>
              <w:pStyle w:val="sub1"/>
              <w:spacing w:line="240" w:lineRule="auto"/>
              <w:ind w:firstLine="0"/>
              <w:rPr>
                <w:szCs w:val="26"/>
              </w:rPr>
            </w:pPr>
            <w:r w:rsidRPr="00576A94">
              <w:rPr>
                <w:lang w:eastAsia="ja-JP"/>
              </w:rPr>
              <w:t>Renewables Portfolio Standard Program</w:t>
            </w:r>
          </w:p>
        </w:tc>
        <w:tc>
          <w:tcPr>
            <w:tcW w:w="3595" w:type="dxa"/>
            <w:shd w:val="clear" w:color="auto" w:fill="auto"/>
          </w:tcPr>
          <w:p w:rsidR="0061023F" w:rsidP="0061023F" w:rsidRDefault="0061023F" w14:paraId="2DC409C2" w14:textId="77777777">
            <w:pPr>
              <w:pStyle w:val="standard"/>
              <w:spacing w:line="240" w:lineRule="auto"/>
              <w:ind w:firstLine="0"/>
              <w:rPr>
                <w:lang w:eastAsia="ja-JP"/>
              </w:rPr>
            </w:pPr>
            <w:r>
              <w:rPr>
                <w:lang w:eastAsia="ja-JP"/>
              </w:rPr>
              <w:t>R.18-07-003 and</w:t>
            </w:r>
          </w:p>
          <w:p w:rsidR="0061023F" w:rsidP="0061023F" w:rsidRDefault="0061023F" w14:paraId="5D690853" w14:textId="54B732D0">
            <w:pPr>
              <w:pStyle w:val="sub1"/>
              <w:spacing w:line="240" w:lineRule="auto"/>
              <w:ind w:firstLine="0"/>
              <w:rPr>
                <w:szCs w:val="26"/>
              </w:rPr>
            </w:pPr>
            <w:r w:rsidRPr="00576A94">
              <w:rPr>
                <w:lang w:eastAsia="ja-JP"/>
              </w:rPr>
              <w:lastRenderedPageBreak/>
              <w:t>R.15-02-020</w:t>
            </w:r>
          </w:p>
        </w:tc>
      </w:tr>
      <w:tr w:rsidR="0061023F" w:rsidTr="0061023F" w14:paraId="44582D16" w14:textId="77777777">
        <w:tc>
          <w:tcPr>
            <w:tcW w:w="5755" w:type="dxa"/>
            <w:shd w:val="clear" w:color="auto" w:fill="auto"/>
          </w:tcPr>
          <w:p w:rsidR="0061023F" w:rsidP="0061023F" w:rsidRDefault="0061023F" w14:paraId="6639A264" w14:textId="13253F84">
            <w:pPr>
              <w:pStyle w:val="sub1"/>
              <w:spacing w:line="240" w:lineRule="auto"/>
              <w:ind w:firstLine="0"/>
              <w:rPr>
                <w:szCs w:val="26"/>
              </w:rPr>
            </w:pPr>
            <w:r w:rsidRPr="00576A94">
              <w:rPr>
                <w:lang w:eastAsia="ja-JP"/>
              </w:rPr>
              <w:lastRenderedPageBreak/>
              <w:t>Energy Storage</w:t>
            </w:r>
          </w:p>
        </w:tc>
        <w:tc>
          <w:tcPr>
            <w:tcW w:w="3595" w:type="dxa"/>
            <w:shd w:val="clear" w:color="auto" w:fill="auto"/>
          </w:tcPr>
          <w:p w:rsidR="0061023F" w:rsidP="0061023F" w:rsidRDefault="0061023F" w14:paraId="4C17B3C3" w14:textId="1702584A">
            <w:pPr>
              <w:pStyle w:val="sub1"/>
              <w:spacing w:line="240" w:lineRule="auto"/>
              <w:ind w:firstLine="0"/>
              <w:rPr>
                <w:szCs w:val="26"/>
              </w:rPr>
            </w:pPr>
            <w:r w:rsidRPr="00803155">
              <w:rPr>
                <w:lang w:eastAsia="ja-JP"/>
              </w:rPr>
              <w:t>A.</w:t>
            </w:r>
            <w:r>
              <w:rPr>
                <w:lang w:eastAsia="ja-JP"/>
              </w:rPr>
              <w:t>20-03-002 et al</w:t>
            </w:r>
            <w:r w:rsidRPr="00803155">
              <w:rPr>
                <w:lang w:eastAsia="ja-JP"/>
              </w:rPr>
              <w:t>.</w:t>
            </w:r>
          </w:p>
        </w:tc>
      </w:tr>
      <w:tr w:rsidR="0061023F" w:rsidTr="0061023F" w14:paraId="378133DC" w14:textId="77777777">
        <w:tc>
          <w:tcPr>
            <w:tcW w:w="5755" w:type="dxa"/>
            <w:shd w:val="clear" w:color="auto" w:fill="auto"/>
          </w:tcPr>
          <w:p w:rsidR="0061023F" w:rsidP="0061023F" w:rsidRDefault="0061023F" w14:paraId="2894D084" w14:textId="5001BE3D">
            <w:pPr>
              <w:pStyle w:val="sub1"/>
              <w:spacing w:line="240" w:lineRule="auto"/>
              <w:ind w:firstLine="0"/>
              <w:rPr>
                <w:szCs w:val="26"/>
              </w:rPr>
            </w:pPr>
            <w:r>
              <w:rPr>
                <w:lang w:eastAsia="ja-JP"/>
              </w:rPr>
              <w:t>Transportation Electrification</w:t>
            </w:r>
          </w:p>
        </w:tc>
        <w:tc>
          <w:tcPr>
            <w:tcW w:w="3595" w:type="dxa"/>
            <w:shd w:val="clear" w:color="auto" w:fill="auto"/>
          </w:tcPr>
          <w:p w:rsidR="0061023F" w:rsidP="0061023F" w:rsidRDefault="0061023F" w14:paraId="70102C52" w14:textId="6DEBFC34">
            <w:pPr>
              <w:pStyle w:val="sub1"/>
              <w:spacing w:line="240" w:lineRule="auto"/>
              <w:ind w:firstLine="0"/>
              <w:rPr>
                <w:szCs w:val="26"/>
              </w:rPr>
            </w:pPr>
            <w:r>
              <w:rPr>
                <w:lang w:eastAsia="ja-JP"/>
              </w:rPr>
              <w:t>R.18-12-006</w:t>
            </w:r>
          </w:p>
        </w:tc>
      </w:tr>
      <w:tr w:rsidR="0061023F" w:rsidTr="0061023F" w14:paraId="5609E12A" w14:textId="77777777">
        <w:tc>
          <w:tcPr>
            <w:tcW w:w="5755" w:type="dxa"/>
            <w:shd w:val="clear" w:color="auto" w:fill="auto"/>
          </w:tcPr>
          <w:p w:rsidR="0061023F" w:rsidP="0061023F" w:rsidRDefault="0061023F" w14:paraId="52DEA262" w14:textId="11375320">
            <w:pPr>
              <w:pStyle w:val="sub1"/>
              <w:spacing w:line="240" w:lineRule="auto"/>
              <w:ind w:firstLine="0"/>
              <w:rPr>
                <w:szCs w:val="26"/>
              </w:rPr>
            </w:pPr>
            <w:r>
              <w:rPr>
                <w:lang w:eastAsia="ja-JP"/>
              </w:rPr>
              <w:t>Electric Program Investment Charge (EPIC) Research and Development</w:t>
            </w:r>
          </w:p>
        </w:tc>
        <w:tc>
          <w:tcPr>
            <w:tcW w:w="3595" w:type="dxa"/>
            <w:shd w:val="clear" w:color="auto" w:fill="auto"/>
          </w:tcPr>
          <w:p w:rsidR="0061023F" w:rsidP="0061023F" w:rsidRDefault="0061023F" w14:paraId="42085DF9" w14:textId="127CAC66">
            <w:pPr>
              <w:pStyle w:val="sub1"/>
              <w:spacing w:line="240" w:lineRule="auto"/>
              <w:ind w:firstLine="0"/>
              <w:rPr>
                <w:szCs w:val="26"/>
              </w:rPr>
            </w:pPr>
            <w:r>
              <w:rPr>
                <w:lang w:eastAsia="ja-JP"/>
              </w:rPr>
              <w:t>R.19-10-005</w:t>
            </w:r>
          </w:p>
        </w:tc>
      </w:tr>
      <w:tr w:rsidR="0061023F" w:rsidTr="0061023F" w14:paraId="0C4082C0" w14:textId="77777777">
        <w:tc>
          <w:tcPr>
            <w:tcW w:w="5755" w:type="dxa"/>
          </w:tcPr>
          <w:p w:rsidR="0061023F" w:rsidP="0025737F" w:rsidRDefault="0061023F" w14:paraId="43F28B04" w14:textId="58B552A8">
            <w:pPr>
              <w:pStyle w:val="sub1"/>
              <w:spacing w:line="240" w:lineRule="auto"/>
              <w:ind w:firstLine="0"/>
              <w:rPr>
                <w:szCs w:val="26"/>
              </w:rPr>
            </w:pPr>
            <w:r>
              <w:rPr>
                <w:szCs w:val="26"/>
              </w:rPr>
              <w:t>Energy Savings Assistance Programs</w:t>
            </w:r>
          </w:p>
        </w:tc>
        <w:tc>
          <w:tcPr>
            <w:tcW w:w="3595" w:type="dxa"/>
          </w:tcPr>
          <w:p w:rsidR="0025737F" w:rsidP="0025737F" w:rsidRDefault="0025737F" w14:paraId="0E3BDB82" w14:textId="4C91B152">
            <w:pPr>
              <w:pStyle w:val="sub1"/>
              <w:spacing w:line="240" w:lineRule="auto"/>
              <w:ind w:firstLine="0"/>
              <w:rPr>
                <w:szCs w:val="26"/>
              </w:rPr>
            </w:pPr>
            <w:r>
              <w:rPr>
                <w:szCs w:val="26"/>
              </w:rPr>
              <w:t>A.19-11-003 et al. and</w:t>
            </w:r>
          </w:p>
          <w:p w:rsidR="0061023F" w:rsidP="0025737F" w:rsidRDefault="0025737F" w14:paraId="4ACBEC99" w14:textId="717E1D6D">
            <w:pPr>
              <w:pStyle w:val="sub1"/>
              <w:spacing w:line="240" w:lineRule="auto"/>
              <w:ind w:firstLine="0"/>
              <w:rPr>
                <w:szCs w:val="26"/>
              </w:rPr>
            </w:pPr>
            <w:r>
              <w:rPr>
                <w:szCs w:val="26"/>
              </w:rPr>
              <w:t xml:space="preserve">A.20-05-014 et al. </w:t>
            </w:r>
          </w:p>
        </w:tc>
      </w:tr>
      <w:tr w:rsidR="00B75579" w:rsidTr="0061023F" w14:paraId="5394375C" w14:textId="77777777">
        <w:tc>
          <w:tcPr>
            <w:tcW w:w="5755" w:type="dxa"/>
          </w:tcPr>
          <w:p w:rsidR="00B75579" w:rsidP="0025737F" w:rsidRDefault="00B75579" w14:paraId="43D99955" w14:textId="3E3C20F3">
            <w:pPr>
              <w:pStyle w:val="sub1"/>
              <w:spacing w:line="240" w:lineRule="auto"/>
              <w:ind w:firstLine="0"/>
              <w:rPr>
                <w:szCs w:val="26"/>
              </w:rPr>
            </w:pPr>
            <w:r>
              <w:rPr>
                <w:szCs w:val="26"/>
              </w:rPr>
              <w:t>Building Decarbonization</w:t>
            </w:r>
          </w:p>
        </w:tc>
        <w:tc>
          <w:tcPr>
            <w:tcW w:w="3595" w:type="dxa"/>
          </w:tcPr>
          <w:p w:rsidR="00B75579" w:rsidP="0025737F" w:rsidRDefault="00B75579" w14:paraId="0DDC32C4" w14:textId="23236B19">
            <w:pPr>
              <w:pStyle w:val="sub1"/>
              <w:spacing w:line="240" w:lineRule="auto"/>
              <w:ind w:firstLine="0"/>
              <w:rPr>
                <w:szCs w:val="26"/>
              </w:rPr>
            </w:pPr>
            <w:r>
              <w:rPr>
                <w:szCs w:val="26"/>
              </w:rPr>
              <w:t>R.19-01-011</w:t>
            </w:r>
          </w:p>
        </w:tc>
      </w:tr>
    </w:tbl>
    <w:p w:rsidRPr="00B97231" w:rsidR="0061023F" w:rsidP="0061023F" w:rsidRDefault="0061023F" w14:paraId="7F2B7E83" w14:textId="77777777">
      <w:pPr>
        <w:pStyle w:val="sub1"/>
        <w:ind w:firstLine="0"/>
        <w:rPr>
          <w:sz w:val="10"/>
          <w:szCs w:val="10"/>
        </w:rPr>
      </w:pPr>
    </w:p>
    <w:p w:rsidRPr="007C1B85" w:rsidR="00251E09" w:rsidP="00251E09" w:rsidRDefault="00251E09" w14:paraId="23DBFB66" w14:textId="77777777">
      <w:pPr>
        <w:pStyle w:val="sub1"/>
        <w:rPr>
          <w:szCs w:val="26"/>
        </w:rPr>
      </w:pPr>
      <w:r w:rsidRPr="007C1B85">
        <w:rPr>
          <w:szCs w:val="26"/>
        </w:rPr>
        <w:t>In addition, in the interest of broad notice, this OIR will be served on the following state and local agencies:</w:t>
      </w:r>
    </w:p>
    <w:p w:rsidR="00251E09" w:rsidP="00B97231" w:rsidRDefault="00256D58" w14:paraId="49483C2A" w14:textId="5BA87A27">
      <w:pPr>
        <w:pStyle w:val="sub1"/>
        <w:numPr>
          <w:ilvl w:val="0"/>
          <w:numId w:val="6"/>
        </w:numPr>
        <w:spacing w:after="120" w:line="240" w:lineRule="auto"/>
        <w:ind w:left="1080" w:right="1440"/>
        <w:rPr>
          <w:szCs w:val="26"/>
        </w:rPr>
      </w:pPr>
      <w:proofErr w:type="gramStart"/>
      <w:r>
        <w:rPr>
          <w:szCs w:val="26"/>
        </w:rPr>
        <w:t>CAEATFA</w:t>
      </w:r>
      <w:r w:rsidR="00B75579">
        <w:rPr>
          <w:szCs w:val="26"/>
        </w:rPr>
        <w:t>;</w:t>
      </w:r>
      <w:proofErr w:type="gramEnd"/>
    </w:p>
    <w:p w:rsidRPr="007C1B85" w:rsidR="00B75579" w:rsidP="00B97231" w:rsidRDefault="00B75579" w14:paraId="7650C487" w14:textId="69630CFF">
      <w:pPr>
        <w:pStyle w:val="sub1"/>
        <w:numPr>
          <w:ilvl w:val="0"/>
          <w:numId w:val="6"/>
        </w:numPr>
        <w:spacing w:after="120" w:line="240" w:lineRule="auto"/>
        <w:ind w:left="1080" w:right="1440"/>
        <w:rPr>
          <w:szCs w:val="26"/>
        </w:rPr>
      </w:pPr>
      <w:proofErr w:type="gramStart"/>
      <w:r>
        <w:rPr>
          <w:szCs w:val="26"/>
        </w:rPr>
        <w:t>CEC;</w:t>
      </w:r>
      <w:proofErr w:type="gramEnd"/>
    </w:p>
    <w:p w:rsidR="00251E09" w:rsidP="00B97231" w:rsidRDefault="00256D58" w14:paraId="6B29F661" w14:textId="0FA52E58">
      <w:pPr>
        <w:pStyle w:val="sub1"/>
        <w:numPr>
          <w:ilvl w:val="0"/>
          <w:numId w:val="6"/>
        </w:numPr>
        <w:spacing w:after="120" w:line="240" w:lineRule="auto"/>
        <w:ind w:left="1080" w:right="1440"/>
        <w:rPr>
          <w:szCs w:val="26"/>
        </w:rPr>
      </w:pPr>
      <w:r>
        <w:rPr>
          <w:szCs w:val="26"/>
        </w:rPr>
        <w:t>C</w:t>
      </w:r>
      <w:r w:rsidR="00B75579">
        <w:rPr>
          <w:szCs w:val="26"/>
        </w:rPr>
        <w:t>ARB; and</w:t>
      </w:r>
    </w:p>
    <w:p w:rsidRPr="007C1B85" w:rsidR="00256D58" w:rsidP="00B97231" w:rsidRDefault="00B75579" w14:paraId="01A1DA2B" w14:textId="792A0255">
      <w:pPr>
        <w:pStyle w:val="sub1"/>
        <w:numPr>
          <w:ilvl w:val="0"/>
          <w:numId w:val="6"/>
        </w:numPr>
        <w:spacing w:after="120" w:line="240" w:lineRule="auto"/>
        <w:ind w:left="1080" w:right="1440"/>
        <w:rPr>
          <w:szCs w:val="26"/>
        </w:rPr>
      </w:pPr>
      <w:r>
        <w:rPr>
          <w:szCs w:val="26"/>
        </w:rPr>
        <w:t>California Department of Business Oversight.</w:t>
      </w:r>
    </w:p>
    <w:p w:rsidRPr="005D3719" w:rsidR="00251E09" w:rsidP="00251E09" w:rsidRDefault="00251E09" w14:paraId="32413498" w14:textId="78D9DAF6">
      <w:pPr>
        <w:pStyle w:val="sub1"/>
        <w:rPr>
          <w:szCs w:val="26"/>
        </w:rPr>
      </w:pPr>
      <w:r w:rsidRPr="005D3719">
        <w:rPr>
          <w:szCs w:val="26"/>
        </w:rPr>
        <w:t xml:space="preserve">Service of the OIR does not confer party status or place any person who has received such service on the Official Service List for this proceeding, other than respondents. </w:t>
      </w:r>
      <w:r w:rsidR="0025737F">
        <w:rPr>
          <w:szCs w:val="26"/>
        </w:rPr>
        <w:t xml:space="preserve"> </w:t>
      </w:r>
      <w:r w:rsidRPr="005D3719">
        <w:rPr>
          <w:szCs w:val="26"/>
        </w:rPr>
        <w:t>Instructions for obtaining party status or being placed on the official service list are given below.</w:t>
      </w:r>
    </w:p>
    <w:p w:rsidR="00251E09" w:rsidP="00B97231" w:rsidRDefault="00251E09" w14:paraId="0A8B70E8" w14:textId="77777777">
      <w:pPr>
        <w:pStyle w:val="Heading1"/>
        <w:spacing w:before="0"/>
        <w:ind w:left="360" w:hanging="360"/>
        <w:rPr>
          <w:rFonts w:ascii="Palatino Linotype" w:hAnsi="Palatino Linotype"/>
          <w:b w:val="0"/>
          <w:kern w:val="0"/>
          <w:szCs w:val="26"/>
        </w:rPr>
      </w:pPr>
      <w:bookmarkStart w:name="_Toc386104452" w:id="3"/>
      <w:r>
        <w:t>Filing and Service of Comments and Other Documents</w:t>
      </w:r>
    </w:p>
    <w:p w:rsidRPr="005D3719" w:rsidR="00C75CE4" w:rsidP="00256D58" w:rsidRDefault="00251E09" w14:paraId="4FCFD410" w14:textId="48D358F0">
      <w:pPr>
        <w:pStyle w:val="standard"/>
      </w:pPr>
      <w:r w:rsidRPr="005D3719">
        <w:t xml:space="preserve">Filing and service of comments and other documents in the proceeding are governed by the </w:t>
      </w:r>
      <w:r w:rsidRPr="005D3719" w:rsidR="00C75CE4">
        <w:t xml:space="preserve">Commission’s Rules of Practice and Procedure.  </w:t>
      </w:r>
    </w:p>
    <w:p w:rsidR="00251E09" w:rsidP="00B97231" w:rsidRDefault="00251E09" w14:paraId="73074659" w14:textId="77777777">
      <w:pPr>
        <w:pStyle w:val="Heading1"/>
        <w:spacing w:before="0"/>
        <w:ind w:left="360" w:hanging="360"/>
      </w:pPr>
      <w:r>
        <w:t>Addition to Official Service List</w:t>
      </w:r>
      <w:bookmarkEnd w:id="3"/>
    </w:p>
    <w:p w:rsidRPr="005D3719" w:rsidR="00251E09" w:rsidP="00251E09" w:rsidRDefault="00251E09" w14:paraId="7922AAAE" w14:textId="77777777">
      <w:pPr>
        <w:pStyle w:val="sub1"/>
        <w:rPr>
          <w:szCs w:val="26"/>
        </w:rPr>
      </w:pPr>
      <w:bookmarkStart w:name="_Toc386104453" w:id="4"/>
      <w:r w:rsidRPr="005D3719">
        <w:rPr>
          <w:szCs w:val="26"/>
        </w:rPr>
        <w:t xml:space="preserve">Addition to the official service list is governed by Rule 1.9(f) of the Commission’s Rules of Practice and Procedure. </w:t>
      </w:r>
    </w:p>
    <w:p w:rsidRPr="005D3719" w:rsidR="00251E09" w:rsidP="00251E09" w:rsidRDefault="00251E09" w14:paraId="41FADA35" w14:textId="77777777">
      <w:pPr>
        <w:pStyle w:val="sub1"/>
        <w:rPr>
          <w:szCs w:val="26"/>
        </w:rPr>
      </w:pPr>
      <w:r w:rsidRPr="005D3719">
        <w:rPr>
          <w:szCs w:val="26"/>
        </w:rPr>
        <w:t>Respondents are parties to the proceeding (see Rule 1.4(d)) and will be immediately placed on the official service list.</w:t>
      </w:r>
    </w:p>
    <w:p w:rsidRPr="005D3719" w:rsidR="00251E09" w:rsidP="00251E09" w:rsidRDefault="00251E09" w14:paraId="4F920CFA" w14:textId="4637A1BE">
      <w:pPr>
        <w:pStyle w:val="sub1"/>
        <w:rPr>
          <w:szCs w:val="26"/>
        </w:rPr>
      </w:pPr>
      <w:r w:rsidRPr="005D3719">
        <w:rPr>
          <w:szCs w:val="26"/>
        </w:rPr>
        <w:t xml:space="preserve">Any person </w:t>
      </w:r>
      <w:r w:rsidR="007B7F99">
        <w:rPr>
          <w:szCs w:val="26"/>
        </w:rPr>
        <w:t>may</w:t>
      </w:r>
      <w:r w:rsidRPr="005D3719">
        <w:rPr>
          <w:szCs w:val="26"/>
        </w:rPr>
        <w:t xml:space="preserve"> be added to the “Information Only” category of the official service list upon request, for electronic service of all documents in the proceeding, and should </w:t>
      </w:r>
      <w:r w:rsidR="007B7F99">
        <w:rPr>
          <w:szCs w:val="26"/>
        </w:rPr>
        <w:t>request this</w:t>
      </w:r>
      <w:r w:rsidRPr="005D3719">
        <w:rPr>
          <w:szCs w:val="26"/>
        </w:rPr>
        <w:t xml:space="preserve"> promptly in order to ensure timely service of </w:t>
      </w:r>
      <w:r w:rsidRPr="005D3719">
        <w:rPr>
          <w:szCs w:val="26"/>
        </w:rPr>
        <w:lastRenderedPageBreak/>
        <w:t>comments and other documents and correspondence in the proceeding. (</w:t>
      </w:r>
      <w:r w:rsidRPr="00B97231">
        <w:rPr>
          <w:i/>
          <w:iCs/>
          <w:szCs w:val="26"/>
        </w:rPr>
        <w:t>See</w:t>
      </w:r>
      <w:r w:rsidRPr="005D3719">
        <w:rPr>
          <w:szCs w:val="26"/>
        </w:rPr>
        <w:t xml:space="preserve"> Rule</w:t>
      </w:r>
      <w:r w:rsidR="00B97231">
        <w:rPr>
          <w:szCs w:val="26"/>
        </w:rPr>
        <w:t> </w:t>
      </w:r>
      <w:r w:rsidRPr="005D3719">
        <w:rPr>
          <w:szCs w:val="26"/>
        </w:rPr>
        <w:t>1.9(f).)  The request must be sent to the Process Office by e-mail (</w:t>
      </w:r>
      <w:hyperlink w:history="1" r:id="rId15">
        <w:r w:rsidRPr="005D3719">
          <w:rPr>
            <w:rStyle w:val="Hyperlink"/>
            <w:szCs w:val="26"/>
          </w:rPr>
          <w:t>process_office@cpuc.ca.gov</w:t>
        </w:r>
      </w:hyperlink>
      <w:r w:rsidRPr="005D3719">
        <w:rPr>
          <w:szCs w:val="26"/>
        </w:rPr>
        <w:t>) or letter (Process Office, California Public Utilities Commission, 505 Van Ness Avenue, San Francisco, California  94102).  Please include the Docket Number of this rulemaking in the request.</w:t>
      </w:r>
    </w:p>
    <w:p w:rsidRPr="005D3719" w:rsidR="00251E09" w:rsidP="00251E09" w:rsidRDefault="00251E09" w14:paraId="3108B7FA" w14:textId="2B90FB66">
      <w:pPr>
        <w:pStyle w:val="sub1"/>
        <w:rPr>
          <w:szCs w:val="26"/>
        </w:rPr>
      </w:pPr>
      <w:r w:rsidRPr="005D3719">
        <w:rPr>
          <w:szCs w:val="26"/>
        </w:rPr>
        <w:t xml:space="preserve">Persons who file responsive comments </w:t>
      </w:r>
      <w:r w:rsidR="007B7F99">
        <w:rPr>
          <w:szCs w:val="26"/>
        </w:rPr>
        <w:t xml:space="preserve">to the OIR also </w:t>
      </w:r>
      <w:r w:rsidRPr="005D3719">
        <w:rPr>
          <w:szCs w:val="26"/>
        </w:rPr>
        <w:t>thereby become parties to the proceeding (</w:t>
      </w:r>
      <w:r w:rsidRPr="00B97231">
        <w:rPr>
          <w:i/>
          <w:iCs/>
          <w:szCs w:val="26"/>
        </w:rPr>
        <w:t>see</w:t>
      </w:r>
      <w:r w:rsidRPr="005D3719">
        <w:rPr>
          <w:szCs w:val="26"/>
        </w:rPr>
        <w:t xml:space="preserve"> Rule 1.4(a)(2)) and will be added to the “Parties” category of the official service list upon such filing.  </w:t>
      </w:r>
      <w:r w:rsidRPr="00B97231">
        <w:rPr>
          <w:i/>
          <w:szCs w:val="26"/>
        </w:rPr>
        <w:t>In order to assure service of comments and other documents and correspondence in advance of obtaining party status, persons should promptly request addition to the “Information Only” category as described above;</w:t>
      </w:r>
      <w:r w:rsidRPr="00B97231">
        <w:rPr>
          <w:szCs w:val="26"/>
        </w:rPr>
        <w:t xml:space="preserve"> </w:t>
      </w:r>
      <w:r w:rsidRPr="005D3719">
        <w:rPr>
          <w:szCs w:val="26"/>
        </w:rPr>
        <w:t>they will be removed from that category upon obtaining party status.</w:t>
      </w:r>
    </w:p>
    <w:p w:rsidRPr="00DA21F0" w:rsidR="00251E09" w:rsidP="00B97231" w:rsidRDefault="00251E09" w14:paraId="3686AD8A" w14:textId="77777777">
      <w:pPr>
        <w:pStyle w:val="Heading1"/>
        <w:spacing w:before="0"/>
        <w:ind w:left="360" w:hanging="360"/>
      </w:pPr>
      <w:r w:rsidRPr="00DA21F0">
        <w:t>Subscription Service</w:t>
      </w:r>
    </w:p>
    <w:p w:rsidRPr="005D3719" w:rsidR="00251E09" w:rsidP="00251E09" w:rsidRDefault="00251E09" w14:paraId="67BC580E" w14:textId="77777777">
      <w:pPr>
        <w:pStyle w:val="sub1"/>
        <w:rPr>
          <w:szCs w:val="26"/>
        </w:rPr>
      </w:pPr>
      <w:r w:rsidRPr="005D3719">
        <w:rPr>
          <w:szCs w:val="26"/>
        </w:rPr>
        <w:t xml:space="preserve">Persons may monitor the proceeding by subscribing to receive electronic copies of documents in this proceeding that are published on the Commission’s website.  There is no need to be on the official service list </w:t>
      </w:r>
      <w:proofErr w:type="gramStart"/>
      <w:r w:rsidRPr="005D3719">
        <w:rPr>
          <w:szCs w:val="26"/>
        </w:rPr>
        <w:t>in order to</w:t>
      </w:r>
      <w:proofErr w:type="gramEnd"/>
      <w:r w:rsidRPr="005D3719">
        <w:rPr>
          <w:szCs w:val="26"/>
        </w:rPr>
        <w:t xml:space="preserve"> use the subscription service.  Instructions for enrolling in the subscription service are available on the Commission’s website at </w:t>
      </w:r>
      <w:hyperlink w:history="1" r:id="rId16">
        <w:r w:rsidRPr="005D3719">
          <w:rPr>
            <w:rStyle w:val="Hyperlink"/>
            <w:szCs w:val="26"/>
          </w:rPr>
          <w:t>http://subscribecpuc.cpuc.ca.gov/</w:t>
        </w:r>
      </w:hyperlink>
      <w:r w:rsidRPr="005D3719">
        <w:rPr>
          <w:szCs w:val="26"/>
        </w:rPr>
        <w:t>.</w:t>
      </w:r>
      <w:bookmarkEnd w:id="4"/>
    </w:p>
    <w:p w:rsidR="00251E09" w:rsidP="00B97231" w:rsidRDefault="00251E09" w14:paraId="3F8AF185" w14:textId="77777777">
      <w:pPr>
        <w:pStyle w:val="Heading1"/>
        <w:spacing w:before="0"/>
        <w:ind w:left="360" w:hanging="360"/>
      </w:pPr>
      <w:r>
        <w:t>Intervenor Compensation</w:t>
      </w:r>
    </w:p>
    <w:p w:rsidRPr="005D3719" w:rsidR="00251E09" w:rsidP="00251E09" w:rsidRDefault="00251E09" w14:paraId="50604C63" w14:textId="2C9B028C">
      <w:pPr>
        <w:pStyle w:val="standard"/>
      </w:pPr>
      <w:r w:rsidRPr="005D3719">
        <w:t xml:space="preserve">Intervenor Compensation </w:t>
      </w:r>
      <w:r w:rsidR="00256D58">
        <w:t>is</w:t>
      </w:r>
      <w:r w:rsidRPr="005D3719">
        <w:t xml:space="preserve"> permitted in this proceeding.</w:t>
      </w:r>
    </w:p>
    <w:p w:rsidRPr="005D3719" w:rsidR="00193875" w:rsidP="001F1AAF" w:rsidRDefault="001F1AAF" w14:paraId="195F6056" w14:textId="2D673C1A">
      <w:pPr>
        <w:pStyle w:val="standard"/>
      </w:pPr>
      <w:r w:rsidRPr="00C3423B">
        <w:t xml:space="preserve">Pursuant to Pub. Util. Code </w:t>
      </w:r>
      <w:r w:rsidRPr="00D0634B">
        <w:t>§</w:t>
      </w:r>
      <w:r w:rsidRPr="00C3423B">
        <w:t xml:space="preserve"> 1804(a)(1), a customer who intends to seek an award of compensation must file and serve a notice of intent to claim compensation by 30 days after the prehearing conference. </w:t>
      </w:r>
      <w:r w:rsidR="00B97231">
        <w:t xml:space="preserve"> </w:t>
      </w:r>
      <w:r w:rsidRPr="005D3719" w:rsidR="00193875">
        <w:t xml:space="preserve">Parties new to participating in Commission proceedings may contact the </w:t>
      </w:r>
      <w:r w:rsidR="00DA7CDE">
        <w:t xml:space="preserve">Commission’s </w:t>
      </w:r>
      <w:r w:rsidRPr="005D3719" w:rsidR="00193875">
        <w:t>Public Advisor</w:t>
      </w:r>
      <w:r w:rsidR="00DA7CDE">
        <w:t>.</w:t>
      </w:r>
    </w:p>
    <w:p w:rsidRPr="00C532EB" w:rsidR="004A7884" w:rsidP="00B97231" w:rsidRDefault="004A7884" w14:paraId="7AFF8C12" w14:textId="77777777">
      <w:pPr>
        <w:pStyle w:val="Heading1"/>
        <w:spacing w:before="0"/>
        <w:ind w:left="360" w:hanging="360"/>
        <w:rPr>
          <w:b w:val="0"/>
          <w:szCs w:val="26"/>
        </w:rPr>
      </w:pPr>
      <w:r w:rsidRPr="004A7884">
        <w:t>Public</w:t>
      </w:r>
      <w:r w:rsidRPr="00C532EB">
        <w:rPr>
          <w:szCs w:val="26"/>
        </w:rPr>
        <w:t xml:space="preserve"> Advisor</w:t>
      </w:r>
    </w:p>
    <w:p w:rsidRPr="005D3719" w:rsidR="00A65E8B" w:rsidP="00633574" w:rsidRDefault="004A7884" w14:paraId="38AD7DA9" w14:textId="77777777">
      <w:pPr>
        <w:widowControl w:val="0"/>
        <w:spacing w:line="360" w:lineRule="auto"/>
        <w:ind w:firstLine="720"/>
      </w:pPr>
      <w:r w:rsidRPr="005D3719">
        <w:t xml:space="preserve">Any person or entity interested in participating in this rulemaking who is </w:t>
      </w:r>
      <w:r w:rsidRPr="005D3719">
        <w:lastRenderedPageBreak/>
        <w:t>unfamiliar with the Commission’s procedures should contact the Commission’s Public Advisor in San Francisco at (415) 703-2074 or (866) 849</w:t>
      </w:r>
      <w:r w:rsidRPr="005D3719">
        <w:noBreakHyphen/>
        <w:t xml:space="preserve">8390 or e-mail </w:t>
      </w:r>
      <w:hyperlink w:history="1" r:id="rId17">
        <w:r w:rsidRPr="005D3719">
          <w:rPr>
            <w:rStyle w:val="Hyperlink"/>
          </w:rPr>
          <w:t>public.advisor@cpuc.ca.gov</w:t>
        </w:r>
      </w:hyperlink>
      <w:r w:rsidRPr="005D3719">
        <w:t>.  The TTY number is (866) 836</w:t>
      </w:r>
      <w:r w:rsidRPr="005D3719">
        <w:noBreakHyphen/>
        <w:t>7825.</w:t>
      </w:r>
    </w:p>
    <w:p w:rsidR="0052521F" w:rsidRDefault="0052521F" w14:paraId="761D9741" w14:textId="77777777">
      <w:pPr>
        <w:spacing w:line="360" w:lineRule="auto"/>
      </w:pPr>
    </w:p>
    <w:p w:rsidR="0052521F" w:rsidP="00A65E8B" w:rsidRDefault="0052521F" w14:paraId="684082C9" w14:textId="77777777">
      <w:pPr>
        <w:pStyle w:val="mainex"/>
        <w:keepNext/>
        <w:spacing w:after="240"/>
      </w:pPr>
      <w:bookmarkStart w:name="_Toc370798915" w:id="5"/>
      <w:bookmarkStart w:name="_Toc450990221" w:id="6"/>
      <w:bookmarkStart w:name="_Toc451151268" w:id="7"/>
      <w:bookmarkStart w:name="OLE_LINK1" w:id="8"/>
      <w:bookmarkStart w:name="OLE_LINK2" w:id="9"/>
      <w:r>
        <w:t>ORDER</w:t>
      </w:r>
      <w:bookmarkEnd w:id="5"/>
      <w:bookmarkEnd w:id="6"/>
      <w:bookmarkEnd w:id="7"/>
    </w:p>
    <w:bookmarkEnd w:id="8"/>
    <w:bookmarkEnd w:id="9"/>
    <w:p w:rsidR="0052521F" w:rsidRDefault="0052521F" w14:paraId="0DE641B3" w14:textId="77777777">
      <w:pPr>
        <w:pStyle w:val="standard"/>
        <w:keepNext/>
      </w:pPr>
      <w:r>
        <w:rPr>
          <w:b/>
        </w:rPr>
        <w:t>IT IS ORDERED</w:t>
      </w:r>
      <w:r>
        <w:t xml:space="preserve"> that:</w:t>
      </w:r>
    </w:p>
    <w:p w:rsidR="004A7884" w:rsidP="00A450DA" w:rsidRDefault="004A7884" w14:paraId="557319FC" w14:textId="53AB1726">
      <w:pPr>
        <w:pStyle w:val="num1"/>
        <w:numPr>
          <w:ilvl w:val="0"/>
          <w:numId w:val="1"/>
        </w:numPr>
      </w:pPr>
      <w:r w:rsidRPr="00254C78">
        <w:t>This Order Instituting Rulemaking is adopted pursuant to Rule 6.1 of the Commission’s Rules of Practice and Procedure.</w:t>
      </w:r>
    </w:p>
    <w:p w:rsidR="004A7884" w:rsidP="00A450DA" w:rsidRDefault="004A7884" w14:paraId="3BB8CDF6" w14:textId="5C4557A1">
      <w:pPr>
        <w:pStyle w:val="num1"/>
        <w:numPr>
          <w:ilvl w:val="0"/>
          <w:numId w:val="1"/>
        </w:numPr>
      </w:pPr>
      <w:r w:rsidRPr="00254C78">
        <w:t>The preliminary categorization is quasi-legislative.</w:t>
      </w:r>
    </w:p>
    <w:p w:rsidR="004A7884" w:rsidP="00A450DA" w:rsidRDefault="004A7884" w14:paraId="3BC2220C" w14:textId="78B27E3D">
      <w:pPr>
        <w:pStyle w:val="num1"/>
        <w:numPr>
          <w:ilvl w:val="0"/>
          <w:numId w:val="1"/>
        </w:numPr>
      </w:pPr>
      <w:r w:rsidRPr="00254C78">
        <w:t xml:space="preserve">The preliminary determination is that </w:t>
      </w:r>
      <w:r>
        <w:t xml:space="preserve">a </w:t>
      </w:r>
      <w:r w:rsidRPr="00254C78">
        <w:t xml:space="preserve">hearing is </w:t>
      </w:r>
      <w:r>
        <w:t>not</w:t>
      </w:r>
      <w:r w:rsidR="00C77A34">
        <w:t xml:space="preserve"> </w:t>
      </w:r>
      <w:r w:rsidRPr="00254C78">
        <w:t>needed.</w:t>
      </w:r>
    </w:p>
    <w:p w:rsidR="00C77A34" w:rsidP="00C77A34" w:rsidRDefault="004A7884" w14:paraId="61FCEE66" w14:textId="01321A87">
      <w:pPr>
        <w:pStyle w:val="num1"/>
        <w:numPr>
          <w:ilvl w:val="0"/>
          <w:numId w:val="1"/>
        </w:numPr>
      </w:pPr>
      <w:r w:rsidRPr="00254C78">
        <w:t>The preliminarily</w:t>
      </w:r>
      <w:r w:rsidR="00B848C0">
        <w:t xml:space="preserve"> scope of issues </w:t>
      </w:r>
      <w:r w:rsidR="00C77A34">
        <w:t xml:space="preserve">and schedule </w:t>
      </w:r>
      <w:r w:rsidR="00B848C0">
        <w:t>is as stated above Section 3</w:t>
      </w:r>
      <w:r w:rsidRPr="00254C78">
        <w:t>.</w:t>
      </w:r>
    </w:p>
    <w:p w:rsidR="00C77A34" w:rsidP="00C77A34" w:rsidRDefault="00207B9A" w14:paraId="7F816EAA" w14:textId="77777777">
      <w:pPr>
        <w:pStyle w:val="num1"/>
        <w:numPr>
          <w:ilvl w:val="0"/>
          <w:numId w:val="1"/>
        </w:numPr>
      </w:pPr>
      <w:r>
        <w:t>The schedule for the proceeding will be adopted in the Assigned Commissioner’s Scoping Memo</w:t>
      </w:r>
      <w:r w:rsidRPr="00254C78" w:rsidR="004A7884">
        <w:t xml:space="preserve">.  </w:t>
      </w:r>
    </w:p>
    <w:p w:rsidR="00C77A34" w:rsidP="00C77A34" w:rsidRDefault="00C77A34" w14:paraId="2072E852" w14:textId="46B72ABE">
      <w:pPr>
        <w:pStyle w:val="num1"/>
        <w:numPr>
          <w:ilvl w:val="0"/>
          <w:numId w:val="1"/>
        </w:numPr>
      </w:pPr>
      <w:r>
        <w:t xml:space="preserve">Pacific Gas and Electric Company, San Diego Gas &amp; Electric Company, Southern California Edison Company, and Southern California Gas Company </w:t>
      </w:r>
      <w:r w:rsidRPr="00C77A34" w:rsidR="00251E09">
        <w:rPr>
          <w:rFonts w:ascii="Palatino Linotype" w:hAnsi="Palatino Linotype"/>
          <w:szCs w:val="26"/>
        </w:rPr>
        <w:t xml:space="preserve">are respondents to this </w:t>
      </w:r>
      <w:r w:rsidR="00F61967">
        <w:rPr>
          <w:rFonts w:ascii="Palatino Linotype" w:hAnsi="Palatino Linotype"/>
          <w:szCs w:val="26"/>
        </w:rPr>
        <w:t>Order Instituting Rulemaking</w:t>
      </w:r>
      <w:r w:rsidRPr="00C77A34" w:rsidR="00251E09">
        <w:rPr>
          <w:rFonts w:ascii="Palatino Linotype" w:hAnsi="Palatino Linotype"/>
          <w:szCs w:val="26"/>
        </w:rPr>
        <w:t>.</w:t>
      </w:r>
    </w:p>
    <w:p w:rsidRPr="00C77A34" w:rsidR="00A65E8B" w:rsidP="00C77A34" w:rsidRDefault="00C77A34" w14:paraId="3FA3FC3A" w14:textId="2B1DC321">
      <w:pPr>
        <w:pStyle w:val="num1"/>
        <w:numPr>
          <w:ilvl w:val="0"/>
          <w:numId w:val="1"/>
        </w:numPr>
      </w:pPr>
      <w:r>
        <w:t>Pacific Gas and Electric Company, San Diego Gas &amp; Electric Company, Southern California Edison Company, and Southern California Gas Company</w:t>
      </w:r>
      <w:r w:rsidRPr="00C77A34">
        <w:rPr>
          <w:rFonts w:ascii="Palatino Linotype" w:hAnsi="Palatino Linotype"/>
          <w:szCs w:val="26"/>
        </w:rPr>
        <w:t xml:space="preserve"> </w:t>
      </w:r>
      <w:r w:rsidRPr="00C77A34" w:rsidR="00A65E8B">
        <w:rPr>
          <w:rFonts w:ascii="Palatino Linotype" w:hAnsi="Palatino Linotype"/>
          <w:szCs w:val="26"/>
        </w:rPr>
        <w:t xml:space="preserve">shall, and any other person may, file </w:t>
      </w:r>
      <w:r>
        <w:rPr>
          <w:rFonts w:ascii="Palatino Linotype" w:hAnsi="Palatino Linotype"/>
          <w:szCs w:val="26"/>
        </w:rPr>
        <w:t xml:space="preserve">and serve </w:t>
      </w:r>
      <w:r w:rsidRPr="00C77A34" w:rsidR="00A65E8B">
        <w:rPr>
          <w:rFonts w:ascii="Palatino Linotype" w:hAnsi="Palatino Linotype"/>
          <w:szCs w:val="26"/>
        </w:rPr>
        <w:t xml:space="preserve">comments responding to this </w:t>
      </w:r>
      <w:r>
        <w:rPr>
          <w:rFonts w:ascii="Palatino Linotype" w:hAnsi="Palatino Linotype"/>
          <w:szCs w:val="26"/>
        </w:rPr>
        <w:t>Order Instituting Rulemaking</w:t>
      </w:r>
      <w:r w:rsidRPr="00C77A34" w:rsidR="00A65E8B">
        <w:rPr>
          <w:rFonts w:ascii="Palatino Linotype" w:hAnsi="Palatino Linotype"/>
          <w:szCs w:val="26"/>
        </w:rPr>
        <w:t xml:space="preserve"> by </w:t>
      </w:r>
      <w:r>
        <w:rPr>
          <w:rFonts w:ascii="Palatino Linotype" w:hAnsi="Palatino Linotype"/>
          <w:szCs w:val="26"/>
        </w:rPr>
        <w:t>no later than 30 days after issuance</w:t>
      </w:r>
      <w:r w:rsidRPr="00C77A34" w:rsidR="00A65E8B">
        <w:rPr>
          <w:rFonts w:ascii="Palatino Linotype" w:hAnsi="Palatino Linotype"/>
          <w:szCs w:val="26"/>
        </w:rPr>
        <w:t>.</w:t>
      </w:r>
    </w:p>
    <w:p w:rsidRPr="00C77A34" w:rsidR="00C77A34" w:rsidP="00C77A34" w:rsidRDefault="00C77A34" w14:paraId="24247157" w14:textId="6E6CED9A">
      <w:pPr>
        <w:pStyle w:val="num1"/>
        <w:numPr>
          <w:ilvl w:val="0"/>
          <w:numId w:val="1"/>
        </w:numPr>
      </w:pPr>
      <w:r>
        <w:rPr>
          <w:rFonts w:ascii="Palatino Linotype" w:hAnsi="Palatino Linotype"/>
          <w:szCs w:val="26"/>
        </w:rPr>
        <w:t xml:space="preserve">Reply comments may be filed and served by no later than 45 days after issuance of this Order Instituting Rulemaking. </w:t>
      </w:r>
    </w:p>
    <w:p w:rsidR="00C77A34" w:rsidP="00C77A34" w:rsidRDefault="00251E09" w14:paraId="0E088DC1" w14:textId="052F4482">
      <w:pPr>
        <w:pStyle w:val="num1"/>
        <w:numPr>
          <w:ilvl w:val="0"/>
          <w:numId w:val="1"/>
        </w:numPr>
      </w:pPr>
      <w:r w:rsidRPr="00C77A34">
        <w:rPr>
          <w:rFonts w:ascii="Palatino Linotype" w:hAnsi="Palatino Linotype"/>
          <w:szCs w:val="26"/>
        </w:rPr>
        <w:t>The Executive Director will cause this Order Instituting Rulemaking to be served on all respondents and on the service lists for the Commission proceedings</w:t>
      </w:r>
      <w:r w:rsidR="00C77A34">
        <w:rPr>
          <w:rFonts w:ascii="Palatino Linotype" w:hAnsi="Palatino Linotype"/>
          <w:szCs w:val="26"/>
        </w:rPr>
        <w:t xml:space="preserve"> listed in Section 5.</w:t>
      </w:r>
      <w:r w:rsidRPr="00C77A34" w:rsidR="00836E00">
        <w:rPr>
          <w:rFonts w:ascii="Palatino Linotype" w:hAnsi="Palatino Linotype"/>
          <w:szCs w:val="26"/>
        </w:rPr>
        <w:t xml:space="preserve"> </w:t>
      </w:r>
      <w:r w:rsidRPr="00C77A34">
        <w:rPr>
          <w:rFonts w:ascii="Palatino Linotype" w:hAnsi="Palatino Linotype"/>
          <w:szCs w:val="26"/>
        </w:rPr>
        <w:t xml:space="preserve"> In addition, the Executive Director will cause this Order Instituting Rulemaking to be served on </w:t>
      </w:r>
      <w:r w:rsidR="00C77A34">
        <w:rPr>
          <w:rFonts w:ascii="Palatino Linotype" w:hAnsi="Palatino Linotype"/>
          <w:szCs w:val="26"/>
        </w:rPr>
        <w:t xml:space="preserve">the Executive Directors of the </w:t>
      </w:r>
      <w:r w:rsidR="00C77A34">
        <w:rPr>
          <w:rFonts w:ascii="Palatino Linotype" w:hAnsi="Palatino Linotype"/>
          <w:szCs w:val="26"/>
        </w:rPr>
        <w:lastRenderedPageBreak/>
        <w:t>California Energy Commission</w:t>
      </w:r>
      <w:r w:rsidR="002A6146">
        <w:rPr>
          <w:rFonts w:ascii="Palatino Linotype" w:hAnsi="Palatino Linotype"/>
          <w:szCs w:val="26"/>
        </w:rPr>
        <w:t>, the California Air Resources Board,</w:t>
      </w:r>
      <w:r w:rsidR="00C77A34">
        <w:rPr>
          <w:rFonts w:ascii="Palatino Linotype" w:hAnsi="Palatino Linotype"/>
          <w:szCs w:val="26"/>
        </w:rPr>
        <w:t xml:space="preserve"> the California Alternative Energy and Advanced Transportation Financing Authority in the </w:t>
      </w:r>
      <w:r w:rsidR="002A6146">
        <w:rPr>
          <w:rFonts w:ascii="Palatino Linotype" w:hAnsi="Palatino Linotype"/>
          <w:szCs w:val="26"/>
        </w:rPr>
        <w:t>State</w:t>
      </w:r>
      <w:r w:rsidR="00C77A34">
        <w:rPr>
          <w:rFonts w:ascii="Palatino Linotype" w:hAnsi="Palatino Linotype"/>
          <w:szCs w:val="26"/>
        </w:rPr>
        <w:t xml:space="preserve"> Treasurer</w:t>
      </w:r>
      <w:r w:rsidR="002A6146">
        <w:rPr>
          <w:rFonts w:ascii="Palatino Linotype" w:hAnsi="Palatino Linotype"/>
          <w:szCs w:val="26"/>
        </w:rPr>
        <w:t>’s Office</w:t>
      </w:r>
      <w:r w:rsidR="00C77A34">
        <w:rPr>
          <w:rFonts w:ascii="Palatino Linotype" w:hAnsi="Palatino Linotype"/>
          <w:szCs w:val="26"/>
        </w:rPr>
        <w:t xml:space="preserve"> of California</w:t>
      </w:r>
      <w:r w:rsidR="002A6146">
        <w:rPr>
          <w:rFonts w:ascii="Palatino Linotype" w:hAnsi="Palatino Linotype"/>
          <w:szCs w:val="26"/>
        </w:rPr>
        <w:t>, and the California Department of Business Oversight</w:t>
      </w:r>
      <w:r w:rsidRPr="00C77A34">
        <w:rPr>
          <w:rFonts w:ascii="Palatino Linotype" w:hAnsi="Palatino Linotype"/>
          <w:szCs w:val="26"/>
        </w:rPr>
        <w:t>.</w:t>
      </w:r>
    </w:p>
    <w:p w:rsidR="0052521F" w:rsidP="00C77A34" w:rsidRDefault="004A7884" w14:paraId="1347C660" w14:textId="6AFA6073">
      <w:pPr>
        <w:pStyle w:val="num1"/>
        <w:numPr>
          <w:ilvl w:val="0"/>
          <w:numId w:val="1"/>
        </w:numPr>
      </w:pPr>
      <w:r>
        <w:t xml:space="preserve">Any party that expects to claim intervenor compensation for its participation in this Rulemaking must file its notice of intent to claim intervenor compensation within 30 days of a prehearing conference </w:t>
      </w:r>
      <w:r w:rsidR="00C77A34">
        <w:t>once</w:t>
      </w:r>
      <w:r>
        <w:t xml:space="preserve"> one is held.  (</w:t>
      </w:r>
      <w:r w:rsidRPr="00C77A34">
        <w:rPr>
          <w:i/>
        </w:rPr>
        <w:t>See</w:t>
      </w:r>
      <w:r>
        <w:t xml:space="preserve"> Rule 17.1(a)(2).)</w:t>
      </w:r>
    </w:p>
    <w:p w:rsidR="0052521F" w:rsidRDefault="0052521F" w14:paraId="43920F71" w14:textId="77777777">
      <w:pPr>
        <w:pStyle w:val="standard"/>
      </w:pPr>
      <w:r>
        <w:t>This order is effective today.</w:t>
      </w:r>
    </w:p>
    <w:p w:rsidR="0052521F" w:rsidRDefault="0052521F" w14:paraId="55672F3A" w14:textId="77777777">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p>
    <w:p w:rsidR="00B07D8B" w:rsidRDefault="00B07D8B" w14:paraId="4FB78D37" w14:textId="77777777"/>
    <w:p w:rsidRPr="00B07D8B" w:rsidR="00B07D8B" w:rsidP="00B07D8B" w:rsidRDefault="00B07D8B" w14:paraId="5FB2E2C1" w14:textId="77777777"/>
    <w:p w:rsidR="00800005" w:rsidP="00B07D8B" w:rsidRDefault="00B07D8B" w14:paraId="728BA15A" w14:textId="09E2B161">
      <w:pPr>
        <w:tabs>
          <w:tab w:val="left" w:pos="6120"/>
        </w:tabs>
      </w:pPr>
      <w:r>
        <w:tab/>
      </w:r>
    </w:p>
    <w:sectPr w:rsidR="00800005">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E191" w16cex:dateUtc="2020-08-07T03:07:00Z"/>
  <w16cex:commentExtensible w16cex:durableId="22D8122E" w16cex:dateUtc="2020-08-08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BDD9E" w16cid:durableId="22D6E191"/>
  <w16cid:commentId w16cid:paraId="3A9FE1CD" w16cid:durableId="22D81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88B5" w14:textId="77777777" w:rsidR="002F7B64" w:rsidRDefault="002F7B64">
      <w:r>
        <w:separator/>
      </w:r>
    </w:p>
  </w:endnote>
  <w:endnote w:type="continuationSeparator" w:id="0">
    <w:p w14:paraId="790DDE5A" w14:textId="77777777" w:rsidR="002F7B64" w:rsidRDefault="002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DA99" w14:textId="77777777" w:rsidR="00E05540" w:rsidRDefault="00E0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0E5C" w14:textId="77777777" w:rsidR="002A5802" w:rsidRDefault="002A5802">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BDAA" w14:textId="25C249E6" w:rsidR="002A5802" w:rsidRDefault="007374DE" w:rsidP="00884005">
    <w:pPr>
      <w:pStyle w:val="Footer"/>
      <w:jc w:val="left"/>
    </w:pPr>
    <w:r w:rsidRPr="007374DE">
      <w:rPr>
        <w:sz w:val="16"/>
        <w:szCs w:val="16"/>
      </w:rPr>
      <w:t>344183605</w:t>
    </w:r>
    <w:r w:rsidR="002A5802">
      <w:tab/>
      <w:t xml:space="preserve">- </w:t>
    </w:r>
    <w:r w:rsidR="002A5802">
      <w:rPr>
        <w:rStyle w:val="PageNumber"/>
      </w:rPr>
      <w:fldChar w:fldCharType="begin"/>
    </w:r>
    <w:r w:rsidR="002A5802">
      <w:rPr>
        <w:rStyle w:val="PageNumber"/>
      </w:rPr>
      <w:instrText xml:space="preserve"> PAGE </w:instrText>
    </w:r>
    <w:r w:rsidR="002A5802">
      <w:rPr>
        <w:rStyle w:val="PageNumber"/>
      </w:rPr>
      <w:fldChar w:fldCharType="separate"/>
    </w:r>
    <w:r w:rsidR="002A5802">
      <w:rPr>
        <w:rStyle w:val="PageNumber"/>
        <w:noProof/>
      </w:rPr>
      <w:t>1</w:t>
    </w:r>
    <w:r w:rsidR="002A5802">
      <w:rPr>
        <w:rStyle w:val="PageNumber"/>
      </w:rPr>
      <w:fldChar w:fldCharType="end"/>
    </w:r>
    <w:r w:rsidR="002A580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2F67" w14:textId="77777777" w:rsidR="002F7B64" w:rsidRDefault="002F7B64">
      <w:r>
        <w:separator/>
      </w:r>
    </w:p>
  </w:footnote>
  <w:footnote w:type="continuationSeparator" w:id="0">
    <w:p w14:paraId="5771BE19" w14:textId="77777777" w:rsidR="002F7B64" w:rsidRDefault="002F7B64">
      <w:r>
        <w:continuationSeparator/>
      </w:r>
    </w:p>
  </w:footnote>
  <w:footnote w:type="continuationNotice" w:id="1">
    <w:p w14:paraId="4DEDAC48" w14:textId="77777777" w:rsidR="002F7B64" w:rsidRDefault="002F7B64">
      <w:pPr>
        <w:rPr>
          <w:sz w:val="22"/>
        </w:rPr>
      </w:pPr>
    </w:p>
    <w:p w14:paraId="31F71967" w14:textId="77777777" w:rsidR="002F7B64" w:rsidRDefault="002F7B64">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55BA879" w14:textId="6A2B01E1" w:rsidR="002A5802" w:rsidRDefault="002A5802">
      <w:pPr>
        <w:pStyle w:val="FootnoteText"/>
      </w:pPr>
      <w:r>
        <w:rPr>
          <w:rStyle w:val="FootnoteReference"/>
        </w:rPr>
        <w:footnoteRef/>
      </w:r>
      <w:r>
        <w:t xml:space="preserve"> </w:t>
      </w:r>
      <w:r w:rsidR="00BF087F">
        <w:t xml:space="preserve"> </w:t>
      </w:r>
      <w:r w:rsidRPr="00BF087F">
        <w:rPr>
          <w:sz w:val="22"/>
          <w:szCs w:val="22"/>
        </w:rPr>
        <w:t>These strategies will be informed by existing efforts to ensure equitable access to clean energy.  An example is the Low-Income Barriers Study initiated pursuant to Senate Bill</w:t>
      </w:r>
      <w:r w:rsidR="00BF087F" w:rsidRPr="00BF087F">
        <w:rPr>
          <w:sz w:val="22"/>
          <w:szCs w:val="22"/>
        </w:rPr>
        <w:t> </w:t>
      </w:r>
      <w:r w:rsidRPr="00BF087F">
        <w:rPr>
          <w:sz w:val="22"/>
          <w:szCs w:val="22"/>
        </w:rPr>
        <w:t xml:space="preserve">350 (De León, 2015).  See </w:t>
      </w:r>
      <w:hyperlink r:id="rId1" w:history="1">
        <w:r w:rsidRPr="00BF087F">
          <w:rPr>
            <w:rStyle w:val="Hyperlink"/>
            <w:sz w:val="22"/>
            <w:szCs w:val="22"/>
          </w:rPr>
          <w:t>https://www.energy.ca.gov/rules-and-regulations/energy-suppliers-reporting/clean-energy-and-pollution-reduction-act-sb-350/sb</w:t>
        </w:r>
      </w:hyperlink>
      <w:r>
        <w:t xml:space="preserve"> </w:t>
      </w:r>
    </w:p>
  </w:footnote>
  <w:footnote w:id="3">
    <w:p w14:paraId="1F3757DB" w14:textId="6BC42D4F" w:rsidR="002A5802" w:rsidRPr="00BF087F" w:rsidRDefault="002A5802" w:rsidP="00A0609D">
      <w:pPr>
        <w:pStyle w:val="FootnoteText"/>
        <w:rPr>
          <w:sz w:val="22"/>
          <w:szCs w:val="22"/>
        </w:rPr>
      </w:pPr>
      <w:r w:rsidRPr="00A0609D">
        <w:rPr>
          <w:rStyle w:val="FootnoteReference"/>
          <w:sz w:val="22"/>
          <w:szCs w:val="22"/>
        </w:rPr>
        <w:footnoteRef/>
      </w:r>
      <w:r w:rsidRPr="00A0609D">
        <w:rPr>
          <w:sz w:val="22"/>
          <w:szCs w:val="22"/>
        </w:rPr>
        <w:t xml:space="preserve"> </w:t>
      </w:r>
      <w:r w:rsidR="00BF087F">
        <w:rPr>
          <w:sz w:val="22"/>
          <w:szCs w:val="22"/>
        </w:rPr>
        <w:t xml:space="preserve"> </w:t>
      </w:r>
      <w:r w:rsidRPr="00BF087F">
        <w:rPr>
          <w:rFonts w:cs="Helvetica"/>
          <w:sz w:val="22"/>
          <w:szCs w:val="22"/>
          <w:shd w:val="clear" w:color="auto" w:fill="FFFFFF"/>
        </w:rPr>
        <w:t xml:space="preserve">Solar energy projects, especially those on a larger, industrial scale, require a lot of capital. </w:t>
      </w:r>
      <w:r w:rsidR="00BF087F">
        <w:rPr>
          <w:rFonts w:cs="Helvetica"/>
          <w:sz w:val="22"/>
          <w:szCs w:val="22"/>
          <w:shd w:val="clear" w:color="auto" w:fill="FFFFFF"/>
        </w:rPr>
        <w:t xml:space="preserve"> </w:t>
      </w:r>
      <w:r w:rsidRPr="00BF087F">
        <w:rPr>
          <w:rFonts w:cs="Helvetica"/>
          <w:sz w:val="22"/>
          <w:szCs w:val="22"/>
          <w:shd w:val="clear" w:color="auto" w:fill="FFFFFF"/>
        </w:rPr>
        <w:t xml:space="preserve">On the flip side, solar energy developments offer some of the most robust tax benefits around, as clean and green energy initiatives become more coveted by both legislators and the public.  </w:t>
      </w:r>
    </w:p>
  </w:footnote>
  <w:footnote w:id="4">
    <w:p w14:paraId="1DF34560" w14:textId="7F9B634E" w:rsidR="002A5802" w:rsidRPr="00BF087F" w:rsidRDefault="002A5802" w:rsidP="00086DDA">
      <w:pPr>
        <w:pStyle w:val="FootnoteText"/>
        <w:rPr>
          <w:sz w:val="22"/>
          <w:szCs w:val="22"/>
        </w:rPr>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sz w:val="22"/>
          <w:szCs w:val="22"/>
        </w:rPr>
        <w:t>Available at: http://www.harcourtbrown.com/financing-energy-efficiency/</w:t>
      </w:r>
    </w:p>
  </w:footnote>
  <w:footnote w:id="5">
    <w:p w14:paraId="18B92C73" w14:textId="073D9FC0" w:rsidR="002A5802" w:rsidRPr="00BF087F" w:rsidRDefault="002A5802" w:rsidP="00086DDA">
      <w:pPr>
        <w:pStyle w:val="FootnoteText"/>
        <w:rPr>
          <w:sz w:val="22"/>
          <w:szCs w:val="22"/>
        </w:rPr>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i/>
          <w:iCs/>
          <w:sz w:val="22"/>
          <w:szCs w:val="22"/>
        </w:rPr>
        <w:t>See</w:t>
      </w:r>
      <w:r w:rsidRPr="00BF087F">
        <w:rPr>
          <w:sz w:val="22"/>
          <w:szCs w:val="22"/>
        </w:rPr>
        <w:t xml:space="preserve"> D.13-09-044.  </w:t>
      </w:r>
    </w:p>
  </w:footnote>
  <w:footnote w:id="6">
    <w:p w14:paraId="12EAF093" w14:textId="4B492619" w:rsidR="002A5802" w:rsidRDefault="002A5802" w:rsidP="00086DDA">
      <w:pPr>
        <w:pStyle w:val="FootnoteText"/>
      </w:pPr>
      <w:r w:rsidRPr="00BF087F">
        <w:rPr>
          <w:rStyle w:val="FootnoteReference"/>
          <w:sz w:val="22"/>
          <w:szCs w:val="22"/>
        </w:rPr>
        <w:footnoteRef/>
      </w:r>
      <w:r w:rsidRPr="00BF087F">
        <w:rPr>
          <w:sz w:val="22"/>
          <w:szCs w:val="22"/>
        </w:rPr>
        <w:t xml:space="preserve"> </w:t>
      </w:r>
      <w:r w:rsidR="00BF087F" w:rsidRPr="00BF087F">
        <w:rPr>
          <w:sz w:val="22"/>
          <w:szCs w:val="22"/>
        </w:rPr>
        <w:t xml:space="preserve"> </w:t>
      </w:r>
      <w:r w:rsidRPr="00BF087F">
        <w:rPr>
          <w:i/>
          <w:iCs/>
          <w:sz w:val="22"/>
          <w:szCs w:val="22"/>
        </w:rPr>
        <w:t>See</w:t>
      </w:r>
      <w:r w:rsidRPr="00BF087F">
        <w:rPr>
          <w:sz w:val="22"/>
          <w:szCs w:val="22"/>
        </w:rPr>
        <w:t xml:space="preserve"> D.15-06-008, D.15-12-002, and D.17-03-026.</w:t>
      </w:r>
      <w:r>
        <w:t xml:space="preserve"> </w:t>
      </w:r>
    </w:p>
  </w:footnote>
  <w:footnote w:id="7">
    <w:p w14:paraId="044C0B78" w14:textId="6569E18F" w:rsidR="002A5802" w:rsidRPr="00D049C2" w:rsidRDefault="002A5802" w:rsidP="00086DDA">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hyperlink r:id="rId2" w:history="1">
        <w:r w:rsidR="00BF087F" w:rsidRPr="00D049C2">
          <w:rPr>
            <w:rStyle w:val="Hyperlink"/>
            <w:sz w:val="22"/>
            <w:szCs w:val="22"/>
          </w:rPr>
          <w:t>https://gogreenfinancing.com/</w:t>
        </w:r>
      </w:hyperlink>
      <w:r w:rsidR="00BF087F" w:rsidRPr="00D049C2">
        <w:rPr>
          <w:sz w:val="22"/>
          <w:szCs w:val="22"/>
        </w:rPr>
        <w:t xml:space="preserve"> </w:t>
      </w:r>
    </w:p>
  </w:footnote>
  <w:footnote w:id="8">
    <w:p w14:paraId="74609F15" w14:textId="41082A25" w:rsidR="002A5802" w:rsidRPr="00D049C2" w:rsidRDefault="002A5802" w:rsidP="00086DDA">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i/>
          <w:iCs/>
          <w:sz w:val="22"/>
          <w:szCs w:val="22"/>
        </w:rPr>
        <w:t>See</w:t>
      </w:r>
      <w:r w:rsidRPr="00D049C2">
        <w:rPr>
          <w:sz w:val="22"/>
          <w:szCs w:val="22"/>
        </w:rPr>
        <w:t xml:space="preserve"> Resolution E-5072.</w:t>
      </w:r>
    </w:p>
  </w:footnote>
  <w:footnote w:id="9">
    <w:p w14:paraId="39C3D414" w14:textId="7145960B" w:rsidR="002A5802" w:rsidRDefault="002A5802" w:rsidP="00086DDA">
      <w:pPr>
        <w:pStyle w:val="FootnoteText"/>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A Statewide On-Bill Financing Impact Evaluation study of all IOU OBF programs is scheduled to start in the Summer of 2020 and is anticipated to be completed early 2021.</w:t>
      </w:r>
    </w:p>
  </w:footnote>
  <w:footnote w:id="10">
    <w:p w14:paraId="4DF622B1" w14:textId="231AA467"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 xml:space="preserve">The OBF program was limited to non-residential customers due to concerns about limitations on utilities lending directly to residential customers under the California Finance Lenders Law. </w:t>
      </w:r>
    </w:p>
  </w:footnote>
  <w:footnote w:id="11">
    <w:p w14:paraId="28ABC907" w14:textId="5021D696"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 09-09-047, Table 35.</w:t>
      </w:r>
    </w:p>
  </w:footnote>
  <w:footnote w:id="12">
    <w:p w14:paraId="614BC923" w14:textId="3D322A29"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 xml:space="preserve">D.12-05-015, at 112-13. </w:t>
      </w:r>
    </w:p>
  </w:footnote>
  <w:footnote w:id="13">
    <w:p w14:paraId="33703B60" w14:textId="48882F6D"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D.12-11-015, Table 7, at 66-67.</w:t>
      </w:r>
    </w:p>
  </w:footnote>
  <w:footnote w:id="14">
    <w:p w14:paraId="73A2AEC9" w14:textId="2B903BD8" w:rsidR="002A5802" w:rsidRPr="009C08FF" w:rsidRDefault="002A5802" w:rsidP="00D049C2">
      <w:pPr>
        <w:pStyle w:val="FootnoteText"/>
        <w:rPr>
          <w:szCs w:val="24"/>
        </w:rPr>
      </w:pPr>
      <w:r w:rsidRPr="00D049C2">
        <w:rPr>
          <w:rStyle w:val="FootnoteReference"/>
          <w:sz w:val="22"/>
          <w:szCs w:val="22"/>
        </w:rPr>
        <w:footnoteRef/>
      </w:r>
      <w:r w:rsidRPr="00D049C2">
        <w:rPr>
          <w:sz w:val="22"/>
          <w:szCs w:val="22"/>
        </w:rPr>
        <w:t xml:space="preserve"> </w:t>
      </w:r>
      <w:r w:rsidR="00BF087F" w:rsidRPr="00D049C2">
        <w:rPr>
          <w:sz w:val="22"/>
          <w:szCs w:val="22"/>
        </w:rPr>
        <w:t xml:space="preserve"> </w:t>
      </w:r>
      <w:r w:rsidRPr="00D049C2">
        <w:rPr>
          <w:sz w:val="22"/>
          <w:szCs w:val="22"/>
        </w:rPr>
        <w:t>D. 13-09-044, at 2.</w:t>
      </w:r>
    </w:p>
  </w:footnote>
  <w:footnote w:id="15">
    <w:p w14:paraId="431837DA" w14:textId="7C3390FF" w:rsidR="002A5802" w:rsidRPr="00D049C2" w:rsidRDefault="002A5802" w:rsidP="00D049C2">
      <w:pPr>
        <w:pStyle w:val="FootnoteText"/>
        <w:rPr>
          <w:sz w:val="22"/>
          <w:szCs w:val="22"/>
        </w:rPr>
      </w:pPr>
      <w:r w:rsidRPr="00D049C2">
        <w:rPr>
          <w:rStyle w:val="FootnoteReference"/>
          <w:sz w:val="22"/>
          <w:szCs w:val="22"/>
        </w:rPr>
        <w:footnoteRef/>
      </w:r>
      <w:r w:rsidRPr="00D049C2">
        <w:rPr>
          <w:sz w:val="22"/>
          <w:szCs w:val="22"/>
        </w:rPr>
        <w:t xml:space="preserve"> </w:t>
      </w:r>
      <w:r w:rsidR="00D049C2">
        <w:rPr>
          <w:sz w:val="22"/>
          <w:szCs w:val="22"/>
        </w:rPr>
        <w:t xml:space="preserve"> </w:t>
      </w:r>
      <w:r w:rsidRPr="00D049C2">
        <w:rPr>
          <w:i/>
          <w:iCs/>
          <w:sz w:val="22"/>
          <w:szCs w:val="22"/>
        </w:rPr>
        <w:t>Id</w:t>
      </w:r>
      <w:r w:rsidRPr="00D049C2">
        <w:rPr>
          <w:sz w:val="22"/>
          <w:szCs w:val="22"/>
        </w:rPr>
        <w:t>., Ordering Paragraph 1.</w:t>
      </w:r>
    </w:p>
  </w:footnote>
  <w:footnote w:id="16">
    <w:p w14:paraId="13237027" w14:textId="614E7322" w:rsidR="002A5802" w:rsidRPr="00D049C2" w:rsidRDefault="002A5802" w:rsidP="00D049C2">
      <w:pPr>
        <w:pStyle w:val="FootnoteText"/>
        <w:rPr>
          <w:rFonts w:ascii="Palatino Linotype" w:hAnsi="Palatino Linotype"/>
          <w:sz w:val="22"/>
          <w:szCs w:val="22"/>
        </w:rPr>
      </w:pPr>
      <w:r w:rsidRPr="00D049C2">
        <w:rPr>
          <w:rStyle w:val="FootnoteReference"/>
          <w:sz w:val="22"/>
          <w:szCs w:val="22"/>
        </w:rPr>
        <w:footnoteRef/>
      </w:r>
      <w:r w:rsidRPr="00D049C2">
        <w:rPr>
          <w:sz w:val="22"/>
          <w:szCs w:val="22"/>
        </w:rPr>
        <w:t xml:space="preserve"> </w:t>
      </w:r>
      <w:r w:rsidR="00D049C2" w:rsidRPr="00D049C2">
        <w:rPr>
          <w:sz w:val="22"/>
          <w:szCs w:val="22"/>
        </w:rPr>
        <w:t xml:space="preserve"> </w:t>
      </w:r>
      <w:r w:rsidRPr="00D049C2">
        <w:rPr>
          <w:i/>
          <w:iCs/>
          <w:sz w:val="22"/>
          <w:szCs w:val="22"/>
        </w:rPr>
        <w:t>Id</w:t>
      </w:r>
      <w:r w:rsidRPr="00D049C2">
        <w:rPr>
          <w:sz w:val="22"/>
          <w:szCs w:val="22"/>
        </w:rPr>
        <w:t>., at 15-17.</w:t>
      </w:r>
    </w:p>
  </w:footnote>
  <w:footnote w:id="17">
    <w:p w14:paraId="73A2081E" w14:textId="19A3B9CB" w:rsidR="002A5802" w:rsidRPr="009C08FF" w:rsidRDefault="002A5802" w:rsidP="00D049C2">
      <w:pPr>
        <w:spacing w:after="120"/>
        <w:rPr>
          <w:sz w:val="24"/>
          <w:szCs w:val="24"/>
        </w:rPr>
      </w:pPr>
      <w:r w:rsidRPr="00D049C2">
        <w:rPr>
          <w:sz w:val="22"/>
          <w:szCs w:val="22"/>
          <w:vertAlign w:val="superscript"/>
        </w:rPr>
        <w:footnoteRef/>
      </w:r>
      <w:r w:rsidR="00D049C2">
        <w:rPr>
          <w:sz w:val="22"/>
          <w:szCs w:val="22"/>
        </w:rPr>
        <w:t xml:space="preserve"> </w:t>
      </w:r>
      <w:r w:rsidRPr="00D049C2">
        <w:rPr>
          <w:sz w:val="22"/>
          <w:szCs w:val="22"/>
        </w:rPr>
        <w:t xml:space="preserve"> </w:t>
      </w:r>
      <w:r w:rsidRPr="00D049C2">
        <w:rPr>
          <w:i/>
          <w:iCs/>
          <w:sz w:val="22"/>
          <w:szCs w:val="22"/>
        </w:rPr>
        <w:t>Id</w:t>
      </w:r>
      <w:r w:rsidRPr="00D049C2">
        <w:rPr>
          <w:sz w:val="22"/>
          <w:szCs w:val="22"/>
        </w:rPr>
        <w:t>., at 11-12.</w:t>
      </w:r>
    </w:p>
  </w:footnote>
  <w:footnote w:id="18">
    <w:p w14:paraId="25CFB862" w14:textId="49667633" w:rsidR="002A5802" w:rsidRPr="00D049C2" w:rsidRDefault="002A5802" w:rsidP="00D049C2">
      <w:pPr>
        <w:spacing w:after="120"/>
        <w:rPr>
          <w:sz w:val="22"/>
          <w:szCs w:val="22"/>
        </w:rPr>
      </w:pPr>
      <w:r w:rsidRPr="00D049C2">
        <w:rPr>
          <w:sz w:val="22"/>
          <w:szCs w:val="22"/>
        </w:rPr>
        <w:footnoteRef/>
      </w:r>
      <w:r w:rsidRPr="00D049C2">
        <w:rPr>
          <w:sz w:val="22"/>
          <w:szCs w:val="22"/>
        </w:rPr>
        <w:t xml:space="preserve"> </w:t>
      </w:r>
      <w:r w:rsidR="00D049C2" w:rsidRPr="00D049C2">
        <w:rPr>
          <w:sz w:val="22"/>
          <w:szCs w:val="22"/>
        </w:rPr>
        <w:t xml:space="preserve"> </w:t>
      </w:r>
      <w:r w:rsidRPr="00D049C2">
        <w:rPr>
          <w:i/>
          <w:iCs/>
          <w:sz w:val="22"/>
          <w:szCs w:val="22"/>
        </w:rPr>
        <w:t>Id</w:t>
      </w:r>
      <w:r w:rsidRPr="00D049C2">
        <w:rPr>
          <w:sz w:val="22"/>
          <w:szCs w:val="22"/>
        </w:rPr>
        <w:t>., at 27.</w:t>
      </w:r>
    </w:p>
  </w:footnote>
  <w:footnote w:id="19">
    <w:p w14:paraId="576646A4" w14:textId="30B023F8" w:rsidR="002A5802" w:rsidRDefault="002A5802" w:rsidP="00D049C2">
      <w:pPr>
        <w:pStyle w:val="FootnoteText"/>
      </w:pPr>
      <w:r w:rsidRPr="00D049C2">
        <w:rPr>
          <w:rStyle w:val="FootnoteReference"/>
          <w:sz w:val="22"/>
          <w:szCs w:val="22"/>
        </w:rPr>
        <w:footnoteRef/>
      </w:r>
      <w:r w:rsidRPr="00D049C2">
        <w:rPr>
          <w:sz w:val="22"/>
          <w:szCs w:val="22"/>
        </w:rPr>
        <w:t xml:space="preserve"> </w:t>
      </w:r>
      <w:r w:rsidR="00D049C2" w:rsidRPr="00D049C2">
        <w:rPr>
          <w:sz w:val="22"/>
          <w:szCs w:val="22"/>
        </w:rPr>
        <w:t xml:space="preserve"> </w:t>
      </w:r>
      <w:r w:rsidRPr="00D049C2">
        <w:rPr>
          <w:sz w:val="22"/>
          <w:szCs w:val="22"/>
        </w:rPr>
        <w:t xml:space="preserve">To participate in an OBF program, all customers were previously also required to participate in one of the IOU’s incentive programs. </w:t>
      </w:r>
      <w:r w:rsidR="00D049C2" w:rsidRPr="00D049C2">
        <w:rPr>
          <w:sz w:val="22"/>
          <w:szCs w:val="22"/>
        </w:rPr>
        <w:t xml:space="preserve"> </w:t>
      </w:r>
      <w:r w:rsidRPr="00D049C2">
        <w:rPr>
          <w:sz w:val="22"/>
          <w:szCs w:val="22"/>
        </w:rPr>
        <w:t>Savings from OBF-funded projects are claimed through the incentive programs in which customers participate.</w:t>
      </w:r>
    </w:p>
  </w:footnote>
  <w:footnote w:id="20">
    <w:p w14:paraId="09B0D3DA" w14:textId="4722A84E"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rPr>
        <w:t xml:space="preserve"> </w:t>
      </w:r>
      <w:r w:rsidR="00D049C2" w:rsidRPr="00D049C2">
        <w:rPr>
          <w:sz w:val="22"/>
          <w:szCs w:val="22"/>
        </w:rPr>
        <w:t xml:space="preserve"> </w:t>
      </w:r>
      <w:r w:rsidRPr="00D049C2">
        <w:rPr>
          <w:sz w:val="22"/>
          <w:szCs w:val="22"/>
        </w:rPr>
        <w:t>This report was prepared by Opinion Dynamics and Dunsky Energy Consulting for the Commission.</w:t>
      </w:r>
    </w:p>
  </w:footnote>
  <w:footnote w:id="21">
    <w:p w14:paraId="5FBC169A" w14:textId="2CAED6DD" w:rsidR="002A5802" w:rsidRPr="00193F21" w:rsidRDefault="002A5802" w:rsidP="00D049C2">
      <w:pPr>
        <w:spacing w:after="120"/>
      </w:pPr>
      <w:r w:rsidRPr="00193F21">
        <w:rPr>
          <w:sz w:val="22"/>
          <w:szCs w:val="22"/>
          <w:vertAlign w:val="superscript"/>
        </w:rPr>
        <w:footnoteRef/>
      </w:r>
      <w:r>
        <w:rPr>
          <w:sz w:val="22"/>
          <w:szCs w:val="22"/>
        </w:rPr>
        <w:t xml:space="preserve">  </w:t>
      </w:r>
      <w:r w:rsidRPr="00D049C2">
        <w:rPr>
          <w:sz w:val="22"/>
          <w:szCs w:val="22"/>
        </w:rPr>
        <w:t xml:space="preserve">This document can be accessed through the following link:  </w:t>
      </w:r>
      <w:hyperlink r:id="rId3" w:history="1">
        <w:r w:rsidR="00D049C2" w:rsidRPr="004E5F30">
          <w:rPr>
            <w:rStyle w:val="Hyperlink"/>
            <w:sz w:val="22"/>
            <w:szCs w:val="22"/>
          </w:rPr>
          <w:t>http://www.calmac.org/publications/PY2014_Residential_Finance_Market_Baseline_Volume_1_FINAL.pdf</w:t>
        </w:r>
      </w:hyperlink>
      <w:r w:rsidRPr="00D049C2">
        <w:rPr>
          <w:sz w:val="22"/>
          <w:szCs w:val="22"/>
        </w:rPr>
        <w:t>.</w:t>
      </w:r>
      <w:r w:rsidR="00D049C2">
        <w:rPr>
          <w:sz w:val="22"/>
          <w:szCs w:val="22"/>
        </w:rPr>
        <w:t xml:space="preserve"> </w:t>
      </w:r>
    </w:p>
  </w:footnote>
  <w:footnote w:id="22">
    <w:p w14:paraId="4DBC0BEE" w14:textId="533D5E9A"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rPr>
        <w:t xml:space="preserve"> This document can be accessed here: </w:t>
      </w:r>
      <w:hyperlink r:id="rId4" w:history="1">
        <w:r w:rsidR="00D049C2" w:rsidRPr="004E5F30">
          <w:rPr>
            <w:rStyle w:val="Hyperlink"/>
            <w:sz w:val="22"/>
            <w:szCs w:val="22"/>
          </w:rPr>
          <w:t>http://www.calmac.org/publications/MEO_Finance_Study_Report_FINAL12.28.2017V2.pdf</w:t>
        </w:r>
      </w:hyperlink>
      <w:r w:rsidRPr="00D049C2">
        <w:rPr>
          <w:sz w:val="22"/>
          <w:szCs w:val="22"/>
        </w:rPr>
        <w:t>.</w:t>
      </w:r>
      <w:r w:rsidR="00D049C2">
        <w:rPr>
          <w:sz w:val="22"/>
          <w:szCs w:val="22"/>
        </w:rPr>
        <w:t xml:space="preserve">  </w:t>
      </w:r>
    </w:p>
  </w:footnote>
  <w:footnote w:id="23">
    <w:p w14:paraId="3F6A85C9" w14:textId="7631CC00" w:rsidR="002A5802" w:rsidRPr="00D049C2" w:rsidRDefault="002A5802" w:rsidP="00D049C2">
      <w:pPr>
        <w:spacing w:after="120"/>
        <w:rPr>
          <w:sz w:val="22"/>
          <w:szCs w:val="22"/>
        </w:rPr>
      </w:pPr>
      <w:r w:rsidRPr="00D049C2">
        <w:rPr>
          <w:sz w:val="22"/>
          <w:szCs w:val="22"/>
          <w:vertAlign w:val="superscript"/>
        </w:rPr>
        <w:footnoteRef/>
      </w:r>
      <w:r w:rsidRPr="00D049C2">
        <w:rPr>
          <w:sz w:val="22"/>
          <w:szCs w:val="22"/>
          <w:vertAlign w:val="superscript"/>
        </w:rPr>
        <w:t xml:space="preserve"> </w:t>
      </w:r>
      <w:r w:rsidR="00D049C2">
        <w:rPr>
          <w:sz w:val="22"/>
          <w:szCs w:val="22"/>
        </w:rPr>
        <w:t xml:space="preserve"> </w:t>
      </w:r>
      <w:r w:rsidRPr="00D049C2">
        <w:rPr>
          <w:sz w:val="22"/>
          <w:szCs w:val="22"/>
        </w:rPr>
        <w:t>The full text of this study is attached as Appendix 2 to the Resolution E-5072.</w:t>
      </w:r>
    </w:p>
  </w:footnote>
  <w:footnote w:id="24">
    <w:p w14:paraId="749B4583" w14:textId="503D9BB4" w:rsidR="002A5802" w:rsidRPr="00E93167" w:rsidRDefault="002A5802" w:rsidP="00D049C2">
      <w:pPr>
        <w:spacing w:after="120"/>
        <w:rPr>
          <w:sz w:val="24"/>
          <w:szCs w:val="24"/>
        </w:rPr>
      </w:pPr>
      <w:r w:rsidRPr="00D049C2">
        <w:rPr>
          <w:sz w:val="22"/>
          <w:szCs w:val="22"/>
          <w:vertAlign w:val="superscript"/>
        </w:rPr>
        <w:footnoteRef/>
      </w:r>
      <w:r w:rsidRPr="00D049C2">
        <w:rPr>
          <w:sz w:val="22"/>
          <w:szCs w:val="22"/>
        </w:rPr>
        <w:t xml:space="preserve"> </w:t>
      </w:r>
      <w:r w:rsidR="00D049C2">
        <w:rPr>
          <w:sz w:val="22"/>
          <w:szCs w:val="22"/>
        </w:rPr>
        <w:t xml:space="preserve"> </w:t>
      </w:r>
      <w:r w:rsidRPr="00D049C2">
        <w:rPr>
          <w:sz w:val="22"/>
          <w:szCs w:val="22"/>
        </w:rPr>
        <w:t>The first two years start with the first loan issued, which was in July 2016.</w:t>
      </w:r>
    </w:p>
  </w:footnote>
  <w:footnote w:id="25">
    <w:p w14:paraId="03C69619" w14:textId="616BF1B2" w:rsidR="002A5802" w:rsidRPr="00D049C2" w:rsidRDefault="002A5802" w:rsidP="00086DDA">
      <w:pPr>
        <w:rPr>
          <w:sz w:val="22"/>
          <w:szCs w:val="22"/>
        </w:rPr>
      </w:pPr>
      <w:r w:rsidRPr="00D049C2">
        <w:rPr>
          <w:sz w:val="22"/>
          <w:szCs w:val="22"/>
          <w:vertAlign w:val="superscript"/>
        </w:rPr>
        <w:footnoteRef/>
      </w:r>
      <w:r w:rsidR="00D049C2" w:rsidRPr="00D049C2">
        <w:rPr>
          <w:rFonts w:cstheme="majorBidi"/>
          <w:sz w:val="22"/>
          <w:szCs w:val="22"/>
          <w:vertAlign w:val="superscript"/>
        </w:rPr>
        <w:t xml:space="preserve"> </w:t>
      </w:r>
      <w:r w:rsidR="00D049C2">
        <w:rPr>
          <w:rFonts w:cstheme="majorBidi"/>
          <w:sz w:val="22"/>
          <w:szCs w:val="22"/>
        </w:rPr>
        <w:t xml:space="preserve"> </w:t>
      </w:r>
      <w:r w:rsidRPr="00D049C2">
        <w:rPr>
          <w:rFonts w:cstheme="majorBidi"/>
          <w:sz w:val="22"/>
          <w:szCs w:val="22"/>
        </w:rPr>
        <w:t>D.12-11-015</w:t>
      </w:r>
      <w:r w:rsidRPr="00D049C2">
        <w:rPr>
          <w:sz w:val="22"/>
          <w:szCs w:val="22"/>
        </w:rPr>
        <w:t>.</w:t>
      </w:r>
    </w:p>
  </w:footnote>
  <w:footnote w:id="26">
    <w:p w14:paraId="57C30484" w14:textId="496A1004" w:rsidR="002A5802" w:rsidRPr="00B97231" w:rsidRDefault="002A5802">
      <w:pPr>
        <w:pStyle w:val="FootnoteText"/>
        <w:rPr>
          <w:sz w:val="22"/>
          <w:szCs w:val="22"/>
        </w:rPr>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sz w:val="22"/>
          <w:szCs w:val="22"/>
        </w:rPr>
        <w:t xml:space="preserve">Available at: </w:t>
      </w:r>
      <w:hyperlink r:id="rId5" w:history="1">
        <w:r w:rsidRPr="00B97231">
          <w:rPr>
            <w:rStyle w:val="Hyperlink"/>
            <w:sz w:val="22"/>
            <w:szCs w:val="22"/>
          </w:rPr>
          <w:t>https://docs.cpuc.ca.gov/SearchRes.aspx?DocFormat=ALL&amp;DocID=326172086</w:t>
        </w:r>
      </w:hyperlink>
      <w:r w:rsidRPr="00B97231">
        <w:rPr>
          <w:sz w:val="22"/>
          <w:szCs w:val="22"/>
        </w:rPr>
        <w:t xml:space="preserve">, including attachment. </w:t>
      </w:r>
    </w:p>
  </w:footnote>
  <w:footnote w:id="27">
    <w:p w14:paraId="4783CE94" w14:textId="04F545D8" w:rsidR="002A5802" w:rsidRDefault="002A5802">
      <w:pPr>
        <w:pStyle w:val="FootnoteText"/>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i/>
          <w:iCs/>
          <w:sz w:val="22"/>
          <w:szCs w:val="22"/>
        </w:rPr>
        <w:t>Id</w:t>
      </w:r>
      <w:r w:rsidRPr="00B97231">
        <w:rPr>
          <w:sz w:val="22"/>
          <w:szCs w:val="22"/>
        </w:rPr>
        <w:t>., Attachment Section 9.3 at 110.</w:t>
      </w:r>
      <w:r>
        <w:t xml:space="preserve"> </w:t>
      </w:r>
    </w:p>
  </w:footnote>
  <w:footnote w:id="28">
    <w:p w14:paraId="4AD70372" w14:textId="50852185" w:rsidR="002A5802" w:rsidRDefault="002A5802">
      <w:pPr>
        <w:pStyle w:val="FootnoteText"/>
      </w:pPr>
      <w:r>
        <w:rPr>
          <w:rStyle w:val="FootnoteReference"/>
        </w:rPr>
        <w:footnoteRef/>
      </w:r>
      <w:r>
        <w:t xml:space="preserve"> </w:t>
      </w:r>
      <w:r w:rsidR="00B97231">
        <w:t xml:space="preserve"> </w:t>
      </w:r>
      <w:r>
        <w:t>All references to “Rules” are to the Commission’s Rules of Practice and Procedure unless otherwise indicated.</w:t>
      </w:r>
    </w:p>
  </w:footnote>
  <w:footnote w:id="29">
    <w:p w14:paraId="3317382A" w14:textId="3514D21B" w:rsidR="002A5802" w:rsidRPr="00B97231" w:rsidRDefault="002A5802">
      <w:pPr>
        <w:pStyle w:val="FootnoteText"/>
        <w:rPr>
          <w:sz w:val="22"/>
          <w:szCs w:val="22"/>
        </w:rPr>
      </w:pPr>
      <w:r w:rsidRPr="00B97231">
        <w:rPr>
          <w:rStyle w:val="FootnoteReference"/>
          <w:sz w:val="22"/>
          <w:szCs w:val="22"/>
        </w:rPr>
        <w:footnoteRef/>
      </w:r>
      <w:r w:rsidRPr="00B97231">
        <w:rPr>
          <w:sz w:val="22"/>
          <w:szCs w:val="22"/>
        </w:rPr>
        <w:t xml:space="preserve"> </w:t>
      </w:r>
      <w:r w:rsidR="00B97231">
        <w:rPr>
          <w:sz w:val="22"/>
          <w:szCs w:val="22"/>
        </w:rPr>
        <w:t xml:space="preserve"> </w:t>
      </w:r>
      <w:r w:rsidRPr="00B97231">
        <w:rPr>
          <w:i/>
          <w:iCs/>
          <w:sz w:val="22"/>
          <w:szCs w:val="22"/>
        </w:rPr>
        <w:t>See</w:t>
      </w:r>
      <w:r w:rsidRPr="00B97231">
        <w:rPr>
          <w:sz w:val="22"/>
          <w:szCs w:val="22"/>
        </w:rPr>
        <w:t xml:space="preserve">, particularly, D.12-05-015 at 107. </w:t>
      </w:r>
    </w:p>
  </w:footnote>
  <w:footnote w:id="30">
    <w:p w14:paraId="2EEC012E" w14:textId="7ACD23CE" w:rsidR="001857BB" w:rsidRPr="00B97231" w:rsidRDefault="001857BB">
      <w:pPr>
        <w:pStyle w:val="FootnoteText"/>
        <w:rPr>
          <w:sz w:val="22"/>
          <w:szCs w:val="22"/>
        </w:rPr>
      </w:pPr>
      <w:r w:rsidRPr="00B97231">
        <w:rPr>
          <w:rStyle w:val="FootnoteReference"/>
          <w:sz w:val="22"/>
          <w:szCs w:val="22"/>
        </w:rPr>
        <w:footnoteRef/>
      </w:r>
      <w:r w:rsidRPr="00B97231">
        <w:rPr>
          <w:sz w:val="22"/>
          <w:szCs w:val="22"/>
        </w:rPr>
        <w:t xml:space="preserve"> </w:t>
      </w:r>
      <w:r w:rsidR="00B97231" w:rsidRPr="00B97231">
        <w:rPr>
          <w:sz w:val="22"/>
          <w:szCs w:val="22"/>
        </w:rPr>
        <w:t xml:space="preserve"> </w:t>
      </w:r>
      <w:r w:rsidRPr="00B97231">
        <w:rPr>
          <w:i/>
          <w:iCs/>
          <w:sz w:val="22"/>
          <w:szCs w:val="22"/>
        </w:rPr>
        <w:t>See</w:t>
      </w:r>
      <w:r w:rsidRPr="00B97231">
        <w:rPr>
          <w:sz w:val="22"/>
          <w:szCs w:val="22"/>
        </w:rPr>
        <w:t xml:space="preserve"> Resolution -5072, issued April 17,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DB6D" w14:textId="77777777" w:rsidR="00E05540" w:rsidRDefault="00E05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C42C" w14:textId="4E18565D" w:rsidR="002A5802" w:rsidRDefault="00BF087F">
    <w:pPr>
      <w:pStyle w:val="Header"/>
      <w:tabs>
        <w:tab w:val="clear" w:pos="8640"/>
        <w:tab w:val="right" w:pos="9360"/>
      </w:tabs>
    </w:pPr>
    <w:r>
      <w:t>R._______</w:t>
    </w:r>
    <w:r w:rsidR="002A5802">
      <w:t xml:space="preserve">   ALJ/JF2/</w:t>
    </w:r>
    <w:r>
      <w:t>gp2</w:t>
    </w:r>
    <w:r w:rsidR="002A5802">
      <w:tab/>
    </w:r>
    <w:r w:rsidR="002A5802">
      <w:tab/>
    </w:r>
    <w:r w:rsidR="002A5802" w:rsidRPr="00BF087F">
      <w:rPr>
        <w:b/>
        <w:bCs/>
        <w:szCs w:val="26"/>
      </w:rPr>
      <w:t>PROPOSED DECISION</w:t>
    </w:r>
  </w:p>
  <w:p w14:paraId="24612AA6" w14:textId="77777777" w:rsidR="002A5802" w:rsidRDefault="002A5802" w:rsidP="00F87719">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0B52" w14:textId="77777777" w:rsidR="00E05540" w:rsidRDefault="00E0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6DCB"/>
    <w:multiLevelType w:val="hybridMultilevel"/>
    <w:tmpl w:val="2348C5A6"/>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068F475F"/>
    <w:multiLevelType w:val="hybridMultilevel"/>
    <w:tmpl w:val="A978E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C1E82"/>
    <w:multiLevelType w:val="multilevel"/>
    <w:tmpl w:val="27D0AD5C"/>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3" w15:restartNumberingAfterBreak="0">
    <w:nsid w:val="17A962A2"/>
    <w:multiLevelType w:val="hybridMultilevel"/>
    <w:tmpl w:val="617EA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8414F"/>
    <w:multiLevelType w:val="hybridMultilevel"/>
    <w:tmpl w:val="5EF4415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B1044"/>
    <w:multiLevelType w:val="hybridMultilevel"/>
    <w:tmpl w:val="7FD44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A847D7"/>
    <w:multiLevelType w:val="hybridMultilevel"/>
    <w:tmpl w:val="D17638D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50D03"/>
    <w:multiLevelType w:val="multilevel"/>
    <w:tmpl w:val="BF4E92F6"/>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30EB5AD5"/>
    <w:multiLevelType w:val="multilevel"/>
    <w:tmpl w:val="C3787C82"/>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783915"/>
    <w:multiLevelType w:val="hybridMultilevel"/>
    <w:tmpl w:val="DBA270C4"/>
    <w:lvl w:ilvl="0" w:tplc="D468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B5B25"/>
    <w:multiLevelType w:val="multilevel"/>
    <w:tmpl w:val="CC3A4674"/>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AA325DF"/>
    <w:multiLevelType w:val="hybridMultilevel"/>
    <w:tmpl w:val="85BA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B3101"/>
    <w:multiLevelType w:val="multilevel"/>
    <w:tmpl w:val="B7EA4080"/>
    <w:lvl w:ilvl="0">
      <w:start w:val="1"/>
      <w:numFmt w:val="decimal"/>
      <w:pStyle w:val="Heading1"/>
      <w:lvlText w:val="%1."/>
      <w:lvlJc w:val="left"/>
      <w:pPr>
        <w:tabs>
          <w:tab w:val="num" w:pos="720"/>
        </w:tabs>
        <w:ind w:left="720" w:hanging="720"/>
      </w:pPr>
      <w:rPr>
        <w:rFonts w:ascii="Helvetica" w:hAnsi="Helvetica" w:cs="Helvetica"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6" w15:restartNumberingAfterBreak="0">
    <w:nsid w:val="5DF96E13"/>
    <w:multiLevelType w:val="multilevel"/>
    <w:tmpl w:val="1D7C8172"/>
    <w:lvl w:ilvl="0">
      <w:numFmt w:val="bullet"/>
      <w:lvlText w:val="•"/>
      <w:lvlJc w:val="left"/>
      <w:pPr>
        <w:ind w:left="1080" w:hanging="360"/>
      </w:pPr>
      <w:rPr>
        <w:rFonts w:ascii="Times New Roman" w:eastAsiaTheme="minorHAnsi" w:hAnsi="Times New Roman" w:cs="Times New Roman" w:hint="default"/>
        <w:b w:val="0"/>
        <w:sz w:val="24"/>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17" w15:restartNumberingAfterBreak="0">
    <w:nsid w:val="5E0B2544"/>
    <w:multiLevelType w:val="hybridMultilevel"/>
    <w:tmpl w:val="C56406BE"/>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5E2B5E7C"/>
    <w:multiLevelType w:val="multilevel"/>
    <w:tmpl w:val="F6189B0E"/>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EBE6451"/>
    <w:multiLevelType w:val="hybridMultilevel"/>
    <w:tmpl w:val="D2E8C090"/>
    <w:lvl w:ilvl="0" w:tplc="0C764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57642B"/>
    <w:multiLevelType w:val="multilevel"/>
    <w:tmpl w:val="2FDEA938"/>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610A7A11"/>
    <w:multiLevelType w:val="multilevel"/>
    <w:tmpl w:val="588C5768"/>
    <w:lvl w:ilvl="0">
      <w:start w:val="1"/>
      <w:numFmt w:val="bullet"/>
      <w:lvlText w:val=""/>
      <w:lvlJc w:val="left"/>
      <w:pPr>
        <w:ind w:left="1080" w:hanging="360"/>
      </w:pPr>
      <w:rPr>
        <w:rFonts w:ascii="Wingdings" w:hAnsi="Wingdings"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66050C1B"/>
    <w:multiLevelType w:val="hybridMultilevel"/>
    <w:tmpl w:val="EF285A5C"/>
    <w:lvl w:ilvl="0" w:tplc="04090001">
      <w:start w:val="1"/>
      <w:numFmt w:val="bullet"/>
      <w:lvlText w:val=""/>
      <w:lvlJc w:val="left"/>
      <w:pPr>
        <w:ind w:left="2160" w:hanging="360"/>
      </w:pPr>
      <w:rPr>
        <w:rFonts w:ascii="Symbol" w:hAnsi="Symbol" w:cs="Symbol" w:hint="default"/>
      </w:rPr>
    </w:lvl>
    <w:lvl w:ilvl="1" w:tplc="1CDCA704">
      <w:numFmt w:val="bullet"/>
      <w:lvlText w:val="•"/>
      <w:lvlJc w:val="left"/>
      <w:pPr>
        <w:ind w:left="2160" w:hanging="360"/>
      </w:pPr>
      <w:rPr>
        <w:rFonts w:ascii="Times New Roman" w:eastAsiaTheme="minorHAnsi" w:hAnsi="Times New Roman" w:cs="Times New Roman" w:hint="default"/>
        <w:b w:val="0"/>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66BA4588"/>
    <w:multiLevelType w:val="singleLevel"/>
    <w:tmpl w:val="2FB6A734"/>
    <w:lvl w:ilvl="0">
      <w:start w:val="1"/>
      <w:numFmt w:val="decimal"/>
      <w:lvlText w:val="%1."/>
      <w:legacy w:legacy="1" w:legacySpace="144" w:legacyIndent="0"/>
      <w:lvlJc w:val="left"/>
    </w:lvl>
  </w:abstractNum>
  <w:abstractNum w:abstractNumId="24" w15:restartNumberingAfterBreak="0">
    <w:nsid w:val="6BB84711"/>
    <w:multiLevelType w:val="hybridMultilevel"/>
    <w:tmpl w:val="4E70A9E6"/>
    <w:lvl w:ilvl="0" w:tplc="1CDCA70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C30FD"/>
    <w:multiLevelType w:val="singleLevel"/>
    <w:tmpl w:val="2FB6A734"/>
    <w:lvl w:ilvl="0">
      <w:start w:val="1"/>
      <w:numFmt w:val="decimal"/>
      <w:lvlText w:val="%1."/>
      <w:legacy w:legacy="1" w:legacySpace="144" w:legacyIndent="0"/>
      <w:lvlJc w:val="left"/>
    </w:lvl>
  </w:abstractNum>
  <w:abstractNum w:abstractNumId="26" w15:restartNumberingAfterBreak="0">
    <w:nsid w:val="7F0950C9"/>
    <w:multiLevelType w:val="hybridMultilevel"/>
    <w:tmpl w:val="D006046C"/>
    <w:lvl w:ilvl="0" w:tplc="1CDCA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5"/>
  </w:num>
  <w:num w:numId="2">
    <w:abstractNumId w:val="9"/>
  </w:num>
  <w:num w:numId="3">
    <w:abstractNumId w:val="15"/>
  </w:num>
  <w:num w:numId="4">
    <w:abstractNumId w:val="11"/>
  </w:num>
  <w:num w:numId="5">
    <w:abstractNumId w:val="19"/>
  </w:num>
  <w:num w:numId="6">
    <w:abstractNumId w:val="14"/>
  </w:num>
  <w:num w:numId="7">
    <w:abstractNumId w:val="23"/>
  </w:num>
  <w:num w:numId="8">
    <w:abstractNumId w:val="10"/>
  </w:num>
  <w:num w:numId="9">
    <w:abstractNumId w:val="13"/>
  </w:num>
  <w:num w:numId="10">
    <w:abstractNumId w:val="4"/>
  </w:num>
  <w:num w:numId="11">
    <w:abstractNumId w:val="24"/>
  </w:num>
  <w:num w:numId="12">
    <w:abstractNumId w:val="6"/>
  </w:num>
  <w:num w:numId="13">
    <w:abstractNumId w:val="18"/>
  </w:num>
  <w:num w:numId="14">
    <w:abstractNumId w:val="21"/>
  </w:num>
  <w:num w:numId="15">
    <w:abstractNumId w:val="20"/>
  </w:num>
  <w:num w:numId="16">
    <w:abstractNumId w:val="16"/>
  </w:num>
  <w:num w:numId="17">
    <w:abstractNumId w:val="0"/>
  </w:num>
  <w:num w:numId="18">
    <w:abstractNumId w:val="26"/>
  </w:num>
  <w:num w:numId="19">
    <w:abstractNumId w:val="17"/>
  </w:num>
  <w:num w:numId="20">
    <w:abstractNumId w:val="22"/>
  </w:num>
  <w:num w:numId="21">
    <w:abstractNumId w:val="12"/>
  </w:num>
  <w:num w:numId="22">
    <w:abstractNumId w:val="8"/>
  </w:num>
  <w:num w:numId="23">
    <w:abstractNumId w:val="7"/>
  </w:num>
  <w:num w:numId="24">
    <w:abstractNumId w:val="2"/>
  </w:num>
  <w:num w:numId="25">
    <w:abstractNumId w:val="5"/>
  </w:num>
  <w:num w:numId="26">
    <w:abstractNumId w:val="1"/>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9"/>
    <w:rsid w:val="000075C4"/>
    <w:rsid w:val="00017278"/>
    <w:rsid w:val="00021A8B"/>
    <w:rsid w:val="00023603"/>
    <w:rsid w:val="00024972"/>
    <w:rsid w:val="00030E03"/>
    <w:rsid w:val="00064B90"/>
    <w:rsid w:val="0006762F"/>
    <w:rsid w:val="000734CF"/>
    <w:rsid w:val="00086DDA"/>
    <w:rsid w:val="000A5424"/>
    <w:rsid w:val="000B075B"/>
    <w:rsid w:val="000B432C"/>
    <w:rsid w:val="000E1BD5"/>
    <w:rsid w:val="0010009E"/>
    <w:rsid w:val="00101666"/>
    <w:rsid w:val="001020E4"/>
    <w:rsid w:val="00105F81"/>
    <w:rsid w:val="00111E3F"/>
    <w:rsid w:val="00117533"/>
    <w:rsid w:val="00120841"/>
    <w:rsid w:val="00121B61"/>
    <w:rsid w:val="0012670B"/>
    <w:rsid w:val="001322CE"/>
    <w:rsid w:val="00137052"/>
    <w:rsid w:val="00150FF3"/>
    <w:rsid w:val="001535AC"/>
    <w:rsid w:val="001857BB"/>
    <w:rsid w:val="00186A0B"/>
    <w:rsid w:val="00193875"/>
    <w:rsid w:val="00193F21"/>
    <w:rsid w:val="00193F80"/>
    <w:rsid w:val="001B0471"/>
    <w:rsid w:val="001B1571"/>
    <w:rsid w:val="001B4704"/>
    <w:rsid w:val="001C0DF3"/>
    <w:rsid w:val="001C31EA"/>
    <w:rsid w:val="001D120A"/>
    <w:rsid w:val="001E3414"/>
    <w:rsid w:val="001E74D5"/>
    <w:rsid w:val="001F1AAF"/>
    <w:rsid w:val="001F1DCE"/>
    <w:rsid w:val="00207B9A"/>
    <w:rsid w:val="00220066"/>
    <w:rsid w:val="00223795"/>
    <w:rsid w:val="00225DDC"/>
    <w:rsid w:val="0023743A"/>
    <w:rsid w:val="00251E09"/>
    <w:rsid w:val="002553BC"/>
    <w:rsid w:val="00256D58"/>
    <w:rsid w:val="0025737F"/>
    <w:rsid w:val="00260A12"/>
    <w:rsid w:val="00281182"/>
    <w:rsid w:val="00284A0F"/>
    <w:rsid w:val="0029456E"/>
    <w:rsid w:val="00294905"/>
    <w:rsid w:val="002A5802"/>
    <w:rsid w:val="002A6146"/>
    <w:rsid w:val="002B160A"/>
    <w:rsid w:val="002B2300"/>
    <w:rsid w:val="002D608E"/>
    <w:rsid w:val="002D7C12"/>
    <w:rsid w:val="002F7B64"/>
    <w:rsid w:val="003238A8"/>
    <w:rsid w:val="003356A7"/>
    <w:rsid w:val="00342A0C"/>
    <w:rsid w:val="00364D11"/>
    <w:rsid w:val="003732A9"/>
    <w:rsid w:val="00375731"/>
    <w:rsid w:val="003777FB"/>
    <w:rsid w:val="003938EA"/>
    <w:rsid w:val="003C75D7"/>
    <w:rsid w:val="003D2ABE"/>
    <w:rsid w:val="003D3387"/>
    <w:rsid w:val="003E2942"/>
    <w:rsid w:val="003E685F"/>
    <w:rsid w:val="003E7AEE"/>
    <w:rsid w:val="004037C8"/>
    <w:rsid w:val="004157B8"/>
    <w:rsid w:val="00417BC5"/>
    <w:rsid w:val="00420FBE"/>
    <w:rsid w:val="004424C7"/>
    <w:rsid w:val="00470EF8"/>
    <w:rsid w:val="00471736"/>
    <w:rsid w:val="0049729B"/>
    <w:rsid w:val="004A7884"/>
    <w:rsid w:val="004C07A9"/>
    <w:rsid w:val="004E1786"/>
    <w:rsid w:val="004E338D"/>
    <w:rsid w:val="004F2DD8"/>
    <w:rsid w:val="00501FF0"/>
    <w:rsid w:val="0050217C"/>
    <w:rsid w:val="0050312C"/>
    <w:rsid w:val="00503907"/>
    <w:rsid w:val="00506C0D"/>
    <w:rsid w:val="0052521F"/>
    <w:rsid w:val="005269D0"/>
    <w:rsid w:val="00530534"/>
    <w:rsid w:val="005360D2"/>
    <w:rsid w:val="00544FC3"/>
    <w:rsid w:val="00546584"/>
    <w:rsid w:val="0056055F"/>
    <w:rsid w:val="00567CA3"/>
    <w:rsid w:val="00574618"/>
    <w:rsid w:val="00580A59"/>
    <w:rsid w:val="005A7BDA"/>
    <w:rsid w:val="005C638C"/>
    <w:rsid w:val="005D15C0"/>
    <w:rsid w:val="005D3719"/>
    <w:rsid w:val="005E072B"/>
    <w:rsid w:val="005E2E4B"/>
    <w:rsid w:val="00601D77"/>
    <w:rsid w:val="0061023F"/>
    <w:rsid w:val="00633574"/>
    <w:rsid w:val="0063384E"/>
    <w:rsid w:val="00640315"/>
    <w:rsid w:val="00671CA9"/>
    <w:rsid w:val="006C05C3"/>
    <w:rsid w:val="006D39AE"/>
    <w:rsid w:val="006E0FD7"/>
    <w:rsid w:val="006F5414"/>
    <w:rsid w:val="007018C9"/>
    <w:rsid w:val="00715751"/>
    <w:rsid w:val="00736ED1"/>
    <w:rsid w:val="007374DE"/>
    <w:rsid w:val="0074168F"/>
    <w:rsid w:val="00750D9C"/>
    <w:rsid w:val="00752534"/>
    <w:rsid w:val="007571DC"/>
    <w:rsid w:val="007839FE"/>
    <w:rsid w:val="00793E6B"/>
    <w:rsid w:val="007B7F99"/>
    <w:rsid w:val="007C1B85"/>
    <w:rsid w:val="007C4363"/>
    <w:rsid w:val="007C460E"/>
    <w:rsid w:val="007D5007"/>
    <w:rsid w:val="007E2F21"/>
    <w:rsid w:val="007E7140"/>
    <w:rsid w:val="007F78B8"/>
    <w:rsid w:val="00800005"/>
    <w:rsid w:val="0080500B"/>
    <w:rsid w:val="00812F56"/>
    <w:rsid w:val="00821B2B"/>
    <w:rsid w:val="00836E00"/>
    <w:rsid w:val="00837AEA"/>
    <w:rsid w:val="00845BDB"/>
    <w:rsid w:val="00853C9F"/>
    <w:rsid w:val="00872265"/>
    <w:rsid w:val="00884005"/>
    <w:rsid w:val="008A0403"/>
    <w:rsid w:val="008B5BC7"/>
    <w:rsid w:val="008D0265"/>
    <w:rsid w:val="008D1584"/>
    <w:rsid w:val="008D2136"/>
    <w:rsid w:val="008D4A84"/>
    <w:rsid w:val="008D6E2E"/>
    <w:rsid w:val="008E5DD5"/>
    <w:rsid w:val="008F0AF9"/>
    <w:rsid w:val="008F2CDF"/>
    <w:rsid w:val="0092022D"/>
    <w:rsid w:val="009277CF"/>
    <w:rsid w:val="00943533"/>
    <w:rsid w:val="00945102"/>
    <w:rsid w:val="009945F6"/>
    <w:rsid w:val="009962B0"/>
    <w:rsid w:val="009C08FF"/>
    <w:rsid w:val="009C219C"/>
    <w:rsid w:val="009E5F99"/>
    <w:rsid w:val="009E6D6A"/>
    <w:rsid w:val="009F0DA3"/>
    <w:rsid w:val="009F4143"/>
    <w:rsid w:val="00A0609D"/>
    <w:rsid w:val="00A262F2"/>
    <w:rsid w:val="00A26EBB"/>
    <w:rsid w:val="00A44F1E"/>
    <w:rsid w:val="00A450DA"/>
    <w:rsid w:val="00A53A94"/>
    <w:rsid w:val="00A6152B"/>
    <w:rsid w:val="00A65E8B"/>
    <w:rsid w:val="00A72E21"/>
    <w:rsid w:val="00A753DD"/>
    <w:rsid w:val="00A86DEA"/>
    <w:rsid w:val="00A91208"/>
    <w:rsid w:val="00AB43BE"/>
    <w:rsid w:val="00AF6AC2"/>
    <w:rsid w:val="00B07CC7"/>
    <w:rsid w:val="00B07D8B"/>
    <w:rsid w:val="00B14080"/>
    <w:rsid w:val="00B2027E"/>
    <w:rsid w:val="00B36941"/>
    <w:rsid w:val="00B465C8"/>
    <w:rsid w:val="00B54F50"/>
    <w:rsid w:val="00B75579"/>
    <w:rsid w:val="00B828F9"/>
    <w:rsid w:val="00B833FB"/>
    <w:rsid w:val="00B848C0"/>
    <w:rsid w:val="00B97231"/>
    <w:rsid w:val="00BA794E"/>
    <w:rsid w:val="00BA7DEE"/>
    <w:rsid w:val="00BB1C9B"/>
    <w:rsid w:val="00BB7D8E"/>
    <w:rsid w:val="00BC5C93"/>
    <w:rsid w:val="00BD6067"/>
    <w:rsid w:val="00BE09B8"/>
    <w:rsid w:val="00BF087F"/>
    <w:rsid w:val="00BF3E14"/>
    <w:rsid w:val="00C0104F"/>
    <w:rsid w:val="00C31D81"/>
    <w:rsid w:val="00C36DD2"/>
    <w:rsid w:val="00C512CC"/>
    <w:rsid w:val="00C61C91"/>
    <w:rsid w:val="00C65595"/>
    <w:rsid w:val="00C74C89"/>
    <w:rsid w:val="00C75CE4"/>
    <w:rsid w:val="00C77A34"/>
    <w:rsid w:val="00C957B2"/>
    <w:rsid w:val="00C979B4"/>
    <w:rsid w:val="00CA7914"/>
    <w:rsid w:val="00CB4F44"/>
    <w:rsid w:val="00CE2B62"/>
    <w:rsid w:val="00CE4659"/>
    <w:rsid w:val="00D01A42"/>
    <w:rsid w:val="00D02F21"/>
    <w:rsid w:val="00D049C2"/>
    <w:rsid w:val="00D12ED2"/>
    <w:rsid w:val="00D13FE0"/>
    <w:rsid w:val="00D16934"/>
    <w:rsid w:val="00D252C3"/>
    <w:rsid w:val="00D256D6"/>
    <w:rsid w:val="00D3513A"/>
    <w:rsid w:val="00D4188E"/>
    <w:rsid w:val="00D74729"/>
    <w:rsid w:val="00DA7CDE"/>
    <w:rsid w:val="00DB0905"/>
    <w:rsid w:val="00DB3C43"/>
    <w:rsid w:val="00DB74C0"/>
    <w:rsid w:val="00DC28A5"/>
    <w:rsid w:val="00DD0CCF"/>
    <w:rsid w:val="00DF182B"/>
    <w:rsid w:val="00E05540"/>
    <w:rsid w:val="00E27A27"/>
    <w:rsid w:val="00E304C8"/>
    <w:rsid w:val="00E31780"/>
    <w:rsid w:val="00E40C9B"/>
    <w:rsid w:val="00E62B7D"/>
    <w:rsid w:val="00E64B05"/>
    <w:rsid w:val="00E76D0F"/>
    <w:rsid w:val="00E93167"/>
    <w:rsid w:val="00E96D60"/>
    <w:rsid w:val="00EA53B7"/>
    <w:rsid w:val="00EB1A59"/>
    <w:rsid w:val="00EE18CE"/>
    <w:rsid w:val="00EF7145"/>
    <w:rsid w:val="00F120EF"/>
    <w:rsid w:val="00F1786E"/>
    <w:rsid w:val="00F56037"/>
    <w:rsid w:val="00F61967"/>
    <w:rsid w:val="00F75FB8"/>
    <w:rsid w:val="00F8336F"/>
    <w:rsid w:val="00F87719"/>
    <w:rsid w:val="00F9232C"/>
    <w:rsid w:val="00FA0CA4"/>
    <w:rsid w:val="00FA7D0B"/>
    <w:rsid w:val="00FB6D86"/>
    <w:rsid w:val="00FD2E8E"/>
    <w:rsid w:val="00FE6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0AA9122"/>
  <w15:docId w15:val="{965BED25-9452-4335-AE02-4827E048FFF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8C9"/>
    <w:rPr>
      <w:rFonts w:ascii="Book Antiqua" w:hAnsi="Book Antiqua"/>
      <w:sz w:val="26"/>
    </w:rPr>
  </w:style>
  <w:style w:type="paragraph" w:styleId="Heading1">
    <w:name w:val="heading 1"/>
    <w:basedOn w:val="Normal"/>
    <w:next w:val="standard"/>
    <w:qFormat/>
    <w:rsid w:val="007018C9"/>
    <w:pPr>
      <w:keepNext/>
      <w:numPr>
        <w:numId w:val="3"/>
      </w:numPr>
      <w:spacing w:before="120" w:after="120"/>
      <w:ind w:right="2160"/>
      <w:outlineLvl w:val="0"/>
    </w:pPr>
    <w:rPr>
      <w:rFonts w:ascii="Arial" w:hAnsi="Arial"/>
      <w:b/>
      <w:kern w:val="28"/>
    </w:rPr>
  </w:style>
  <w:style w:type="paragraph" w:styleId="Heading2">
    <w:name w:val="heading 2"/>
    <w:basedOn w:val="Normal"/>
    <w:next w:val="sub1"/>
    <w:qFormat/>
    <w:rsid w:val="007018C9"/>
    <w:pPr>
      <w:keepNext/>
      <w:numPr>
        <w:ilvl w:val="1"/>
        <w:numId w:val="3"/>
      </w:numPr>
      <w:spacing w:before="120" w:after="120"/>
      <w:ind w:right="2520"/>
      <w:outlineLvl w:val="1"/>
    </w:pPr>
    <w:rPr>
      <w:rFonts w:ascii="Arial" w:hAnsi="Arial"/>
      <w:b/>
      <w:iCs/>
    </w:rPr>
  </w:style>
  <w:style w:type="paragraph" w:styleId="Heading3">
    <w:name w:val="heading 3"/>
    <w:basedOn w:val="Normal"/>
    <w:next w:val="sub2"/>
    <w:qFormat/>
    <w:rsid w:val="007018C9"/>
    <w:pPr>
      <w:keepNext/>
      <w:numPr>
        <w:ilvl w:val="2"/>
        <w:numId w:val="3"/>
      </w:numPr>
      <w:tabs>
        <w:tab w:val="left" w:pos="1620"/>
      </w:tabs>
      <w:spacing w:before="120" w:after="120"/>
      <w:ind w:right="720"/>
      <w:outlineLvl w:val="2"/>
    </w:pPr>
    <w:rPr>
      <w:rFonts w:ascii="Arial" w:hAnsi="Arial"/>
      <w:b/>
    </w:rPr>
  </w:style>
  <w:style w:type="paragraph" w:styleId="Heading4">
    <w:name w:val="heading 4"/>
    <w:basedOn w:val="Normal"/>
    <w:next w:val="sub3"/>
    <w:qFormat/>
    <w:rsid w:val="007018C9"/>
    <w:pPr>
      <w:keepNext/>
      <w:numPr>
        <w:ilvl w:val="3"/>
        <w:numId w:val="3"/>
      </w:numPr>
      <w:tabs>
        <w:tab w:val="left" w:pos="1980"/>
      </w:tabs>
      <w:spacing w:before="120" w:after="120"/>
      <w:ind w:right="720"/>
      <w:outlineLvl w:val="3"/>
    </w:pPr>
    <w:rPr>
      <w:rFonts w:ascii="Arial" w:hAnsi="Arial"/>
      <w:b/>
      <w:iCs/>
    </w:rPr>
  </w:style>
  <w:style w:type="paragraph" w:styleId="Heading5">
    <w:name w:val="heading 5"/>
    <w:basedOn w:val="Normal"/>
    <w:next w:val="sub4"/>
    <w:qFormat/>
    <w:rsid w:val="007018C9"/>
    <w:pPr>
      <w:numPr>
        <w:ilvl w:val="4"/>
        <w:numId w:val="3"/>
      </w:numPr>
      <w:spacing w:before="120" w:after="120"/>
      <w:ind w:left="1980" w:hanging="1260"/>
      <w:outlineLvl w:val="4"/>
    </w:pPr>
    <w:rPr>
      <w:rFonts w:ascii="Arial" w:hAnsi="Arial"/>
      <w:b/>
    </w:rPr>
  </w:style>
  <w:style w:type="paragraph" w:styleId="Heading6">
    <w:name w:val="heading 6"/>
    <w:basedOn w:val="Normal"/>
    <w:next w:val="sub5"/>
    <w:qFormat/>
    <w:rsid w:val="007018C9"/>
    <w:pPr>
      <w:numPr>
        <w:ilvl w:val="5"/>
        <w:numId w:val="3"/>
      </w:numPr>
      <w:spacing w:before="120" w:after="120"/>
      <w:ind w:left="2160" w:hanging="1440"/>
      <w:outlineLvl w:val="5"/>
    </w:pPr>
    <w:rPr>
      <w:rFonts w:ascii="Arial" w:hAnsi="Arial"/>
      <w:b/>
      <w:bCs/>
      <w:szCs w:val="22"/>
    </w:rPr>
  </w:style>
  <w:style w:type="paragraph" w:styleId="Heading7">
    <w:name w:val="heading 7"/>
    <w:basedOn w:val="Normal"/>
    <w:next w:val="sub6"/>
    <w:qFormat/>
    <w:rsid w:val="007018C9"/>
    <w:pPr>
      <w:numPr>
        <w:ilvl w:val="6"/>
        <w:numId w:val="3"/>
      </w:numPr>
      <w:tabs>
        <w:tab w:val="left" w:pos="2520"/>
      </w:tabs>
      <w:spacing w:before="120" w:after="120"/>
      <w:ind w:left="2520" w:hanging="1800"/>
      <w:outlineLvl w:val="6"/>
    </w:pPr>
    <w:rPr>
      <w:rFonts w:ascii="Arial" w:hAnsi="Arial"/>
      <w:b/>
      <w:szCs w:val="24"/>
    </w:rPr>
  </w:style>
  <w:style w:type="paragraph" w:styleId="Heading8">
    <w:name w:val="heading 8"/>
    <w:basedOn w:val="Normal"/>
    <w:next w:val="sub7"/>
    <w:autoRedefine/>
    <w:qFormat/>
    <w:rsid w:val="007018C9"/>
    <w:pPr>
      <w:numPr>
        <w:ilvl w:val="7"/>
        <w:numId w:val="3"/>
      </w:numPr>
      <w:spacing w:before="120" w:after="120"/>
      <w:ind w:left="2700" w:hanging="1890"/>
      <w:outlineLvl w:val="7"/>
    </w:pPr>
    <w:rPr>
      <w:rFonts w:ascii="Arial" w:hAnsi="Arial"/>
      <w:b/>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Style 3"/>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character" w:styleId="CommentReference">
    <w:name w:val="annotation reference"/>
    <w:basedOn w:val="DefaultParagraphFont"/>
    <w:rsid w:val="00845BDB"/>
    <w:rPr>
      <w:sz w:val="16"/>
      <w:szCs w:val="16"/>
    </w:rPr>
  </w:style>
  <w:style w:type="paragraph" w:styleId="CommentText">
    <w:name w:val="annotation text"/>
    <w:basedOn w:val="Normal"/>
    <w:link w:val="CommentTextChar"/>
    <w:rsid w:val="00845BDB"/>
    <w:rPr>
      <w:sz w:val="20"/>
    </w:rPr>
  </w:style>
  <w:style w:type="character" w:customStyle="1" w:styleId="CommentTextChar">
    <w:name w:val="Comment Text Char"/>
    <w:basedOn w:val="DefaultParagraphFont"/>
    <w:link w:val="CommentText"/>
    <w:rsid w:val="00845BDB"/>
    <w:rPr>
      <w:rFonts w:ascii="Palatino" w:hAnsi="Palatino"/>
    </w:rPr>
  </w:style>
  <w:style w:type="paragraph" w:styleId="CommentSubject">
    <w:name w:val="annotation subject"/>
    <w:basedOn w:val="CommentText"/>
    <w:next w:val="CommentText"/>
    <w:link w:val="CommentSubjectChar"/>
    <w:rsid w:val="00845BDB"/>
    <w:rPr>
      <w:b/>
      <w:bCs/>
    </w:rPr>
  </w:style>
  <w:style w:type="character" w:customStyle="1" w:styleId="CommentSubjectChar">
    <w:name w:val="Comment Subject Char"/>
    <w:basedOn w:val="CommentTextChar"/>
    <w:link w:val="CommentSubject"/>
    <w:rsid w:val="00845BDB"/>
    <w:rPr>
      <w:rFonts w:ascii="Palatino" w:hAnsi="Palatino"/>
      <w:b/>
      <w:bCs/>
    </w:rPr>
  </w:style>
  <w:style w:type="paragraph" w:styleId="BalloonText">
    <w:name w:val="Balloon Text"/>
    <w:basedOn w:val="Normal"/>
    <w:link w:val="BalloonTextChar"/>
    <w:rsid w:val="00845BDB"/>
    <w:rPr>
      <w:rFonts w:ascii="Tahoma" w:hAnsi="Tahoma" w:cs="Tahoma"/>
      <w:sz w:val="16"/>
      <w:szCs w:val="16"/>
    </w:rPr>
  </w:style>
  <w:style w:type="character" w:customStyle="1" w:styleId="BalloonTextChar">
    <w:name w:val="Balloon Text Char"/>
    <w:basedOn w:val="DefaultParagraphFont"/>
    <w:link w:val="BalloonText"/>
    <w:rsid w:val="00845BDB"/>
    <w:rPr>
      <w:rFonts w:ascii="Tahoma" w:hAnsi="Tahoma" w:cs="Tahoma"/>
      <w:sz w:val="16"/>
      <w:szCs w:val="16"/>
    </w:rPr>
  </w:style>
  <w:style w:type="paragraph" w:styleId="ListParagraph">
    <w:name w:val="List Paragraph"/>
    <w:basedOn w:val="Normal"/>
    <w:uiPriority w:val="34"/>
    <w:qFormat/>
    <w:rsid w:val="006D39AE"/>
    <w:pPr>
      <w:ind w:left="720"/>
      <w:contextualSpacing/>
    </w:pPr>
  </w:style>
  <w:style w:type="character" w:styleId="UnresolvedMention">
    <w:name w:val="Unresolved Mention"/>
    <w:basedOn w:val="DefaultParagraphFont"/>
    <w:uiPriority w:val="99"/>
    <w:semiHidden/>
    <w:unhideWhenUsed/>
    <w:rsid w:val="0080500B"/>
    <w:rPr>
      <w:color w:val="605E5C"/>
      <w:shd w:val="clear" w:color="auto" w:fill="E1DFDD"/>
    </w:rPr>
  </w:style>
  <w:style w:type="character" w:styleId="Strong">
    <w:name w:val="Strong"/>
    <w:basedOn w:val="DefaultParagraphFont"/>
    <w:qFormat/>
    <w:rsid w:val="00701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public.advisor@cpuc.ca.gov" TargetMode="External" Id="rId17" /><Relationship Type="http://schemas.openxmlformats.org/officeDocument/2006/relationships/customXml" Target="../customXml/item2.xml" Id="rId2" /><Relationship Type="http://schemas.openxmlformats.org/officeDocument/2006/relationships/hyperlink" Target="http://subscribecpuc.cpuc.ca.gov/"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process_office@cpuc.ca.gov"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www.calmac.org/publications/PY2014_Residential_Finance_Market_Baseline_Volume_1_FINAL.pdf" TargetMode="External"/><Relationship Id="rId2" Type="http://schemas.openxmlformats.org/officeDocument/2006/relationships/hyperlink" Target="https://gogreenfinancing.com/" TargetMode="External"/><Relationship Id="rId1" Type="http://schemas.openxmlformats.org/officeDocument/2006/relationships/hyperlink" Target="https://www.energy.ca.gov/rules-and-regulations/energy-suppliers-reporting/clean-energy-and-pollution-reduction-act-sb-350/sb" TargetMode="External"/><Relationship Id="rId5" Type="http://schemas.openxmlformats.org/officeDocument/2006/relationships/hyperlink" Target="https://docs.cpuc.ca.gov/SearchRes.aspx?DocFormat=ALL&amp;DocID=326172086" TargetMode="External"/><Relationship Id="rId4" Type="http://schemas.openxmlformats.org/officeDocument/2006/relationships/hyperlink" Target="http://www.calmac.org/publications/MEO_Finance_Study_Report_FINAL12.28.2017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3" ma:contentTypeDescription="Create a new document." ma:contentTypeScope="" ma:versionID="acf7ebe97687af87fea141e18464e92b">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f73d44d55af44be222830bb5cfad2aaf"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BDEB9-8E96-4A4A-AE54-233DCCFA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07CD2-03B5-4F25-B74D-8C23275BD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AE01E-1BB5-4CB1-A95D-D74D00D85B3F}">
  <ds:schemaRefs>
    <ds:schemaRef ds:uri="http://schemas.openxmlformats.org/officeDocument/2006/bibliography"/>
  </ds:schemaRefs>
</ds:datastoreItem>
</file>

<file path=customXml/itemProps4.xml><?xml version="1.0" encoding="utf-8"?>
<ds:datastoreItem xmlns:ds="http://schemas.openxmlformats.org/officeDocument/2006/customXml" ds:itemID="{BA83C49F-FCDF-4545-B6EB-468F9722162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9014</ap:Words>
  <ap:Characters>51755</ap:Characters>
  <ap:Application>Microsoft Office Word</ap:Application>
  <ap:DocSecurity>0</ap:DocSecurity>
  <ap:Lines>431</ap:Lines>
  <ap:Paragraphs>121</ap:Paragraphs>
  <ap:ScaleCrop>false</ap:ScaleCrop>
  <ap:HeadingPairs>
    <vt:vector baseType="variant" size="2">
      <vt:variant>
        <vt:lpstr>Title</vt:lpstr>
      </vt:variant>
      <vt:variant>
        <vt:i4>1</vt:i4>
      </vt:variant>
    </vt:vector>
  </ap:HeadingPairs>
  <ap:TitlesOfParts>
    <vt:vector baseType="lpstr" size="1">
      <vt:lpstr>ALJ/MLC/tcg</vt:lpstr>
    </vt:vector>
  </ap:TitlesOfParts>
  <ap:Company/>
  <ap:LinksUpToDate>false</ap:LinksUpToDate>
  <ap:CharactersWithSpaces>60648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2009-01-07T21:31:00Z</cp:lastPrinted>
  <dcterms:created xsi:type="dcterms:W3CDTF">2020-08-17T10:57:12Z</dcterms:created>
  <dcterms:modified xsi:type="dcterms:W3CDTF">2020-08-17T10:57:12Z</dcterms:modified>
</cp:coreProperties>
</file>