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211" w:rsidR="00B60421" w:rsidP="00D726E8" w:rsidRDefault="002702F8" w14:paraId="77C9F74D" w14:textId="7E976EFB">
      <w:pPr>
        <w:tabs>
          <w:tab w:val="center" w:pos="4410"/>
        </w:tabs>
        <w:spacing w:line="240" w:lineRule="auto"/>
        <w:ind w:right="-630" w:firstLine="0"/>
      </w:pPr>
      <w:r>
        <w:t>COM</w:t>
      </w:r>
      <w:r w:rsidRPr="00C20211" w:rsidR="00DA7B5D">
        <w:t>/</w:t>
      </w:r>
      <w:r>
        <w:t>MGA</w:t>
      </w:r>
      <w:r w:rsidRPr="00C20211" w:rsidR="00DA7B5D">
        <w:t>/</w:t>
      </w:r>
      <w:proofErr w:type="spellStart"/>
      <w:r>
        <w:t>avs</w:t>
      </w:r>
      <w:proofErr w:type="spellEnd"/>
      <w:r w:rsidRPr="00C20211" w:rsidR="007E0FEE">
        <w:tab/>
      </w:r>
      <w:r w:rsidR="00287AE3">
        <w:tab/>
        <w:t xml:space="preserve">      </w:t>
      </w:r>
      <w:r w:rsidR="00287AE3">
        <w:rPr>
          <w:rFonts w:cs="Arial"/>
          <w:b/>
          <w:sz w:val="32"/>
          <w:szCs w:val="32"/>
        </w:rPr>
        <w:t xml:space="preserve">Date of </w:t>
      </w:r>
      <w:proofErr w:type="gramStart"/>
      <w:r w:rsidR="00287AE3">
        <w:rPr>
          <w:rFonts w:cs="Arial"/>
          <w:b/>
          <w:sz w:val="32"/>
          <w:szCs w:val="32"/>
        </w:rPr>
        <w:t>Issuance  8</w:t>
      </w:r>
      <w:proofErr w:type="gramEnd"/>
      <w:r w:rsidR="00287AE3">
        <w:rPr>
          <w:rFonts w:cs="Arial"/>
          <w:b/>
          <w:sz w:val="32"/>
          <w:szCs w:val="32"/>
        </w:rPr>
        <w:t>/11/2020</w:t>
      </w:r>
    </w:p>
    <w:p w:rsidRPr="00C20211" w:rsidR="00DA7B5D" w:rsidP="00632207" w:rsidRDefault="00DA7B5D" w14:paraId="1A212F39" w14:textId="12898AB3">
      <w:pPr>
        <w:spacing w:line="240" w:lineRule="auto"/>
        <w:jc w:val="right"/>
        <w:rPr>
          <w:b/>
        </w:rPr>
      </w:pPr>
    </w:p>
    <w:p w:rsidRPr="00D726E8" w:rsidR="00DA7B5D" w:rsidP="00D726E8" w:rsidRDefault="00DA7B5D" w14:paraId="061D6711" w14:textId="419A9DB7">
      <w:pPr>
        <w:ind w:firstLine="0"/>
        <w:jc w:val="right"/>
        <w:rPr>
          <w:b/>
          <w:bCs/>
        </w:rPr>
      </w:pPr>
    </w:p>
    <w:p w:rsidR="00DA7B5D" w:rsidP="002702F8" w:rsidRDefault="00DA7B5D" w14:paraId="3107A3FC" w14:textId="739B1969">
      <w:pPr>
        <w:spacing w:after="120" w:line="240" w:lineRule="auto"/>
        <w:ind w:left="1080" w:hanging="1080"/>
      </w:pPr>
      <w:r w:rsidRPr="00C20211">
        <w:t xml:space="preserve">Decision </w:t>
      </w:r>
      <w:r w:rsidR="00287AE3">
        <w:t>20-08-</w:t>
      </w:r>
      <w:proofErr w:type="gramStart"/>
      <w:r w:rsidR="00287AE3">
        <w:t>005  August</w:t>
      </w:r>
      <w:proofErr w:type="gramEnd"/>
      <w:r w:rsidR="00287AE3">
        <w:t xml:space="preserve"> </w:t>
      </w:r>
      <w:r w:rsidR="00117196">
        <w:t>6</w:t>
      </w:r>
      <w:r w:rsidR="00287AE3">
        <w:t>, 2020</w:t>
      </w:r>
    </w:p>
    <w:p w:rsidRPr="00C20211" w:rsidR="00287AE3" w:rsidP="002702F8" w:rsidRDefault="00287AE3" w14:paraId="36E9C1E7" w14:textId="77777777">
      <w:pPr>
        <w:spacing w:after="120" w:line="240" w:lineRule="auto"/>
        <w:ind w:left="1080" w:hanging="1080"/>
      </w:pPr>
    </w:p>
    <w:p w:rsidRPr="00C20211" w:rsidR="00DA7B5D" w:rsidP="00BB0243" w:rsidRDefault="00DA7B5D" w14:paraId="0D2AC5DA" w14:textId="77777777">
      <w:pPr>
        <w:spacing w:line="240" w:lineRule="auto"/>
        <w:jc w:val="center"/>
        <w:rPr>
          <w:u w:val="single"/>
        </w:rPr>
      </w:pPr>
    </w:p>
    <w:p w:rsidRPr="00834160" w:rsidR="00DA7B5D" w:rsidP="002702F8" w:rsidRDefault="00DA7B5D" w14:paraId="3CF504BA" w14:textId="4CD3E8C9">
      <w:pPr>
        <w:spacing w:line="240" w:lineRule="auto"/>
        <w:ind w:right="-810" w:firstLine="0"/>
        <w:rPr>
          <w:rFonts w:ascii="Helvetica" w:hAnsi="Helvetica" w:cs="Helvetica"/>
          <w:b/>
          <w:szCs w:val="26"/>
        </w:rPr>
      </w:pPr>
      <w:r w:rsidRPr="00834160">
        <w:rPr>
          <w:rFonts w:ascii="Helvetica" w:hAnsi="Helvetica" w:cs="Helvetica"/>
          <w:b/>
          <w:szCs w:val="26"/>
        </w:rPr>
        <w:t>BEFORE THE PUBLIC UTILITIES COMMISSION OF THE STATE OF CALIFORNIA</w:t>
      </w:r>
    </w:p>
    <w:p w:rsidRPr="00C20211" w:rsidR="002702F8" w:rsidP="002702F8" w:rsidRDefault="002702F8" w14:paraId="78964760" w14:textId="77777777">
      <w:pPr>
        <w:spacing w:line="240" w:lineRule="auto"/>
        <w:ind w:right="-810" w:firstLine="0"/>
        <w:rPr>
          <w:rFonts w:cs="Arial"/>
          <w:sz w:val="24"/>
          <w:szCs w:val="24"/>
        </w:rPr>
      </w:pPr>
    </w:p>
    <w:p w:rsidRPr="00C20211" w:rsidR="00DA7B5D" w:rsidP="008F0116" w:rsidRDefault="00DA7B5D" w14:paraId="1EC326D1" w14:textId="77777777">
      <w:pPr>
        <w:spacing w:line="240" w:lineRule="auto"/>
        <w:ind w:firstLine="0"/>
        <w:rPr>
          <w:rFonts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Pr="00C20211" w:rsidR="00DA7B5D" w:rsidTr="00E725FC" w14:paraId="374797F3" w14:textId="77777777">
        <w:trPr>
          <w:jc w:val="center"/>
        </w:trPr>
        <w:tc>
          <w:tcPr>
            <w:tcW w:w="5040" w:type="dxa"/>
            <w:tcBorders>
              <w:top w:val="nil"/>
              <w:left w:val="nil"/>
              <w:bottom w:val="single" w:color="auto" w:sz="4" w:space="0"/>
              <w:right w:val="single" w:color="auto" w:sz="4" w:space="0"/>
            </w:tcBorders>
          </w:tcPr>
          <w:p w:rsidRPr="00C20211" w:rsidR="00DA7B5D" w:rsidP="00D2112F" w:rsidRDefault="00D2112F" w14:paraId="3FB4F233" w14:textId="77777777">
            <w:pPr>
              <w:spacing w:line="240" w:lineRule="auto"/>
              <w:ind w:firstLine="0"/>
              <w:rPr>
                <w:rFonts w:cs="Arial"/>
                <w:szCs w:val="26"/>
              </w:rPr>
            </w:pPr>
            <w:r w:rsidRPr="00C20211">
              <w:rPr>
                <w:rFonts w:cs="Arial"/>
                <w:szCs w:val="26"/>
              </w:rPr>
              <w:t>Order Instituting Rulemaking to Consider Modifications to the California Advanced Services Fund.</w:t>
            </w:r>
          </w:p>
          <w:p w:rsidRPr="00C20211" w:rsidR="00D2112F" w:rsidP="00D2112F" w:rsidRDefault="00D2112F" w14:paraId="1BBC52F0" w14:textId="77777777">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C20211" w:rsidR="00DA7B5D" w:rsidP="00412C83" w:rsidRDefault="00D2112F" w14:paraId="22C694CF" w14:textId="77777777">
            <w:pPr>
              <w:spacing w:line="240" w:lineRule="auto"/>
              <w:ind w:firstLine="0"/>
              <w:jc w:val="center"/>
              <w:rPr>
                <w:rFonts w:cs="Arial"/>
                <w:szCs w:val="26"/>
              </w:rPr>
            </w:pPr>
            <w:bookmarkStart w:name="_Hlk43745593" w:id="0"/>
            <w:r w:rsidRPr="00C20211">
              <w:rPr>
                <w:rFonts w:cs="Arial"/>
                <w:szCs w:val="26"/>
              </w:rPr>
              <w:t>Rulemaking 12-10-012</w:t>
            </w:r>
            <w:bookmarkEnd w:id="0"/>
          </w:p>
        </w:tc>
      </w:tr>
    </w:tbl>
    <w:p w:rsidR="00DA7B5D" w:rsidP="008F0116" w:rsidRDefault="00DA7B5D" w14:paraId="509D1B72" w14:textId="12D5BE54">
      <w:pPr>
        <w:spacing w:line="240" w:lineRule="auto"/>
        <w:ind w:firstLine="0"/>
        <w:rPr>
          <w:rFonts w:cs="Arial"/>
          <w:sz w:val="24"/>
          <w:szCs w:val="24"/>
        </w:rPr>
      </w:pPr>
    </w:p>
    <w:p w:rsidRPr="00C20211" w:rsidR="005400D3" w:rsidP="008F0116" w:rsidRDefault="005400D3" w14:paraId="2CF366C5" w14:textId="77777777">
      <w:pPr>
        <w:spacing w:line="240" w:lineRule="auto"/>
        <w:ind w:firstLine="0"/>
        <w:rPr>
          <w:rFonts w:cs="Arial"/>
          <w:sz w:val="24"/>
          <w:szCs w:val="24"/>
        </w:rPr>
      </w:pPr>
    </w:p>
    <w:p w:rsidRPr="00C20211" w:rsidR="00DA7B5D" w:rsidP="008F0116" w:rsidRDefault="00DA7B5D" w14:paraId="3632B9E8" w14:textId="77777777">
      <w:pPr>
        <w:spacing w:line="240" w:lineRule="auto"/>
        <w:ind w:firstLine="0"/>
        <w:rPr>
          <w:rFonts w:cs="Arial"/>
          <w:sz w:val="24"/>
          <w:szCs w:val="24"/>
        </w:rPr>
      </w:pPr>
    </w:p>
    <w:p w:rsidRPr="001E19CC" w:rsidR="001B2EF5" w:rsidP="002702F8" w:rsidRDefault="00B76B57" w14:paraId="4A27B896" w14:textId="40713E1E">
      <w:pPr>
        <w:spacing w:line="240" w:lineRule="auto"/>
        <w:ind w:right="-810" w:firstLine="0"/>
        <w:jc w:val="center"/>
        <w:rPr>
          <w:rFonts w:ascii="Helvetica" w:hAnsi="Helvetica" w:cs="Helvetica"/>
          <w:b/>
          <w:szCs w:val="26"/>
        </w:rPr>
      </w:pPr>
      <w:bookmarkStart w:name="_Toc40183617" w:id="1"/>
      <w:bookmarkStart w:name="_Toc42496220" w:id="2"/>
      <w:r>
        <w:rPr>
          <w:rFonts w:ascii="Helvetica" w:hAnsi="Helvetica" w:cs="Helvetica"/>
          <w:b/>
          <w:szCs w:val="26"/>
        </w:rPr>
        <w:t xml:space="preserve">DECISION </w:t>
      </w:r>
      <w:r w:rsidRPr="001E19CC" w:rsidR="008722BC">
        <w:rPr>
          <w:rFonts w:ascii="Helvetica" w:hAnsi="Helvetica" w:cs="Helvetica"/>
          <w:b/>
          <w:szCs w:val="26"/>
        </w:rPr>
        <w:t>REVISING</w:t>
      </w:r>
      <w:r w:rsidRPr="001E19CC" w:rsidR="0090138D">
        <w:rPr>
          <w:rFonts w:ascii="Helvetica" w:hAnsi="Helvetica" w:cs="Helvetica"/>
          <w:b/>
          <w:szCs w:val="26"/>
        </w:rPr>
        <w:t xml:space="preserve"> RULES O</w:t>
      </w:r>
      <w:r w:rsidRPr="001E19CC" w:rsidR="00691A7B">
        <w:rPr>
          <w:rFonts w:ascii="Helvetica" w:hAnsi="Helvetica" w:cs="Helvetica"/>
          <w:b/>
          <w:szCs w:val="26"/>
        </w:rPr>
        <w:t>F</w:t>
      </w:r>
      <w:r w:rsidRPr="001E19CC" w:rsidR="0090138D">
        <w:rPr>
          <w:rFonts w:ascii="Helvetica" w:hAnsi="Helvetica" w:cs="Helvetica"/>
          <w:b/>
          <w:szCs w:val="26"/>
        </w:rPr>
        <w:t xml:space="preserve"> THE CALIFORNIA ADVANCED SERVICES FUND</w:t>
      </w:r>
      <w:r w:rsidRPr="001E19CC" w:rsidR="002702F8">
        <w:rPr>
          <w:rFonts w:ascii="Helvetica" w:hAnsi="Helvetica" w:cs="Helvetica"/>
          <w:b/>
          <w:szCs w:val="26"/>
        </w:rPr>
        <w:br/>
      </w:r>
      <w:r w:rsidRPr="001E19CC" w:rsidR="0090138D">
        <w:rPr>
          <w:rFonts w:ascii="Helvetica" w:hAnsi="Helvetica" w:cs="Helvetica"/>
          <w:b/>
          <w:szCs w:val="26"/>
        </w:rPr>
        <w:t xml:space="preserve">AND </w:t>
      </w:r>
      <w:r w:rsidRPr="001E19CC" w:rsidR="00D2112F">
        <w:rPr>
          <w:rFonts w:ascii="Helvetica" w:hAnsi="Helvetica" w:cs="Helvetica"/>
          <w:b/>
          <w:szCs w:val="26"/>
        </w:rPr>
        <w:t>CLOSING RULEMAKING 12-10-012</w:t>
      </w:r>
      <w:bookmarkEnd w:id="1"/>
      <w:bookmarkEnd w:id="2"/>
    </w:p>
    <w:p w:rsidRPr="002702F8" w:rsidR="002702F8" w:rsidP="002702F8" w:rsidRDefault="002702F8" w14:paraId="081E39B0" w14:textId="77777777"/>
    <w:p w:rsidRPr="002702F8" w:rsidR="002702F8" w:rsidP="002702F8" w:rsidRDefault="002702F8" w14:paraId="15ACED41" w14:textId="60918853">
      <w:pPr>
        <w:sectPr w:rsidRPr="002702F8" w:rsidR="002702F8" w:rsidSect="005140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Pr="00C20211" w:rsidR="00D50119" w:rsidP="00F76650" w:rsidRDefault="00D50119" w14:paraId="26168F1C" w14:textId="77777777">
      <w:pPr>
        <w:pStyle w:val="Main"/>
        <w:rPr>
          <w:rFonts w:ascii="Book Antiqua" w:hAnsi="Book Antiqua"/>
        </w:rPr>
      </w:pPr>
      <w:r w:rsidRPr="00C20211">
        <w:rPr>
          <w:rFonts w:ascii="Book Antiqua" w:hAnsi="Book Antiqua"/>
        </w:rPr>
        <w:lastRenderedPageBreak/>
        <w:t>TABLE OF CONTENTS</w:t>
      </w:r>
    </w:p>
    <w:p w:rsidRPr="007E358C" w:rsidR="00D50119" w:rsidP="007E0FEE" w:rsidRDefault="00D50119" w14:paraId="4A7CFD5D" w14:textId="77777777">
      <w:pPr>
        <w:tabs>
          <w:tab w:val="right" w:pos="9360"/>
        </w:tabs>
        <w:ind w:firstLine="0"/>
      </w:pPr>
      <w:r w:rsidRPr="00C20211">
        <w:rPr>
          <w:b/>
        </w:rPr>
        <w:t>Title</w:t>
      </w:r>
      <w:r w:rsidRPr="007E358C">
        <w:tab/>
      </w:r>
      <w:r w:rsidRPr="007E358C">
        <w:rPr>
          <w:b/>
        </w:rPr>
        <w:t>Page</w:t>
      </w:r>
    </w:p>
    <w:sdt>
      <w:sdtPr>
        <w:rPr>
          <w:rFonts w:ascii="Book Antiqua" w:hAnsi="Book Antiqua" w:eastAsiaTheme="minorHAnsi" w:cstheme="minorBidi"/>
          <w:b w:val="0"/>
          <w:color w:val="2B579A"/>
          <w:szCs w:val="22"/>
          <w:shd w:val="clear" w:color="auto" w:fill="E6E6E6"/>
        </w:rPr>
        <w:id w:val="1888760724"/>
        <w:docPartObj>
          <w:docPartGallery w:val="Table of Contents"/>
          <w:docPartUnique/>
        </w:docPartObj>
      </w:sdtPr>
      <w:sdtEndPr/>
      <w:sdtContent>
        <w:p w:rsidRPr="007E358C" w:rsidR="007C2F59" w:rsidRDefault="007C2F59" w14:paraId="17E018D5" w14:textId="397409D2">
          <w:pPr>
            <w:pStyle w:val="TOCHeading"/>
            <w:rPr>
              <w:rFonts w:ascii="Book Antiqua" w:hAnsi="Book Antiqua"/>
              <w:sz w:val="6"/>
              <w:szCs w:val="6"/>
            </w:rPr>
          </w:pPr>
        </w:p>
        <w:p w:rsidRPr="007E358C" w:rsidR="00D40860" w:rsidP="00D726E8" w:rsidRDefault="00D726E8" w14:paraId="517EF7A0" w14:textId="65441723">
          <w:pPr>
            <w:pStyle w:val="TOC1"/>
            <w:tabs>
              <w:tab w:val="right" w:leader="dot" w:pos="9260"/>
            </w:tabs>
            <w:ind w:left="0" w:firstLine="0"/>
            <w:rPr>
              <w:rFonts w:cstheme="minorBidi"/>
              <w:noProof/>
              <w:sz w:val="22"/>
            </w:rPr>
          </w:pPr>
          <w:r>
            <w:rPr>
              <w:rFonts w:cs="Arial"/>
              <w:szCs w:val="26"/>
            </w:rPr>
            <w:t>DECISION R</w:t>
          </w:r>
          <w:r w:rsidRPr="002702F8">
            <w:t xml:space="preserve">EVISING RULES OF THE CALIFORNIA ADVANCED </w:t>
          </w:r>
          <w:r>
            <w:br/>
          </w:r>
          <w:r w:rsidRPr="002702F8">
            <w:t>SERVICES FUND AND CLOSING RULEMAKING 12-10-012</w:t>
          </w:r>
          <w:hyperlink w:history="1" w:anchor="_Toc43744753">
            <w:r w:rsidRPr="007E358C" w:rsidR="00D40860">
              <w:rPr>
                <w:noProof/>
                <w:webHidden/>
              </w:rPr>
              <w:tab/>
            </w:r>
            <w:r w:rsidRPr="007E358C" w:rsidR="00D40860">
              <w:rPr>
                <w:webHidden/>
                <w:color w:val="2B579A"/>
                <w:shd w:val="clear" w:color="auto" w:fill="E6E6E6"/>
              </w:rPr>
              <w:fldChar w:fldCharType="begin"/>
            </w:r>
            <w:r w:rsidRPr="007E358C" w:rsidR="00D40860">
              <w:rPr>
                <w:noProof/>
                <w:webHidden/>
              </w:rPr>
              <w:instrText xml:space="preserve"> PAGEREF _Toc43744753 \h </w:instrText>
            </w:r>
            <w:r w:rsidRPr="007E358C" w:rsidR="00D40860">
              <w:rPr>
                <w:webHidden/>
                <w:color w:val="2B579A"/>
                <w:shd w:val="clear" w:color="auto" w:fill="E6E6E6"/>
              </w:rPr>
            </w:r>
            <w:r w:rsidRPr="007E358C" w:rsidR="00D40860">
              <w:rPr>
                <w:webHidden/>
                <w:color w:val="2B579A"/>
                <w:shd w:val="clear" w:color="auto" w:fill="E6E6E6"/>
              </w:rPr>
              <w:fldChar w:fldCharType="separate"/>
            </w:r>
            <w:r w:rsidR="007D2BC0">
              <w:rPr>
                <w:noProof/>
                <w:webHidden/>
              </w:rPr>
              <w:t>2</w:t>
            </w:r>
            <w:r w:rsidRPr="007E358C" w:rsidR="00D40860">
              <w:rPr>
                <w:webHidden/>
                <w:color w:val="2B579A"/>
                <w:shd w:val="clear" w:color="auto" w:fill="E6E6E6"/>
              </w:rPr>
              <w:fldChar w:fldCharType="end"/>
            </w:r>
          </w:hyperlink>
        </w:p>
        <w:p w:rsidRPr="007E358C" w:rsidR="00D40860" w:rsidRDefault="00192102" w14:paraId="0EEE96AF" w14:textId="7CE76DE6">
          <w:pPr>
            <w:pStyle w:val="TOC1"/>
            <w:tabs>
              <w:tab w:val="right" w:leader="dot" w:pos="9260"/>
            </w:tabs>
            <w:rPr>
              <w:rFonts w:cstheme="minorBidi"/>
              <w:noProof/>
              <w:sz w:val="22"/>
            </w:rPr>
          </w:pPr>
          <w:hyperlink w:history="1" w:anchor="_Toc43744754">
            <w:r w:rsidRPr="007E358C" w:rsidR="00D40860">
              <w:rPr>
                <w:rStyle w:val="Hyperlink"/>
                <w:noProof/>
                <w:color w:val="auto"/>
                <w:u w:val="none"/>
              </w:rPr>
              <w:t>1.</w:t>
            </w:r>
            <w:r w:rsidRPr="007E358C" w:rsidR="00D40860">
              <w:rPr>
                <w:rFonts w:cstheme="minorBidi"/>
                <w:noProof/>
                <w:sz w:val="22"/>
              </w:rPr>
              <w:tab/>
            </w:r>
            <w:r w:rsidRPr="007E358C" w:rsidR="00D40860">
              <w:rPr>
                <w:rStyle w:val="Hyperlink"/>
                <w:noProof/>
                <w:color w:val="auto"/>
                <w:u w:val="none"/>
              </w:rPr>
              <w:t>Relevant Background</w:t>
            </w:r>
            <w:r w:rsidRPr="007E358C" w:rsidR="00D40860">
              <w:rPr>
                <w:noProof/>
                <w:webHidden/>
              </w:rPr>
              <w:tab/>
            </w:r>
            <w:r w:rsidRPr="007E358C" w:rsidR="00906E48">
              <w:rPr>
                <w:noProof/>
                <w:webHidden/>
              </w:rPr>
              <w:t>2</w:t>
            </w:r>
          </w:hyperlink>
        </w:p>
        <w:p w:rsidRPr="007E358C" w:rsidR="00D40860" w:rsidP="006D722A" w:rsidRDefault="00192102" w14:paraId="72177E14" w14:textId="55701314">
          <w:pPr>
            <w:pStyle w:val="TOC2"/>
            <w:tabs>
              <w:tab w:val="right" w:leader="dot" w:pos="9260"/>
            </w:tabs>
            <w:ind w:left="900" w:hanging="450"/>
            <w:rPr>
              <w:rFonts w:cstheme="minorBidi"/>
              <w:noProof/>
              <w:sz w:val="22"/>
            </w:rPr>
          </w:pPr>
          <w:hyperlink w:history="1" w:anchor="_Toc43744755">
            <w:r w:rsidRPr="007E358C" w:rsidR="00D40860">
              <w:rPr>
                <w:rStyle w:val="Hyperlink"/>
                <w:rFonts w:cs="Helvetica"/>
                <w:noProof/>
                <w:color w:val="auto"/>
                <w:u w:val="none"/>
              </w:rPr>
              <w:t>1.1</w:t>
            </w:r>
            <w:r w:rsidRPr="007E358C" w:rsidR="006D722A">
              <w:rPr>
                <w:rStyle w:val="Hyperlink"/>
                <w:rFonts w:cs="Helvetica"/>
                <w:noProof/>
                <w:color w:val="auto"/>
                <w:u w:val="none"/>
              </w:rPr>
              <w:t xml:space="preserve">  </w:t>
            </w:r>
            <w:r w:rsidRPr="007E358C" w:rsidR="00D40860">
              <w:rPr>
                <w:rStyle w:val="Hyperlink"/>
                <w:rFonts w:cs="Helvetica"/>
                <w:noProof/>
                <w:color w:val="auto"/>
                <w:u w:val="none"/>
              </w:rPr>
              <w:t>Infrastructure Grant Account</w:t>
            </w:r>
            <w:r w:rsidRPr="007E358C" w:rsidR="00D40860">
              <w:rPr>
                <w:noProof/>
                <w:webHidden/>
              </w:rPr>
              <w:tab/>
            </w:r>
            <w:r w:rsidRPr="007E358C" w:rsidR="00906E48">
              <w:rPr>
                <w:noProof/>
                <w:webHidden/>
              </w:rPr>
              <w:t>2</w:t>
            </w:r>
          </w:hyperlink>
        </w:p>
        <w:p w:rsidRPr="007E358C" w:rsidR="00D40860" w:rsidP="006D722A" w:rsidRDefault="00192102" w14:paraId="0A4CC28D" w14:textId="376CF2D6">
          <w:pPr>
            <w:pStyle w:val="TOC2"/>
            <w:tabs>
              <w:tab w:val="right" w:leader="dot" w:pos="9260"/>
            </w:tabs>
            <w:ind w:left="900" w:hanging="450"/>
            <w:rPr>
              <w:rFonts w:cstheme="minorBidi"/>
              <w:noProof/>
              <w:sz w:val="22"/>
            </w:rPr>
          </w:pPr>
          <w:hyperlink w:history="1" w:anchor="_Toc43744756">
            <w:r w:rsidRPr="007E358C" w:rsidR="00D40860">
              <w:rPr>
                <w:rStyle w:val="Hyperlink"/>
                <w:rFonts w:cs="Helvetica"/>
                <w:noProof/>
                <w:color w:val="auto"/>
                <w:u w:val="none"/>
              </w:rPr>
              <w:t xml:space="preserve">1.2.  </w:t>
            </w:r>
            <w:r w:rsidRPr="007E358C" w:rsidR="00D40860">
              <w:rPr>
                <w:rStyle w:val="Hyperlink"/>
                <w:bCs/>
                <w:noProof/>
                <w:color w:val="auto"/>
                <w:u w:val="none"/>
              </w:rPr>
              <w:t>Technical Assistance Funds for Tribes</w:t>
            </w:r>
            <w:r w:rsidRPr="007E358C" w:rsidR="00D40860">
              <w:rPr>
                <w:noProof/>
                <w:webHidden/>
              </w:rPr>
              <w:tab/>
            </w:r>
            <w:r w:rsidRPr="007E358C" w:rsidR="00906E48">
              <w:rPr>
                <w:noProof/>
                <w:webHidden/>
              </w:rPr>
              <w:t>4</w:t>
            </w:r>
          </w:hyperlink>
        </w:p>
        <w:p w:rsidRPr="007E358C" w:rsidR="00D40860" w:rsidP="006D722A" w:rsidRDefault="00192102" w14:paraId="3DD0434F" w14:textId="4C7B818C">
          <w:pPr>
            <w:pStyle w:val="TOC2"/>
            <w:tabs>
              <w:tab w:val="right" w:leader="dot" w:pos="9260"/>
            </w:tabs>
            <w:ind w:left="900" w:hanging="450"/>
            <w:rPr>
              <w:rFonts w:cstheme="minorBidi"/>
              <w:noProof/>
              <w:sz w:val="22"/>
            </w:rPr>
          </w:pPr>
          <w:hyperlink w:history="1" w:anchor="_Toc43744757">
            <w:r w:rsidRPr="007E358C" w:rsidR="00D40860">
              <w:rPr>
                <w:rStyle w:val="Hyperlink"/>
                <w:rFonts w:cs="Helvetica"/>
                <w:noProof/>
                <w:color w:val="auto"/>
                <w:u w:val="none"/>
              </w:rPr>
              <w:t>1.3.</w:t>
            </w:r>
            <w:r w:rsidRPr="007E358C" w:rsidR="006D722A">
              <w:rPr>
                <w:rStyle w:val="Hyperlink"/>
                <w:rFonts w:cs="Helvetica"/>
                <w:noProof/>
                <w:color w:val="auto"/>
                <w:u w:val="none"/>
              </w:rPr>
              <w:t xml:space="preserve">  </w:t>
            </w:r>
            <w:r w:rsidRPr="007E358C" w:rsidR="00D40860">
              <w:rPr>
                <w:rStyle w:val="Hyperlink"/>
                <w:rFonts w:cs="Helvetica"/>
                <w:noProof/>
                <w:color w:val="auto"/>
                <w:u w:val="none"/>
              </w:rPr>
              <w:t>Public Housing Account</w:t>
            </w:r>
            <w:r w:rsidRPr="007E358C" w:rsidR="00D40860">
              <w:rPr>
                <w:noProof/>
                <w:webHidden/>
              </w:rPr>
              <w:tab/>
            </w:r>
            <w:r w:rsidRPr="007E358C" w:rsidR="00906E48">
              <w:rPr>
                <w:noProof/>
                <w:webHidden/>
              </w:rPr>
              <w:t>5</w:t>
            </w:r>
          </w:hyperlink>
        </w:p>
        <w:p w:rsidRPr="007E358C" w:rsidR="00D40860" w:rsidP="006D722A" w:rsidRDefault="00192102" w14:paraId="79B30E5B" w14:textId="3925A975">
          <w:pPr>
            <w:pStyle w:val="TOC2"/>
            <w:tabs>
              <w:tab w:val="right" w:leader="dot" w:pos="9260"/>
            </w:tabs>
            <w:ind w:left="900" w:hanging="450"/>
            <w:rPr>
              <w:rFonts w:cstheme="minorBidi"/>
              <w:noProof/>
              <w:sz w:val="22"/>
            </w:rPr>
          </w:pPr>
          <w:hyperlink w:history="1" w:anchor="_Toc43744758">
            <w:r w:rsidRPr="007E358C" w:rsidR="00D40860">
              <w:rPr>
                <w:rStyle w:val="Hyperlink"/>
                <w:rFonts w:cs="Helvetica"/>
                <w:noProof/>
                <w:color w:val="auto"/>
                <w:u w:val="none"/>
              </w:rPr>
              <w:t>1.4.</w:t>
            </w:r>
            <w:r w:rsidRPr="007E358C" w:rsidR="006D722A">
              <w:rPr>
                <w:rStyle w:val="Hyperlink"/>
                <w:rFonts w:cs="Helvetica"/>
                <w:noProof/>
                <w:color w:val="auto"/>
                <w:u w:val="none"/>
              </w:rPr>
              <w:t xml:space="preserve">  </w:t>
            </w:r>
            <w:r w:rsidRPr="007E358C" w:rsidR="00D40860">
              <w:rPr>
                <w:rStyle w:val="Hyperlink"/>
                <w:rFonts w:cs="Helvetica"/>
                <w:noProof/>
                <w:color w:val="auto"/>
                <w:u w:val="none"/>
              </w:rPr>
              <w:t>The March 26, 2020 Assigned Commissioner’s Ruling</w:t>
            </w:r>
            <w:r w:rsidRPr="007E358C" w:rsidR="00D40860">
              <w:rPr>
                <w:noProof/>
                <w:webHidden/>
              </w:rPr>
              <w:tab/>
            </w:r>
            <w:r w:rsidRPr="007E358C" w:rsidR="00906E48">
              <w:rPr>
                <w:noProof/>
                <w:webHidden/>
              </w:rPr>
              <w:t>5</w:t>
            </w:r>
          </w:hyperlink>
        </w:p>
        <w:p w:rsidRPr="007E358C" w:rsidR="00D40860" w:rsidRDefault="00192102" w14:paraId="653A9F09" w14:textId="3DE05D57">
          <w:pPr>
            <w:pStyle w:val="TOC1"/>
            <w:tabs>
              <w:tab w:val="right" w:leader="dot" w:pos="9260"/>
            </w:tabs>
            <w:rPr>
              <w:rFonts w:cstheme="minorBidi"/>
              <w:noProof/>
              <w:sz w:val="22"/>
            </w:rPr>
          </w:pPr>
          <w:hyperlink w:history="1" w:anchor="_Toc43744759">
            <w:r w:rsidRPr="007E358C" w:rsidR="00D40860">
              <w:rPr>
                <w:rStyle w:val="Hyperlink"/>
                <w:noProof/>
                <w:color w:val="auto"/>
                <w:u w:val="none"/>
              </w:rPr>
              <w:t>2.</w:t>
            </w:r>
            <w:r w:rsidRPr="007E358C" w:rsidR="00D40860">
              <w:rPr>
                <w:rFonts w:cstheme="minorBidi"/>
                <w:noProof/>
                <w:sz w:val="22"/>
              </w:rPr>
              <w:tab/>
            </w:r>
            <w:r w:rsidRPr="007E358C" w:rsidR="00D40860">
              <w:rPr>
                <w:rStyle w:val="Hyperlink"/>
                <w:noProof/>
                <w:color w:val="auto"/>
                <w:u w:val="none"/>
              </w:rPr>
              <w:t>Staff Assigned to Set Additional Infrastructure Application Windows</w:t>
            </w:r>
            <w:r w:rsidRPr="007E358C" w:rsidR="00D40860">
              <w:rPr>
                <w:noProof/>
                <w:webHidden/>
              </w:rPr>
              <w:tab/>
            </w:r>
            <w:r w:rsidRPr="007E358C" w:rsidR="00906E48">
              <w:rPr>
                <w:noProof/>
                <w:webHidden/>
              </w:rPr>
              <w:t>7</w:t>
            </w:r>
          </w:hyperlink>
        </w:p>
        <w:p w:rsidRPr="007E358C" w:rsidR="00D40860" w:rsidP="006D722A" w:rsidRDefault="00192102" w14:paraId="14F3FE5B" w14:textId="74E2BFEC">
          <w:pPr>
            <w:pStyle w:val="TOC2"/>
            <w:tabs>
              <w:tab w:val="right" w:leader="dot" w:pos="9260"/>
            </w:tabs>
            <w:ind w:hanging="414"/>
            <w:rPr>
              <w:rFonts w:cstheme="minorBidi"/>
              <w:noProof/>
              <w:sz w:val="22"/>
            </w:rPr>
          </w:pPr>
          <w:hyperlink w:history="1" w:anchor="_Toc43744760">
            <w:r w:rsidRPr="007E358C" w:rsidR="00D40860">
              <w:rPr>
                <w:rStyle w:val="Hyperlink"/>
                <w:rFonts w:cs="Helvetica"/>
                <w:noProof/>
                <w:color w:val="auto"/>
                <w:u w:val="none"/>
              </w:rPr>
              <w:t>2.1.  Additional Application Windows</w:t>
            </w:r>
            <w:r w:rsidRPr="007E358C" w:rsidR="00D40860">
              <w:rPr>
                <w:noProof/>
                <w:webHidden/>
              </w:rPr>
              <w:tab/>
            </w:r>
            <w:r w:rsidRPr="007E358C" w:rsidR="00906E48">
              <w:rPr>
                <w:noProof/>
                <w:webHidden/>
              </w:rPr>
              <w:t>7</w:t>
            </w:r>
          </w:hyperlink>
        </w:p>
        <w:p w:rsidRPr="007E358C" w:rsidR="00D40860" w:rsidP="006D722A" w:rsidRDefault="00192102" w14:paraId="6F71939E" w14:textId="00180053">
          <w:pPr>
            <w:pStyle w:val="TOC3"/>
            <w:tabs>
              <w:tab w:val="right" w:leader="dot" w:pos="9260"/>
            </w:tabs>
            <w:ind w:left="1620" w:hanging="630"/>
            <w:rPr>
              <w:rFonts w:cstheme="minorBidi"/>
              <w:noProof/>
              <w:sz w:val="22"/>
            </w:rPr>
          </w:pPr>
          <w:hyperlink w:history="1" w:anchor="_Toc43744761">
            <w:r w:rsidRPr="007E358C" w:rsidR="00D40860">
              <w:rPr>
                <w:rStyle w:val="Hyperlink"/>
                <w:rFonts w:cs="Helvetica"/>
                <w:noProof/>
                <w:color w:val="auto"/>
                <w:u w:val="none"/>
              </w:rPr>
              <w:t>2.1.1.</w:t>
            </w:r>
            <w:r w:rsidRPr="007E358C" w:rsidR="006D722A">
              <w:rPr>
                <w:rStyle w:val="Hyperlink"/>
                <w:rFonts w:cs="Helvetica"/>
                <w:noProof/>
                <w:color w:val="auto"/>
                <w:u w:val="none"/>
              </w:rPr>
              <w:t xml:space="preserve">  </w:t>
            </w:r>
            <w:r w:rsidRPr="007E358C" w:rsidR="00D40860">
              <w:rPr>
                <w:rStyle w:val="Hyperlink"/>
                <w:rFonts w:cs="Helvetica"/>
                <w:noProof/>
                <w:color w:val="auto"/>
                <w:u w:val="none"/>
              </w:rPr>
              <w:t>Parties’ Comments and Reply Comments</w:t>
            </w:r>
            <w:r w:rsidRPr="007E358C" w:rsidR="006D722A">
              <w:rPr>
                <w:rStyle w:val="Hyperlink"/>
                <w:rFonts w:cs="Helvetica"/>
                <w:noProof/>
                <w:color w:val="auto"/>
                <w:u w:val="none"/>
              </w:rPr>
              <w:br/>
            </w:r>
            <w:r w:rsidRPr="007E358C" w:rsidR="00D40860">
              <w:rPr>
                <w:rStyle w:val="Hyperlink"/>
                <w:rFonts w:cs="Helvetica"/>
                <w:noProof/>
                <w:color w:val="auto"/>
                <w:u w:val="none"/>
              </w:rPr>
              <w:t xml:space="preserve"> in Response to the ACR</w:t>
            </w:r>
            <w:r w:rsidRPr="007E358C" w:rsidR="00D40860">
              <w:rPr>
                <w:noProof/>
                <w:webHidden/>
              </w:rPr>
              <w:tab/>
            </w:r>
            <w:r w:rsidRPr="007E358C" w:rsidR="00906E48">
              <w:rPr>
                <w:noProof/>
                <w:webHidden/>
              </w:rPr>
              <w:t>8</w:t>
            </w:r>
          </w:hyperlink>
        </w:p>
        <w:p w:rsidRPr="007E358C" w:rsidR="00D40860" w:rsidP="006D722A" w:rsidRDefault="00192102" w14:paraId="7338F4D4" w14:textId="39E9B972">
          <w:pPr>
            <w:pStyle w:val="TOC2"/>
            <w:tabs>
              <w:tab w:val="right" w:leader="dot" w:pos="9260"/>
            </w:tabs>
            <w:ind w:hanging="414"/>
            <w:rPr>
              <w:rFonts w:cstheme="minorBidi"/>
              <w:noProof/>
              <w:sz w:val="22"/>
            </w:rPr>
          </w:pPr>
          <w:hyperlink w:history="1" w:anchor="_Toc43744762">
            <w:r w:rsidRPr="007E358C" w:rsidR="00D40860">
              <w:rPr>
                <w:rStyle w:val="Hyperlink"/>
                <w:rFonts w:cs="Helvetica"/>
                <w:noProof/>
                <w:color w:val="auto"/>
                <w:u w:val="none"/>
              </w:rPr>
              <w:t>2.2.  Federal Funds and Other Funding Sources</w:t>
            </w:r>
            <w:r w:rsidRPr="007E358C" w:rsidR="00D40860">
              <w:rPr>
                <w:noProof/>
                <w:webHidden/>
              </w:rPr>
              <w:tab/>
            </w:r>
            <w:r w:rsidRPr="007E358C" w:rsidR="00906E48">
              <w:rPr>
                <w:noProof/>
                <w:webHidden/>
              </w:rPr>
              <w:t>9</w:t>
            </w:r>
          </w:hyperlink>
        </w:p>
        <w:p w:rsidRPr="007E358C" w:rsidR="00D40860" w:rsidP="006D722A" w:rsidRDefault="00192102" w14:paraId="6B156086" w14:textId="567C15DE">
          <w:pPr>
            <w:pStyle w:val="TOC3"/>
            <w:tabs>
              <w:tab w:val="right" w:leader="dot" w:pos="9260"/>
            </w:tabs>
            <w:ind w:left="1620" w:hanging="630"/>
            <w:rPr>
              <w:rFonts w:cstheme="minorBidi"/>
              <w:noProof/>
              <w:sz w:val="22"/>
            </w:rPr>
          </w:pPr>
          <w:hyperlink w:history="1" w:anchor="_Toc43744763">
            <w:r w:rsidRPr="007E358C" w:rsidR="00D40860">
              <w:rPr>
                <w:rStyle w:val="Hyperlink"/>
                <w:rFonts w:cs="Helvetica"/>
                <w:noProof/>
                <w:color w:val="auto"/>
                <w:u w:val="none"/>
              </w:rPr>
              <w:t>2.2.1</w:t>
            </w:r>
            <w:r w:rsidRPr="007E358C" w:rsidR="006D722A">
              <w:rPr>
                <w:rStyle w:val="Hyperlink"/>
                <w:rFonts w:cs="Helvetica"/>
                <w:noProof/>
                <w:color w:val="auto"/>
                <w:u w:val="none"/>
              </w:rPr>
              <w:t xml:space="preserve">.  </w:t>
            </w:r>
            <w:r w:rsidRPr="007E358C" w:rsidR="006D722A">
              <w:rPr>
                <w:rFonts w:cstheme="minorBidi"/>
                <w:noProof/>
                <w:sz w:val="22"/>
              </w:rPr>
              <w:t>P</w:t>
            </w:r>
            <w:r w:rsidRPr="007E358C" w:rsidR="00D40860">
              <w:rPr>
                <w:rStyle w:val="Hyperlink"/>
                <w:rFonts w:cs="Helvetica"/>
                <w:noProof/>
                <w:color w:val="auto"/>
                <w:u w:val="none"/>
              </w:rPr>
              <w:t>arties’ Comments and Reply Comments</w:t>
            </w:r>
            <w:r w:rsidRPr="007E358C" w:rsidR="006D722A">
              <w:rPr>
                <w:rStyle w:val="Hyperlink"/>
                <w:rFonts w:cs="Helvetica"/>
                <w:noProof/>
                <w:color w:val="auto"/>
                <w:u w:val="none"/>
              </w:rPr>
              <w:br/>
            </w:r>
            <w:r w:rsidRPr="007E358C" w:rsidR="00D40860">
              <w:rPr>
                <w:rStyle w:val="Hyperlink"/>
                <w:rFonts w:cs="Helvetica"/>
                <w:noProof/>
                <w:color w:val="auto"/>
                <w:u w:val="none"/>
              </w:rPr>
              <w:t xml:space="preserve"> in response to the ACR</w:t>
            </w:r>
            <w:r w:rsidRPr="007E358C" w:rsidR="00D40860">
              <w:rPr>
                <w:noProof/>
                <w:webHidden/>
              </w:rPr>
              <w:tab/>
            </w:r>
            <w:r w:rsidRPr="007E358C" w:rsidR="00906E48">
              <w:rPr>
                <w:noProof/>
                <w:webHidden/>
              </w:rPr>
              <w:t>10</w:t>
            </w:r>
          </w:hyperlink>
        </w:p>
        <w:p w:rsidRPr="007E358C" w:rsidR="00D40860" w:rsidP="006D722A" w:rsidRDefault="00192102" w14:paraId="2E24EA18" w14:textId="715FBC1D">
          <w:pPr>
            <w:pStyle w:val="TOC2"/>
            <w:tabs>
              <w:tab w:val="left" w:pos="1296"/>
              <w:tab w:val="right" w:leader="dot" w:pos="9260"/>
            </w:tabs>
            <w:ind w:hanging="414"/>
            <w:rPr>
              <w:rFonts w:cstheme="minorBidi"/>
              <w:noProof/>
              <w:sz w:val="22"/>
            </w:rPr>
          </w:pPr>
          <w:hyperlink w:history="1" w:anchor="_Toc43744764">
            <w:r w:rsidRPr="007E358C" w:rsidR="00D40860">
              <w:rPr>
                <w:rStyle w:val="Hyperlink"/>
                <w:rFonts w:cs="Helvetica"/>
                <w:noProof/>
                <w:color w:val="auto"/>
                <w:u w:val="none"/>
              </w:rPr>
              <w:t>2.3.</w:t>
            </w:r>
            <w:r w:rsidRPr="007E358C" w:rsidR="00D40860">
              <w:rPr>
                <w:rFonts w:cstheme="minorBidi"/>
                <w:noProof/>
                <w:sz w:val="22"/>
              </w:rPr>
              <w:tab/>
            </w:r>
            <w:r w:rsidRPr="007E358C" w:rsidR="006D722A">
              <w:rPr>
                <w:rFonts w:cstheme="minorBidi"/>
                <w:noProof/>
                <w:sz w:val="22"/>
              </w:rPr>
              <w:t xml:space="preserve">  </w:t>
            </w:r>
            <w:r w:rsidRPr="007E358C" w:rsidR="00D40860">
              <w:rPr>
                <w:rStyle w:val="Hyperlink"/>
                <w:rFonts w:cs="Helvetica"/>
                <w:noProof/>
                <w:color w:val="auto"/>
                <w:u w:val="none"/>
              </w:rPr>
              <w:t>Tribal Priority Window  Infrastructure Applications</w:t>
            </w:r>
            <w:r w:rsidRPr="007E358C" w:rsidR="00D40860">
              <w:rPr>
                <w:noProof/>
                <w:webHidden/>
              </w:rPr>
              <w:tab/>
            </w:r>
            <w:r w:rsidRPr="007E358C" w:rsidR="00906E48">
              <w:rPr>
                <w:noProof/>
                <w:webHidden/>
              </w:rPr>
              <w:t>13</w:t>
            </w:r>
          </w:hyperlink>
        </w:p>
        <w:p w:rsidRPr="007E358C" w:rsidR="00D40860" w:rsidP="006D722A" w:rsidRDefault="00192102" w14:paraId="59356678" w14:textId="00C095E8">
          <w:pPr>
            <w:pStyle w:val="TOC3"/>
            <w:tabs>
              <w:tab w:val="right" w:leader="dot" w:pos="9260"/>
            </w:tabs>
            <w:ind w:left="1710" w:hanging="630"/>
            <w:rPr>
              <w:rFonts w:cstheme="minorBidi"/>
              <w:noProof/>
              <w:sz w:val="22"/>
            </w:rPr>
          </w:pPr>
          <w:hyperlink w:history="1" w:anchor="_Toc43744765">
            <w:r w:rsidRPr="007E358C" w:rsidR="00D40860">
              <w:rPr>
                <w:rStyle w:val="Hyperlink"/>
                <w:rFonts w:cs="Helvetica"/>
                <w:noProof/>
                <w:color w:val="auto"/>
                <w:u w:val="none"/>
              </w:rPr>
              <w:t>2.3.1.</w:t>
            </w:r>
            <w:r w:rsidRPr="007E358C" w:rsidR="006D722A">
              <w:rPr>
                <w:rStyle w:val="Hyperlink"/>
                <w:rFonts w:cs="Helvetica"/>
                <w:noProof/>
                <w:color w:val="auto"/>
                <w:u w:val="none"/>
              </w:rPr>
              <w:t xml:space="preserve">  </w:t>
            </w:r>
            <w:r w:rsidRPr="007E358C" w:rsidR="00D40860">
              <w:rPr>
                <w:rStyle w:val="Hyperlink"/>
                <w:rFonts w:cs="Helvetica"/>
                <w:noProof/>
                <w:color w:val="auto"/>
                <w:u w:val="none"/>
              </w:rPr>
              <w:t>Parties’ Comments and Reply Comments</w:t>
            </w:r>
            <w:r w:rsidRPr="007E358C" w:rsidR="006D722A">
              <w:rPr>
                <w:rStyle w:val="Hyperlink"/>
                <w:rFonts w:cs="Helvetica"/>
                <w:noProof/>
                <w:color w:val="auto"/>
                <w:u w:val="none"/>
              </w:rPr>
              <w:br/>
            </w:r>
            <w:r w:rsidRPr="007E358C" w:rsidR="00D40860">
              <w:rPr>
                <w:rStyle w:val="Hyperlink"/>
                <w:rFonts w:cs="Helvetica"/>
                <w:noProof/>
                <w:color w:val="auto"/>
                <w:u w:val="none"/>
              </w:rPr>
              <w:t xml:space="preserve"> in response to the ACR</w:t>
            </w:r>
            <w:r w:rsidRPr="007E358C" w:rsidR="00D40860">
              <w:rPr>
                <w:noProof/>
                <w:webHidden/>
              </w:rPr>
              <w:tab/>
            </w:r>
            <w:r w:rsidRPr="007E358C" w:rsidR="00906E48">
              <w:rPr>
                <w:noProof/>
                <w:webHidden/>
              </w:rPr>
              <w:t>13</w:t>
            </w:r>
          </w:hyperlink>
        </w:p>
        <w:p w:rsidRPr="007E358C" w:rsidR="00D40860" w:rsidP="006D722A" w:rsidRDefault="00192102" w14:paraId="70A8FBEF" w14:textId="77439203">
          <w:pPr>
            <w:pStyle w:val="TOC2"/>
            <w:tabs>
              <w:tab w:val="left" w:pos="1296"/>
              <w:tab w:val="right" w:leader="dot" w:pos="9260"/>
            </w:tabs>
            <w:ind w:hanging="414"/>
            <w:rPr>
              <w:rFonts w:cstheme="minorBidi"/>
              <w:noProof/>
              <w:sz w:val="22"/>
            </w:rPr>
          </w:pPr>
          <w:hyperlink w:history="1" w:anchor="_Toc43744766">
            <w:r w:rsidRPr="007E358C" w:rsidR="00D40860">
              <w:rPr>
                <w:rStyle w:val="Hyperlink"/>
                <w:rFonts w:cs="Helvetica"/>
                <w:noProof/>
                <w:color w:val="auto"/>
                <w:u w:val="none"/>
              </w:rPr>
              <w:t xml:space="preserve">2.4. </w:t>
            </w:r>
            <w:r w:rsidRPr="007E358C" w:rsidR="000C0A35">
              <w:rPr>
                <w:rStyle w:val="Hyperlink"/>
                <w:rFonts w:cs="Helvetica"/>
                <w:noProof/>
                <w:color w:val="auto"/>
                <w:u w:val="none"/>
              </w:rPr>
              <w:t xml:space="preserve"> </w:t>
            </w:r>
            <w:r w:rsidRPr="007E358C" w:rsidR="00D40860">
              <w:rPr>
                <w:rStyle w:val="Hyperlink"/>
                <w:rFonts w:cs="Helvetica"/>
                <w:noProof/>
                <w:color w:val="auto"/>
                <w:u w:val="none"/>
              </w:rPr>
              <w:t>Discussion</w:t>
            </w:r>
            <w:r w:rsidRPr="007E358C" w:rsidR="00D40860">
              <w:rPr>
                <w:noProof/>
                <w:webHidden/>
              </w:rPr>
              <w:tab/>
            </w:r>
            <w:r w:rsidRPr="007E358C" w:rsidR="00906E48">
              <w:rPr>
                <w:noProof/>
                <w:webHidden/>
              </w:rPr>
              <w:t>13</w:t>
            </w:r>
          </w:hyperlink>
        </w:p>
        <w:p w:rsidRPr="007E358C" w:rsidR="00D40860" w:rsidRDefault="00192102" w14:paraId="1DD5E0B5" w14:textId="764567C9">
          <w:pPr>
            <w:pStyle w:val="TOC1"/>
            <w:tabs>
              <w:tab w:val="right" w:leader="dot" w:pos="9260"/>
            </w:tabs>
            <w:rPr>
              <w:rFonts w:cstheme="minorBidi"/>
              <w:noProof/>
              <w:sz w:val="22"/>
            </w:rPr>
          </w:pPr>
          <w:hyperlink w:history="1" w:anchor="_Toc43744767">
            <w:r w:rsidRPr="007E358C" w:rsidR="00D40860">
              <w:rPr>
                <w:rStyle w:val="Hyperlink"/>
                <w:noProof/>
                <w:color w:val="auto"/>
                <w:u w:val="none"/>
              </w:rPr>
              <w:t>3.</w:t>
            </w:r>
            <w:r w:rsidRPr="007E358C" w:rsidR="00D40860">
              <w:rPr>
                <w:rFonts w:cstheme="minorBidi"/>
                <w:noProof/>
                <w:sz w:val="22"/>
              </w:rPr>
              <w:tab/>
            </w:r>
            <w:r w:rsidRPr="007E358C" w:rsidR="00D40860">
              <w:rPr>
                <w:rStyle w:val="Hyperlink"/>
                <w:noProof/>
                <w:color w:val="auto"/>
                <w:u w:val="none"/>
              </w:rPr>
              <w:t>Technical Assistance Funds for Tribes</w:t>
            </w:r>
            <w:r w:rsidRPr="007E358C" w:rsidR="00D40860">
              <w:rPr>
                <w:noProof/>
                <w:webHidden/>
              </w:rPr>
              <w:tab/>
            </w:r>
            <w:r w:rsidRPr="007E358C" w:rsidR="00906E48">
              <w:rPr>
                <w:noProof/>
                <w:webHidden/>
              </w:rPr>
              <w:t>15</w:t>
            </w:r>
          </w:hyperlink>
        </w:p>
        <w:p w:rsidRPr="007E358C" w:rsidR="00D40860" w:rsidP="000C0A35" w:rsidRDefault="00192102" w14:paraId="311A5459" w14:textId="5FAB8892">
          <w:pPr>
            <w:pStyle w:val="TOC2"/>
            <w:tabs>
              <w:tab w:val="right" w:leader="dot" w:pos="9260"/>
            </w:tabs>
            <w:ind w:left="900" w:hanging="450"/>
            <w:rPr>
              <w:rFonts w:cstheme="minorBidi"/>
              <w:noProof/>
              <w:sz w:val="22"/>
            </w:rPr>
          </w:pPr>
          <w:hyperlink w:history="1" w:anchor="_Toc43744768">
            <w:r w:rsidRPr="007E358C" w:rsidR="00D40860">
              <w:rPr>
                <w:rStyle w:val="Hyperlink"/>
                <w:rFonts w:cs="Helvetica"/>
                <w:noProof/>
                <w:color w:val="auto"/>
                <w:u w:val="none"/>
              </w:rPr>
              <w:t>3.1.</w:t>
            </w:r>
            <w:r w:rsidRPr="007E358C" w:rsidR="00D40860">
              <w:rPr>
                <w:rFonts w:cstheme="minorBidi"/>
                <w:noProof/>
                <w:sz w:val="22"/>
              </w:rPr>
              <w:tab/>
            </w:r>
            <w:r w:rsidRPr="007E358C" w:rsidR="000C0A35">
              <w:rPr>
                <w:rFonts w:cstheme="minorBidi"/>
                <w:noProof/>
                <w:sz w:val="22"/>
              </w:rPr>
              <w:t xml:space="preserve"> P</w:t>
            </w:r>
            <w:r w:rsidRPr="007E358C" w:rsidR="00D40860">
              <w:rPr>
                <w:rStyle w:val="Hyperlink"/>
                <w:rFonts w:cs="Helvetica"/>
                <w:noProof/>
                <w:color w:val="auto"/>
                <w:u w:val="none"/>
              </w:rPr>
              <w:t>arties’ Comments and Reply Comments</w:t>
            </w:r>
            <w:r w:rsidRPr="007E358C" w:rsidR="000C0A35">
              <w:rPr>
                <w:rStyle w:val="Hyperlink"/>
                <w:rFonts w:cs="Helvetica"/>
                <w:noProof/>
                <w:color w:val="auto"/>
                <w:u w:val="none"/>
              </w:rPr>
              <w:br/>
            </w:r>
            <w:r w:rsidRPr="007E358C" w:rsidR="00D40860">
              <w:rPr>
                <w:rStyle w:val="Hyperlink"/>
                <w:rFonts w:cs="Helvetica"/>
                <w:noProof/>
                <w:color w:val="auto"/>
                <w:u w:val="none"/>
              </w:rPr>
              <w:t xml:space="preserve"> in response to the ACR</w:t>
            </w:r>
            <w:r w:rsidRPr="007E358C" w:rsidR="00D40860">
              <w:rPr>
                <w:noProof/>
                <w:webHidden/>
              </w:rPr>
              <w:tab/>
            </w:r>
            <w:r w:rsidRPr="007E358C" w:rsidR="00906E48">
              <w:rPr>
                <w:noProof/>
                <w:webHidden/>
              </w:rPr>
              <w:t>15</w:t>
            </w:r>
          </w:hyperlink>
        </w:p>
        <w:p w:rsidRPr="007E358C" w:rsidR="00D40860" w:rsidP="000C0A35" w:rsidRDefault="00192102" w14:paraId="5A22B6F1" w14:textId="52A3414C">
          <w:pPr>
            <w:pStyle w:val="TOC2"/>
            <w:tabs>
              <w:tab w:val="right" w:leader="dot" w:pos="9260"/>
            </w:tabs>
            <w:ind w:hanging="414"/>
            <w:rPr>
              <w:rFonts w:cstheme="minorBidi"/>
              <w:noProof/>
              <w:sz w:val="22"/>
            </w:rPr>
          </w:pPr>
          <w:hyperlink w:history="1" w:anchor="_Toc43744769">
            <w:r w:rsidRPr="007E358C" w:rsidR="00D40860">
              <w:rPr>
                <w:rStyle w:val="Hyperlink"/>
                <w:rFonts w:cs="Helvetica"/>
                <w:noProof/>
                <w:color w:val="auto"/>
                <w:u w:val="none"/>
              </w:rPr>
              <w:t xml:space="preserve">3.2. </w:t>
            </w:r>
            <w:r w:rsidRPr="007E358C" w:rsidR="000C0A35">
              <w:rPr>
                <w:rStyle w:val="Hyperlink"/>
                <w:rFonts w:cs="Helvetica"/>
                <w:noProof/>
                <w:color w:val="auto"/>
                <w:u w:val="none"/>
              </w:rPr>
              <w:t xml:space="preserve"> </w:t>
            </w:r>
            <w:r w:rsidRPr="007E358C" w:rsidR="00D40860">
              <w:rPr>
                <w:rStyle w:val="Hyperlink"/>
                <w:rFonts w:cs="Helvetica"/>
                <w:noProof/>
                <w:color w:val="auto"/>
                <w:u w:val="none"/>
              </w:rPr>
              <w:t>Discussion</w:t>
            </w:r>
            <w:r w:rsidRPr="007E358C" w:rsidR="00D40860">
              <w:rPr>
                <w:noProof/>
                <w:webHidden/>
              </w:rPr>
              <w:tab/>
            </w:r>
            <w:r w:rsidRPr="007E358C" w:rsidR="00906E48">
              <w:rPr>
                <w:noProof/>
                <w:webHidden/>
              </w:rPr>
              <w:t>16</w:t>
            </w:r>
          </w:hyperlink>
        </w:p>
        <w:p w:rsidRPr="007E358C" w:rsidR="00D40860" w:rsidRDefault="00192102" w14:paraId="00D128E0" w14:textId="5C0CEEE7">
          <w:pPr>
            <w:pStyle w:val="TOC1"/>
            <w:tabs>
              <w:tab w:val="right" w:leader="dot" w:pos="9260"/>
            </w:tabs>
            <w:rPr>
              <w:rFonts w:cstheme="minorBidi"/>
              <w:noProof/>
              <w:sz w:val="22"/>
            </w:rPr>
          </w:pPr>
          <w:hyperlink w:history="1" w:anchor="_Toc43744770">
            <w:r w:rsidRPr="007E358C" w:rsidR="00D40860">
              <w:rPr>
                <w:rStyle w:val="Hyperlink"/>
                <w:noProof/>
                <w:color w:val="auto"/>
                <w:u w:val="none"/>
              </w:rPr>
              <w:t>4.</w:t>
            </w:r>
            <w:r w:rsidRPr="007E358C" w:rsidR="00D40860">
              <w:rPr>
                <w:rFonts w:cstheme="minorBidi"/>
                <w:noProof/>
                <w:sz w:val="22"/>
              </w:rPr>
              <w:tab/>
            </w:r>
            <w:r w:rsidRPr="007E358C" w:rsidR="00D40860">
              <w:rPr>
                <w:rStyle w:val="Hyperlink"/>
                <w:noProof/>
                <w:color w:val="auto"/>
                <w:u w:val="none"/>
              </w:rPr>
              <w:t>Revisions to the Public Housing Account</w:t>
            </w:r>
            <w:r w:rsidRPr="007E358C" w:rsidR="00D40860">
              <w:rPr>
                <w:noProof/>
                <w:webHidden/>
              </w:rPr>
              <w:tab/>
            </w:r>
            <w:r w:rsidRPr="007E358C" w:rsidR="00906E48">
              <w:rPr>
                <w:noProof/>
                <w:webHidden/>
              </w:rPr>
              <w:t>17</w:t>
            </w:r>
          </w:hyperlink>
        </w:p>
        <w:p w:rsidRPr="007E358C" w:rsidR="00D40860" w:rsidP="000C0A35" w:rsidRDefault="00192102" w14:paraId="7319CD5F" w14:textId="7735FC24">
          <w:pPr>
            <w:pStyle w:val="TOC2"/>
            <w:tabs>
              <w:tab w:val="right" w:leader="dot" w:pos="9260"/>
            </w:tabs>
            <w:ind w:left="990" w:hanging="540"/>
            <w:rPr>
              <w:rFonts w:cstheme="minorBidi"/>
              <w:noProof/>
              <w:sz w:val="22"/>
            </w:rPr>
          </w:pPr>
          <w:hyperlink w:history="1" w:anchor="_Toc43744771">
            <w:r w:rsidRPr="007E358C" w:rsidR="00D40860">
              <w:rPr>
                <w:rStyle w:val="Hyperlink"/>
                <w:rFonts w:cs="Helvetica"/>
                <w:noProof/>
                <w:color w:val="auto"/>
                <w:u w:val="none"/>
              </w:rPr>
              <w:t>4.1.</w:t>
            </w:r>
            <w:r w:rsidRPr="007E358C" w:rsidR="00D40860">
              <w:rPr>
                <w:rFonts w:cstheme="minorBidi"/>
                <w:noProof/>
                <w:sz w:val="22"/>
              </w:rPr>
              <w:tab/>
            </w:r>
            <w:r w:rsidRPr="007E358C" w:rsidR="00D40860">
              <w:rPr>
                <w:rStyle w:val="Hyperlink"/>
                <w:rFonts w:cs="Helvetica"/>
                <w:noProof/>
                <w:color w:val="auto"/>
                <w:u w:val="none"/>
              </w:rPr>
              <w:t>Parties’ Comments and Reply Comments</w:t>
            </w:r>
            <w:r w:rsidRPr="007E358C" w:rsidR="000C0A35">
              <w:rPr>
                <w:rStyle w:val="Hyperlink"/>
                <w:rFonts w:cs="Helvetica"/>
                <w:noProof/>
                <w:color w:val="auto"/>
                <w:u w:val="none"/>
              </w:rPr>
              <w:br/>
            </w:r>
            <w:r w:rsidRPr="007E358C" w:rsidR="00D40860">
              <w:rPr>
                <w:rStyle w:val="Hyperlink"/>
                <w:rFonts w:cs="Helvetica"/>
                <w:noProof/>
                <w:color w:val="auto"/>
                <w:u w:val="none"/>
              </w:rPr>
              <w:t>in response to the ACR</w:t>
            </w:r>
            <w:r w:rsidRPr="007E358C" w:rsidR="00D40860">
              <w:rPr>
                <w:noProof/>
                <w:webHidden/>
              </w:rPr>
              <w:tab/>
            </w:r>
            <w:r w:rsidRPr="007E358C" w:rsidR="00906E48">
              <w:rPr>
                <w:noProof/>
                <w:webHidden/>
              </w:rPr>
              <w:t>18</w:t>
            </w:r>
          </w:hyperlink>
        </w:p>
        <w:p w:rsidRPr="007E358C" w:rsidR="00D40860" w:rsidP="000C0A35" w:rsidRDefault="00192102" w14:paraId="3FE8B7F7" w14:textId="6D16E451">
          <w:pPr>
            <w:pStyle w:val="TOC2"/>
            <w:tabs>
              <w:tab w:val="right" w:leader="dot" w:pos="9260"/>
            </w:tabs>
            <w:ind w:left="990" w:hanging="540"/>
            <w:rPr>
              <w:rFonts w:cstheme="minorBidi"/>
              <w:noProof/>
              <w:sz w:val="22"/>
            </w:rPr>
          </w:pPr>
          <w:hyperlink w:history="1" w:anchor="_Toc43744772">
            <w:r w:rsidRPr="007E358C" w:rsidR="00D40860">
              <w:rPr>
                <w:rStyle w:val="Hyperlink"/>
                <w:rFonts w:cs="Helvetica"/>
                <w:noProof/>
                <w:color w:val="auto"/>
                <w:u w:val="none"/>
              </w:rPr>
              <w:t>4.2.</w:t>
            </w:r>
            <w:r w:rsidRPr="007E358C" w:rsidR="00D40860">
              <w:rPr>
                <w:rFonts w:cstheme="minorBidi"/>
                <w:noProof/>
                <w:sz w:val="22"/>
              </w:rPr>
              <w:tab/>
            </w:r>
            <w:r w:rsidRPr="007E358C" w:rsidR="00D40860">
              <w:rPr>
                <w:rStyle w:val="Hyperlink"/>
                <w:rFonts w:cs="Helvetica"/>
                <w:noProof/>
                <w:color w:val="auto"/>
                <w:u w:val="none"/>
              </w:rPr>
              <w:t>Discussion</w:t>
            </w:r>
            <w:r w:rsidRPr="007E358C" w:rsidR="00D40860">
              <w:rPr>
                <w:noProof/>
                <w:webHidden/>
              </w:rPr>
              <w:tab/>
            </w:r>
            <w:r w:rsidRPr="007E358C" w:rsidR="00906E48">
              <w:rPr>
                <w:noProof/>
                <w:webHidden/>
              </w:rPr>
              <w:t>19</w:t>
            </w:r>
          </w:hyperlink>
        </w:p>
        <w:p w:rsidRPr="007E358C" w:rsidR="00D40860" w:rsidRDefault="00192102" w14:paraId="5DE646E3" w14:textId="2241DF5A">
          <w:pPr>
            <w:pStyle w:val="TOC1"/>
            <w:tabs>
              <w:tab w:val="right" w:leader="dot" w:pos="9260"/>
            </w:tabs>
            <w:rPr>
              <w:rFonts w:cstheme="minorBidi"/>
              <w:noProof/>
              <w:sz w:val="22"/>
            </w:rPr>
          </w:pPr>
          <w:hyperlink w:history="1" w:anchor="_Toc43744773">
            <w:r w:rsidRPr="007E358C" w:rsidR="00D40860">
              <w:rPr>
                <w:rStyle w:val="Hyperlink"/>
                <w:noProof/>
                <w:color w:val="auto"/>
                <w:u w:val="none"/>
              </w:rPr>
              <w:t>5.</w:t>
            </w:r>
            <w:r w:rsidRPr="007E358C" w:rsidR="00D40860">
              <w:rPr>
                <w:rFonts w:cstheme="minorBidi"/>
                <w:noProof/>
                <w:sz w:val="22"/>
              </w:rPr>
              <w:tab/>
            </w:r>
            <w:r w:rsidRPr="007E358C" w:rsidR="00D40860">
              <w:rPr>
                <w:rStyle w:val="Hyperlink"/>
                <w:noProof/>
                <w:color w:val="auto"/>
                <w:u w:val="none"/>
              </w:rPr>
              <w:t>Closing the Proceeding</w:t>
            </w:r>
            <w:r w:rsidRPr="007E358C" w:rsidR="00D40860">
              <w:rPr>
                <w:noProof/>
                <w:webHidden/>
              </w:rPr>
              <w:tab/>
            </w:r>
            <w:r w:rsidRPr="007E358C" w:rsidR="00906E48">
              <w:rPr>
                <w:noProof/>
                <w:webHidden/>
              </w:rPr>
              <w:t>21</w:t>
            </w:r>
          </w:hyperlink>
        </w:p>
        <w:p w:rsidRPr="007E358C" w:rsidR="00D40860" w:rsidP="000C0A35" w:rsidRDefault="00192102" w14:paraId="663A493B" w14:textId="54225723">
          <w:pPr>
            <w:pStyle w:val="TOC2"/>
            <w:tabs>
              <w:tab w:val="left" w:pos="1296"/>
              <w:tab w:val="right" w:leader="dot" w:pos="9260"/>
            </w:tabs>
            <w:ind w:hanging="324"/>
            <w:rPr>
              <w:rFonts w:cstheme="minorBidi"/>
              <w:noProof/>
              <w:sz w:val="22"/>
            </w:rPr>
          </w:pPr>
          <w:hyperlink w:history="1" w:anchor="_Toc43744774">
            <w:r w:rsidRPr="007E358C" w:rsidR="00D40860">
              <w:rPr>
                <w:rStyle w:val="Hyperlink"/>
                <w:rFonts w:cs="Helvetica"/>
                <w:noProof/>
                <w:color w:val="auto"/>
                <w:u w:val="none"/>
              </w:rPr>
              <w:t>5.1.</w:t>
            </w:r>
            <w:r w:rsidRPr="007E358C" w:rsidR="000C0A35">
              <w:rPr>
                <w:rStyle w:val="Hyperlink"/>
                <w:rFonts w:cs="Helvetica"/>
                <w:noProof/>
                <w:color w:val="auto"/>
                <w:u w:val="none"/>
              </w:rPr>
              <w:t xml:space="preserve">  </w:t>
            </w:r>
            <w:r w:rsidRPr="007E358C" w:rsidR="00D40860">
              <w:rPr>
                <w:rStyle w:val="Hyperlink"/>
                <w:rFonts w:cs="Helvetica"/>
                <w:noProof/>
                <w:color w:val="auto"/>
                <w:u w:val="none"/>
              </w:rPr>
              <w:t>Parties’ Comments and Reply Comments in response to the ACR</w:t>
            </w:r>
            <w:r w:rsidRPr="007E358C" w:rsidR="00D40860">
              <w:rPr>
                <w:noProof/>
                <w:webHidden/>
              </w:rPr>
              <w:tab/>
            </w:r>
            <w:r w:rsidRPr="007E358C" w:rsidR="00906E48">
              <w:rPr>
                <w:noProof/>
                <w:webHidden/>
              </w:rPr>
              <w:t>21</w:t>
            </w:r>
          </w:hyperlink>
        </w:p>
        <w:p w:rsidRPr="007E358C" w:rsidR="00D40860" w:rsidP="000C0A35" w:rsidRDefault="00192102" w14:paraId="6518434F" w14:textId="4475B294">
          <w:pPr>
            <w:pStyle w:val="TOC2"/>
            <w:tabs>
              <w:tab w:val="right" w:leader="dot" w:pos="9260"/>
            </w:tabs>
            <w:ind w:hanging="324"/>
            <w:rPr>
              <w:rFonts w:cstheme="minorBidi"/>
              <w:noProof/>
              <w:sz w:val="22"/>
            </w:rPr>
          </w:pPr>
          <w:hyperlink w:history="1" w:anchor="_Toc43744775">
            <w:r w:rsidRPr="007E358C" w:rsidR="00D40860">
              <w:rPr>
                <w:rStyle w:val="Hyperlink"/>
                <w:rFonts w:cs="Helvetica"/>
                <w:noProof/>
                <w:color w:val="auto"/>
                <w:u w:val="none"/>
              </w:rPr>
              <w:t>5.2</w:t>
            </w:r>
            <w:r w:rsidRPr="007E358C" w:rsidR="000C0A35">
              <w:rPr>
                <w:rStyle w:val="Hyperlink"/>
                <w:rFonts w:cs="Helvetica"/>
                <w:noProof/>
                <w:color w:val="auto"/>
                <w:u w:val="none"/>
              </w:rPr>
              <w:t xml:space="preserve">.  </w:t>
            </w:r>
            <w:r w:rsidRPr="007E358C" w:rsidR="00D40860">
              <w:rPr>
                <w:rStyle w:val="Hyperlink"/>
                <w:rFonts w:cs="Helvetica"/>
                <w:noProof/>
                <w:color w:val="auto"/>
                <w:u w:val="none"/>
              </w:rPr>
              <w:t>Discussion</w:t>
            </w:r>
            <w:r w:rsidRPr="007E358C" w:rsidR="00D40860">
              <w:rPr>
                <w:noProof/>
                <w:webHidden/>
              </w:rPr>
              <w:tab/>
            </w:r>
            <w:r w:rsidRPr="007E358C" w:rsidR="00906E48">
              <w:rPr>
                <w:noProof/>
                <w:webHidden/>
              </w:rPr>
              <w:t>21</w:t>
            </w:r>
          </w:hyperlink>
        </w:p>
        <w:p w:rsidRPr="007E358C" w:rsidR="00D40860" w:rsidRDefault="00192102" w14:paraId="6EDB1699" w14:textId="7250C1F0">
          <w:pPr>
            <w:pStyle w:val="TOC1"/>
            <w:tabs>
              <w:tab w:val="right" w:leader="dot" w:pos="9260"/>
            </w:tabs>
            <w:rPr>
              <w:rFonts w:cstheme="minorBidi"/>
              <w:noProof/>
              <w:sz w:val="22"/>
            </w:rPr>
          </w:pPr>
          <w:hyperlink w:history="1" w:anchor="_Toc43744776">
            <w:r w:rsidRPr="007E358C" w:rsidR="00D40860">
              <w:rPr>
                <w:rStyle w:val="Hyperlink"/>
                <w:noProof/>
                <w:color w:val="auto"/>
                <w:u w:val="none"/>
              </w:rPr>
              <w:t>6.</w:t>
            </w:r>
            <w:r w:rsidRPr="007E358C" w:rsidR="00D40860">
              <w:rPr>
                <w:rFonts w:cstheme="minorBidi"/>
                <w:noProof/>
                <w:sz w:val="22"/>
              </w:rPr>
              <w:tab/>
            </w:r>
            <w:r w:rsidRPr="007E358C" w:rsidR="00D40860">
              <w:rPr>
                <w:rStyle w:val="Hyperlink"/>
                <w:noProof/>
                <w:color w:val="auto"/>
                <w:u w:val="none"/>
              </w:rPr>
              <w:t>Comments on Proposed Decision</w:t>
            </w:r>
            <w:r w:rsidRPr="007E358C" w:rsidR="00D40860">
              <w:rPr>
                <w:noProof/>
                <w:webHidden/>
              </w:rPr>
              <w:tab/>
            </w:r>
            <w:r w:rsidRPr="007E358C" w:rsidR="00906E48">
              <w:rPr>
                <w:noProof/>
                <w:webHidden/>
              </w:rPr>
              <w:t>22</w:t>
            </w:r>
          </w:hyperlink>
        </w:p>
        <w:p w:rsidRPr="007E358C" w:rsidR="00D40860" w:rsidRDefault="00192102" w14:paraId="65FED0CF" w14:textId="1F2CFCCA">
          <w:pPr>
            <w:pStyle w:val="TOC1"/>
            <w:tabs>
              <w:tab w:val="right" w:leader="dot" w:pos="9260"/>
            </w:tabs>
            <w:rPr>
              <w:rFonts w:cstheme="minorBidi"/>
              <w:noProof/>
              <w:sz w:val="22"/>
            </w:rPr>
          </w:pPr>
          <w:hyperlink w:history="1" w:anchor="_Toc43744777">
            <w:r w:rsidRPr="007E358C" w:rsidR="00D40860">
              <w:rPr>
                <w:rStyle w:val="Hyperlink"/>
                <w:noProof/>
                <w:color w:val="auto"/>
                <w:u w:val="none"/>
              </w:rPr>
              <w:t>7.</w:t>
            </w:r>
            <w:r w:rsidRPr="007E358C" w:rsidR="00D40860">
              <w:rPr>
                <w:rFonts w:cstheme="minorBidi"/>
                <w:noProof/>
                <w:sz w:val="22"/>
              </w:rPr>
              <w:tab/>
            </w:r>
            <w:r w:rsidRPr="007E358C" w:rsidR="00D40860">
              <w:rPr>
                <w:rStyle w:val="Hyperlink"/>
                <w:noProof/>
                <w:color w:val="auto"/>
                <w:u w:val="none"/>
              </w:rPr>
              <w:t>Assignment of Proceeding</w:t>
            </w:r>
            <w:r w:rsidRPr="007E358C" w:rsidR="00D40860">
              <w:rPr>
                <w:noProof/>
                <w:webHidden/>
              </w:rPr>
              <w:tab/>
            </w:r>
            <w:r w:rsidRPr="007E358C" w:rsidR="00906E48">
              <w:rPr>
                <w:noProof/>
                <w:webHidden/>
              </w:rPr>
              <w:t>22</w:t>
            </w:r>
          </w:hyperlink>
        </w:p>
        <w:p w:rsidRPr="007E358C" w:rsidR="00D40860" w:rsidRDefault="00192102" w14:paraId="7B9D7E52" w14:textId="1BEA9ABD">
          <w:pPr>
            <w:pStyle w:val="TOC1"/>
            <w:tabs>
              <w:tab w:val="right" w:leader="dot" w:pos="9260"/>
            </w:tabs>
            <w:rPr>
              <w:rFonts w:cstheme="minorBidi"/>
              <w:noProof/>
              <w:sz w:val="22"/>
            </w:rPr>
          </w:pPr>
          <w:hyperlink w:history="1" w:anchor="_Toc43744778">
            <w:r w:rsidRPr="007E358C" w:rsidR="00D40860">
              <w:rPr>
                <w:rStyle w:val="Hyperlink"/>
                <w:rFonts w:cs="Helvetica"/>
                <w:noProof/>
                <w:color w:val="auto"/>
                <w:u w:val="none"/>
              </w:rPr>
              <w:t>Findings of Fact</w:t>
            </w:r>
            <w:r w:rsidRPr="007E358C" w:rsidR="00D40860">
              <w:rPr>
                <w:noProof/>
                <w:webHidden/>
              </w:rPr>
              <w:tab/>
            </w:r>
            <w:r w:rsidRPr="007E358C" w:rsidR="00906E48">
              <w:rPr>
                <w:noProof/>
                <w:webHidden/>
              </w:rPr>
              <w:t>22</w:t>
            </w:r>
          </w:hyperlink>
        </w:p>
        <w:p w:rsidRPr="007E358C" w:rsidR="00D40860" w:rsidRDefault="00192102" w14:paraId="640409EC" w14:textId="123F17D5">
          <w:pPr>
            <w:pStyle w:val="TOC1"/>
            <w:tabs>
              <w:tab w:val="right" w:leader="dot" w:pos="9260"/>
            </w:tabs>
            <w:rPr>
              <w:rFonts w:cstheme="minorBidi"/>
              <w:noProof/>
              <w:sz w:val="22"/>
            </w:rPr>
          </w:pPr>
          <w:hyperlink w:history="1" w:anchor="_Toc43744779">
            <w:r w:rsidRPr="007E358C" w:rsidR="00D40860">
              <w:rPr>
                <w:rStyle w:val="Hyperlink"/>
                <w:rFonts w:cs="Helvetica"/>
                <w:bCs/>
                <w:noProof/>
                <w:color w:val="auto"/>
                <w:u w:val="none"/>
              </w:rPr>
              <w:t>Conclusions of Law</w:t>
            </w:r>
            <w:r w:rsidRPr="007E358C" w:rsidR="00D40860">
              <w:rPr>
                <w:noProof/>
                <w:webHidden/>
              </w:rPr>
              <w:tab/>
            </w:r>
            <w:r w:rsidRPr="007E358C" w:rsidR="00906E48">
              <w:rPr>
                <w:noProof/>
                <w:webHidden/>
              </w:rPr>
              <w:t>24</w:t>
            </w:r>
          </w:hyperlink>
        </w:p>
        <w:p w:rsidRPr="007E358C" w:rsidR="00D40860" w:rsidRDefault="00192102" w14:paraId="09FD7F93" w14:textId="198211AF">
          <w:pPr>
            <w:pStyle w:val="TOC1"/>
            <w:tabs>
              <w:tab w:val="right" w:leader="dot" w:pos="9260"/>
            </w:tabs>
            <w:rPr>
              <w:rFonts w:cstheme="minorBidi"/>
              <w:noProof/>
              <w:sz w:val="22"/>
            </w:rPr>
          </w:pPr>
          <w:hyperlink w:history="1" w:anchor="_Toc43744780">
            <w:r w:rsidRPr="007E358C" w:rsidR="00D40860">
              <w:rPr>
                <w:rStyle w:val="Hyperlink"/>
                <w:noProof/>
                <w:color w:val="auto"/>
                <w:u w:val="none"/>
              </w:rPr>
              <w:t>ORDER</w:t>
            </w:r>
            <w:r w:rsidRPr="007E358C" w:rsidR="00D40860">
              <w:rPr>
                <w:noProof/>
                <w:webHidden/>
              </w:rPr>
              <w:tab/>
            </w:r>
            <w:r w:rsidRPr="007E358C" w:rsidR="00906E48">
              <w:rPr>
                <w:noProof/>
                <w:webHidden/>
              </w:rPr>
              <w:t>25</w:t>
            </w:r>
          </w:hyperlink>
        </w:p>
        <w:p w:rsidRPr="007E358C" w:rsidR="000C0A35" w:rsidP="00826271" w:rsidRDefault="000C0A35" w14:paraId="0DEF8954" w14:textId="77777777">
          <w:pPr>
            <w:pStyle w:val="TOC1"/>
            <w:tabs>
              <w:tab w:val="right" w:leader="dot" w:pos="9350"/>
            </w:tabs>
            <w:ind w:left="0" w:firstLine="0"/>
            <w:rPr>
              <w:b/>
              <w:bCs/>
              <w:noProof/>
            </w:rPr>
          </w:pPr>
        </w:p>
        <w:p w:rsidR="000303E0" w:rsidP="000C0A35" w:rsidRDefault="000303E0" w14:paraId="5C925D71" w14:textId="77777777">
          <w:pPr>
            <w:rPr>
              <w:sz w:val="4"/>
              <w:szCs w:val="4"/>
            </w:rPr>
          </w:pPr>
        </w:p>
        <w:p w:rsidRPr="000C0A35" w:rsidR="007C2F59" w:rsidP="000C0A35" w:rsidRDefault="00192102" w14:paraId="0B256791" w14:textId="4D1C9524"/>
      </w:sdtContent>
    </w:sdt>
    <w:p w:rsidR="000C0A35" w:rsidP="00906E48" w:rsidRDefault="000C0A35" w14:paraId="659FC5CF" w14:textId="755262F0">
      <w:pPr>
        <w:pStyle w:val="Main"/>
        <w:rPr>
          <w:rFonts w:ascii="Book Antiqua" w:hAnsi="Book Antiqua"/>
        </w:rPr>
      </w:pPr>
      <w:r w:rsidRPr="00C20211">
        <w:rPr>
          <w:rFonts w:ascii="Book Antiqua" w:hAnsi="Book Antiqua"/>
        </w:rPr>
        <w:t>TABLE OF CONTENTS</w:t>
      </w:r>
      <w:r>
        <w:rPr>
          <w:rFonts w:ascii="Book Antiqua" w:hAnsi="Book Antiqua"/>
        </w:rPr>
        <w:br/>
        <w:t>Con’t.</w:t>
      </w:r>
    </w:p>
    <w:p w:rsidR="000C0A35" w:rsidP="000C0A35" w:rsidRDefault="000C0A35" w14:paraId="74AA99C7" w14:textId="4FDA6C97"/>
    <w:p w:rsidR="000C0A35" w:rsidP="000C0A35" w:rsidRDefault="000C0A35" w14:paraId="78D93CA9" w14:textId="5A17BA3B">
      <w:pPr>
        <w:spacing w:line="240" w:lineRule="auto"/>
        <w:ind w:firstLine="0"/>
        <w:rPr>
          <w:rFonts w:cs="Arial"/>
          <w:b/>
          <w:szCs w:val="26"/>
        </w:rPr>
      </w:pPr>
      <w:r w:rsidRPr="00C20211">
        <w:rPr>
          <w:b/>
        </w:rPr>
        <w:t>Title</w:t>
      </w:r>
      <w:r w:rsidRPr="00C20211">
        <w:tab/>
      </w:r>
      <w:r>
        <w:tab/>
      </w:r>
      <w:r>
        <w:tab/>
      </w:r>
      <w:r>
        <w:tab/>
      </w:r>
      <w:r>
        <w:tab/>
      </w:r>
      <w:r>
        <w:tab/>
      </w:r>
      <w:r>
        <w:tab/>
      </w:r>
      <w:r>
        <w:tab/>
      </w:r>
      <w:r>
        <w:tab/>
      </w:r>
      <w:r>
        <w:tab/>
      </w:r>
      <w:r>
        <w:tab/>
      </w:r>
      <w:r w:rsidRPr="00C20211">
        <w:rPr>
          <w:b/>
        </w:rPr>
        <w:t>Page</w:t>
      </w:r>
    </w:p>
    <w:p w:rsidR="000C0A35" w:rsidP="00D50119" w:rsidRDefault="000C0A35" w14:paraId="308E7EB5" w14:textId="77777777">
      <w:pPr>
        <w:spacing w:line="240" w:lineRule="auto"/>
        <w:ind w:firstLine="0"/>
        <w:rPr>
          <w:rFonts w:cs="Arial"/>
          <w:b/>
          <w:szCs w:val="26"/>
        </w:rPr>
      </w:pPr>
    </w:p>
    <w:p w:rsidRPr="004505CE" w:rsidR="00ED3C41" w:rsidP="00D50119" w:rsidRDefault="0098655A" w14:paraId="079F8A1F" w14:textId="40F921B2">
      <w:pPr>
        <w:spacing w:line="240" w:lineRule="auto"/>
        <w:ind w:firstLine="0"/>
        <w:rPr>
          <w:rFonts w:cs="Arial"/>
          <w:bCs/>
          <w:szCs w:val="26"/>
        </w:rPr>
      </w:pPr>
      <w:r w:rsidRPr="00C20211">
        <w:rPr>
          <w:rFonts w:cs="Arial"/>
          <w:b/>
          <w:szCs w:val="26"/>
        </w:rPr>
        <w:t xml:space="preserve">Appendix </w:t>
      </w:r>
      <w:r w:rsidRPr="00C20211" w:rsidR="00042000">
        <w:rPr>
          <w:rFonts w:cs="Arial"/>
          <w:b/>
          <w:szCs w:val="26"/>
        </w:rPr>
        <w:t>1</w:t>
      </w:r>
      <w:r w:rsidR="007B3D43">
        <w:rPr>
          <w:rFonts w:cs="Arial"/>
          <w:b/>
          <w:szCs w:val="26"/>
        </w:rPr>
        <w:t xml:space="preserve"> - </w:t>
      </w:r>
      <w:r w:rsidRPr="004505CE" w:rsidR="007F418C">
        <w:rPr>
          <w:rFonts w:cs="Arial"/>
          <w:bCs/>
          <w:szCs w:val="26"/>
        </w:rPr>
        <w:t>Tribal Technical Assistance Guidelines</w:t>
      </w:r>
    </w:p>
    <w:p w:rsidR="002702F8" w:rsidP="007B3D43" w:rsidRDefault="0098655A" w14:paraId="44900B2D" w14:textId="44309306">
      <w:pPr>
        <w:spacing w:line="240" w:lineRule="auto"/>
        <w:ind w:left="1620" w:hanging="1620"/>
        <w:rPr>
          <w:rFonts w:cs="Arial"/>
          <w:szCs w:val="26"/>
        </w:rPr>
      </w:pPr>
      <w:r w:rsidRPr="00C20211">
        <w:rPr>
          <w:rFonts w:cs="Arial"/>
          <w:b/>
          <w:szCs w:val="26"/>
        </w:rPr>
        <w:t xml:space="preserve">Appendix </w:t>
      </w:r>
      <w:r w:rsidRPr="00C20211" w:rsidR="00ED3C41">
        <w:rPr>
          <w:rFonts w:cs="Arial"/>
          <w:b/>
          <w:szCs w:val="26"/>
        </w:rPr>
        <w:t>2</w:t>
      </w:r>
      <w:r w:rsidRPr="00C20211">
        <w:rPr>
          <w:rFonts w:cs="Arial"/>
          <w:szCs w:val="26"/>
        </w:rPr>
        <w:t xml:space="preserve"> –</w:t>
      </w:r>
      <w:r w:rsidRPr="00C20211" w:rsidR="00E23CBB">
        <w:rPr>
          <w:rFonts w:cs="Arial"/>
          <w:szCs w:val="26"/>
        </w:rPr>
        <w:t xml:space="preserve"> </w:t>
      </w:r>
      <w:r w:rsidR="007B3D43">
        <w:rPr>
          <w:rFonts w:cs="Arial"/>
          <w:szCs w:val="26"/>
        </w:rPr>
        <w:t>B</w:t>
      </w:r>
      <w:r w:rsidRPr="00C20211" w:rsidR="002401E6">
        <w:rPr>
          <w:rFonts w:cs="Arial"/>
          <w:szCs w:val="26"/>
        </w:rPr>
        <w:t>roadband Public Housing Account Revised Application Requirements and Guideline</w:t>
      </w:r>
    </w:p>
    <w:p w:rsidR="000C0A35" w:rsidP="007B3D43" w:rsidRDefault="000C0A35" w14:paraId="168530C3" w14:textId="0EAC6BAE">
      <w:pPr>
        <w:spacing w:line="240" w:lineRule="auto"/>
        <w:ind w:left="1620" w:hanging="1620"/>
        <w:rPr>
          <w:rFonts w:cs="Arial"/>
          <w:szCs w:val="26"/>
        </w:rPr>
      </w:pPr>
    </w:p>
    <w:p w:rsidR="000C0A35" w:rsidP="007B3D43" w:rsidRDefault="000C0A35" w14:paraId="07ABA697" w14:textId="77777777">
      <w:pPr>
        <w:spacing w:line="240" w:lineRule="auto"/>
        <w:ind w:left="1620" w:hanging="1620"/>
        <w:rPr>
          <w:rFonts w:cs="Arial"/>
          <w:szCs w:val="26"/>
        </w:rPr>
      </w:pPr>
    </w:p>
    <w:p w:rsidR="007B3D43" w:rsidP="00D50119" w:rsidRDefault="007B3D43" w14:paraId="05230567" w14:textId="77777777">
      <w:pPr>
        <w:spacing w:line="240" w:lineRule="auto"/>
        <w:ind w:firstLine="0"/>
        <w:rPr>
          <w:rFonts w:cs="Arial"/>
          <w:szCs w:val="26"/>
        </w:rPr>
      </w:pPr>
    </w:p>
    <w:p w:rsidR="007B3D43" w:rsidP="00D50119" w:rsidRDefault="007B3D43" w14:paraId="524F1E0E" w14:textId="720A0307">
      <w:pPr>
        <w:spacing w:line="240" w:lineRule="auto"/>
        <w:ind w:firstLine="0"/>
        <w:rPr>
          <w:rFonts w:cs="Arial"/>
          <w:szCs w:val="26"/>
        </w:rPr>
        <w:sectPr w:rsidR="007B3D43" w:rsidSect="00232EF6">
          <w:headerReference w:type="default" r:id="rId17"/>
          <w:footerReference w:type="default" r:id="rId18"/>
          <w:pgSz w:w="12240" w:h="15840"/>
          <w:pgMar w:top="1728" w:right="1440" w:bottom="1440" w:left="1530" w:header="720" w:footer="720" w:gutter="0"/>
          <w:pgNumType w:fmt="lowerRoman" w:start="1"/>
          <w:cols w:space="720"/>
          <w:docGrid w:linePitch="360"/>
        </w:sectPr>
      </w:pPr>
    </w:p>
    <w:p w:rsidRPr="002702F8" w:rsidR="002702F8" w:rsidP="00994207" w:rsidRDefault="00B76B57" w14:paraId="369BF11C" w14:textId="43EEB39A">
      <w:pPr>
        <w:pStyle w:val="Main"/>
      </w:pPr>
      <w:r>
        <w:rPr>
          <w:rFonts w:cs="Arial"/>
          <w:szCs w:val="26"/>
        </w:rPr>
        <w:lastRenderedPageBreak/>
        <w:t xml:space="preserve">DECISION </w:t>
      </w:r>
      <w:r w:rsidR="00994207">
        <w:rPr>
          <w:rFonts w:cs="Arial"/>
          <w:szCs w:val="26"/>
        </w:rPr>
        <w:t>R</w:t>
      </w:r>
      <w:r w:rsidRPr="002702F8" w:rsidR="002702F8">
        <w:t xml:space="preserve">EVISING RULES OF THE CALIFORNIA ADVANCED </w:t>
      </w:r>
      <w:r w:rsidR="00D726E8">
        <w:br/>
      </w:r>
      <w:r w:rsidRPr="002702F8" w:rsidR="002702F8">
        <w:t>SERVICES FUND AND CLOSING RULEMAKING 12-10-012</w:t>
      </w:r>
    </w:p>
    <w:p w:rsidRPr="00C20211" w:rsidR="00F04189" w:rsidP="00D50119" w:rsidRDefault="00F04189" w14:paraId="3AAF4D5F" w14:textId="709CA65C">
      <w:pPr>
        <w:spacing w:line="240" w:lineRule="auto"/>
        <w:ind w:firstLine="0"/>
        <w:rPr>
          <w:rFonts w:cs="Arial"/>
          <w:szCs w:val="26"/>
        </w:rPr>
      </w:pPr>
    </w:p>
    <w:p w:rsidRPr="00B24193" w:rsidR="005A148C" w:rsidP="005A148C" w:rsidRDefault="005A148C" w14:paraId="7D5F757A" w14:textId="191C9E07">
      <w:pPr>
        <w:pStyle w:val="Dummy"/>
        <w:rPr>
          <w:rFonts w:ascii="Helvetica" w:hAnsi="Helvetica" w:cs="Helvetica"/>
        </w:rPr>
      </w:pPr>
      <w:bookmarkStart w:name="_Toc8123714" w:id="3"/>
      <w:bookmarkStart w:name="_Toc43744753" w:id="4"/>
      <w:r w:rsidRPr="00B24193">
        <w:rPr>
          <w:rFonts w:ascii="Helvetica" w:hAnsi="Helvetica" w:cs="Helvetica"/>
        </w:rPr>
        <w:t>Summary</w:t>
      </w:r>
      <w:bookmarkEnd w:id="3"/>
      <w:bookmarkEnd w:id="4"/>
    </w:p>
    <w:p w:rsidRPr="00C20211" w:rsidR="00BE7307" w:rsidRDefault="64B1EFB9" w14:paraId="5647E672" w14:textId="301128C1">
      <w:pPr>
        <w:pStyle w:val="Standard"/>
        <w:ind w:right="-720"/>
      </w:pPr>
      <w:r w:rsidRPr="00C20211">
        <w:t>In t</w:t>
      </w:r>
      <w:r w:rsidRPr="00C20211" w:rsidR="544A7D7B">
        <w:t>his decision</w:t>
      </w:r>
      <w:r w:rsidRPr="00C20211" w:rsidR="0914E167">
        <w:t>,</w:t>
      </w:r>
      <w:r w:rsidRPr="00C20211" w:rsidR="544A7D7B">
        <w:t xml:space="preserve"> </w:t>
      </w:r>
      <w:r w:rsidRPr="00C20211">
        <w:t>we</w:t>
      </w:r>
      <w:r w:rsidRPr="00C20211" w:rsidR="7AF6F101">
        <w:t xml:space="preserve"> </w:t>
      </w:r>
      <w:r w:rsidRPr="00C20211">
        <w:t>modify Decision</w:t>
      </w:r>
      <w:r w:rsidRPr="00C20211" w:rsidR="4909E51C">
        <w:t xml:space="preserve"> (D.)</w:t>
      </w:r>
      <w:r w:rsidRPr="00C20211" w:rsidR="145330E9">
        <w:t xml:space="preserve"> </w:t>
      </w:r>
      <w:r w:rsidRPr="00C20211">
        <w:t xml:space="preserve">18-12-018 to </w:t>
      </w:r>
      <w:r w:rsidRPr="00C20211" w:rsidR="3925776F">
        <w:t xml:space="preserve">assign to </w:t>
      </w:r>
      <w:r w:rsidRPr="00C20211" w:rsidR="1F666728">
        <w:t>and authorize</w:t>
      </w:r>
      <w:r w:rsidRPr="00C20211" w:rsidR="3925776F">
        <w:t xml:space="preserve"> </w:t>
      </w:r>
      <w:r w:rsidR="00ED0CBE">
        <w:t>Commission</w:t>
      </w:r>
      <w:r w:rsidRPr="00C20211" w:rsidR="2738F199">
        <w:t xml:space="preserve"> </w:t>
      </w:r>
      <w:r w:rsidRPr="00C20211" w:rsidR="71734B38">
        <w:t>Communications Division Staff (</w:t>
      </w:r>
      <w:r w:rsidR="00ED0CBE">
        <w:t xml:space="preserve">CD </w:t>
      </w:r>
      <w:r w:rsidRPr="00C20211" w:rsidR="2738F199">
        <w:t>Staf</w:t>
      </w:r>
      <w:r w:rsidRPr="00C20211" w:rsidR="71734B38">
        <w:t>f</w:t>
      </w:r>
      <w:r w:rsidRPr="00C20211" w:rsidR="6F34302D">
        <w:t>)</w:t>
      </w:r>
      <w:r w:rsidRPr="00C20211" w:rsidR="4B59070F">
        <w:t xml:space="preserve">, </w:t>
      </w:r>
      <w:r w:rsidRPr="00C20211" w:rsidR="29665BA1">
        <w:t xml:space="preserve">limited to the criteria </w:t>
      </w:r>
      <w:r w:rsidRPr="00C20211" w:rsidR="3410DFB2">
        <w:t xml:space="preserve">set forth </w:t>
      </w:r>
      <w:r w:rsidRPr="00C20211" w:rsidR="29665BA1">
        <w:t>in this Decisi</w:t>
      </w:r>
      <w:r w:rsidRPr="00C20211" w:rsidR="338F0D71">
        <w:t>on</w:t>
      </w:r>
      <w:r w:rsidRPr="00C20211" w:rsidR="4B59070F">
        <w:t>,</w:t>
      </w:r>
      <w:r w:rsidRPr="00C20211" w:rsidR="2738F199">
        <w:t xml:space="preserve"> </w:t>
      </w:r>
      <w:r w:rsidRPr="00C20211" w:rsidR="25605470">
        <w:t>the responsibility and task</w:t>
      </w:r>
      <w:r w:rsidRPr="00C20211" w:rsidR="1D3F93B2">
        <w:t>s</w:t>
      </w:r>
      <w:r w:rsidRPr="00C20211" w:rsidR="25605470">
        <w:t xml:space="preserve"> of </w:t>
      </w:r>
      <w:r w:rsidRPr="00C20211" w:rsidR="2738F199">
        <w:t>set</w:t>
      </w:r>
      <w:r w:rsidRPr="00C20211" w:rsidR="25605470">
        <w:t>ting</w:t>
      </w:r>
      <w:r w:rsidRPr="00C20211" w:rsidR="2738F199">
        <w:t xml:space="preserve"> additional infrastructure application windows </w:t>
      </w:r>
      <w:r w:rsidRPr="00C20211" w:rsidR="1D3F93B2">
        <w:t xml:space="preserve">and timelines </w:t>
      </w:r>
      <w:r w:rsidRPr="00C20211" w:rsidR="2738F199">
        <w:t>for</w:t>
      </w:r>
      <w:r w:rsidRPr="00C20211" w:rsidR="7AF6F101">
        <w:t xml:space="preserve"> the California Advanced Services Fund</w:t>
      </w:r>
      <w:r w:rsidRPr="00C20211" w:rsidR="145330E9">
        <w:t xml:space="preserve"> </w:t>
      </w:r>
      <w:r w:rsidRPr="00C20211" w:rsidR="2B056B37">
        <w:t>B</w:t>
      </w:r>
      <w:r w:rsidRPr="00C20211" w:rsidR="7AF6F101">
        <w:t>roadband Infrastructure Grant Account</w:t>
      </w:r>
      <w:r w:rsidRPr="00C20211" w:rsidR="04CD46FC">
        <w:t xml:space="preserve"> (Infrastructure Account)</w:t>
      </w:r>
      <w:r w:rsidR="00ED0CBE">
        <w:t xml:space="preserve">.  In </w:t>
      </w:r>
      <w:proofErr w:type="gramStart"/>
      <w:r w:rsidR="00ED0CBE">
        <w:t>addition</w:t>
      </w:r>
      <w:proofErr w:type="gramEnd"/>
      <w:r w:rsidR="00ED0CBE">
        <w:t xml:space="preserve"> we</w:t>
      </w:r>
      <w:r w:rsidR="00966796">
        <w:t xml:space="preserve"> </w:t>
      </w:r>
      <w:r w:rsidRPr="00C20211" w:rsidR="70EABC0A">
        <w:t xml:space="preserve">authorize </w:t>
      </w:r>
      <w:r w:rsidR="00ED0CBE">
        <w:t>CD S</w:t>
      </w:r>
      <w:r w:rsidRPr="00C20211" w:rsidR="70EABC0A">
        <w:t xml:space="preserve">taff to </w:t>
      </w:r>
      <w:r w:rsidRPr="00C20211" w:rsidR="7CE5DFAD">
        <w:t>utilize state</w:t>
      </w:r>
      <w:r w:rsidRPr="00C20211" w:rsidR="70EABC0A">
        <w:t xml:space="preserve"> </w:t>
      </w:r>
      <w:r w:rsidRPr="00C20211" w:rsidR="7CE5DFAD">
        <w:t>operations funds</w:t>
      </w:r>
      <w:r w:rsidRPr="00C20211" w:rsidR="70EABC0A">
        <w:t xml:space="preserve"> </w:t>
      </w:r>
      <w:r w:rsidRPr="00C20211" w:rsidR="7CE5DFAD">
        <w:t>to</w:t>
      </w:r>
      <w:r w:rsidRPr="00C20211" w:rsidR="70EABC0A">
        <w:t xml:space="preserve"> provide technical assistance</w:t>
      </w:r>
      <w:r w:rsidRPr="00C20211" w:rsidR="2498069C">
        <w:rPr>
          <w:rStyle w:val="FootnoteReference"/>
          <w:rFonts w:eastAsiaTheme="minorEastAsia"/>
          <w:szCs w:val="26"/>
        </w:rPr>
        <w:footnoteReference w:id="2"/>
      </w:r>
      <w:r w:rsidRPr="00C20211" w:rsidR="70EABC0A">
        <w:t xml:space="preserve"> </w:t>
      </w:r>
      <w:r w:rsidRPr="00C20211" w:rsidR="2D727306">
        <w:t>for</w:t>
      </w:r>
      <w:r w:rsidR="004505CE">
        <w:t xml:space="preserve"> </w:t>
      </w:r>
      <w:r w:rsidRPr="00C20211" w:rsidR="01A39071">
        <w:t>T</w:t>
      </w:r>
      <w:r w:rsidRPr="00C20211" w:rsidR="2C43074D">
        <w:t>ribes</w:t>
      </w:r>
      <w:r w:rsidRPr="00C20211" w:rsidR="70EABC0A">
        <w:t xml:space="preserve"> </w:t>
      </w:r>
      <w:r w:rsidRPr="00C20211" w:rsidR="0D8269C5">
        <w:t>and</w:t>
      </w:r>
      <w:r w:rsidRPr="00C20211" w:rsidR="2738F199">
        <w:t xml:space="preserve"> </w:t>
      </w:r>
      <w:r w:rsidRPr="00C20211" w:rsidR="5122AAE8">
        <w:t>implement</w:t>
      </w:r>
      <w:r w:rsidRPr="00C20211" w:rsidR="5C3BD19E">
        <w:t>ing</w:t>
      </w:r>
      <w:r w:rsidRPr="00C20211" w:rsidR="5122AAE8">
        <w:t xml:space="preserve"> progr</w:t>
      </w:r>
      <w:r w:rsidRPr="00C20211" w:rsidR="476C3170">
        <w:t>ammatic changes to the Broadband Public Housing Account</w:t>
      </w:r>
      <w:r w:rsidRPr="00C20211" w:rsidR="4331A379">
        <w:t xml:space="preserve"> </w:t>
      </w:r>
      <w:r w:rsidRPr="00C20211" w:rsidR="38E09EF9">
        <w:t>rules and guidelines set forth in D.18-06-032</w:t>
      </w:r>
      <w:r w:rsidRPr="00C20211" w:rsidR="656993F2">
        <w:t>.</w:t>
      </w:r>
      <w:r w:rsidRPr="00C20211" w:rsidR="2738F199">
        <w:t xml:space="preserve">  </w:t>
      </w:r>
    </w:p>
    <w:p w:rsidRPr="00C20211" w:rsidR="007B619F" w:rsidP="004914E8" w:rsidRDefault="00ED0CBE" w14:paraId="043DF5F7" w14:textId="4869BE04">
      <w:pPr>
        <w:pStyle w:val="Standard"/>
        <w:ind w:right="-720"/>
      </w:pPr>
      <w:r>
        <w:t>T</w:t>
      </w:r>
      <w:r w:rsidRPr="00C20211" w:rsidR="00BE7307">
        <w:t xml:space="preserve">his decision closes </w:t>
      </w:r>
      <w:r w:rsidRPr="00C20211" w:rsidR="00FE6670">
        <w:t>Rulemaking</w:t>
      </w:r>
      <w:r w:rsidRPr="00C20211" w:rsidR="00BE7307">
        <w:t xml:space="preserve"> (R.) </w:t>
      </w:r>
      <w:r w:rsidRPr="00C20211" w:rsidR="00FE6670">
        <w:t>12-10-012</w:t>
      </w:r>
      <w:r w:rsidR="00B47CC0">
        <w:t xml:space="preserve"> </w:t>
      </w:r>
      <w:r w:rsidR="009C53A9">
        <w:t>on</w:t>
      </w:r>
      <w:r w:rsidRPr="007F6AE0" w:rsidR="009C53A9">
        <w:t xml:space="preserve"> </w:t>
      </w:r>
      <w:r w:rsidR="009C53A9">
        <w:t>September 10, 2020 or upon the issuance of a new order instituting rulemaking that addresses issues related to the California Advanced Services Fund, whichever is later</w:t>
      </w:r>
      <w:r w:rsidRPr="00C20211" w:rsidR="00FE6670">
        <w:t>.</w:t>
      </w:r>
      <w:r w:rsidRPr="00C20211" w:rsidR="00626013">
        <w:t xml:space="preserve">  </w:t>
      </w:r>
      <w:r w:rsidRPr="00C20211" w:rsidR="00BE7307">
        <w:t xml:space="preserve">All </w:t>
      </w:r>
      <w:r w:rsidRPr="00C20211" w:rsidR="00626013">
        <w:t xml:space="preserve">unresolved </w:t>
      </w:r>
      <w:r w:rsidRPr="00C20211" w:rsidR="00BE7307">
        <w:t>matters in R.12</w:t>
      </w:r>
      <w:r w:rsidR="000A6296">
        <w:noBreakHyphen/>
      </w:r>
      <w:r w:rsidRPr="00C20211" w:rsidR="00BE7307">
        <w:t>10-012 will</w:t>
      </w:r>
      <w:r w:rsidR="004C34C8">
        <w:t xml:space="preserve"> likely</w:t>
      </w:r>
      <w:r w:rsidRPr="00C20211" w:rsidR="00BE7307">
        <w:t xml:space="preserve"> be transferred to a new proceeding</w:t>
      </w:r>
      <w:r w:rsidR="004C34C8">
        <w:t xml:space="preserve">, wherein we will </w:t>
      </w:r>
      <w:r w:rsidRPr="00C20211" w:rsidR="002401E6">
        <w:t>take notice of the existing record developed in R.12-10-012.</w:t>
      </w:r>
    </w:p>
    <w:p w:rsidRPr="00B24193" w:rsidR="00EC4A00" w:rsidP="00BB504D" w:rsidRDefault="00EC4A00" w14:paraId="4974FCD5" w14:textId="5BCA9C0D">
      <w:pPr>
        <w:pStyle w:val="Heading1"/>
        <w:numPr>
          <w:ilvl w:val="0"/>
          <w:numId w:val="28"/>
        </w:numPr>
        <w:ind w:left="360"/>
      </w:pPr>
      <w:bookmarkStart w:name="_Toc43744754" w:id="6"/>
      <w:bookmarkStart w:name="_Toc8123715" w:id="7"/>
      <w:r w:rsidRPr="00B24193">
        <w:t>Relevant Background</w:t>
      </w:r>
      <w:bookmarkEnd w:id="6"/>
    </w:p>
    <w:p w:rsidRPr="00B24193" w:rsidR="007D3239" w:rsidP="006D1E0C" w:rsidRDefault="00A3073B" w14:paraId="396619C5" w14:textId="32C20C4A">
      <w:pPr>
        <w:pStyle w:val="Heading2"/>
        <w:tabs>
          <w:tab w:val="clear" w:pos="1080"/>
        </w:tabs>
        <w:ind w:left="810" w:right="-720" w:hanging="450"/>
        <w:rPr>
          <w:rFonts w:ascii="Helvetica" w:hAnsi="Helvetica" w:cs="Helvetica" w:eastAsiaTheme="majorEastAsia"/>
          <w:b w:val="0"/>
          <w:szCs w:val="32"/>
        </w:rPr>
      </w:pPr>
      <w:bookmarkStart w:name="_Toc43744755" w:id="8"/>
      <w:r w:rsidRPr="00B24193">
        <w:rPr>
          <w:rFonts w:ascii="Helvetica" w:hAnsi="Helvetica" w:cs="Helvetica"/>
        </w:rPr>
        <w:t xml:space="preserve">1.1 </w:t>
      </w:r>
      <w:r w:rsidRPr="00B24193" w:rsidR="00C96F56">
        <w:rPr>
          <w:rFonts w:ascii="Helvetica" w:hAnsi="Helvetica" w:cs="Helvetica"/>
        </w:rPr>
        <w:tab/>
      </w:r>
      <w:r w:rsidRPr="00B24193" w:rsidR="007D3239">
        <w:rPr>
          <w:rFonts w:ascii="Helvetica" w:hAnsi="Helvetica" w:cs="Helvetica"/>
        </w:rPr>
        <w:t>Infrastructure Grant Account</w:t>
      </w:r>
      <w:bookmarkEnd w:id="8"/>
    </w:p>
    <w:bookmarkEnd w:id="7"/>
    <w:p w:rsidRPr="00C20211" w:rsidR="00B0794B" w:rsidP="000E3ECC" w:rsidRDefault="004B08B0" w14:paraId="1F9DD120" w14:textId="29663A46">
      <w:pPr>
        <w:pStyle w:val="Standard"/>
        <w:ind w:right="-720"/>
      </w:pPr>
      <w:r w:rsidRPr="00C20211">
        <w:t xml:space="preserve">On </w:t>
      </w:r>
      <w:r w:rsidRPr="00C20211" w:rsidR="006C3E04">
        <w:t>March 9, 2017</w:t>
      </w:r>
      <w:r w:rsidRPr="00C20211">
        <w:t>,</w:t>
      </w:r>
      <w:r w:rsidRPr="00C20211" w:rsidR="006C3E04">
        <w:t xml:space="preserve"> the </w:t>
      </w:r>
      <w:r w:rsidRPr="00C20211">
        <w:t>C</w:t>
      </w:r>
      <w:r w:rsidRPr="00C20211" w:rsidR="006C3E04">
        <w:t xml:space="preserve">ommission reopened this proceeding, </w:t>
      </w:r>
      <w:r w:rsidRPr="00C20211" w:rsidR="008D00CA">
        <w:t>Rulemaking (R.)</w:t>
      </w:r>
      <w:r w:rsidR="008D00CA">
        <w:t> </w:t>
      </w:r>
      <w:r w:rsidRPr="00C20211" w:rsidR="008D00CA">
        <w:t>12-10-012</w:t>
      </w:r>
      <w:r w:rsidRPr="00C20211" w:rsidR="006C3E04">
        <w:t xml:space="preserve">, to implement changes to the </w:t>
      </w:r>
      <w:r w:rsidRPr="00C20211" w:rsidR="008D00CA">
        <w:t>Broadband Public Housing Account (BPHA)</w:t>
      </w:r>
      <w:r w:rsidRPr="00C20211" w:rsidR="004F5556">
        <w:t xml:space="preserve"> </w:t>
      </w:r>
      <w:r w:rsidR="00ED0CBE">
        <w:t xml:space="preserve">set forth </w:t>
      </w:r>
      <w:r w:rsidRPr="00C20211" w:rsidR="004F5556">
        <w:t>in S</w:t>
      </w:r>
      <w:r w:rsidRPr="00C20211" w:rsidR="006150A5">
        <w:t>enate Bill (</w:t>
      </w:r>
      <w:r w:rsidRPr="00C20211" w:rsidR="004F5556">
        <w:t>SB</w:t>
      </w:r>
      <w:r w:rsidRPr="00C20211" w:rsidR="006150A5">
        <w:t>)</w:t>
      </w:r>
      <w:r w:rsidRPr="00C20211" w:rsidR="004F5556">
        <w:t xml:space="preserve"> 745 (</w:t>
      </w:r>
      <w:r w:rsidRPr="00C20211" w:rsidR="00D036F2">
        <w:t>Chapter 710, Statutes of 2016).</w:t>
      </w:r>
      <w:r w:rsidRPr="00C20211" w:rsidR="000E3ECC">
        <w:t xml:space="preserve">  </w:t>
      </w:r>
      <w:r w:rsidRPr="00C20211" w:rsidR="421C02DE">
        <w:t>On October</w:t>
      </w:r>
      <w:r w:rsidR="000A6296">
        <w:t> </w:t>
      </w:r>
      <w:r w:rsidRPr="00C20211" w:rsidR="421C02DE">
        <w:t>15,</w:t>
      </w:r>
      <w:r w:rsidR="000A6296">
        <w:t> </w:t>
      </w:r>
      <w:r w:rsidRPr="00C20211" w:rsidR="421C02DE">
        <w:t>2017, the Governor signed Assembly Bill (AB) 1665 (</w:t>
      </w:r>
      <w:r w:rsidRPr="00C20211" w:rsidR="7CDD019E">
        <w:t xml:space="preserve">Chapter 851, Statutes of </w:t>
      </w:r>
      <w:r w:rsidRPr="00C20211" w:rsidR="187D4999">
        <w:t>2017</w:t>
      </w:r>
      <w:r w:rsidRPr="00C20211" w:rsidR="421C02DE">
        <w:t>) into law.</w:t>
      </w:r>
      <w:r w:rsidRPr="00C20211" w:rsidR="00162B73">
        <w:rPr>
          <w:rStyle w:val="FootnoteReference"/>
        </w:rPr>
        <w:footnoteReference w:id="3"/>
      </w:r>
      <w:r w:rsidRPr="00C20211" w:rsidR="421C02DE">
        <w:t xml:space="preserve">  </w:t>
      </w:r>
      <w:r w:rsidRPr="00C20211" w:rsidR="024A3216">
        <w:t xml:space="preserve">This urgency legislation amended the statutes governing the </w:t>
      </w:r>
      <w:r w:rsidRPr="00C20211" w:rsidR="008D00CA">
        <w:lastRenderedPageBreak/>
        <w:t>California Advanced Services Fund (CASF)</w:t>
      </w:r>
      <w:r w:rsidRPr="00C20211" w:rsidR="024A3216">
        <w:t xml:space="preserve"> program.</w:t>
      </w:r>
      <w:r w:rsidRPr="00C20211" w:rsidR="00EC4A00">
        <w:rPr>
          <w:rStyle w:val="FootnoteReference"/>
        </w:rPr>
        <w:footnoteReference w:id="4"/>
      </w:r>
      <w:r w:rsidRPr="00C20211" w:rsidR="2B6CAF3A">
        <w:t xml:space="preserve">  </w:t>
      </w:r>
      <w:r w:rsidRPr="00C20211" w:rsidR="31CE3137">
        <w:t>For example, CASF eligible areas were changed significantly:</w:t>
      </w:r>
      <w:r w:rsidR="001900E6">
        <w:t xml:space="preserve"> </w:t>
      </w:r>
      <w:r w:rsidRPr="00C20211" w:rsidR="31CE3137">
        <w:t xml:space="preserve"> the underserved designation was eliminated, designating more of the state as “unserved,” and the speed threshold for eligible areas was lowered.  Significant parts of the state eligible for Connect America Fund Phase II</w:t>
      </w:r>
      <w:r w:rsidRPr="00C20211" w:rsidR="1391D6FE">
        <w:t xml:space="preserve"> (CAF II)</w:t>
      </w:r>
      <w:r w:rsidRPr="00C20211" w:rsidR="31CE3137">
        <w:t xml:space="preserve"> funding were also deemed ineligible.</w:t>
      </w:r>
      <w:r w:rsidRPr="00C20211" w:rsidR="00AA155E">
        <w:rPr>
          <w:rStyle w:val="FootnoteReference"/>
        </w:rPr>
        <w:footnoteReference w:id="5"/>
      </w:r>
      <w:r w:rsidRPr="00C20211" w:rsidR="1391D6FE">
        <w:t xml:space="preserve">  </w:t>
      </w:r>
      <w:r w:rsidRPr="00C20211" w:rsidR="7D3F0D04">
        <w:t xml:space="preserve">AB 1665 also presents challenges in leveraging federal funding.  </w:t>
      </w:r>
      <w:r w:rsidRPr="00C20211" w:rsidR="31CE3137">
        <w:t xml:space="preserve">Taken together, this reduced the number of areas eligible for CASF infrastructure grants and, hence, the </w:t>
      </w:r>
      <w:r w:rsidRPr="00C20211" w:rsidR="30D032EF">
        <w:t>number</w:t>
      </w:r>
      <w:r w:rsidR="004505CE">
        <w:t xml:space="preserve"> </w:t>
      </w:r>
      <w:r w:rsidRPr="00C20211" w:rsidR="31CE3137">
        <w:t xml:space="preserve">of </w:t>
      </w:r>
      <w:r w:rsidRPr="00C20211" w:rsidR="6DA8E4A0">
        <w:t xml:space="preserve">Infrastructure Account </w:t>
      </w:r>
      <w:r w:rsidRPr="00C20211" w:rsidR="004505CE">
        <w:t>applications the</w:t>
      </w:r>
      <w:r w:rsidRPr="00C20211" w:rsidR="31CE3137">
        <w:t xml:space="preserve"> Commission</w:t>
      </w:r>
      <w:r w:rsidRPr="00C20211" w:rsidR="07C1EE41">
        <w:t xml:space="preserve"> has received</w:t>
      </w:r>
      <w:r w:rsidRPr="00C20211" w:rsidR="31CE3137">
        <w:t xml:space="preserve">. </w:t>
      </w:r>
      <w:r w:rsidRPr="00C20211" w:rsidR="2B6CAF3A">
        <w:t xml:space="preserve"> </w:t>
      </w:r>
    </w:p>
    <w:p w:rsidRPr="00C20211" w:rsidR="00626013" w:rsidP="00C96F56" w:rsidRDefault="024A3216" w14:paraId="14591420" w14:textId="757C7203">
      <w:pPr>
        <w:pStyle w:val="Standard"/>
        <w:ind w:right="-720"/>
      </w:pPr>
      <w:r w:rsidRPr="00C20211">
        <w:t xml:space="preserve">On December 20, 2018, the Commission adopted </w:t>
      </w:r>
      <w:r w:rsidR="008D00CA">
        <w:t>Decision (</w:t>
      </w:r>
      <w:r w:rsidRPr="00C20211" w:rsidR="421C02DE">
        <w:t>D.</w:t>
      </w:r>
      <w:r w:rsidR="008D00CA">
        <w:t xml:space="preserve">) </w:t>
      </w:r>
      <w:r w:rsidRPr="00C20211" w:rsidR="421C02DE">
        <w:t xml:space="preserve">18-12-018 </w:t>
      </w:r>
      <w:r w:rsidRPr="00C20211" w:rsidR="2AD396D6">
        <w:t>implementing the Infrastructure Account revised rules.  Among other things, D.18</w:t>
      </w:r>
      <w:r w:rsidR="008D00CA">
        <w:noBreakHyphen/>
      </w:r>
      <w:r w:rsidRPr="00C20211" w:rsidR="2AD396D6">
        <w:t>12</w:t>
      </w:r>
      <w:r w:rsidR="008D00CA">
        <w:noBreakHyphen/>
      </w:r>
      <w:r w:rsidRPr="00C20211" w:rsidR="2AD396D6">
        <w:t>018 established timelines for submission of applications for the Infrastructure Account and set</w:t>
      </w:r>
      <w:r w:rsidRPr="00C20211" w:rsidR="421C02DE">
        <w:t xml:space="preserve"> the program requirements for the application cycle to begin in calendar year 2019.</w:t>
      </w:r>
      <w:r w:rsidRPr="00C20211" w:rsidR="76302F13">
        <w:t xml:space="preserve">  In the 2019 funding cycle, the Commission approved 11 </w:t>
      </w:r>
      <w:r w:rsidRPr="00C20211" w:rsidR="04CD46FC">
        <w:t>i</w:t>
      </w:r>
      <w:r w:rsidRPr="00C20211" w:rsidR="76302F13">
        <w:t>nfrastructure grant applications</w:t>
      </w:r>
      <w:r w:rsidRPr="00C20211" w:rsidR="600E65B7">
        <w:t>,</w:t>
      </w:r>
      <w:r w:rsidRPr="00C20211" w:rsidR="76302F13">
        <w:t xml:space="preserve"> for </w:t>
      </w:r>
      <w:r w:rsidRPr="00C20211" w:rsidR="2F1FE469">
        <w:t xml:space="preserve">a total funding amount of </w:t>
      </w:r>
      <w:r w:rsidRPr="00C20211" w:rsidR="76302F13">
        <w:t>$24.8 million.</w:t>
      </w:r>
      <w:r w:rsidRPr="00C20211" w:rsidR="00C509E5">
        <w:rPr>
          <w:rStyle w:val="FootnoteReference"/>
        </w:rPr>
        <w:footnoteReference w:id="6"/>
      </w:r>
      <w:r w:rsidRPr="00C20211" w:rsidR="4331A379">
        <w:t xml:space="preserve">  </w:t>
      </w:r>
      <w:r w:rsidRPr="00C20211" w:rsidR="049ED3F4">
        <w:t xml:space="preserve">Currently, </w:t>
      </w:r>
      <w:r w:rsidRPr="00C20211" w:rsidR="24C5B383">
        <w:t>the CASF program has awarded</w:t>
      </w:r>
      <w:r w:rsidRPr="00C20211" w:rsidR="4331A379">
        <w:t xml:space="preserve"> </w:t>
      </w:r>
      <w:r w:rsidRPr="00C20211" w:rsidR="04CD46FC">
        <w:t>approximately $271 million</w:t>
      </w:r>
      <w:r w:rsidRPr="00C20211" w:rsidR="4331A379">
        <w:t xml:space="preserve"> </w:t>
      </w:r>
      <w:r w:rsidRPr="00C20211" w:rsidR="640A3DC5">
        <w:t>of the $5</w:t>
      </w:r>
      <w:r w:rsidRPr="00C20211" w:rsidR="04CD46FC">
        <w:t>70</w:t>
      </w:r>
      <w:r w:rsidR="0019675F">
        <w:t> </w:t>
      </w:r>
      <w:r w:rsidRPr="00C20211" w:rsidR="640A3DC5">
        <w:t xml:space="preserve">million </w:t>
      </w:r>
      <w:r w:rsidRPr="00C20211" w:rsidR="4331A379">
        <w:t>allocated for infrastructure projects.</w:t>
      </w:r>
      <w:r w:rsidRPr="00C20211" w:rsidR="002401E6">
        <w:rPr>
          <w:rStyle w:val="FootnoteReference"/>
        </w:rPr>
        <w:footnoteReference w:id="7"/>
      </w:r>
      <w:r w:rsidRPr="00C20211" w:rsidR="4BF922AF">
        <w:t xml:space="preserve">  </w:t>
      </w:r>
      <w:r w:rsidRPr="00C20211" w:rsidR="421C02DE">
        <w:t>Due to the</w:t>
      </w:r>
      <w:r w:rsidRPr="00C20211" w:rsidR="2AD396D6">
        <w:t xml:space="preserve"> COVID-19 public health emergency and in response to </w:t>
      </w:r>
      <w:r w:rsidRPr="00C20211" w:rsidR="73C733AE">
        <w:t>individual</w:t>
      </w:r>
      <w:r w:rsidRPr="00C20211" w:rsidR="2AD396D6">
        <w:t xml:space="preserve"> stakeholder’s requests, the </w:t>
      </w:r>
      <w:r w:rsidRPr="00C20211" w:rsidR="57649DCD">
        <w:t>Commission</w:t>
      </w:r>
      <w:r w:rsidRPr="00C20211" w:rsidR="2AD396D6">
        <w:t xml:space="preserve"> postponed the 2020 CASF infrastructure application deadline.  Pursuant to</w:t>
      </w:r>
      <w:r w:rsidRPr="00C20211" w:rsidDel="004C23F4" w:rsidR="421C02DE">
        <w:t xml:space="preserve"> </w:t>
      </w:r>
      <w:r w:rsidRPr="00C20211" w:rsidR="421C02DE">
        <w:t xml:space="preserve">Rule 16.6 of </w:t>
      </w:r>
      <w:r w:rsidRPr="00C20211" w:rsidR="421C02DE">
        <w:lastRenderedPageBreak/>
        <w:t>the Commission’s Rules of Practice and Procedure</w:t>
      </w:r>
      <w:r w:rsidR="0036358F">
        <w:t xml:space="preserve"> </w:t>
      </w:r>
      <w:r w:rsidR="00ED0CBE">
        <w:t xml:space="preserve">the </w:t>
      </w:r>
      <w:r w:rsidR="0036358F">
        <w:t>Commission’s</w:t>
      </w:r>
      <w:r w:rsidR="00ED0CBE">
        <w:t xml:space="preserve"> </w:t>
      </w:r>
      <w:r w:rsidRPr="00C20211" w:rsidR="57649DCD">
        <w:t xml:space="preserve">Executive Director </w:t>
      </w:r>
      <w:r w:rsidRPr="00C20211" w:rsidR="421C02DE">
        <w:t xml:space="preserve">issued a letter </w:t>
      </w:r>
      <w:r w:rsidRPr="00C20211" w:rsidR="4BD97B4B">
        <w:t xml:space="preserve">on </w:t>
      </w:r>
      <w:r w:rsidRPr="00C20211" w:rsidR="317ACAC4">
        <w:t xml:space="preserve">March 20, 2020 </w:t>
      </w:r>
      <w:r w:rsidRPr="00C20211" w:rsidR="57649DCD">
        <w:t>to move the deadline for applications from April 1 to</w:t>
      </w:r>
      <w:r w:rsidRPr="00C20211" w:rsidR="1B977216">
        <w:t xml:space="preserve"> </w:t>
      </w:r>
      <w:r w:rsidRPr="00C20211" w:rsidR="6810299B">
        <w:t>May 4, 2020</w:t>
      </w:r>
      <w:r w:rsidRPr="00C20211" w:rsidR="421C02DE">
        <w:t>.</w:t>
      </w:r>
      <w:r w:rsidRPr="00C20211" w:rsidR="00162B73">
        <w:rPr>
          <w:rStyle w:val="FootnoteReference"/>
        </w:rPr>
        <w:footnoteReference w:id="8"/>
      </w:r>
      <w:r w:rsidRPr="00C20211" w:rsidR="3781E6FE">
        <w:t xml:space="preserve">  </w:t>
      </w:r>
    </w:p>
    <w:p w:rsidRPr="00C20211" w:rsidR="00162B73" w:rsidP="00C96F56" w:rsidRDefault="2B6CAF3A" w14:paraId="0E9C2955" w14:textId="4D5EA21E">
      <w:pPr>
        <w:pStyle w:val="Standard"/>
        <w:ind w:right="-720"/>
      </w:pPr>
      <w:r w:rsidRPr="00C20211">
        <w:t>On May 4, 2020, the Communications Division</w:t>
      </w:r>
      <w:r w:rsidRPr="00C20211" w:rsidR="4E43BC3F">
        <w:t xml:space="preserve"> (CD)</w:t>
      </w:r>
      <w:r w:rsidRPr="00C20211">
        <w:t xml:space="preserve"> received 54 applications requesting approximately $533 million in total funding from the Infrastructure Grant Account.</w:t>
      </w:r>
      <w:r w:rsidRPr="00C20211" w:rsidR="00A54FF2">
        <w:rPr>
          <w:rStyle w:val="FootnoteReference"/>
        </w:rPr>
        <w:footnoteReference w:id="9"/>
      </w:r>
      <w:r w:rsidRPr="00C20211">
        <w:t xml:space="preserve"> </w:t>
      </w:r>
    </w:p>
    <w:p w:rsidRPr="00164909" w:rsidR="00530C21" w:rsidP="00164909" w:rsidRDefault="00A3073B" w14:paraId="7B8592CE" w14:textId="7715D877">
      <w:pPr>
        <w:pStyle w:val="Heading2"/>
        <w:tabs>
          <w:tab w:val="clear" w:pos="1080"/>
        </w:tabs>
        <w:ind w:left="810" w:right="-720" w:hanging="450"/>
        <w:rPr>
          <w:rFonts w:ascii="Helvetica" w:hAnsi="Helvetica" w:cs="Helvetica"/>
          <w:bCs/>
        </w:rPr>
      </w:pPr>
      <w:bookmarkStart w:name="_Toc43744756" w:id="9"/>
      <w:r w:rsidRPr="00164909">
        <w:rPr>
          <w:rFonts w:ascii="Helvetica" w:hAnsi="Helvetica" w:cs="Helvetica"/>
        </w:rPr>
        <w:t>1.2</w:t>
      </w:r>
      <w:r w:rsidR="00164909">
        <w:rPr>
          <w:rFonts w:ascii="Helvetica" w:hAnsi="Helvetica" w:cs="Helvetica"/>
        </w:rPr>
        <w:t>.</w:t>
      </w:r>
      <w:r w:rsidRPr="00164909" w:rsidR="00EF36AB">
        <w:rPr>
          <w:rFonts w:ascii="Helvetica" w:hAnsi="Helvetica" w:cs="Helvetica"/>
        </w:rPr>
        <w:t xml:space="preserve"> </w:t>
      </w:r>
      <w:r w:rsidRPr="00164909" w:rsidR="0CC69E52">
        <w:rPr>
          <w:rFonts w:ascii="Helvetica" w:hAnsi="Helvetica" w:cs="Helvetica"/>
        </w:rPr>
        <w:t xml:space="preserve"> </w:t>
      </w:r>
      <w:r w:rsidRPr="00164909" w:rsidR="0CC69E52">
        <w:rPr>
          <w:bCs/>
        </w:rPr>
        <w:t xml:space="preserve">Technical Assistance </w:t>
      </w:r>
      <w:r w:rsidRPr="00164909" w:rsidR="23613C19">
        <w:rPr>
          <w:bCs/>
        </w:rPr>
        <w:t xml:space="preserve">Funds </w:t>
      </w:r>
      <w:r w:rsidRPr="00164909" w:rsidR="4AD8398A">
        <w:rPr>
          <w:bCs/>
        </w:rPr>
        <w:t>for</w:t>
      </w:r>
      <w:r w:rsidRPr="00164909" w:rsidR="0CC69E52">
        <w:rPr>
          <w:bCs/>
        </w:rPr>
        <w:t xml:space="preserve"> Tribes</w:t>
      </w:r>
      <w:bookmarkEnd w:id="9"/>
    </w:p>
    <w:p w:rsidRPr="00C20211" w:rsidR="00D317D7" w:rsidP="007E6308" w:rsidRDefault="2E41A7BF" w14:paraId="09020DA5" w14:textId="56C80CA0">
      <w:pPr>
        <w:ind w:right="-630"/>
        <w:rPr>
          <w:szCs w:val="26"/>
        </w:rPr>
      </w:pPr>
      <w:r w:rsidRPr="00C20211">
        <w:t xml:space="preserve">The </w:t>
      </w:r>
      <w:r w:rsidRPr="00C20211" w:rsidR="15A89EDD">
        <w:t xml:space="preserve">Federal Communications Commission (FCC) adopted a </w:t>
      </w:r>
      <w:r w:rsidRPr="00C20211" w:rsidR="12786816">
        <w:t>T</w:t>
      </w:r>
      <w:r w:rsidRPr="00C20211" w:rsidR="15A89EDD">
        <w:t xml:space="preserve">ribal </w:t>
      </w:r>
      <w:r w:rsidRPr="00C20211" w:rsidR="12786816">
        <w:t>P</w:t>
      </w:r>
      <w:r w:rsidRPr="00C20211" w:rsidR="15A89EDD">
        <w:t xml:space="preserve">riority </w:t>
      </w:r>
      <w:r w:rsidRPr="00C20211" w:rsidR="12786816">
        <w:t>W</w:t>
      </w:r>
      <w:r w:rsidRPr="00C20211" w:rsidR="15A89EDD">
        <w:t xml:space="preserve">indow for rural, federally recognized </w:t>
      </w:r>
      <w:r w:rsidRPr="00C20211" w:rsidR="12786816">
        <w:t>T</w:t>
      </w:r>
      <w:r w:rsidRPr="00C20211" w:rsidR="15A89EDD">
        <w:t xml:space="preserve">ribes to apply for 2.5 GHz spectrum over their </w:t>
      </w:r>
      <w:r w:rsidRPr="00C20211" w:rsidR="43FCC7AE">
        <w:t>T</w:t>
      </w:r>
      <w:r w:rsidRPr="00C20211" w:rsidR="15A89EDD">
        <w:t>ribal lands.</w:t>
      </w:r>
      <w:r w:rsidRPr="00C20211" w:rsidR="00080A9F">
        <w:rPr>
          <w:rStyle w:val="FootnoteReference"/>
          <w:szCs w:val="26"/>
        </w:rPr>
        <w:footnoteReference w:id="10"/>
      </w:r>
      <w:r w:rsidRPr="00C20211" w:rsidR="71F4DCD3">
        <w:t xml:space="preserve">  </w:t>
      </w:r>
      <w:r w:rsidRPr="00C20211">
        <w:t xml:space="preserve">The </w:t>
      </w:r>
      <w:r w:rsidRPr="00C20211" w:rsidR="71F4DCD3">
        <w:t xml:space="preserve">Commission </w:t>
      </w:r>
      <w:r w:rsidRPr="00C20211">
        <w:t>requested comment</w:t>
      </w:r>
      <w:r w:rsidRPr="00C20211" w:rsidR="71F4DCD3">
        <w:t>s</w:t>
      </w:r>
      <w:r w:rsidRPr="00C20211" w:rsidR="001620EF">
        <w:rPr>
          <w:rStyle w:val="FootnoteReference"/>
          <w:szCs w:val="26"/>
        </w:rPr>
        <w:footnoteReference w:id="11"/>
      </w:r>
      <w:r w:rsidRPr="00C20211">
        <w:t xml:space="preserve"> on</w:t>
      </w:r>
      <w:r w:rsidRPr="00C20211" w:rsidR="0CE30AD7">
        <w:t xml:space="preserve"> assisting </w:t>
      </w:r>
      <w:r w:rsidRPr="00C20211" w:rsidR="1AF5619C">
        <w:t>T</w:t>
      </w:r>
      <w:r w:rsidRPr="00C20211" w:rsidR="0CE30AD7">
        <w:t>ribes with technical assistance and a potential for another infrastructure funding solicitation to maximize the</w:t>
      </w:r>
      <w:r w:rsidRPr="00C20211">
        <w:t xml:space="preserve"> federal and state</w:t>
      </w:r>
      <w:r w:rsidRPr="00C20211" w:rsidR="36B20BD2">
        <w:t xml:space="preserve"> </w:t>
      </w:r>
      <w:r w:rsidRPr="00C20211">
        <w:t xml:space="preserve">opportunities </w:t>
      </w:r>
      <w:r w:rsidRPr="00C20211" w:rsidR="0CE30AD7">
        <w:t>for</w:t>
      </w:r>
      <w:r w:rsidRPr="00C20211">
        <w:t xml:space="preserve"> funding </w:t>
      </w:r>
      <w:r w:rsidRPr="00C20211" w:rsidR="1BFF8236">
        <w:t>T</w:t>
      </w:r>
      <w:r w:rsidRPr="00C20211">
        <w:t>ribal broadband</w:t>
      </w:r>
      <w:r w:rsidRPr="00C20211" w:rsidR="793739FF">
        <w:t xml:space="preserve"> needs</w:t>
      </w:r>
      <w:r w:rsidRPr="00C20211">
        <w:t xml:space="preserve"> including the 2.5 GHz spectrum </w:t>
      </w:r>
      <w:r w:rsidRPr="00C20211" w:rsidR="1BFF8236">
        <w:t>T</w:t>
      </w:r>
      <w:r w:rsidRPr="00C20211">
        <w:t xml:space="preserve">ribal </w:t>
      </w:r>
      <w:r w:rsidRPr="00C20211" w:rsidR="1BFF8236">
        <w:t>P</w:t>
      </w:r>
      <w:r w:rsidRPr="00C20211">
        <w:t xml:space="preserve">riority </w:t>
      </w:r>
      <w:r w:rsidRPr="00C20211" w:rsidR="1BFF8236">
        <w:t>W</w:t>
      </w:r>
      <w:r w:rsidRPr="00C20211">
        <w:t>indow for rural, federally recognized Tribes; the Rural Digital Opportunity Fund; and the US Department of Commerce Economic Development Administration (EDA).</w:t>
      </w:r>
      <w:r w:rsidRPr="00C20211" w:rsidR="00D317D7">
        <w:rPr>
          <w:szCs w:val="26"/>
          <w:vertAlign w:val="superscript"/>
        </w:rPr>
        <w:footnoteReference w:id="12"/>
      </w:r>
      <w:r w:rsidRPr="00C20211">
        <w:t xml:space="preserve"> </w:t>
      </w:r>
    </w:p>
    <w:p w:rsidRPr="00E103D6" w:rsidR="000D5DFD" w:rsidP="00BB504D" w:rsidRDefault="000D5DFD" w14:paraId="393F2AF2" w14:textId="7B6F6DEA">
      <w:pPr>
        <w:pStyle w:val="Heading2"/>
        <w:numPr>
          <w:ilvl w:val="1"/>
          <w:numId w:val="28"/>
        </w:numPr>
        <w:ind w:right="-720"/>
        <w:rPr>
          <w:rFonts w:ascii="Helvetica" w:hAnsi="Helvetica" w:cs="Helvetica"/>
        </w:rPr>
      </w:pPr>
      <w:bookmarkStart w:name="_Toc43744757" w:id="10"/>
      <w:r w:rsidRPr="00E103D6">
        <w:rPr>
          <w:rFonts w:ascii="Helvetica" w:hAnsi="Helvetica" w:cs="Helvetica"/>
        </w:rPr>
        <w:lastRenderedPageBreak/>
        <w:t>Public Housing Account</w:t>
      </w:r>
      <w:bookmarkEnd w:id="10"/>
    </w:p>
    <w:p w:rsidRPr="004505CE" w:rsidR="006E42FC" w:rsidP="00DA0502" w:rsidRDefault="4331A379" w14:paraId="58500A2B" w14:textId="728D0225">
      <w:pPr>
        <w:pStyle w:val="Standard"/>
        <w:ind w:right="-720"/>
      </w:pPr>
      <w:r w:rsidRPr="00C20211">
        <w:t>The Commission adopted the BPHA Application Requirements and Guidelines in D.14-12-039.</w:t>
      </w:r>
      <w:r w:rsidRPr="00C20211" w:rsidR="713B6FFD">
        <w:t xml:space="preserve">  </w:t>
      </w:r>
      <w:r w:rsidRPr="00C20211">
        <w:t xml:space="preserve">On June 21, 2018, the Commission issued D.18-06-032, which implemented programmatic changes to the CASF program including the BPHA.  The BPHA provides grants for broadband connectivity and adoption in publicly supported housing communities (PSCs). </w:t>
      </w:r>
      <w:r w:rsidRPr="00C20211" w:rsidR="327BA15E">
        <w:t xml:space="preserve"> </w:t>
      </w:r>
      <w:r w:rsidRPr="00C20211">
        <w:t>The moneys set aside for</w:t>
      </w:r>
      <w:r w:rsidRPr="00C20211" w:rsidR="73ABAF05">
        <w:t xml:space="preserve"> </w:t>
      </w:r>
      <w:r w:rsidRPr="00C20211">
        <w:t>broadband adoption have been fully committed.</w:t>
      </w:r>
      <w:r w:rsidRPr="00C20211" w:rsidR="04CD46FC">
        <w:t xml:space="preserve">  </w:t>
      </w:r>
      <w:bookmarkStart w:name="_Hlk43226429" w:id="11"/>
      <w:r w:rsidRPr="00C20211">
        <w:t>Less than half of the money</w:t>
      </w:r>
      <w:r w:rsidRPr="00C20211" w:rsidR="4C15ACBE">
        <w:t xml:space="preserve"> </w:t>
      </w:r>
      <w:r w:rsidRPr="00C20211">
        <w:t>available for broadband connectivity (infrastructure) projects has been awarded.</w:t>
      </w:r>
      <w:bookmarkEnd w:id="11"/>
      <w:r w:rsidRPr="00C20211">
        <w:t xml:space="preserve">  </w:t>
      </w:r>
      <w:r w:rsidRPr="00C20211" w:rsidR="73ABAF05">
        <w:t xml:space="preserve">This is because </w:t>
      </w:r>
      <w:r w:rsidRPr="00C20211" w:rsidR="4F92817A">
        <w:t>the deployments funded through BPHA infrastructure are dependent on the purchase of a digital circuit from an existing ISP which is already servicing the area</w:t>
      </w:r>
      <w:r w:rsidR="00F620B9">
        <w:t>.</w:t>
      </w:r>
      <w:r w:rsidRPr="00C20211" w:rsidR="00213D6E">
        <w:rPr>
          <w:rStyle w:val="FootnoteReference"/>
        </w:rPr>
        <w:footnoteReference w:id="13"/>
      </w:r>
      <w:r w:rsidRPr="00C20211" w:rsidR="4F92817A">
        <w:t xml:space="preserve"> </w:t>
      </w:r>
      <w:r w:rsidR="00F620B9">
        <w:t>M</w:t>
      </w:r>
      <w:r w:rsidRPr="00C20211" w:rsidR="73ABAF05">
        <w:t xml:space="preserve">ost </w:t>
      </w:r>
      <w:r w:rsidRPr="00C20211" w:rsidR="029EDC30">
        <w:t xml:space="preserve">public housing </w:t>
      </w:r>
      <w:r w:rsidRPr="00C20211" w:rsidR="73ABAF05">
        <w:t xml:space="preserve">locations do not qualify under existing rules as these locations would not be unserved housing developments as defined by Pub. Util. Code </w:t>
      </w:r>
      <w:r w:rsidR="00FF7F31">
        <w:t>S</w:t>
      </w:r>
      <w:r w:rsidRPr="00C20211" w:rsidR="3612D839">
        <w:t>ection</w:t>
      </w:r>
      <w:r w:rsidRPr="00C20211" w:rsidR="21952AB9">
        <w:t>s</w:t>
      </w:r>
      <w:r w:rsidR="00FF7F31">
        <w:t> </w:t>
      </w:r>
      <w:r w:rsidRPr="00C20211" w:rsidR="73ABAF05">
        <w:t xml:space="preserve">281(i)(3)(B)(i) and </w:t>
      </w:r>
      <w:r w:rsidRPr="00C20211" w:rsidR="2202C67F">
        <w:t>281(i)(3)(B)(ii)</w:t>
      </w:r>
      <w:r w:rsidRPr="00C20211" w:rsidR="3612D839">
        <w:t xml:space="preserve"> and D.18-06-032.</w:t>
      </w:r>
      <w:r w:rsidRPr="00C20211" w:rsidR="579CFDAA">
        <w:t xml:space="preserve"> </w:t>
      </w:r>
      <w:r w:rsidR="007E6308">
        <w:t xml:space="preserve"> </w:t>
      </w:r>
      <w:r w:rsidRPr="00C20211" w:rsidR="4F92817A">
        <w:t>Th</w:t>
      </w:r>
      <w:r w:rsidRPr="00C20211" w:rsidR="41BA37FC">
        <w:t>e</w:t>
      </w:r>
      <w:r w:rsidRPr="00C20211" w:rsidR="1E6BEFF6">
        <w:t xml:space="preserve"> Commission has only received one application for BPHA infrastructure </w:t>
      </w:r>
      <w:r w:rsidRPr="00C20211" w:rsidR="029EDC30">
        <w:t xml:space="preserve">since October 2016.  </w:t>
      </w:r>
      <w:r w:rsidRPr="00C20211">
        <w:t>Any money from the BPHA not awarded by December 31, 2020, shall be transferred back to the Infrastructure Account.</w:t>
      </w:r>
      <w:r w:rsidRPr="00C20211" w:rsidR="00E11AF2">
        <w:rPr>
          <w:rStyle w:val="FootnoteReference"/>
        </w:rPr>
        <w:footnoteReference w:id="14"/>
      </w:r>
    </w:p>
    <w:p w:rsidRPr="00FF7F31" w:rsidR="006E42FC" w:rsidP="00BB504D" w:rsidRDefault="008005C6" w14:paraId="24FCE1F7" w14:textId="4DB64BD7">
      <w:pPr>
        <w:pStyle w:val="Heading2"/>
        <w:numPr>
          <w:ilvl w:val="1"/>
          <w:numId w:val="28"/>
        </w:numPr>
        <w:ind w:right="-720"/>
        <w:rPr>
          <w:rFonts w:ascii="Helvetica" w:hAnsi="Helvetica" w:cs="Helvetica"/>
        </w:rPr>
      </w:pPr>
      <w:bookmarkStart w:name="_Toc43744758" w:id="12"/>
      <w:r w:rsidRPr="00FF7F31">
        <w:rPr>
          <w:rFonts w:ascii="Helvetica" w:hAnsi="Helvetica" w:cs="Helvetica"/>
        </w:rPr>
        <w:t>The March 26, 2020 Assigned Commissioner’s</w:t>
      </w:r>
      <w:r w:rsidRPr="00FF7F31" w:rsidR="00C96F56">
        <w:rPr>
          <w:rFonts w:ascii="Helvetica" w:hAnsi="Helvetica" w:cs="Helvetica"/>
        </w:rPr>
        <w:t xml:space="preserve"> </w:t>
      </w:r>
      <w:r w:rsidRPr="00FF7F31">
        <w:rPr>
          <w:rFonts w:ascii="Helvetica" w:hAnsi="Helvetica" w:cs="Helvetica"/>
        </w:rPr>
        <w:t>Ruling</w:t>
      </w:r>
      <w:bookmarkEnd w:id="12"/>
    </w:p>
    <w:p w:rsidR="00CF4A6F" w:rsidP="00CF4A6F" w:rsidRDefault="56AA9C5A" w14:paraId="21D77024" w14:textId="77777777">
      <w:pPr>
        <w:pStyle w:val="Standard"/>
        <w:ind w:right="-720"/>
      </w:pPr>
      <w:r w:rsidRPr="00C20211">
        <w:t>On March 26, 2020, the Assigned Commissioner issued an Assigned Commissioner Ruling (ACR)</w:t>
      </w:r>
      <w:r w:rsidRPr="00C20211" w:rsidR="006E42FC">
        <w:rPr>
          <w:rStyle w:val="FootnoteReference"/>
          <w:sz w:val="24"/>
          <w:szCs w:val="24"/>
        </w:rPr>
        <w:footnoteReference w:id="15"/>
      </w:r>
      <w:r w:rsidRPr="00C20211">
        <w:rPr>
          <w:sz w:val="24"/>
          <w:szCs w:val="24"/>
        </w:rPr>
        <w:t xml:space="preserve"> </w:t>
      </w:r>
      <w:r w:rsidRPr="00C20211">
        <w:t>requesting comments on Infrastructure Account rules and application windows.</w:t>
      </w:r>
      <w:r w:rsidRPr="00C20211" w:rsidR="19707143">
        <w:t xml:space="preserve">  The ACR sought to gather information on potential changes to program rules partially as a result of the current health emergency, the </w:t>
      </w:r>
      <w:r w:rsidRPr="00C20211" w:rsidR="19707143">
        <w:lastRenderedPageBreak/>
        <w:t>smaller than desired number of submitted applications in the 2019 CASF funding cycle</w:t>
      </w:r>
      <w:r w:rsidRPr="00C20211" w:rsidR="4E54CF2F">
        <w:t xml:space="preserve"> by incumbents</w:t>
      </w:r>
      <w:r w:rsidRPr="00C20211" w:rsidR="19707143">
        <w:t xml:space="preserve">, and the anticipated changes to </w:t>
      </w:r>
      <w:r w:rsidRPr="00C20211" w:rsidR="257863D1">
        <w:t xml:space="preserve">federal </w:t>
      </w:r>
      <w:r w:rsidRPr="00C20211" w:rsidR="19707143">
        <w:t>programs that impact CASF funding.</w:t>
      </w:r>
    </w:p>
    <w:p w:rsidRPr="00C20211" w:rsidR="006E42FC" w:rsidP="00CF4A6F" w:rsidRDefault="4CA3CE4D" w14:paraId="5332307A" w14:textId="7CFD70A5">
      <w:pPr>
        <w:pStyle w:val="Standard"/>
        <w:ind w:right="-720"/>
      </w:pPr>
      <w:r w:rsidRPr="00C20211">
        <w:t xml:space="preserve">The ACR also included the Staff’s proposed </w:t>
      </w:r>
      <w:r w:rsidRPr="00C20211" w:rsidR="50CF6751">
        <w:t xml:space="preserve">technical assistance for </w:t>
      </w:r>
      <w:r w:rsidRPr="00C20211" w:rsidR="257863D1">
        <w:t>T</w:t>
      </w:r>
      <w:r w:rsidRPr="00C20211" w:rsidR="50CF6751">
        <w:t xml:space="preserve">ribes and </w:t>
      </w:r>
      <w:r w:rsidRPr="00C20211">
        <w:t>modifications to BPHA application requirements and guidelines.</w:t>
      </w:r>
      <w:r w:rsidRPr="00C20211" w:rsidR="008005C6">
        <w:rPr>
          <w:rStyle w:val="FootnoteReference"/>
        </w:rPr>
        <w:footnoteReference w:id="16"/>
      </w:r>
      <w:r w:rsidRPr="00C20211">
        <w:t xml:space="preserve">  </w:t>
      </w:r>
      <w:r w:rsidRPr="00C20211" w:rsidR="006E42FC">
        <w:t>Comments were due on</w:t>
      </w:r>
      <w:r w:rsidRPr="00C20211" w:rsidR="002401E6">
        <w:t xml:space="preserve"> April 15, 2020</w:t>
      </w:r>
      <w:r w:rsidRPr="00C20211" w:rsidR="006E42FC">
        <w:t>.  Reply comments were due on</w:t>
      </w:r>
      <w:r w:rsidRPr="00C20211" w:rsidR="002401E6">
        <w:t xml:space="preserve"> </w:t>
      </w:r>
      <w:r w:rsidR="000714A5">
        <w:t>A</w:t>
      </w:r>
      <w:r w:rsidRPr="00C20211" w:rsidR="002401E6">
        <w:t>pril</w:t>
      </w:r>
      <w:r w:rsidR="000714A5">
        <w:t> </w:t>
      </w:r>
      <w:r w:rsidRPr="00C20211" w:rsidR="002401E6">
        <w:t>27,</w:t>
      </w:r>
      <w:r w:rsidR="000714A5">
        <w:t> </w:t>
      </w:r>
      <w:r w:rsidRPr="00C20211" w:rsidR="002401E6">
        <w:t>2020</w:t>
      </w:r>
      <w:r w:rsidRPr="00C20211" w:rsidR="006E42FC">
        <w:t>.</w:t>
      </w:r>
    </w:p>
    <w:p w:rsidRPr="00C20211" w:rsidR="0045001C" w:rsidP="00C96F56" w:rsidRDefault="0FD53D24" w14:paraId="1161256F" w14:textId="1D020892">
      <w:pPr>
        <w:pStyle w:val="Standard"/>
        <w:ind w:right="-720"/>
      </w:pPr>
      <w:r w:rsidRPr="00C20211">
        <w:t>Eleven</w:t>
      </w:r>
      <w:r w:rsidRPr="00C20211" w:rsidR="56AA9C5A">
        <w:t xml:space="preserve"> parties filed comments:</w:t>
      </w:r>
      <w:r w:rsidRPr="00C20211" w:rsidR="0045001C">
        <w:rPr>
          <w:rStyle w:val="FootnoteReference"/>
        </w:rPr>
        <w:footnoteReference w:id="17"/>
      </w:r>
      <w:r w:rsidRPr="00C20211" w:rsidR="49BE079B">
        <w:t xml:space="preserve"> </w:t>
      </w:r>
      <w:r w:rsidR="007169B9">
        <w:t xml:space="preserve"> </w:t>
      </w:r>
      <w:r w:rsidRPr="00C20211" w:rsidR="49BE079B">
        <w:t xml:space="preserve">Frontier Citizens Telecommunications Company of California Inc. (Frontier), California Internet, L.P. dba </w:t>
      </w:r>
      <w:proofErr w:type="spellStart"/>
      <w:r w:rsidRPr="00C20211" w:rsidR="49BE079B">
        <w:t>GeoLinks</w:t>
      </w:r>
      <w:proofErr w:type="spellEnd"/>
      <w:r w:rsidRPr="00C20211" w:rsidR="49BE079B">
        <w:t xml:space="preserve"> (</w:t>
      </w:r>
      <w:proofErr w:type="spellStart"/>
      <w:r w:rsidRPr="00C20211" w:rsidR="49BE079B">
        <w:t>GeoLinks</w:t>
      </w:r>
      <w:proofErr w:type="spellEnd"/>
      <w:r w:rsidRPr="00C20211" w:rsidR="49BE079B">
        <w:t>), the California Emerging Technology Fund (CETF), LCB Communications, LLC (LCB), the Public Advocates Office, the California Cable and Telecommunications Association (CCTA), the Greenlining Institute (Greenlining), The Utility Reform Network (TURN), the Central Coast Broadband Consortium (CCBC), Race Telecommunications, Inc. (Race), and the Rural County Representatives of California (RCRC).</w:t>
      </w:r>
    </w:p>
    <w:p w:rsidRPr="00C20211" w:rsidR="00D70A7C" w:rsidP="00890D36" w:rsidRDefault="0FD53D24" w14:paraId="72E53EC6" w14:textId="7DA4A8C3">
      <w:pPr>
        <w:pStyle w:val="Standard"/>
        <w:ind w:right="-720"/>
      </w:pPr>
      <w:r w:rsidRPr="00C20211">
        <w:t>Eight</w:t>
      </w:r>
      <w:r w:rsidRPr="00C20211" w:rsidR="56AA9C5A">
        <w:t xml:space="preserve"> parties filed reply comments:</w:t>
      </w:r>
      <w:r w:rsidRPr="00C20211" w:rsidR="0045001C">
        <w:rPr>
          <w:rStyle w:val="FootnoteReference"/>
        </w:rPr>
        <w:footnoteReference w:id="18"/>
      </w:r>
      <w:r w:rsidRPr="00C20211" w:rsidR="49BE079B">
        <w:t xml:space="preserve"> Frontier, </w:t>
      </w:r>
      <w:proofErr w:type="spellStart"/>
      <w:r w:rsidRPr="00C20211" w:rsidR="5C0FEFFF">
        <w:t>GeoLinks</w:t>
      </w:r>
      <w:proofErr w:type="spellEnd"/>
      <w:r w:rsidRPr="00C20211" w:rsidR="5C0FEFFF">
        <w:t>, Crown Castle Fiber LLC (Crown Castle), CETF, CCTA, Public Advocates Office, TURN, and Race.</w:t>
      </w:r>
    </w:p>
    <w:p w:rsidRPr="007169B9" w:rsidR="007C29FF" w:rsidP="00BB504D" w:rsidRDefault="007C29FF" w14:paraId="016C3D1C" w14:textId="0619A6AF">
      <w:pPr>
        <w:pStyle w:val="Heading1"/>
        <w:numPr>
          <w:ilvl w:val="0"/>
          <w:numId w:val="28"/>
        </w:numPr>
        <w:ind w:left="360"/>
      </w:pPr>
      <w:bookmarkStart w:name="_Toc43744759" w:id="14"/>
      <w:r w:rsidRPr="007169B9">
        <w:lastRenderedPageBreak/>
        <w:t>Additional</w:t>
      </w:r>
      <w:r w:rsidRPr="007169B9" w:rsidR="00322E8A">
        <w:t xml:space="preserve"> </w:t>
      </w:r>
      <w:r w:rsidRPr="007169B9">
        <w:t xml:space="preserve">Infrastructure </w:t>
      </w:r>
      <w:r w:rsidR="001F7542">
        <w:br/>
      </w:r>
      <w:r w:rsidRPr="007169B9">
        <w:t>Application Windows</w:t>
      </w:r>
      <w:bookmarkEnd w:id="14"/>
      <w:r w:rsidRPr="007169B9">
        <w:t xml:space="preserve"> </w:t>
      </w:r>
      <w:bookmarkStart w:name="_Hlk41746116" w:id="15"/>
    </w:p>
    <w:p w:rsidRPr="00C20211" w:rsidR="007C29FF" w:rsidP="00931B79" w:rsidRDefault="007C29FF" w14:paraId="793BADB8" w14:textId="600E393C">
      <w:pPr>
        <w:pStyle w:val="Standard"/>
        <w:keepNext/>
        <w:keepLines/>
        <w:ind w:right="-720"/>
      </w:pPr>
      <w:r w:rsidRPr="00C20211">
        <w:t>Existing rules in D.18-12-018 allow for Staff to recommend opening a second application window for infrastructure grant proposals:</w:t>
      </w:r>
    </w:p>
    <w:p w:rsidRPr="00C20211" w:rsidR="007C29FF" w:rsidP="00931B79" w:rsidRDefault="6F34302D" w14:paraId="4DF2F3F9" w14:textId="50C8005F">
      <w:pPr>
        <w:pStyle w:val="Standard"/>
        <w:keepNext/>
        <w:keepLines/>
        <w:spacing w:after="120" w:line="240" w:lineRule="auto"/>
        <w:ind w:left="720" w:right="1354" w:firstLine="0"/>
      </w:pPr>
      <w:r w:rsidRPr="00C20211">
        <w:t xml:space="preserve">In the event the Commission receives a small number of applications, the Commission delegates to </w:t>
      </w:r>
      <w:r w:rsidRPr="00C20211" w:rsidR="0CC30C27">
        <w:t>[CD]</w:t>
      </w:r>
      <w:r w:rsidRPr="00C20211">
        <w:t xml:space="preserve"> Staff the option, but not the obligation, of opening a second shortened application round in a year.  Applications during this round must meet the criteria outlined in the Ministerial Review Section.  </w:t>
      </w:r>
      <w:bookmarkStart w:name="_Hlk42863743" w:id="16"/>
      <w:r w:rsidRPr="00C20211">
        <w:t>Any applications submitted during this special round receiving a complete and timely challenge are automatically denied.</w:t>
      </w:r>
      <w:bookmarkEnd w:id="16"/>
      <w:r w:rsidRPr="00C20211">
        <w:t xml:space="preserve">  Staff must announce its determination by no later than May 15.</w:t>
      </w:r>
      <w:r w:rsidRPr="00C20211" w:rsidR="007C29FF">
        <w:rPr>
          <w:vertAlign w:val="superscript"/>
        </w:rPr>
        <w:footnoteReference w:id="19"/>
      </w:r>
      <w:r w:rsidRPr="00C20211">
        <w:t xml:space="preserve">   </w:t>
      </w:r>
    </w:p>
    <w:p w:rsidRPr="00C20211" w:rsidR="00567941" w:rsidP="00930B6C" w:rsidRDefault="6F34302D" w14:paraId="7803348A" w14:textId="7FCCDA1B">
      <w:pPr>
        <w:pStyle w:val="Standard"/>
        <w:ind w:right="-360"/>
      </w:pPr>
      <w:r w:rsidRPr="00C20211">
        <w:t xml:space="preserve">Recognizing that the 2020 application cycle or additional application cycles may present the opportunity to enhance broadband infrastructure deployment, </w:t>
      </w:r>
      <w:r w:rsidRPr="00C20211" w:rsidR="3241ED0A">
        <w:t xml:space="preserve">Question 7 of the </w:t>
      </w:r>
      <w:r w:rsidRPr="00C20211" w:rsidR="028E8B30">
        <w:t>ACR</w:t>
      </w:r>
      <w:r w:rsidRPr="00C20211" w:rsidR="3241ED0A">
        <w:t xml:space="preserve"> focused on issues pertaining to Staff’s delegated authority to set additional infrastructure application windows.  Specifically, Question 7 stated, “[s]</w:t>
      </w:r>
      <w:proofErr w:type="spellStart"/>
      <w:r w:rsidRPr="00C20211" w:rsidR="3241ED0A">
        <w:t>hould</w:t>
      </w:r>
      <w:proofErr w:type="spellEnd"/>
      <w:r w:rsidRPr="00C20211" w:rsidR="3241ED0A">
        <w:t xml:space="preserve"> the Commission increase the Staff’s delegated authority to set additional infrastructure application windows?”  Questions 5 and 8 also asked if review timelines </w:t>
      </w:r>
      <w:r w:rsidR="00457B8D">
        <w:t xml:space="preserve">should </w:t>
      </w:r>
      <w:r w:rsidRPr="00C20211" w:rsidR="3241ED0A">
        <w:t>be adjusted to allow additional application windows, and if the Commission should assign Staff the authority to specify whether applications submitted during additional rounds must meet the criteria for Ministerial Review.</w:t>
      </w:r>
      <w:r w:rsidRPr="00C20211" w:rsidR="00567941">
        <w:rPr>
          <w:rStyle w:val="FootnoteReference"/>
        </w:rPr>
        <w:footnoteReference w:id="20"/>
      </w:r>
    </w:p>
    <w:p w:rsidR="00701940" w:rsidP="00701940" w:rsidRDefault="00053E12" w14:paraId="1217CB54" w14:textId="35E020AB">
      <w:pPr>
        <w:pStyle w:val="Heading2"/>
      </w:pPr>
      <w:bookmarkStart w:name="_Toc43744761" w:id="17"/>
      <w:r w:rsidRPr="00F240EA">
        <w:lastRenderedPageBreak/>
        <w:t>2.1.</w:t>
      </w:r>
      <w:r w:rsidRPr="00F240EA" w:rsidR="00C96F56">
        <w:tab/>
      </w:r>
      <w:r w:rsidRPr="00F240EA" w:rsidR="009C0272">
        <w:t>Parties’ Comments and Reply Comments</w:t>
      </w:r>
      <w:bookmarkEnd w:id="17"/>
    </w:p>
    <w:p w:rsidRPr="00880C68" w:rsidR="00B46269" w:rsidP="00701940" w:rsidRDefault="00457B8D" w14:paraId="2E491908" w14:textId="553E9298">
      <w:pPr>
        <w:pStyle w:val="Standard"/>
      </w:pPr>
      <w:r w:rsidRPr="00880C68">
        <w:t>In response to Question 5, m</w:t>
      </w:r>
      <w:r w:rsidRPr="00880C68" w:rsidR="0CC30C27">
        <w:t>ultiple parties support</w:t>
      </w:r>
      <w:r w:rsidRPr="00880C68" w:rsidR="580045C3">
        <w:t>ed</w:t>
      </w:r>
      <w:r w:rsidRPr="00880C68" w:rsidR="0CC30C27">
        <w:t xml:space="preserve"> adding additional application windows and revising the timeline to accommodate review of additional applications.</w:t>
      </w:r>
      <w:r w:rsidRPr="00457B8D" w:rsidR="7549862A">
        <w:t xml:space="preserve">  </w:t>
      </w:r>
      <w:r w:rsidRPr="00457B8D" w:rsidR="0CC30C27">
        <w:t xml:space="preserve">There was general agreement that the Commission should revise the rules to remove the “deemed denied by October 1st“ language, but to maintain a six-month </w:t>
      </w:r>
      <w:r w:rsidRPr="00880C68" w:rsidR="66D6CF27">
        <w:t xml:space="preserve">application </w:t>
      </w:r>
      <w:r w:rsidRPr="00880C68" w:rsidR="0CC30C27">
        <w:t>review period.</w:t>
      </w:r>
      <w:r w:rsidR="00FC1532">
        <w:rPr>
          <w:rStyle w:val="FootnoteReference"/>
        </w:rPr>
        <w:footnoteReference w:id="21"/>
      </w:r>
      <w:r w:rsidRPr="00457B8D" w:rsidR="0CC30C27">
        <w:t xml:space="preserve">  These comments suggest</w:t>
      </w:r>
      <w:r w:rsidRPr="00457B8D" w:rsidR="580045C3">
        <w:t>ed</w:t>
      </w:r>
      <w:r w:rsidRPr="00457B8D" w:rsidR="0CC30C27">
        <w:t xml:space="preserve"> additional application windows that </w:t>
      </w:r>
      <w:r w:rsidRPr="00457B8D" w:rsidR="043B5240">
        <w:t>could</w:t>
      </w:r>
      <w:r w:rsidRPr="00457B8D" w:rsidR="0CC30C27">
        <w:t xml:space="preserve"> have approval dates after October </w:t>
      </w:r>
      <w:r w:rsidRPr="00457B8D" w:rsidR="0FD53D24">
        <w:t>1</w:t>
      </w:r>
      <w:r w:rsidRPr="001A4F00" w:rsidR="7549862A">
        <w:t>st</w:t>
      </w:r>
      <w:r w:rsidRPr="00457B8D" w:rsidR="0CC30C27">
        <w:t xml:space="preserve"> in an application year</w:t>
      </w:r>
      <w:r w:rsidRPr="00880C68" w:rsidR="0CC30C27">
        <w:t>.</w:t>
      </w:r>
    </w:p>
    <w:p w:rsidRPr="00457B8D" w:rsidR="009C0272" w:rsidP="001A4F00" w:rsidRDefault="00457B8D" w14:paraId="5D64AE70" w14:textId="27E4DEDE">
      <w:pPr>
        <w:pStyle w:val="Standard"/>
      </w:pPr>
      <w:r>
        <w:t>In response to Question 7, the</w:t>
      </w:r>
      <w:r w:rsidR="001A4F00">
        <w:t xml:space="preserve"> </w:t>
      </w:r>
      <w:r w:rsidRPr="00C20211" w:rsidR="0CC30C27">
        <w:t>overwhelming majority of parties, with exception of the CCTA, support</w:t>
      </w:r>
      <w:r w:rsidRPr="00C20211" w:rsidR="580045C3">
        <w:t>ed</w:t>
      </w:r>
      <w:r w:rsidRPr="00C20211" w:rsidR="0CC30C27">
        <w:t xml:space="preserve"> </w:t>
      </w:r>
      <w:r w:rsidRPr="00C20211" w:rsidR="295C59E5">
        <w:t xml:space="preserve">direction to </w:t>
      </w:r>
      <w:r w:rsidRPr="00C20211" w:rsidR="0CC30C27">
        <w:t>Staff to set additional applications windows.</w:t>
      </w:r>
      <w:r w:rsidRPr="00C20211" w:rsidR="009C0272">
        <w:rPr>
          <w:rStyle w:val="FootnoteReference"/>
        </w:rPr>
        <w:footnoteReference w:id="22"/>
      </w:r>
      <w:r w:rsidRPr="00C20211" w:rsidR="0CC30C27">
        <w:t xml:space="preserve">  </w:t>
      </w:r>
      <w:r w:rsidRPr="00C20211" w:rsidR="223CD992">
        <w:t xml:space="preserve">Parties </w:t>
      </w:r>
      <w:r w:rsidRPr="00C20211" w:rsidR="0CC30C27">
        <w:t>describe</w:t>
      </w:r>
      <w:r w:rsidRPr="00C20211" w:rsidR="580045C3">
        <w:t>d</w:t>
      </w:r>
      <w:r w:rsidRPr="00C20211" w:rsidR="0CC30C27">
        <w:t xml:space="preserve"> the manner that Staff may determine the structure and timing of additional application windows as necessary.</w:t>
      </w:r>
      <w:r w:rsidRPr="00C20211" w:rsidR="69A97257">
        <w:t xml:space="preserve">  </w:t>
      </w:r>
      <w:proofErr w:type="spellStart"/>
      <w:r w:rsidRPr="00C20211" w:rsidR="08C6314D">
        <w:t>Geo</w:t>
      </w:r>
      <w:r w:rsidRPr="00C20211" w:rsidR="6AD303C5">
        <w:t>L</w:t>
      </w:r>
      <w:r w:rsidRPr="00C20211" w:rsidR="08C6314D">
        <w:t>inks</w:t>
      </w:r>
      <w:proofErr w:type="spellEnd"/>
      <w:r w:rsidRPr="00C20211" w:rsidR="70FA92A0">
        <w:t>’</w:t>
      </w:r>
      <w:r w:rsidRPr="00C20211" w:rsidR="197D8151">
        <w:t xml:space="preserve"> </w:t>
      </w:r>
      <w:r w:rsidRPr="00C20211" w:rsidR="001B84A9">
        <w:t>comment</w:t>
      </w:r>
      <w:r w:rsidRPr="00C20211" w:rsidR="0B4EF10F">
        <w:t>s</w:t>
      </w:r>
      <w:r w:rsidRPr="00C20211" w:rsidR="7C46F9D0">
        <w:t xml:space="preserve"> provide</w:t>
      </w:r>
      <w:r w:rsidRPr="00C20211" w:rsidR="6FC092C7">
        <w:t>d</w:t>
      </w:r>
      <w:r w:rsidRPr="00C20211" w:rsidR="7C46F9D0">
        <w:t xml:space="preserve"> a </w:t>
      </w:r>
      <w:r w:rsidRPr="00C20211" w:rsidR="18F895E6">
        <w:t xml:space="preserve">succinct statement </w:t>
      </w:r>
      <w:r w:rsidRPr="00C20211" w:rsidR="31FD5162">
        <w:t xml:space="preserve">why flexibility is needed in the CASF program </w:t>
      </w:r>
      <w:r w:rsidRPr="00C20211" w:rsidR="15ECBC45">
        <w:t xml:space="preserve">at this time, </w:t>
      </w:r>
      <w:r w:rsidRPr="00C20211" w:rsidR="001B84A9">
        <w:t>“</w:t>
      </w:r>
      <w:r w:rsidRPr="00C20211" w:rsidR="69A97257">
        <w:t xml:space="preserve">Especially considering the rapidly changing events surrounding the COVID-19 pandemic, it is clear that the CASF program should be able to adapt if broadband needs change throughout the state. Granting </w:t>
      </w:r>
      <w:proofErr w:type="gramStart"/>
      <w:r w:rsidRPr="00C20211" w:rsidR="69A97257">
        <w:t>Staff</w:t>
      </w:r>
      <w:proofErr w:type="gramEnd"/>
      <w:r w:rsidRPr="00C20211" w:rsidR="69A97257">
        <w:t xml:space="preserve"> the authority to change application windows to meet changing needs just makes good adminis</w:t>
      </w:r>
      <w:bookmarkStart w:name="_Hlk42499889" w:id="18"/>
      <w:r w:rsidRPr="00C20211" w:rsidR="69A97257">
        <w:t>trativ</w:t>
      </w:r>
      <w:bookmarkEnd w:id="18"/>
      <w:r w:rsidRPr="00C20211" w:rsidR="69A97257">
        <w:t>e sense.</w:t>
      </w:r>
      <w:r w:rsidRPr="00C20211" w:rsidR="2C40F5C0">
        <w:t>”</w:t>
      </w:r>
      <w:r w:rsidRPr="00C20211" w:rsidR="00990A5C">
        <w:rPr>
          <w:vertAlign w:val="superscript"/>
        </w:rPr>
        <w:footnoteReference w:id="23"/>
      </w:r>
      <w:r w:rsidRPr="00C20211" w:rsidR="7360224F">
        <w:rPr>
          <w:vertAlign w:val="superscript"/>
        </w:rPr>
        <w:t xml:space="preserve">  </w:t>
      </w:r>
      <w:r w:rsidRPr="00C20211" w:rsidR="0FD5B7C9">
        <w:t xml:space="preserve"> </w:t>
      </w:r>
      <w:r w:rsidRPr="00C20211" w:rsidR="20274B52">
        <w:t>P</w:t>
      </w:r>
      <w:r w:rsidRPr="00C20211" w:rsidR="7360224F">
        <w:t>a</w:t>
      </w:r>
      <w:r w:rsidRPr="00C20211" w:rsidR="20274B52">
        <w:t xml:space="preserve">rties also </w:t>
      </w:r>
      <w:r w:rsidRPr="00C20211" w:rsidR="6FC092C7">
        <w:t xml:space="preserve">recommended </w:t>
      </w:r>
      <w:r w:rsidRPr="00C20211" w:rsidR="3BCDCBBB">
        <w:t xml:space="preserve">a variety of options </w:t>
      </w:r>
      <w:r w:rsidRPr="00C20211" w:rsidR="2A8C566B">
        <w:t xml:space="preserve">up to and </w:t>
      </w:r>
      <w:r w:rsidRPr="00C20211" w:rsidR="3BCDCBBB">
        <w:t>including a “rolling applications window</w:t>
      </w:r>
      <w:r w:rsidRPr="00C20211" w:rsidR="23A00DA4">
        <w:t>.</w:t>
      </w:r>
      <w:r w:rsidRPr="00C20211" w:rsidR="3BCDCBBB">
        <w:t>”</w:t>
      </w:r>
      <w:r w:rsidRPr="00C20211" w:rsidR="00DD5782">
        <w:rPr>
          <w:rStyle w:val="FootnoteReference"/>
        </w:rPr>
        <w:footnoteReference w:id="24"/>
      </w:r>
    </w:p>
    <w:p w:rsidRPr="00457B8D" w:rsidR="009C0272" w:rsidP="001A4F00" w:rsidRDefault="00880C68" w14:paraId="2E122878" w14:textId="2CCC234D">
      <w:pPr>
        <w:pStyle w:val="Standard"/>
      </w:pPr>
      <w:r>
        <w:t>In response to Question 8, t</w:t>
      </w:r>
      <w:r w:rsidRPr="00457B8D" w:rsidR="0CC30C27">
        <w:t>he majority of commenters agree</w:t>
      </w:r>
      <w:r w:rsidRPr="00457B8D" w:rsidR="580045C3">
        <w:t>d</w:t>
      </w:r>
      <w:r w:rsidRPr="00880C68" w:rsidR="0CC30C27">
        <w:t xml:space="preserve"> that applications submitted during additional rounds should not be limited to </w:t>
      </w:r>
      <w:r w:rsidRPr="00880C68" w:rsidR="0CC30C27">
        <w:lastRenderedPageBreak/>
        <w:t>review by the Ministerial Review process nor be automatically rejected due to a complete and timely challenge.</w:t>
      </w:r>
      <w:r w:rsidR="00FC1532">
        <w:rPr>
          <w:rStyle w:val="FootnoteReference"/>
        </w:rPr>
        <w:footnoteReference w:id="25"/>
      </w:r>
      <w:r w:rsidRPr="00457B8D" w:rsidR="0CC30C27">
        <w:t xml:space="preserve">  Specifically, LCB </w:t>
      </w:r>
      <w:r w:rsidRPr="00880C68" w:rsidR="0CC30C27">
        <w:t>and Race point</w:t>
      </w:r>
      <w:r w:rsidRPr="00880C68" w:rsidR="580045C3">
        <w:t>ed</w:t>
      </w:r>
      <w:r w:rsidRPr="00880C68" w:rsidR="0CC30C27">
        <w:t xml:space="preserve"> out that </w:t>
      </w:r>
      <w:r w:rsidRPr="00880C68" w:rsidR="403F3C89">
        <w:t xml:space="preserve">providers could game </w:t>
      </w:r>
      <w:r w:rsidRPr="00880C68" w:rsidR="0CC30C27">
        <w:t>the Ministerial Review process coupled with automatic denial for complete and timely challenges</w:t>
      </w:r>
      <w:r w:rsidRPr="00880C68" w:rsidR="4A25FA4A">
        <w:t>, which would</w:t>
      </w:r>
      <w:r w:rsidRPr="00880C68" w:rsidR="0CC30C27">
        <w:t xml:space="preserve"> reduce the effectiveness of the program.</w:t>
      </w:r>
      <w:r w:rsidR="00FC1532">
        <w:rPr>
          <w:rStyle w:val="FootnoteReference"/>
        </w:rPr>
        <w:footnoteReference w:id="26"/>
      </w:r>
    </w:p>
    <w:p w:rsidRPr="009410E1" w:rsidR="009C0272" w:rsidP="00C31459" w:rsidRDefault="00F06C8F" w14:paraId="1E7BB2C5" w14:textId="02775F4D">
      <w:pPr>
        <w:pStyle w:val="Heading2"/>
        <w:tabs>
          <w:tab w:val="clear" w:pos="1080"/>
        </w:tabs>
        <w:ind w:left="900" w:right="-720" w:hanging="540"/>
        <w:rPr>
          <w:rFonts w:ascii="Helvetica" w:hAnsi="Helvetica" w:cs="Helvetica"/>
        </w:rPr>
      </w:pPr>
      <w:bookmarkStart w:name="_Toc43744762" w:id="19"/>
      <w:r w:rsidRPr="009410E1">
        <w:rPr>
          <w:rFonts w:ascii="Helvetica" w:hAnsi="Helvetica" w:cs="Helvetica"/>
        </w:rPr>
        <w:t>2.</w:t>
      </w:r>
      <w:r w:rsidRPr="009410E1" w:rsidR="003D1D8E">
        <w:rPr>
          <w:rFonts w:ascii="Helvetica" w:hAnsi="Helvetica" w:cs="Helvetica"/>
        </w:rPr>
        <w:t>2</w:t>
      </w:r>
      <w:r w:rsidR="009410E1">
        <w:rPr>
          <w:rFonts w:ascii="Helvetica" w:hAnsi="Helvetica" w:cs="Helvetica"/>
        </w:rPr>
        <w:t xml:space="preserve">.  </w:t>
      </w:r>
      <w:r w:rsidRPr="009410E1" w:rsidR="00E04555">
        <w:rPr>
          <w:rFonts w:ascii="Helvetica" w:hAnsi="Helvetica" w:cs="Helvetica"/>
        </w:rPr>
        <w:t>Federal Funds and Other</w:t>
      </w:r>
      <w:r w:rsidR="00C31459">
        <w:rPr>
          <w:rFonts w:ascii="Helvetica" w:hAnsi="Helvetica" w:cs="Helvetica"/>
        </w:rPr>
        <w:br/>
      </w:r>
      <w:r w:rsidRPr="009410E1" w:rsidR="00E04555">
        <w:rPr>
          <w:rFonts w:ascii="Helvetica" w:hAnsi="Helvetica" w:cs="Helvetica"/>
        </w:rPr>
        <w:t>Funding Sources</w:t>
      </w:r>
      <w:bookmarkEnd w:id="19"/>
    </w:p>
    <w:p w:rsidRPr="00C20211" w:rsidR="00E04555" w:rsidP="00C96F56" w:rsidRDefault="2F793264" w14:paraId="7DB7D047" w14:textId="764A4189">
      <w:pPr>
        <w:pStyle w:val="Standard"/>
        <w:ind w:right="-720"/>
      </w:pPr>
      <w:r w:rsidRPr="00C20211">
        <w:t xml:space="preserve">The Commission </w:t>
      </w:r>
      <w:r w:rsidR="008E282C">
        <w:t xml:space="preserve">recognizes </w:t>
      </w:r>
      <w:r w:rsidRPr="00C20211">
        <w:t xml:space="preserve">the impact of other current and future federal, </w:t>
      </w:r>
      <w:proofErr w:type="gramStart"/>
      <w:r w:rsidRPr="00C20211">
        <w:t>state</w:t>
      </w:r>
      <w:proofErr w:type="gramEnd"/>
      <w:r w:rsidRPr="00C20211">
        <w:t xml:space="preserve"> and local programs on our ability to grant funding using the Infrastructure Account.  </w:t>
      </w:r>
      <w:r w:rsidRPr="00C20211" w:rsidR="152B7FFE">
        <w:t xml:space="preserve">For example, </w:t>
      </w:r>
      <w:r w:rsidRPr="00C20211" w:rsidR="0C2A4512">
        <w:t>Questions 4, 9</w:t>
      </w:r>
      <w:r w:rsidRPr="00C20211" w:rsidR="152B7FFE">
        <w:t xml:space="preserve">, </w:t>
      </w:r>
      <w:r w:rsidRPr="00C20211" w:rsidR="0C2A4512">
        <w:t>11</w:t>
      </w:r>
      <w:r w:rsidRPr="00C20211" w:rsidR="25B89537">
        <w:t>, and 13</w:t>
      </w:r>
      <w:r w:rsidRPr="00C20211">
        <w:t xml:space="preserve"> of the ACR</w:t>
      </w:r>
      <w:r w:rsidRPr="00C20211" w:rsidR="0C2A4512">
        <w:t xml:space="preserve"> solicited input from parties with respect to the relationship </w:t>
      </w:r>
      <w:r w:rsidRPr="00C20211" w:rsidR="0C2A4512">
        <w:rPr>
          <w:color w:val="000000" w:themeColor="text1"/>
        </w:rPr>
        <w:t xml:space="preserve">between </w:t>
      </w:r>
      <w:r w:rsidRPr="00C20211">
        <w:rPr>
          <w:color w:val="000000" w:themeColor="text1"/>
        </w:rPr>
        <w:t>the Federal Communications Commission’s (FCC)’s Rural Digital Opportunity Fund (</w:t>
      </w:r>
      <w:r w:rsidRPr="00C20211" w:rsidR="0C2A4512">
        <w:rPr>
          <w:color w:val="000000" w:themeColor="text1"/>
        </w:rPr>
        <w:t>RDOF</w:t>
      </w:r>
      <w:r w:rsidRPr="00C20211">
        <w:t>)</w:t>
      </w:r>
      <w:r w:rsidRPr="00C20211" w:rsidR="0C2A4512">
        <w:t xml:space="preserve"> and CASF funding and timing.  These questions collectively addressed how the CASF applications may or may not be affected by </w:t>
      </w:r>
      <w:r w:rsidRPr="00C20211">
        <w:t>federal funds and other funding sources</w:t>
      </w:r>
      <w:r w:rsidRPr="00C20211" w:rsidR="0C2A4512">
        <w:t>.</w:t>
      </w:r>
      <w:r w:rsidRPr="00C20211" w:rsidR="00E70067">
        <w:rPr>
          <w:rStyle w:val="FootnoteReference"/>
        </w:rPr>
        <w:footnoteReference w:id="27"/>
      </w:r>
    </w:p>
    <w:p w:rsidRPr="00C31459" w:rsidR="009E2705" w:rsidP="00862F95" w:rsidRDefault="00CF7C48" w14:paraId="7FB96B72" w14:textId="57CE0C7F">
      <w:pPr>
        <w:pStyle w:val="Heading3"/>
        <w:tabs>
          <w:tab w:val="clear" w:pos="1656"/>
        </w:tabs>
        <w:ind w:left="1080" w:right="-720" w:hanging="720"/>
        <w:rPr>
          <w:rFonts w:ascii="Helvetica" w:hAnsi="Helvetica" w:cs="Helvetica"/>
        </w:rPr>
      </w:pPr>
      <w:bookmarkStart w:name="_Toc43744763" w:id="20"/>
      <w:r w:rsidRPr="00C31459">
        <w:rPr>
          <w:rFonts w:ascii="Helvetica" w:hAnsi="Helvetica" w:cs="Helvetica"/>
        </w:rPr>
        <w:lastRenderedPageBreak/>
        <w:t>2.</w:t>
      </w:r>
      <w:r w:rsidRPr="00C31459" w:rsidR="00066168">
        <w:rPr>
          <w:rFonts w:ascii="Helvetica" w:hAnsi="Helvetica" w:cs="Helvetica"/>
        </w:rPr>
        <w:t>2</w:t>
      </w:r>
      <w:r w:rsidRPr="00C31459">
        <w:rPr>
          <w:rFonts w:ascii="Helvetica" w:hAnsi="Helvetica" w:cs="Helvetica"/>
        </w:rPr>
        <w:t>.1</w:t>
      </w:r>
      <w:r w:rsidRPr="00C31459" w:rsidR="00C96F56">
        <w:rPr>
          <w:rFonts w:ascii="Helvetica" w:hAnsi="Helvetica" w:cs="Helvetica"/>
        </w:rPr>
        <w:tab/>
      </w:r>
      <w:r w:rsidRPr="00C31459" w:rsidR="009E2705">
        <w:rPr>
          <w:rFonts w:ascii="Helvetica" w:hAnsi="Helvetica" w:cs="Helvetica"/>
        </w:rPr>
        <w:t>Parties’ Comments and</w:t>
      </w:r>
      <w:r w:rsidR="009C132E">
        <w:rPr>
          <w:rFonts w:ascii="Helvetica" w:hAnsi="Helvetica" w:cs="Helvetica"/>
        </w:rPr>
        <w:br/>
      </w:r>
      <w:r w:rsidRPr="00C31459" w:rsidR="009E2705">
        <w:rPr>
          <w:rFonts w:ascii="Helvetica" w:hAnsi="Helvetica" w:cs="Helvetica"/>
        </w:rPr>
        <w:t>Reply Comments</w:t>
      </w:r>
      <w:bookmarkEnd w:id="20"/>
    </w:p>
    <w:p w:rsidRPr="00C20211" w:rsidR="00E04555" w:rsidP="00930B6C" w:rsidRDefault="4169C1FB" w14:paraId="0DEC1A40" w14:textId="12108016">
      <w:pPr>
        <w:pStyle w:val="Standard"/>
        <w:ind w:right="-90"/>
      </w:pPr>
      <w:r w:rsidRPr="00C20211">
        <w:t xml:space="preserve">Parties generally agreed that </w:t>
      </w:r>
      <w:r w:rsidRPr="00C20211" w:rsidR="0C2A4512">
        <w:t xml:space="preserve"> providers </w:t>
      </w:r>
      <w:r w:rsidRPr="00C20211" w:rsidR="4987218E">
        <w:t xml:space="preserve">should </w:t>
      </w:r>
      <w:r w:rsidRPr="00C20211" w:rsidR="77923BB6">
        <w:t>leverag</w:t>
      </w:r>
      <w:r w:rsidRPr="00C20211" w:rsidR="4C70B1D1">
        <w:t>e</w:t>
      </w:r>
      <w:r w:rsidRPr="00C20211" w:rsidR="0C2A4512">
        <w:t xml:space="preserve"> federal funding</w:t>
      </w:r>
      <w:r w:rsidRPr="00C20211" w:rsidR="1BC80D08">
        <w:t>,</w:t>
      </w:r>
      <w:r w:rsidRPr="00C20211" w:rsidR="0C2A4512">
        <w:t xml:space="preserve"> with the caveat that duplicate funding for the same infrastructure is prohibited by statute.</w:t>
      </w:r>
      <w:r w:rsidRPr="00C20211" w:rsidR="00347C97">
        <w:rPr>
          <w:rStyle w:val="FootnoteReference"/>
        </w:rPr>
        <w:footnoteReference w:id="28"/>
      </w:r>
      <w:r w:rsidRPr="00C20211" w:rsidR="0C2A4512">
        <w:t xml:space="preserve">  Several parties commented on the </w:t>
      </w:r>
      <w:r w:rsidRPr="00C20211" w:rsidR="31D785F9">
        <w:t>addition of</w:t>
      </w:r>
      <w:r w:rsidRPr="00C20211" w:rsidR="0C2A4512">
        <w:t xml:space="preserve"> application periods with respect to federal funding deadlines.</w:t>
      </w:r>
      <w:r w:rsidRPr="00C20211" w:rsidR="00347C97">
        <w:rPr>
          <w:rStyle w:val="FootnoteReference"/>
        </w:rPr>
        <w:footnoteReference w:id="29"/>
      </w:r>
      <w:r w:rsidRPr="00C20211" w:rsidR="0C2A4512">
        <w:t xml:space="preserve">  Moreover, most parties provided comments on the relationship between CASF and federal funding programs</w:t>
      </w:r>
      <w:r w:rsidRPr="00C20211" w:rsidR="7838D0D3">
        <w:t>,</w:t>
      </w:r>
      <w:r w:rsidRPr="00C20211" w:rsidR="0C2A4512">
        <w:t xml:space="preserve"> </w:t>
      </w:r>
      <w:r w:rsidRPr="00C20211" w:rsidR="7FC5ECEC">
        <w:t xml:space="preserve">and </w:t>
      </w:r>
      <w:r w:rsidRPr="00C20211" w:rsidR="6DF38B52">
        <w:t xml:space="preserve">several </w:t>
      </w:r>
      <w:r w:rsidRPr="00C20211" w:rsidR="15A5BEA9">
        <w:t>parties</w:t>
      </w:r>
      <w:r w:rsidRPr="00C20211" w:rsidR="0C2A4512">
        <w:t xml:space="preserve"> supported the need </w:t>
      </w:r>
      <w:r w:rsidRPr="00C20211" w:rsidR="0AAE4FC5">
        <w:t xml:space="preserve">to </w:t>
      </w:r>
      <w:r w:rsidRPr="00C20211" w:rsidR="0C2A4512">
        <w:t>establish rules to govern how these funding sources could be used together.</w:t>
      </w:r>
      <w:r w:rsidRPr="00C20211" w:rsidR="00347C97">
        <w:rPr>
          <w:rStyle w:val="FootnoteReference"/>
        </w:rPr>
        <w:footnoteReference w:id="30"/>
      </w:r>
      <w:r w:rsidRPr="00C20211" w:rsidR="0C2A4512">
        <w:t xml:space="preserve">  </w:t>
      </w:r>
    </w:p>
    <w:p w:rsidRPr="008E282C" w:rsidR="00E04555" w:rsidP="001A4F00" w:rsidRDefault="00EA2510" w14:paraId="65EC9070" w14:textId="15682945">
      <w:pPr>
        <w:pStyle w:val="Standard"/>
      </w:pPr>
      <w:r>
        <w:t>In resp</w:t>
      </w:r>
      <w:r w:rsidR="008E282C">
        <w:t xml:space="preserve">onse to Question 4, </w:t>
      </w:r>
      <w:proofErr w:type="spellStart"/>
      <w:r w:rsidRPr="008E282C" w:rsidR="0C2A4512">
        <w:t>GeoLinks</w:t>
      </w:r>
      <w:proofErr w:type="spellEnd"/>
      <w:r w:rsidRPr="008E282C" w:rsidR="0C2A4512">
        <w:t xml:space="preserve"> proposed that the Commission create a later infrastructure grant application period to allow for the implementation of rules </w:t>
      </w:r>
      <w:r w:rsidRPr="008E282C" w:rsidR="65B009B9">
        <w:t xml:space="preserve">to </w:t>
      </w:r>
      <w:r w:rsidRPr="008E282C" w:rsidR="0C2A4512">
        <w:t xml:space="preserve">be developed </w:t>
      </w:r>
      <w:r w:rsidRPr="008E282C" w:rsidR="7FF2EFF1">
        <w:t>regarding</w:t>
      </w:r>
      <w:r w:rsidRPr="008E282C" w:rsidR="0C2A4512">
        <w:t xml:space="preserve"> the RDOF program, which would be finalized after the May</w:t>
      </w:r>
      <w:r w:rsidRPr="008E282C" w:rsidR="001B305F">
        <w:t> </w:t>
      </w:r>
      <w:r w:rsidRPr="008E282C" w:rsidR="0C2A4512">
        <w:t>4</w:t>
      </w:r>
      <w:r w:rsidRPr="008E282C" w:rsidR="152B7FFE">
        <w:t>,</w:t>
      </w:r>
      <w:r w:rsidRPr="008E282C" w:rsidR="001B305F">
        <w:t> </w:t>
      </w:r>
      <w:r w:rsidRPr="008E282C" w:rsidR="152B7FFE">
        <w:t>2020</w:t>
      </w:r>
      <w:r w:rsidRPr="008E282C" w:rsidR="0C2A4512">
        <w:t xml:space="preserve"> CASF filing deadline.</w:t>
      </w:r>
      <w:r w:rsidR="00254399">
        <w:rPr>
          <w:rStyle w:val="FootnoteReference"/>
        </w:rPr>
        <w:footnoteReference w:id="31"/>
      </w:r>
      <w:r w:rsidRPr="008E282C" w:rsidR="152B7FFE">
        <w:t xml:space="preserve">  </w:t>
      </w:r>
      <w:proofErr w:type="spellStart"/>
      <w:r w:rsidRPr="008E282C" w:rsidR="0C2A4512">
        <w:t>Geo</w:t>
      </w:r>
      <w:r w:rsidRPr="008E282C" w:rsidR="6AD303C5">
        <w:t>L</w:t>
      </w:r>
      <w:r w:rsidRPr="008E282C" w:rsidR="0C2A4512">
        <w:t>inks</w:t>
      </w:r>
      <w:proofErr w:type="spellEnd"/>
      <w:r w:rsidRPr="008E282C" w:rsidR="0C2A4512">
        <w:t xml:space="preserve"> further propose</w:t>
      </w:r>
      <w:r w:rsidRPr="008E282C" w:rsidR="152B7FFE">
        <w:t>d</w:t>
      </w:r>
      <w:r w:rsidRPr="008E282C" w:rsidR="0C2A4512">
        <w:t xml:space="preserve"> that timing is such to “[e]</w:t>
      </w:r>
      <w:proofErr w:type="spellStart"/>
      <w:r w:rsidRPr="008E282C" w:rsidR="0C2A4512">
        <w:t>nsure</w:t>
      </w:r>
      <w:proofErr w:type="spellEnd"/>
      <w:r w:rsidRPr="008E282C" w:rsidR="0C2A4512">
        <w:t xml:space="preserve"> that any award is either awarded AFTER the RDOF auction is complete or in a manner that shows the award is contingent upon receipt of RDOF funding as to not risk interference with a service providers ability to participate in the RDOF auction.”</w:t>
      </w:r>
      <w:r w:rsidRPr="00F41DAA" w:rsidR="00E04555">
        <w:rPr>
          <w:rStyle w:val="FootnoteReference"/>
        </w:rPr>
        <w:footnoteReference w:id="32"/>
      </w:r>
      <w:r w:rsidRPr="008E282C" w:rsidR="152B7FFE">
        <w:t xml:space="preserve">  </w:t>
      </w:r>
      <w:r w:rsidRPr="008E282C" w:rsidR="0C2A4512">
        <w:t>However, Race warn</w:t>
      </w:r>
      <w:r w:rsidRPr="008E282C" w:rsidR="580045C3">
        <w:t>ed</w:t>
      </w:r>
      <w:r w:rsidRPr="008E282C" w:rsidR="0C2A4512">
        <w:t xml:space="preserve"> that CASF deadlines tied to any other federal broadband program </w:t>
      </w:r>
      <w:r w:rsidRPr="008E282C" w:rsidR="4E394A86">
        <w:t>could</w:t>
      </w:r>
      <w:r w:rsidRPr="008E282C" w:rsidR="0C2A4512">
        <w:t xml:space="preserve"> delay CASF funding to needy areas</w:t>
      </w:r>
      <w:r w:rsidRPr="008E282C" w:rsidR="1A2972C2">
        <w:t>, j</w:t>
      </w:r>
      <w:r w:rsidRPr="00EA2510" w:rsidR="1A2972C2">
        <w:t>ust as</w:t>
      </w:r>
      <w:r w:rsidRPr="00EA2510" w:rsidR="0C2A4512">
        <w:t xml:space="preserve"> AB 1665’s </w:t>
      </w:r>
      <w:r w:rsidRPr="00EA2510" w:rsidR="505CD47C">
        <w:t xml:space="preserve">provisions regarding </w:t>
      </w:r>
      <w:r w:rsidRPr="00EA2510" w:rsidR="610ED489">
        <w:t xml:space="preserve">Phase II of the </w:t>
      </w:r>
      <w:r w:rsidRPr="00EA2510" w:rsidR="610ED489">
        <w:lastRenderedPageBreak/>
        <w:t>Connect America Fund</w:t>
      </w:r>
      <w:r w:rsidRPr="008E282C" w:rsidR="505CD47C">
        <w:t xml:space="preserve"> </w:t>
      </w:r>
      <w:r w:rsidRPr="008E282C" w:rsidR="76DCA73D">
        <w:t>(</w:t>
      </w:r>
      <w:r w:rsidRPr="008E282C" w:rsidR="77923BB6">
        <w:t>CAF II</w:t>
      </w:r>
      <w:r w:rsidRPr="008E282C" w:rsidR="17C0B639">
        <w:t>)</w:t>
      </w:r>
      <w:r w:rsidRPr="008E282C" w:rsidR="0C2A4512">
        <w:t xml:space="preserve">  effectively froze applications in CAF II areas for years.</w:t>
      </w:r>
      <w:r w:rsidRPr="00F41DAA" w:rsidR="00E04555">
        <w:rPr>
          <w:rStyle w:val="FootnoteReference"/>
        </w:rPr>
        <w:footnoteReference w:id="33"/>
      </w:r>
    </w:p>
    <w:p w:rsidRPr="00C20211" w:rsidR="00E04555" w:rsidP="00F41DAA" w:rsidRDefault="00EA2510" w14:paraId="7A063F4E" w14:textId="15F3C31E">
      <w:pPr>
        <w:pStyle w:val="Standard"/>
      </w:pPr>
      <w:r>
        <w:t>In Question 9, t</w:t>
      </w:r>
      <w:r w:rsidRPr="00EA2510" w:rsidR="0C2A4512">
        <w:t>he Commission requested comment</w:t>
      </w:r>
      <w:r w:rsidRPr="00EA2510" w:rsidR="580045C3">
        <w:t>s</w:t>
      </w:r>
      <w:r w:rsidRPr="00EA2510" w:rsidR="0C2A4512">
        <w:t xml:space="preserve"> on whether </w:t>
      </w:r>
      <w:r w:rsidRPr="00EA2510" w:rsidR="462333BA">
        <w:t xml:space="preserve">the </w:t>
      </w:r>
      <w:r w:rsidRPr="00EA2510" w:rsidR="0C2A4512">
        <w:t>statute prohibit</w:t>
      </w:r>
      <w:r w:rsidRPr="00EA2510" w:rsidR="462333BA">
        <w:t>s</w:t>
      </w:r>
      <w:r w:rsidRPr="00EA2510" w:rsidR="0C2A4512">
        <w:t xml:space="preserve"> a CASF </w:t>
      </w:r>
      <w:r w:rsidRPr="00EA2510" w:rsidR="580045C3">
        <w:t>i</w:t>
      </w:r>
      <w:r w:rsidRPr="00EA2510" w:rsidR="0C2A4512">
        <w:t>nfrastructure applicant from receiving both federal and CASF funds for the same project.</w:t>
      </w:r>
      <w:r w:rsidRPr="00EA2510" w:rsidR="152B7FFE">
        <w:t xml:space="preserve">  </w:t>
      </w:r>
      <w:r w:rsidRPr="00EA2510" w:rsidR="0C2A4512">
        <w:t>Most parties agree</w:t>
      </w:r>
      <w:r w:rsidRPr="00EA2510" w:rsidR="580045C3">
        <w:t>d</w:t>
      </w:r>
      <w:r w:rsidRPr="00EA2510" w:rsidR="0C2A4512">
        <w:t xml:space="preserve"> that</w:t>
      </w:r>
      <w:r w:rsidRPr="00EA2510" w:rsidR="152B7FFE">
        <w:t xml:space="preserve"> the</w:t>
      </w:r>
      <w:r w:rsidRPr="00EA2510" w:rsidR="0C2A4512">
        <w:t xml:space="preserve"> statute does not explicitly limit a project from receiving </w:t>
      </w:r>
      <w:r w:rsidRPr="00EA2510" w:rsidR="60821666">
        <w:t>both</w:t>
      </w:r>
      <w:r w:rsidRPr="00EA2510" w:rsidR="0C2A4512">
        <w:t xml:space="preserve"> federal </w:t>
      </w:r>
      <w:r w:rsidRPr="00EA2510" w:rsidR="60821666">
        <w:t>and</w:t>
      </w:r>
      <w:r w:rsidRPr="00EA2510" w:rsidR="77923BB6">
        <w:t xml:space="preserve"> CASF </w:t>
      </w:r>
      <w:r w:rsidRPr="00EA2510" w:rsidR="0C2A4512">
        <w:t xml:space="preserve">funding, </w:t>
      </w:r>
      <w:proofErr w:type="gramStart"/>
      <w:r w:rsidRPr="00EA2510" w:rsidR="0C2A4512">
        <w:t>with the exception of</w:t>
      </w:r>
      <w:proofErr w:type="gramEnd"/>
      <w:r w:rsidRPr="00EA2510" w:rsidR="0C2A4512">
        <w:t xml:space="preserve"> Pub. Util. Code </w:t>
      </w:r>
      <w:r w:rsidRPr="00EA2510" w:rsidR="001B305F">
        <w:t>S</w:t>
      </w:r>
      <w:r w:rsidRPr="00EA2510" w:rsidR="462333BA">
        <w:t>ection</w:t>
      </w:r>
      <w:r w:rsidRPr="00EA2510" w:rsidR="0C2A4512">
        <w:t xml:space="preserve"> 281(f)(5)(C) which has a sunset date of July 1, 2020.</w:t>
      </w:r>
      <w:r w:rsidRPr="00C20211" w:rsidR="0C2A4512">
        <w:t xml:space="preserve">  CETF state</w:t>
      </w:r>
      <w:r w:rsidRPr="00C20211" w:rsidR="580045C3">
        <w:t>d,</w:t>
      </w:r>
      <w:r w:rsidRPr="00C20211" w:rsidR="0C2A4512">
        <w:t xml:space="preserve"> “</w:t>
      </w:r>
      <w:r w:rsidRPr="00C20211" w:rsidR="3EE1CABA">
        <w:t>.</w:t>
      </w:r>
      <w:r w:rsidRPr="00C20211" w:rsidR="0C2A4512">
        <w:t>..</w:t>
      </w:r>
      <w:r w:rsidRPr="00C20211" w:rsidR="152B7FFE">
        <w:t>[Pub. Uti</w:t>
      </w:r>
      <w:r w:rsidRPr="00C20211" w:rsidR="72B8D366">
        <w:t>l</w:t>
      </w:r>
      <w:r w:rsidRPr="00C20211" w:rsidR="152B7FFE">
        <w:t>.</w:t>
      </w:r>
      <w:r w:rsidRPr="00C20211" w:rsidR="0C2A4512">
        <w:t xml:space="preserve"> Code</w:t>
      </w:r>
      <w:r w:rsidRPr="00C20211" w:rsidR="152B7FFE">
        <w:t>]</w:t>
      </w:r>
      <w:r w:rsidRPr="00C20211" w:rsidR="462333BA">
        <w:t xml:space="preserve"> section</w:t>
      </w:r>
      <w:r w:rsidRPr="00C20211" w:rsidR="0C2A4512">
        <w:t xml:space="preserve"> 281 explicitly encourages the leveraging of CASF grants with other sources of funds, especially and specifically federal monies</w:t>
      </w:r>
      <w:r w:rsidRPr="00C20211" w:rsidR="462333BA">
        <w:t>.”</w:t>
      </w:r>
      <w:r w:rsidRPr="00C20211" w:rsidR="00E04555">
        <w:rPr>
          <w:rStyle w:val="FootnoteReference"/>
        </w:rPr>
        <w:footnoteReference w:id="34"/>
      </w:r>
      <w:r w:rsidRPr="00C20211" w:rsidR="0C2A4512">
        <w:t xml:space="preserve">  TURN </w:t>
      </w:r>
      <w:r w:rsidRPr="00C20211" w:rsidR="580045C3">
        <w:t>noted</w:t>
      </w:r>
      <w:r w:rsidRPr="00C20211" w:rsidR="0C2A4512">
        <w:t xml:space="preserve"> that “[s]</w:t>
      </w:r>
      <w:proofErr w:type="spellStart"/>
      <w:r w:rsidRPr="00C20211" w:rsidR="0C2A4512">
        <w:t>ection</w:t>
      </w:r>
      <w:proofErr w:type="spellEnd"/>
      <w:r w:rsidRPr="00C20211" w:rsidR="0C2A4512">
        <w:t xml:space="preserve"> 281(f)(12) would prohibit a project from receiving CASF funding for the </w:t>
      </w:r>
      <w:r w:rsidRPr="00EA2510" w:rsidR="0C2A4512">
        <w:rPr>
          <w:i/>
          <w:iCs/>
        </w:rPr>
        <w:t xml:space="preserve">cost already funded </w:t>
      </w:r>
      <w:r w:rsidRPr="00C20211" w:rsidR="0C2A4512">
        <w:t>by another public purpose program.</w:t>
      </w:r>
      <w:r w:rsidRPr="00C20211" w:rsidR="152B7FFE">
        <w:t xml:space="preserve">  </w:t>
      </w:r>
      <w:r w:rsidRPr="00C20211" w:rsidR="0C2A4512">
        <w:t>However, the statute does not prohibit a project from pooling funds to pay for the cost of a project so long as the monies that support the project are paying for different costs.”</w:t>
      </w:r>
      <w:r w:rsidRPr="00C20211" w:rsidR="00E04555">
        <w:rPr>
          <w:rStyle w:val="FootnoteReference"/>
        </w:rPr>
        <w:footnoteReference w:id="35"/>
      </w:r>
    </w:p>
    <w:p w:rsidRPr="00C20211" w:rsidR="009E2705" w:rsidP="00BB504D" w:rsidRDefault="009E2705" w14:paraId="63BC65A3" w14:textId="4CCDB24B">
      <w:pPr>
        <w:pStyle w:val="ListAlpha"/>
        <w:keepNext/>
        <w:keepLines/>
        <w:numPr>
          <w:ilvl w:val="0"/>
          <w:numId w:val="5"/>
        </w:numPr>
        <w:ind w:right="-720"/>
        <w:rPr>
          <w:b/>
          <w:bCs/>
        </w:rPr>
      </w:pPr>
      <w:r w:rsidRPr="00C20211">
        <w:rPr>
          <w:b/>
          <w:bCs/>
        </w:rPr>
        <w:lastRenderedPageBreak/>
        <w:t>Question 11</w:t>
      </w:r>
    </w:p>
    <w:p w:rsidRPr="00EA2510" w:rsidR="00E04555" w:rsidP="00AE3EAF" w:rsidRDefault="00EA2510" w14:paraId="34B9A350" w14:textId="39FFA566">
      <w:pPr>
        <w:pStyle w:val="Standard"/>
        <w:keepNext/>
        <w:keepLines/>
      </w:pPr>
      <w:r>
        <w:t>In Question 11, t</w:t>
      </w:r>
      <w:r w:rsidRPr="00EA2510" w:rsidR="0C2A4512">
        <w:t xml:space="preserve">he Commission requested comment on whether CASF awardees should be required to bid for RDOF.  The parties overwhelmingly disagreed with a requirement </w:t>
      </w:r>
      <w:r w:rsidRPr="00EA2510" w:rsidR="37D8FA71">
        <w:t>that</w:t>
      </w:r>
      <w:r w:rsidRPr="00EA2510" w:rsidR="0C2A4512">
        <w:t xml:space="preserve"> CASF awardees </w:t>
      </w:r>
      <w:r w:rsidRPr="00EA2510" w:rsidR="397BBA6F">
        <w:t>must</w:t>
      </w:r>
      <w:r w:rsidRPr="00EA2510" w:rsidR="0C2A4512">
        <w:t xml:space="preserve"> apply for RDOF funding.  CETF’s comments encapsulated the reasons from several parties in disagreeing with such a requirement</w:t>
      </w:r>
      <w:r w:rsidRPr="00EA2510" w:rsidR="3C4A78BC">
        <w:t>,</w:t>
      </w:r>
      <w:r w:rsidRPr="00EA2510" w:rsidR="0C2A4512">
        <w:t xml:space="preserve"> including: tying CASF grants to federal programs may delay projects; applying for RDOF is time-consuming; it would favor larger national carriers with more experience and resources; and</w:t>
      </w:r>
      <w:r w:rsidRPr="00EA2510" w:rsidR="609B449B">
        <w:t xml:space="preserve"> </w:t>
      </w:r>
      <w:r w:rsidRPr="00EA2510" w:rsidR="002A7C3F">
        <w:t>S</w:t>
      </w:r>
      <w:r w:rsidRPr="00EA2510" w:rsidR="609B449B">
        <w:t>ection</w:t>
      </w:r>
      <w:r w:rsidR="004C7B79">
        <w:t> </w:t>
      </w:r>
      <w:r w:rsidRPr="00EA2510" w:rsidR="0C2A4512">
        <w:t>281(f)(14) does not mandate that a grantee apply for federal funds, or to reject it on that basis.</w:t>
      </w:r>
      <w:r w:rsidRPr="00F41DAA" w:rsidR="0077461E">
        <w:rPr>
          <w:rStyle w:val="FootnoteReference"/>
        </w:rPr>
        <w:footnoteReference w:id="36"/>
      </w:r>
    </w:p>
    <w:p w:rsidRPr="00C20211" w:rsidR="00FB638E" w:rsidP="00F41DAA" w:rsidRDefault="00EA2510" w14:paraId="286E3C75" w14:textId="2BDBE955">
      <w:pPr>
        <w:pStyle w:val="Standard"/>
      </w:pPr>
      <w:r>
        <w:t xml:space="preserve">In response to Question 13, </w:t>
      </w:r>
      <w:r w:rsidRPr="00EA2510" w:rsidR="1822B1E4">
        <w:t>Parties that commented on this issue generally supported allowing CASF funding as matching grants for any other grant award.</w:t>
      </w:r>
      <w:r w:rsidRPr="00F41DAA" w:rsidR="00833C03">
        <w:footnoteReference w:id="37"/>
      </w:r>
      <w:r w:rsidRPr="00EA2510" w:rsidR="1822B1E4">
        <w:t xml:space="preserve">  For example, RCRC stated, “[t]he Commission should not prohibit CASF monies from being</w:t>
      </w:r>
      <w:r w:rsidRPr="00C20211" w:rsidR="1822B1E4">
        <w:t xml:space="preserve"> utilized as a match to other grants, loans, local government bonds or private contributions for broadband projects.”</w:t>
      </w:r>
      <w:r w:rsidRPr="00C20211" w:rsidR="00D03AC2">
        <w:rPr>
          <w:rStyle w:val="FootnoteReference"/>
        </w:rPr>
        <w:footnoteReference w:id="38"/>
      </w:r>
      <w:r w:rsidRPr="00C20211" w:rsidR="1F83780D">
        <w:t xml:space="preserve">  </w:t>
      </w:r>
      <w:proofErr w:type="spellStart"/>
      <w:r w:rsidRPr="00C20211" w:rsidR="1822B1E4">
        <w:t>GeoLinks</w:t>
      </w:r>
      <w:proofErr w:type="spellEnd"/>
      <w:r w:rsidRPr="00C20211" w:rsidR="1822B1E4">
        <w:t xml:space="preserve"> supported allowing CASF funding as matching grants for any other grant award for the same purpose.</w:t>
      </w:r>
      <w:r w:rsidRPr="00C20211" w:rsidR="00D03AC2">
        <w:rPr>
          <w:rStyle w:val="FootnoteReference"/>
        </w:rPr>
        <w:footnoteReference w:id="39"/>
      </w:r>
    </w:p>
    <w:p w:rsidRPr="00C36A53" w:rsidR="00D64071" w:rsidP="00C36A53" w:rsidRDefault="00462200" w14:paraId="0D921E0B" w14:textId="606A6F71">
      <w:pPr>
        <w:pStyle w:val="Heading2"/>
        <w:tabs>
          <w:tab w:val="clear" w:pos="1080"/>
        </w:tabs>
        <w:ind w:left="990" w:right="-720" w:hanging="630"/>
        <w:rPr>
          <w:rFonts w:ascii="Helvetica" w:hAnsi="Helvetica" w:cs="Helvetica"/>
        </w:rPr>
      </w:pPr>
      <w:bookmarkStart w:name="_Toc43744764" w:id="22"/>
      <w:r w:rsidRPr="00C36A53">
        <w:rPr>
          <w:rFonts w:ascii="Helvetica" w:hAnsi="Helvetica" w:cs="Helvetica"/>
        </w:rPr>
        <w:t>2.</w:t>
      </w:r>
      <w:r w:rsidRPr="00C36A53" w:rsidR="00066168">
        <w:rPr>
          <w:rFonts w:ascii="Helvetica" w:hAnsi="Helvetica" w:cs="Helvetica"/>
        </w:rPr>
        <w:t>3</w:t>
      </w:r>
      <w:r w:rsidR="00C36A53">
        <w:rPr>
          <w:rFonts w:ascii="Helvetica" w:hAnsi="Helvetica" w:cs="Helvetica"/>
        </w:rPr>
        <w:t>.</w:t>
      </w:r>
      <w:r w:rsidRPr="00C36A53" w:rsidR="00862F95">
        <w:rPr>
          <w:rFonts w:ascii="Helvetica" w:hAnsi="Helvetica" w:cs="Helvetica"/>
        </w:rPr>
        <w:tab/>
      </w:r>
      <w:r w:rsidRPr="00C36A53" w:rsidR="00D64071">
        <w:rPr>
          <w:rFonts w:ascii="Helvetica" w:hAnsi="Helvetica" w:cs="Helvetica"/>
        </w:rPr>
        <w:t xml:space="preserve">Tribal Priority Window </w:t>
      </w:r>
      <w:r w:rsidR="00C36A53">
        <w:rPr>
          <w:rFonts w:ascii="Helvetica" w:hAnsi="Helvetica" w:cs="Helvetica"/>
        </w:rPr>
        <w:br/>
      </w:r>
      <w:r w:rsidRPr="00C36A53" w:rsidR="00D64071">
        <w:rPr>
          <w:rFonts w:ascii="Helvetica" w:hAnsi="Helvetica" w:cs="Helvetica"/>
        </w:rPr>
        <w:t>Infrastructure Applications</w:t>
      </w:r>
      <w:bookmarkEnd w:id="22"/>
    </w:p>
    <w:p w:rsidRPr="00C20211" w:rsidR="00D64071" w:rsidP="00C96F56" w:rsidRDefault="7C9BEC3A" w14:paraId="6A01BD43" w14:textId="6C03F5D2">
      <w:pPr>
        <w:autoSpaceDE w:val="0"/>
        <w:autoSpaceDN w:val="0"/>
        <w:adjustRightInd w:val="0"/>
        <w:ind w:right="-720"/>
        <w:rPr>
          <w:rFonts w:cs="BookAntiqua"/>
        </w:rPr>
      </w:pPr>
      <w:r w:rsidRPr="00C20211">
        <w:rPr>
          <w:rFonts w:cs="BookAntiqua"/>
        </w:rPr>
        <w:t xml:space="preserve">The </w:t>
      </w:r>
      <w:r w:rsidRPr="00C20211" w:rsidR="609B449B">
        <w:rPr>
          <w:rFonts w:cs="BookAntiqua"/>
        </w:rPr>
        <w:t>FCC</w:t>
      </w:r>
      <w:r w:rsidRPr="00C20211">
        <w:rPr>
          <w:rFonts w:cs="BookAntiqua"/>
        </w:rPr>
        <w:t xml:space="preserve"> adopted a </w:t>
      </w:r>
      <w:r w:rsidRPr="00C20211" w:rsidR="21E56A6F">
        <w:rPr>
          <w:rFonts w:cs="BookAntiqua"/>
        </w:rPr>
        <w:t xml:space="preserve">Tribal Priority Window </w:t>
      </w:r>
      <w:r w:rsidRPr="00C20211">
        <w:rPr>
          <w:rFonts w:cs="BookAntiqua"/>
        </w:rPr>
        <w:t xml:space="preserve">for rural, federally recognized </w:t>
      </w:r>
      <w:r w:rsidRPr="00C20211" w:rsidR="21E56A6F">
        <w:rPr>
          <w:rFonts w:cs="BookAntiqua"/>
        </w:rPr>
        <w:t>T</w:t>
      </w:r>
      <w:r w:rsidRPr="00C20211">
        <w:rPr>
          <w:rFonts w:cs="BookAntiqua"/>
        </w:rPr>
        <w:t>ribes to apply for 2.5 GHz spectrum over</w:t>
      </w:r>
      <w:r w:rsidRPr="00C20211" w:rsidR="3EB1C2AD">
        <w:rPr>
          <w:rFonts w:cs="BookAntiqua"/>
        </w:rPr>
        <w:t xml:space="preserve"> </w:t>
      </w:r>
      <w:r w:rsidRPr="00C20211">
        <w:rPr>
          <w:rFonts w:cs="BookAntiqua"/>
        </w:rPr>
        <w:t xml:space="preserve">their </w:t>
      </w:r>
      <w:r w:rsidRPr="00C20211" w:rsidR="21E56A6F">
        <w:rPr>
          <w:rFonts w:cs="BookAntiqua"/>
        </w:rPr>
        <w:t>T</w:t>
      </w:r>
      <w:r w:rsidRPr="00C20211">
        <w:rPr>
          <w:rFonts w:cs="BookAntiqua"/>
        </w:rPr>
        <w:t xml:space="preserve">ribal lands.  The </w:t>
      </w:r>
      <w:r w:rsidRPr="00C20211" w:rsidR="21E56A6F">
        <w:rPr>
          <w:rFonts w:cs="BookAntiqua"/>
        </w:rPr>
        <w:t xml:space="preserve">Tribal Priority Window </w:t>
      </w:r>
      <w:r w:rsidRPr="00C20211" w:rsidR="2805FACB">
        <w:rPr>
          <w:rFonts w:cs="BookAntiqua"/>
        </w:rPr>
        <w:t>is</w:t>
      </w:r>
      <w:r w:rsidRPr="00C20211">
        <w:rPr>
          <w:rFonts w:cs="BookAntiqua"/>
        </w:rPr>
        <w:t xml:space="preserve"> February 3, 2020 to August 3, 2020.  </w:t>
      </w:r>
      <w:r w:rsidRPr="00C20211">
        <w:t>Question 15 of</w:t>
      </w:r>
      <w:r w:rsidRPr="00C20211" w:rsidR="580045C3">
        <w:t xml:space="preserve"> </w:t>
      </w:r>
      <w:r w:rsidRPr="00C20211" w:rsidR="3EB1C2AD">
        <w:t xml:space="preserve">the ACR </w:t>
      </w:r>
      <w:r w:rsidRPr="00C20211">
        <w:t xml:space="preserve">focused on </w:t>
      </w:r>
      <w:r w:rsidRPr="00C20211">
        <w:lastRenderedPageBreak/>
        <w:t xml:space="preserve">issues pertaining to </w:t>
      </w:r>
      <w:r w:rsidRPr="00C20211" w:rsidR="2A849916">
        <w:t xml:space="preserve">the </w:t>
      </w:r>
      <w:r w:rsidRPr="00C20211" w:rsidR="21E56A6F">
        <w:t>Tribal Priority Window</w:t>
      </w:r>
      <w:r w:rsidRPr="00C20211">
        <w:t xml:space="preserve">.  Specifically, Question 15 </w:t>
      </w:r>
      <w:r w:rsidRPr="00C20211" w:rsidR="747C3A4B">
        <w:t>asked</w:t>
      </w:r>
      <w:r w:rsidRPr="00C20211">
        <w:t>, “</w:t>
      </w:r>
      <w:r w:rsidRPr="00C20211">
        <w:rPr>
          <w:rFonts w:cs="BookAntiqua"/>
        </w:rPr>
        <w:t>[i]s there a reason that infrastructure applications to deploy at least one location</w:t>
      </w:r>
      <w:r w:rsidRPr="00C20211" w:rsidR="609B449B">
        <w:rPr>
          <w:rFonts w:cs="BookAntiqua"/>
        </w:rPr>
        <w:t xml:space="preserve"> </w:t>
      </w:r>
      <w:r w:rsidRPr="00C20211">
        <w:rPr>
          <w:rFonts w:cs="BookAntiqua"/>
        </w:rPr>
        <w:t>using 2.5</w:t>
      </w:r>
      <w:r w:rsidR="00131EBA">
        <w:rPr>
          <w:rFonts w:cs="BookAntiqua"/>
        </w:rPr>
        <w:t> </w:t>
      </w:r>
      <w:r w:rsidRPr="00C20211">
        <w:rPr>
          <w:rFonts w:cs="BookAntiqua"/>
        </w:rPr>
        <w:t xml:space="preserve">GHz spectrum (obtained through the </w:t>
      </w:r>
      <w:r w:rsidRPr="00C20211" w:rsidR="655F3BB1">
        <w:rPr>
          <w:rFonts w:cs="BookAntiqua"/>
        </w:rPr>
        <w:t>T</w:t>
      </w:r>
      <w:r w:rsidRPr="00C20211">
        <w:rPr>
          <w:rFonts w:cs="BookAntiqua"/>
        </w:rPr>
        <w:t>ribal priority window) should</w:t>
      </w:r>
      <w:r w:rsidRPr="00C20211" w:rsidR="609B449B">
        <w:rPr>
          <w:rFonts w:cs="BookAntiqua"/>
        </w:rPr>
        <w:t xml:space="preserve"> </w:t>
      </w:r>
      <w:r w:rsidRPr="00C20211">
        <w:rPr>
          <w:rFonts w:cs="BookAntiqua"/>
        </w:rPr>
        <w:t>not be accepted on an ongoing basis?  How would the Commission review and</w:t>
      </w:r>
      <w:r w:rsidRPr="00C20211" w:rsidR="609B449B">
        <w:rPr>
          <w:rFonts w:cs="BookAntiqua"/>
        </w:rPr>
        <w:t xml:space="preserve"> </w:t>
      </w:r>
      <w:r w:rsidRPr="00C20211">
        <w:rPr>
          <w:rFonts w:cs="BookAntiqua"/>
        </w:rPr>
        <w:t>process these rolling CASF infrastructure applications in light of the timeline and</w:t>
      </w:r>
      <w:r w:rsidRPr="00C20211" w:rsidR="609B449B">
        <w:rPr>
          <w:rFonts w:cs="BookAntiqua"/>
        </w:rPr>
        <w:t xml:space="preserve"> </w:t>
      </w:r>
      <w:r w:rsidRPr="00C20211">
        <w:rPr>
          <w:rFonts w:cs="BookAntiqua"/>
        </w:rPr>
        <w:t>updates to the Broadband Availability Map?”</w:t>
      </w:r>
    </w:p>
    <w:p w:rsidRPr="00CD34AB" w:rsidR="00D64071" w:rsidP="004C7B79" w:rsidRDefault="00462200" w14:paraId="3DE176AA" w14:textId="26DCDC19">
      <w:pPr>
        <w:pStyle w:val="Heading3"/>
        <w:tabs>
          <w:tab w:val="clear" w:pos="1656"/>
        </w:tabs>
        <w:ind w:left="1620" w:right="-720" w:hanging="900"/>
      </w:pPr>
      <w:bookmarkStart w:name="_Toc43744765" w:id="23"/>
      <w:r w:rsidRPr="00131EBA">
        <w:rPr>
          <w:rFonts w:ascii="Helvetica" w:hAnsi="Helvetica" w:cs="Helvetica"/>
        </w:rPr>
        <w:t>2.</w:t>
      </w:r>
      <w:r w:rsidRPr="00131EBA" w:rsidR="00046C93">
        <w:rPr>
          <w:rFonts w:ascii="Helvetica" w:hAnsi="Helvetica" w:cs="Helvetica"/>
        </w:rPr>
        <w:t>3</w:t>
      </w:r>
      <w:r w:rsidRPr="00131EBA">
        <w:rPr>
          <w:rFonts w:ascii="Helvetica" w:hAnsi="Helvetica" w:cs="Helvetica"/>
        </w:rPr>
        <w:t>.1</w:t>
      </w:r>
      <w:r w:rsidR="00131EBA">
        <w:rPr>
          <w:rFonts w:ascii="Helvetica" w:hAnsi="Helvetica" w:cs="Helvetica"/>
        </w:rPr>
        <w:t>.</w:t>
      </w:r>
      <w:r w:rsidRPr="00131EBA" w:rsidR="00862F95">
        <w:rPr>
          <w:rFonts w:ascii="Helvetica" w:hAnsi="Helvetica" w:cs="Helvetica"/>
        </w:rPr>
        <w:tab/>
      </w:r>
      <w:r w:rsidRPr="00131EBA" w:rsidR="00D64071">
        <w:rPr>
          <w:rFonts w:ascii="Helvetica" w:hAnsi="Helvetica" w:cs="Helvetica"/>
        </w:rPr>
        <w:t>Parties’ Comments and Reply Comments</w:t>
      </w:r>
      <w:bookmarkEnd w:id="23"/>
    </w:p>
    <w:p w:rsidRPr="00C20211" w:rsidR="00D64071" w:rsidP="00F41DAA" w:rsidRDefault="7C9BEC3A" w14:paraId="163522E9" w14:textId="02D7AB8C">
      <w:pPr>
        <w:pStyle w:val="Standard"/>
      </w:pPr>
      <w:r w:rsidRPr="00CD34AB">
        <w:t xml:space="preserve">Most parties did not specifically comment on </w:t>
      </w:r>
      <w:r w:rsidR="00CD34AB">
        <w:t>Question 15.</w:t>
      </w:r>
      <w:r w:rsidRPr="00CD34AB">
        <w:t xml:space="preserve">  CCTA note</w:t>
      </w:r>
      <w:r w:rsidRPr="00CD34AB" w:rsidR="580045C3">
        <w:t>d</w:t>
      </w:r>
      <w:r w:rsidRPr="00CD34AB">
        <w:t xml:space="preserve"> that any change to the application window/review process should apply equally to all</w:t>
      </w:r>
      <w:r w:rsidRPr="00C20211">
        <w:t xml:space="preserve"> applicants.</w:t>
      </w:r>
      <w:r w:rsidRPr="00C20211" w:rsidR="3B59D161">
        <w:t xml:space="preserve">  </w:t>
      </w:r>
      <w:r w:rsidRPr="00C20211">
        <w:t xml:space="preserve">Current rules only allow prioritization </w:t>
      </w:r>
      <w:r w:rsidRPr="00C20211" w:rsidR="5BCF12A2">
        <w:t>based on</w:t>
      </w:r>
      <w:r w:rsidRPr="00C20211">
        <w:t xml:space="preserve"> criteria</w:t>
      </w:r>
      <w:r w:rsidRPr="00C20211" w:rsidR="73C4EC19">
        <w:t xml:space="preserve"> related to the unserved status of an area</w:t>
      </w:r>
      <w:r w:rsidRPr="00C20211">
        <w:t>.</w:t>
      </w:r>
      <w:r w:rsidRPr="00C20211" w:rsidR="00A21A79">
        <w:rPr>
          <w:rStyle w:val="FootnoteReference"/>
        </w:rPr>
        <w:footnoteReference w:id="40"/>
      </w:r>
      <w:r w:rsidRPr="00C20211">
        <w:t xml:space="preserve"> </w:t>
      </w:r>
    </w:p>
    <w:p w:rsidRPr="002E73A8" w:rsidR="009C0272" w:rsidP="002E73A8" w:rsidRDefault="00462200" w14:paraId="5C173766" w14:textId="22AC2693">
      <w:pPr>
        <w:pStyle w:val="Heading2"/>
        <w:tabs>
          <w:tab w:val="clear" w:pos="1080"/>
        </w:tabs>
        <w:ind w:left="990" w:right="-720" w:hanging="630"/>
        <w:rPr>
          <w:rFonts w:ascii="Helvetica" w:hAnsi="Helvetica" w:cs="Helvetica"/>
        </w:rPr>
      </w:pPr>
      <w:bookmarkStart w:name="_Toc43744766" w:id="24"/>
      <w:r w:rsidRPr="002E73A8">
        <w:rPr>
          <w:rFonts w:ascii="Helvetica" w:hAnsi="Helvetica" w:cs="Helvetica"/>
        </w:rPr>
        <w:t>2.</w:t>
      </w:r>
      <w:r w:rsidRPr="002E73A8" w:rsidR="001854C3">
        <w:rPr>
          <w:rFonts w:ascii="Helvetica" w:hAnsi="Helvetica" w:cs="Helvetica"/>
        </w:rPr>
        <w:t>4</w:t>
      </w:r>
      <w:r w:rsidR="002E73A8">
        <w:rPr>
          <w:rFonts w:ascii="Helvetica" w:hAnsi="Helvetica" w:cs="Helvetica"/>
        </w:rPr>
        <w:t>.</w:t>
      </w:r>
      <w:r w:rsidRPr="002E73A8" w:rsidR="001854C3">
        <w:rPr>
          <w:rFonts w:ascii="Helvetica" w:hAnsi="Helvetica" w:cs="Helvetica"/>
        </w:rPr>
        <w:t xml:space="preserve"> </w:t>
      </w:r>
      <w:r w:rsidRPr="002E73A8" w:rsidR="00862F95">
        <w:rPr>
          <w:rFonts w:ascii="Helvetica" w:hAnsi="Helvetica" w:cs="Helvetica"/>
        </w:rPr>
        <w:tab/>
      </w:r>
      <w:r w:rsidRPr="002E73A8" w:rsidR="009C0272">
        <w:rPr>
          <w:rFonts w:ascii="Helvetica" w:hAnsi="Helvetica" w:cs="Helvetica"/>
        </w:rPr>
        <w:t>Discussion</w:t>
      </w:r>
      <w:bookmarkEnd w:id="24"/>
    </w:p>
    <w:p w:rsidRPr="00C20211" w:rsidR="008772C5" w:rsidP="00C96F56" w:rsidRDefault="008772C5" w14:paraId="12486988" w14:textId="72A535C0">
      <w:pPr>
        <w:pStyle w:val="Standard"/>
        <w:ind w:right="-720"/>
      </w:pPr>
      <w:r w:rsidRPr="00C20211">
        <w:t xml:space="preserve">There </w:t>
      </w:r>
      <w:r w:rsidRPr="00C20211" w:rsidR="009A45E2">
        <w:t>is</w:t>
      </w:r>
      <w:r w:rsidRPr="00C20211">
        <w:t xml:space="preserve"> ample support to revise the CASF program rules with the respect to:  increasing the </w:t>
      </w:r>
      <w:r w:rsidRPr="00C20211" w:rsidR="0032138A">
        <w:t>assign</w:t>
      </w:r>
      <w:r w:rsidRPr="00C20211" w:rsidR="007617B9">
        <w:t>ment</w:t>
      </w:r>
      <w:r w:rsidRPr="00C20211" w:rsidR="0032138A">
        <w:t xml:space="preserve"> to </w:t>
      </w:r>
      <w:r w:rsidRPr="00C20211" w:rsidR="00FC39F2">
        <w:t xml:space="preserve">and authorization for </w:t>
      </w:r>
      <w:r w:rsidRPr="00C20211">
        <w:t xml:space="preserve">Staff to set additional infrastructure application windows, removing the requirement that additional rounds of applications must meet the criteria for Ministerial Review, removing the </w:t>
      </w:r>
      <w:r w:rsidRPr="00C20211" w:rsidR="7DB0F87A">
        <w:t>requirement</w:t>
      </w:r>
      <w:r w:rsidRPr="00C20211">
        <w:t xml:space="preserve"> that applications submitted during additional rounds </w:t>
      </w:r>
      <w:r w:rsidRPr="00C20211" w:rsidR="69808089">
        <w:t xml:space="preserve">that </w:t>
      </w:r>
      <w:r w:rsidRPr="00C20211" w:rsidR="7EDA821C">
        <w:t>receiv</w:t>
      </w:r>
      <w:r w:rsidRPr="00C20211" w:rsidR="5BD98CDB">
        <w:t>e</w:t>
      </w:r>
      <w:r w:rsidRPr="00C20211">
        <w:t xml:space="preserve"> a complete and timely challenge are automatically denied</w:t>
      </w:r>
      <w:r w:rsidRPr="00C20211" w:rsidR="00D64071">
        <w:t xml:space="preserve">, </w:t>
      </w:r>
      <w:r w:rsidRPr="00C20211" w:rsidR="00A21A79">
        <w:t xml:space="preserve">and </w:t>
      </w:r>
      <w:r w:rsidRPr="00C20211" w:rsidR="00D64071">
        <w:t>using state and federal funding sources in combination to build and deploy broadband infrastructure</w:t>
      </w:r>
      <w:r w:rsidRPr="00C20211" w:rsidR="00220D7E">
        <w:t>.</w:t>
      </w:r>
    </w:p>
    <w:p w:rsidRPr="00C20211" w:rsidR="00FB638E" w:rsidP="00C96F56" w:rsidRDefault="3EB1C2AD" w14:paraId="7F26EC6A" w14:textId="470C09E0">
      <w:pPr>
        <w:tabs>
          <w:tab w:val="left" w:pos="7155"/>
        </w:tabs>
        <w:ind w:right="-720"/>
        <w:rPr>
          <w:color w:val="000000" w:themeColor="text1"/>
        </w:rPr>
      </w:pPr>
      <w:r w:rsidRPr="00C20211">
        <w:rPr>
          <w:color w:val="000000" w:themeColor="text1"/>
        </w:rPr>
        <w:t xml:space="preserve">While most parties disagreed that CASF awardees be required to bid for RDOF, </w:t>
      </w:r>
      <w:r w:rsidRPr="00C20211" w:rsidR="580045C3">
        <w:rPr>
          <w:color w:val="000000" w:themeColor="text1"/>
        </w:rPr>
        <w:t xml:space="preserve">we </w:t>
      </w:r>
      <w:r w:rsidRPr="00C20211" w:rsidR="41C7CF80">
        <w:rPr>
          <w:color w:val="000000" w:themeColor="text1"/>
        </w:rPr>
        <w:t>strongly urge current and potential CASF infrastructure applicants to apply for funding from RDOF</w:t>
      </w:r>
      <w:r w:rsidRPr="00C20211" w:rsidR="25B89537">
        <w:rPr>
          <w:color w:val="000000" w:themeColor="text1"/>
        </w:rPr>
        <w:t xml:space="preserve"> to address the issue of limited CASF funding</w:t>
      </w:r>
      <w:r w:rsidRPr="00C20211" w:rsidR="41C7CF80">
        <w:rPr>
          <w:color w:val="000000" w:themeColor="text1"/>
        </w:rPr>
        <w:t>.</w:t>
      </w:r>
      <w:r w:rsidRPr="00C20211" w:rsidR="00C25D61">
        <w:rPr>
          <w:rStyle w:val="FootnoteReference"/>
          <w:color w:val="000000" w:themeColor="text1"/>
        </w:rPr>
        <w:footnoteReference w:id="41"/>
      </w:r>
      <w:r w:rsidRPr="00C20211" w:rsidR="25B89537">
        <w:rPr>
          <w:color w:val="000000" w:themeColor="text1"/>
        </w:rPr>
        <w:t xml:space="preserve">  The</w:t>
      </w:r>
      <w:r w:rsidRPr="00C20211">
        <w:rPr>
          <w:color w:val="000000" w:themeColor="text1"/>
        </w:rPr>
        <w:t xml:space="preserve"> requested </w:t>
      </w:r>
      <w:r w:rsidRPr="00C20211">
        <w:rPr>
          <w:color w:val="000000" w:themeColor="text1"/>
        </w:rPr>
        <w:lastRenderedPageBreak/>
        <w:t xml:space="preserve">amount of funding in the </w:t>
      </w:r>
      <w:r w:rsidRPr="00C20211" w:rsidR="25B89537">
        <w:rPr>
          <w:color w:val="000000" w:themeColor="text1"/>
        </w:rPr>
        <w:t xml:space="preserve">May 4, 2020 </w:t>
      </w:r>
      <w:r w:rsidRPr="00C20211">
        <w:rPr>
          <w:color w:val="000000" w:themeColor="text1"/>
        </w:rPr>
        <w:t xml:space="preserve">application cycle is more than </w:t>
      </w:r>
      <w:r w:rsidR="00CB7028">
        <w:rPr>
          <w:color w:val="000000" w:themeColor="text1"/>
        </w:rPr>
        <w:t>twice</w:t>
      </w:r>
      <w:r w:rsidRPr="00C20211">
        <w:rPr>
          <w:color w:val="000000" w:themeColor="text1"/>
        </w:rPr>
        <w:t xml:space="preserve"> the balance of the remaining CASF funds.</w:t>
      </w:r>
      <w:r w:rsidRPr="00C20211" w:rsidR="234FE0F6">
        <w:rPr>
          <w:color w:val="000000" w:themeColor="text1"/>
        </w:rPr>
        <w:t xml:space="preserve">  </w:t>
      </w:r>
      <w:r w:rsidRPr="00C20211">
        <w:rPr>
          <w:color w:val="000000" w:themeColor="text1"/>
        </w:rPr>
        <w:t>Therefore, not all proposed projects will be funded</w:t>
      </w:r>
      <w:r w:rsidRPr="00C20211" w:rsidR="25B89537">
        <w:rPr>
          <w:color w:val="000000" w:themeColor="text1"/>
        </w:rPr>
        <w:t xml:space="preserve"> even if all CASF rules and requirements are met.</w:t>
      </w:r>
      <w:r w:rsidRPr="00C20211" w:rsidR="7D3088DD">
        <w:rPr>
          <w:color w:val="000000" w:themeColor="text1"/>
        </w:rPr>
        <w:t xml:space="preserve">  Further, </w:t>
      </w:r>
      <w:r w:rsidRPr="00C20211" w:rsidR="25B89537">
        <w:rPr>
          <w:color w:val="000000" w:themeColor="text1"/>
        </w:rPr>
        <w:t>even if all 54</w:t>
      </w:r>
      <w:r w:rsidR="00546444">
        <w:rPr>
          <w:color w:val="000000" w:themeColor="text1"/>
        </w:rPr>
        <w:t> </w:t>
      </w:r>
      <w:r w:rsidRPr="00C20211" w:rsidR="25B89537">
        <w:rPr>
          <w:color w:val="000000" w:themeColor="text1"/>
        </w:rPr>
        <w:t>applications from the May 4, 2020 application cycle met CASF rules and requirements, the</w:t>
      </w:r>
      <w:r w:rsidRPr="00C20211" w:rsidR="0025CB69">
        <w:rPr>
          <w:color w:val="000000" w:themeColor="text1"/>
        </w:rPr>
        <w:t>re</w:t>
      </w:r>
      <w:r w:rsidRPr="00C20211" w:rsidR="25B89537">
        <w:rPr>
          <w:color w:val="000000" w:themeColor="text1"/>
        </w:rPr>
        <w:t xml:space="preserve"> would not </w:t>
      </w:r>
      <w:r w:rsidRPr="00C20211" w:rsidR="0025CB69">
        <w:rPr>
          <w:color w:val="000000" w:themeColor="text1"/>
        </w:rPr>
        <w:t xml:space="preserve">be a </w:t>
      </w:r>
      <w:r w:rsidRPr="00C20211" w:rsidR="72B8D366">
        <w:rPr>
          <w:color w:val="000000" w:themeColor="text1"/>
        </w:rPr>
        <w:t>guarantee</w:t>
      </w:r>
      <w:r w:rsidRPr="00C20211" w:rsidR="0025CB69">
        <w:rPr>
          <w:color w:val="000000" w:themeColor="text1"/>
        </w:rPr>
        <w:t xml:space="preserve"> </w:t>
      </w:r>
      <w:r w:rsidRPr="00C20211" w:rsidR="1DB3EB71">
        <w:rPr>
          <w:color w:val="000000" w:themeColor="text1"/>
        </w:rPr>
        <w:t xml:space="preserve">that </w:t>
      </w:r>
      <w:r w:rsidRPr="00C20211" w:rsidR="25B89537">
        <w:rPr>
          <w:color w:val="000000" w:themeColor="text1"/>
        </w:rPr>
        <w:t>the goal of the program</w:t>
      </w:r>
      <w:r w:rsidRPr="00C20211" w:rsidR="2C7B08D3">
        <w:rPr>
          <w:color w:val="000000" w:themeColor="text1"/>
        </w:rPr>
        <w:t xml:space="preserve"> would be met</w:t>
      </w:r>
      <w:r w:rsidRPr="00C20211" w:rsidR="25B89537">
        <w:rPr>
          <w:color w:val="000000" w:themeColor="text1"/>
        </w:rPr>
        <w:t>.</w:t>
      </w:r>
      <w:r w:rsidRPr="00C20211" w:rsidR="00FB638E">
        <w:rPr>
          <w:rStyle w:val="FootnoteReference"/>
          <w:color w:val="000000" w:themeColor="text1"/>
        </w:rPr>
        <w:footnoteReference w:id="42"/>
      </w:r>
      <w:r w:rsidRPr="00C20211" w:rsidR="25B89537">
        <w:rPr>
          <w:color w:val="000000" w:themeColor="text1"/>
        </w:rPr>
        <w:t xml:space="preserve">  </w:t>
      </w:r>
    </w:p>
    <w:p w:rsidRPr="00C20211" w:rsidR="00322E8A" w:rsidP="00634D4E" w:rsidRDefault="008772C5" w14:paraId="4B45C35A" w14:textId="298BCCCD">
      <w:pPr>
        <w:pStyle w:val="Standard"/>
        <w:ind w:right="-720"/>
      </w:pPr>
      <w:r w:rsidRPr="00C20211">
        <w:t xml:space="preserve">In this decision, we </w:t>
      </w:r>
      <w:r w:rsidRPr="00C20211" w:rsidR="007617B9">
        <w:t>assign to</w:t>
      </w:r>
      <w:r w:rsidRPr="00C20211" w:rsidR="0009557F">
        <w:t xml:space="preserve"> and authorize</w:t>
      </w:r>
      <w:r w:rsidRPr="00C20211" w:rsidR="007617B9">
        <w:t xml:space="preserve"> </w:t>
      </w:r>
      <w:r w:rsidRPr="00C20211">
        <w:t>Staff to set additional infrastructure application windows in 2020 and/or subsequent years</w:t>
      </w:r>
      <w:r w:rsidRPr="00C20211" w:rsidR="005D6342">
        <w:t xml:space="preserve"> </w:t>
      </w:r>
      <w:r w:rsidRPr="00C20211" w:rsidR="00317E32">
        <w:t xml:space="preserve">should funding still be available </w:t>
      </w:r>
      <w:r w:rsidRPr="00C20211" w:rsidR="005D6342">
        <w:t xml:space="preserve">in order to maximize broadband infrastructure deployment </w:t>
      </w:r>
      <w:r w:rsidRPr="00C20211" w:rsidR="11986EEF">
        <w:t>and</w:t>
      </w:r>
      <w:r w:rsidRPr="00C20211" w:rsidR="274FF0C6">
        <w:t xml:space="preserve"> leverag</w:t>
      </w:r>
      <w:r w:rsidRPr="00C20211" w:rsidR="21ED59A9">
        <w:t>e</w:t>
      </w:r>
      <w:r w:rsidRPr="00C20211" w:rsidR="005D6342">
        <w:t xml:space="preserve"> multiple funding sources</w:t>
      </w:r>
      <w:r w:rsidRPr="00C20211" w:rsidR="49CE730B">
        <w:t>,</w:t>
      </w:r>
      <w:r w:rsidRPr="00C20211" w:rsidR="274FF0C6">
        <w:t xml:space="preserve"> </w:t>
      </w:r>
      <w:r w:rsidRPr="00C20211" w:rsidR="0F0B28A0">
        <w:t>to</w:t>
      </w:r>
      <w:r w:rsidRPr="00C20211" w:rsidR="005D6342">
        <w:t xml:space="preserve"> better meet the goal</w:t>
      </w:r>
      <w:r w:rsidRPr="00C20211" w:rsidR="00A577E9">
        <w:t>s</w:t>
      </w:r>
      <w:r w:rsidRPr="00C20211" w:rsidR="005D6342">
        <w:t xml:space="preserve"> of the program.</w:t>
      </w:r>
      <w:r w:rsidRPr="00C20211" w:rsidR="001A7956">
        <w:t xml:space="preserve">  </w:t>
      </w:r>
      <w:r w:rsidRPr="00C20211">
        <w:t xml:space="preserve">Specifically, Staff may </w:t>
      </w:r>
      <w:r w:rsidRPr="00C20211" w:rsidR="00C25D61">
        <w:t>set additional application window(s) and timeline</w:t>
      </w:r>
      <w:r w:rsidRPr="00C20211">
        <w:t xml:space="preserve">, via a letter from the </w:t>
      </w:r>
      <w:r w:rsidRPr="00C20211" w:rsidR="00315077">
        <w:t xml:space="preserve">Communications Division </w:t>
      </w:r>
      <w:r w:rsidRPr="00C20211">
        <w:t xml:space="preserve">to the CASF Distribution and Service Lists for </w:t>
      </w:r>
      <w:r w:rsidRPr="00C20211" w:rsidR="00315077">
        <w:t xml:space="preserve">Tribal </w:t>
      </w:r>
      <w:r w:rsidRPr="00C20211">
        <w:t xml:space="preserve">areas and/or other eligible applicants to incorporate federal broadband funding opportunities, such as RDOF.  Applications during additional </w:t>
      </w:r>
      <w:r w:rsidRPr="00C20211" w:rsidR="001A7956">
        <w:t>windo</w:t>
      </w:r>
      <w:r w:rsidRPr="00C20211" w:rsidR="00F22D77">
        <w:t>w</w:t>
      </w:r>
      <w:r w:rsidRPr="00C20211">
        <w:t>(s</w:t>
      </w:r>
      <w:r w:rsidRPr="00C20211" w:rsidR="001A7956">
        <w:t>)</w:t>
      </w:r>
      <w:r w:rsidRPr="00C20211">
        <w:t xml:space="preserve"> </w:t>
      </w:r>
      <w:r w:rsidRPr="00C20211" w:rsidR="105F0D97">
        <w:t>need</w:t>
      </w:r>
      <w:r w:rsidRPr="00C20211">
        <w:t xml:space="preserve"> not meet the Ministerial Review criteria.</w:t>
      </w:r>
      <w:r w:rsidRPr="00C20211" w:rsidR="00C25D61">
        <w:t xml:space="preserve">  </w:t>
      </w:r>
      <w:r w:rsidRPr="00C20211">
        <w:t xml:space="preserve">Further, applications submitted during additional application </w:t>
      </w:r>
      <w:r w:rsidRPr="00C20211" w:rsidR="001A7956">
        <w:t>window</w:t>
      </w:r>
      <w:r w:rsidRPr="00C20211">
        <w:t xml:space="preserve">(s) receiving a complete and timely challenge are not automatically denied.  Staff will </w:t>
      </w:r>
      <w:r w:rsidRPr="00C20211" w:rsidR="001A7956">
        <w:t xml:space="preserve">determine and </w:t>
      </w:r>
      <w:r w:rsidRPr="00C20211">
        <w:t xml:space="preserve">maintain a six-month review and approval timeline for applications submitted during </w:t>
      </w:r>
      <w:r w:rsidRPr="00C20211" w:rsidR="001A7956">
        <w:t>subsequent</w:t>
      </w:r>
      <w:r w:rsidRPr="00C20211">
        <w:t xml:space="preserve"> application window</w:t>
      </w:r>
      <w:r w:rsidRPr="00C20211" w:rsidR="001A7956">
        <w:t>(s)</w:t>
      </w:r>
      <w:r w:rsidRPr="00C20211">
        <w:t>.  All other extant rules provided in D.18-12-018 will continue to apply.</w:t>
      </w:r>
      <w:bookmarkStart w:name="_Hlk41908347" w:id="25"/>
      <w:bookmarkEnd w:id="15"/>
    </w:p>
    <w:p w:rsidRPr="006B5531" w:rsidR="00AC164B" w:rsidP="00BB504D" w:rsidRDefault="68330616" w14:paraId="44FEEBB1" w14:textId="05E3974D">
      <w:pPr>
        <w:pStyle w:val="Heading1"/>
        <w:numPr>
          <w:ilvl w:val="0"/>
          <w:numId w:val="28"/>
        </w:numPr>
        <w:ind w:left="360"/>
      </w:pPr>
      <w:bookmarkStart w:name="_Toc43744767" w:id="26"/>
      <w:bookmarkEnd w:id="25"/>
      <w:r w:rsidRPr="006B5531">
        <w:t>Technical Assistance Funds for Tribes</w:t>
      </w:r>
      <w:bookmarkEnd w:id="26"/>
    </w:p>
    <w:p w:rsidRPr="00C20211" w:rsidR="006142B2" w:rsidP="004505CE" w:rsidRDefault="006833FF" w14:paraId="08AA72F0" w14:textId="1B7220F6">
      <w:pPr>
        <w:pStyle w:val="Standard"/>
      </w:pPr>
      <w:r w:rsidRPr="00C20211">
        <w:t xml:space="preserve">In ACR Question 6, the Commission requested comments </w:t>
      </w:r>
      <w:r w:rsidRPr="00C20211" w:rsidR="00DA6AB8">
        <w:t xml:space="preserve">on using CASF funds for technical assistance </w:t>
      </w:r>
      <w:r w:rsidRPr="00C20211" w:rsidR="00A26739">
        <w:t>for</w:t>
      </w:r>
      <w:r w:rsidRPr="00C20211" w:rsidR="00DA6AB8">
        <w:t xml:space="preserve"> California </w:t>
      </w:r>
      <w:r w:rsidRPr="00C20211" w:rsidR="005F1B96">
        <w:t>T</w:t>
      </w:r>
      <w:r w:rsidRPr="00C20211" w:rsidR="00DA6AB8">
        <w:t xml:space="preserve">ribes, “regional consortia, stakeholders, local governments, existing facility-based providers, and </w:t>
      </w:r>
      <w:r w:rsidRPr="00C20211" w:rsidR="00DA6AB8">
        <w:lastRenderedPageBreak/>
        <w:t xml:space="preserve">consumers” on ways to maximize RDOF, CASF, and other potential broadband investments in their communities in order to develop strategies and achieve the CASF goal to increase broadband access in Pub. Util. Code </w:t>
      </w:r>
      <w:r w:rsidR="009B16E6">
        <w:t>S</w:t>
      </w:r>
      <w:r w:rsidRPr="00C20211" w:rsidR="00DA6AB8">
        <w:t xml:space="preserve">ection 281(b)(1)(A). </w:t>
      </w:r>
      <w:r w:rsidRPr="00C20211" w:rsidR="00400FBB">
        <w:t xml:space="preserve"> </w:t>
      </w:r>
      <w:proofErr w:type="gramStart"/>
      <w:r w:rsidRPr="00C20211" w:rsidR="00DA6AB8">
        <w:t>In particular, to</w:t>
      </w:r>
      <w:proofErr w:type="gramEnd"/>
      <w:r w:rsidRPr="00C20211" w:rsidR="00DA6AB8">
        <w:t xml:space="preserve"> support California </w:t>
      </w:r>
      <w:r w:rsidRPr="00C20211" w:rsidR="004159A7">
        <w:t>T</w:t>
      </w:r>
      <w:r w:rsidRPr="00C20211" w:rsidR="00DA6AB8">
        <w:t xml:space="preserve">ribes that need technical assistance in order to determine </w:t>
      </w:r>
      <w:r w:rsidRPr="00C20211" w:rsidR="004926A8">
        <w:rPr>
          <w:szCs w:val="26"/>
        </w:rPr>
        <w:t>how</w:t>
      </w:r>
      <w:r w:rsidRPr="00C20211" w:rsidR="00DA6AB8">
        <w:t xml:space="preserve"> to pursue federal and state broadband grant funding. </w:t>
      </w:r>
      <w:r w:rsidRPr="00C20211" w:rsidR="004926A8">
        <w:rPr>
          <w:szCs w:val="26"/>
        </w:rPr>
        <w:t xml:space="preserve"> ‘</w:t>
      </w:r>
      <w:r w:rsidRPr="00C20211" w:rsidR="00DA6AB8">
        <w:t>Should the Commission consider such a proposal? If so, how best could such a proposal be implemented? For example, should the technical assistance be capped at a certain amount, such as $100,000 per technical assistance recipient? Should the overall amount be capped (</w:t>
      </w:r>
      <w:r w:rsidRPr="009B16E6" w:rsidR="00DA6AB8">
        <w:rPr>
          <w:i/>
          <w:iCs/>
        </w:rPr>
        <w:t>e.g.,</w:t>
      </w:r>
      <w:r w:rsidRPr="00C20211" w:rsidR="00DA6AB8">
        <w:t xml:space="preserve"> not to exceed $10 million</w:t>
      </w:r>
      <w:r w:rsidRPr="00C20211" w:rsidR="006142B2">
        <w:t>)?</w:t>
      </w:r>
      <w:r w:rsidRPr="00C20211" w:rsidR="004926A8">
        <w:t>’</w:t>
      </w:r>
    </w:p>
    <w:p w:rsidRPr="009B16E6" w:rsidR="006142B2" w:rsidP="009B16E6" w:rsidRDefault="00CF6BD3" w14:paraId="0DE6F108" w14:textId="20528C91">
      <w:pPr>
        <w:pStyle w:val="Heading2"/>
        <w:tabs>
          <w:tab w:val="clear" w:pos="1080"/>
        </w:tabs>
        <w:ind w:left="990" w:right="-720" w:hanging="630"/>
        <w:rPr>
          <w:rFonts w:ascii="Helvetica" w:hAnsi="Helvetica" w:cs="Helvetica"/>
        </w:rPr>
      </w:pPr>
      <w:bookmarkStart w:name="_Toc43744768" w:id="27"/>
      <w:r w:rsidRPr="009B16E6">
        <w:rPr>
          <w:rFonts w:ascii="Helvetica" w:hAnsi="Helvetica" w:cs="Helvetica"/>
        </w:rPr>
        <w:t>3.1</w:t>
      </w:r>
      <w:r w:rsidR="009B16E6">
        <w:rPr>
          <w:rFonts w:ascii="Helvetica" w:hAnsi="Helvetica" w:cs="Helvetica"/>
        </w:rPr>
        <w:t>.</w:t>
      </w:r>
      <w:r w:rsidRPr="009B16E6">
        <w:rPr>
          <w:rFonts w:ascii="Helvetica" w:hAnsi="Helvetica" w:cs="Helvetica"/>
        </w:rPr>
        <w:tab/>
      </w:r>
      <w:r w:rsidRPr="009B16E6" w:rsidR="006142B2">
        <w:rPr>
          <w:rFonts w:ascii="Helvetica" w:hAnsi="Helvetica" w:cs="Helvetica"/>
        </w:rPr>
        <w:t>Parties’ Comments and Reply Comments</w:t>
      </w:r>
      <w:bookmarkEnd w:id="27"/>
    </w:p>
    <w:p w:rsidRPr="00C20211" w:rsidR="00D83BC6" w:rsidP="620519C6" w:rsidRDefault="056C96FD" w14:paraId="72584606" w14:textId="5E45FFBE">
      <w:r w:rsidRPr="00C20211">
        <w:t xml:space="preserve">CCTA </w:t>
      </w:r>
      <w:r w:rsidRPr="00C20211" w:rsidR="7A2FF91F">
        <w:t>and Frontier</w:t>
      </w:r>
      <w:r w:rsidRPr="00C20211">
        <w:t xml:space="preserve"> </w:t>
      </w:r>
      <w:r w:rsidRPr="00C20211" w:rsidR="7A2FF91F">
        <w:t>proposed using</w:t>
      </w:r>
      <w:r w:rsidRPr="00C20211">
        <w:t xml:space="preserve"> the </w:t>
      </w:r>
      <w:r w:rsidRPr="00C20211" w:rsidR="1578FB8D">
        <w:t xml:space="preserve">Rural and Urban Regional Broadband </w:t>
      </w:r>
      <w:r w:rsidRPr="00C20211">
        <w:t xml:space="preserve">Consortia </w:t>
      </w:r>
      <w:r w:rsidRPr="00C20211" w:rsidR="1578FB8D">
        <w:t xml:space="preserve">Grant </w:t>
      </w:r>
      <w:r w:rsidRPr="00C20211">
        <w:t xml:space="preserve">Account </w:t>
      </w:r>
      <w:r w:rsidRPr="00C20211" w:rsidR="1578FB8D">
        <w:t>(</w:t>
      </w:r>
      <w:r w:rsidRPr="00C20211">
        <w:t>Consortia Account</w:t>
      </w:r>
      <w:r w:rsidRPr="00C20211" w:rsidR="1578FB8D">
        <w:t>)</w:t>
      </w:r>
      <w:r w:rsidRPr="00C20211">
        <w:t xml:space="preserve"> funding to support grant applications, but not to provide technical assistance.</w:t>
      </w:r>
      <w:r w:rsidRPr="00C20211" w:rsidR="00486179">
        <w:rPr>
          <w:rStyle w:val="FootnoteReference"/>
        </w:rPr>
        <w:footnoteReference w:id="43"/>
      </w:r>
      <w:r w:rsidRPr="00C20211">
        <w:t xml:space="preserve">  CETF </w:t>
      </w:r>
      <w:r w:rsidRPr="00C20211" w:rsidR="2A996679">
        <w:t xml:space="preserve">underscored the need to assist California Tribal Governments </w:t>
      </w:r>
      <w:r w:rsidRPr="00C20211" w:rsidR="5566C31D">
        <w:t xml:space="preserve">in </w:t>
      </w:r>
      <w:r w:rsidRPr="00C20211" w:rsidR="2A996679">
        <w:t>apply</w:t>
      </w:r>
      <w:r w:rsidRPr="00C20211" w:rsidR="7710353E">
        <w:t>ing</w:t>
      </w:r>
      <w:r w:rsidRPr="00C20211" w:rsidR="2A996679">
        <w:t xml:space="preserve"> for CASF</w:t>
      </w:r>
      <w:r w:rsidRPr="00C20211" w:rsidR="6FE2680C">
        <w:t xml:space="preserve"> and </w:t>
      </w:r>
      <w:r w:rsidRPr="00C20211" w:rsidR="691725C0">
        <w:t xml:space="preserve">TURN </w:t>
      </w:r>
      <w:r w:rsidRPr="00C20211" w:rsidR="6FE2680C">
        <w:t xml:space="preserve">acknowledged </w:t>
      </w:r>
      <w:r w:rsidRPr="00C20211" w:rsidR="154D9DD4">
        <w:t xml:space="preserve">that </w:t>
      </w:r>
      <w:r w:rsidRPr="00C20211" w:rsidR="17B87C2B">
        <w:t xml:space="preserve">simple awareness </w:t>
      </w:r>
      <w:r w:rsidRPr="00C20211" w:rsidR="4F084C43">
        <w:t xml:space="preserve">by </w:t>
      </w:r>
      <w:r w:rsidRPr="00C20211" w:rsidR="45367ED0">
        <w:t>T</w:t>
      </w:r>
      <w:r w:rsidRPr="00C20211" w:rsidR="4F084C43">
        <w:t>ribes that</w:t>
      </w:r>
      <w:r w:rsidRPr="00C20211" w:rsidR="17B87C2B">
        <w:t xml:space="preserve"> the </w:t>
      </w:r>
      <w:r w:rsidRPr="00C20211" w:rsidR="0287F741">
        <w:t xml:space="preserve">CASF </w:t>
      </w:r>
      <w:r w:rsidRPr="00C20211" w:rsidR="17B87C2B">
        <w:t>program exists will not meet the need.</w:t>
      </w:r>
      <w:r w:rsidRPr="00C20211" w:rsidR="00D83BC6">
        <w:rPr>
          <w:rStyle w:val="FootnoteReference"/>
        </w:rPr>
        <w:footnoteReference w:id="44"/>
      </w:r>
      <w:r w:rsidRPr="00C20211" w:rsidR="2A996679">
        <w:t xml:space="preserve">  </w:t>
      </w:r>
      <w:r w:rsidRPr="00C20211" w:rsidR="56CE4E27">
        <w:t>CETF</w:t>
      </w:r>
      <w:r w:rsidRPr="00C20211" w:rsidR="2A996679">
        <w:t xml:space="preserve"> </w:t>
      </w:r>
      <w:r w:rsidRPr="00C20211">
        <w:t xml:space="preserve">commented that funds for planning and preparation should be included in </w:t>
      </w:r>
      <w:r w:rsidRPr="00C20211" w:rsidR="7A2FF91F">
        <w:t xml:space="preserve">both the </w:t>
      </w:r>
      <w:r w:rsidRPr="00C20211">
        <w:t xml:space="preserve">CASF Infrastructure </w:t>
      </w:r>
      <w:r w:rsidRPr="00C20211" w:rsidR="3FB94145">
        <w:t xml:space="preserve">Account </w:t>
      </w:r>
      <w:r w:rsidRPr="00C20211">
        <w:t>grant awards with a maximum limit.</w:t>
      </w:r>
      <w:r w:rsidRPr="00C20211" w:rsidR="006D70A3">
        <w:rPr>
          <w:rStyle w:val="FootnoteReference"/>
        </w:rPr>
        <w:footnoteReference w:id="45"/>
      </w:r>
      <w:r w:rsidRPr="00C20211">
        <w:t xml:space="preserve">  </w:t>
      </w:r>
      <w:r w:rsidRPr="00C20211" w:rsidR="513C415D">
        <w:t>TURN disagree</w:t>
      </w:r>
      <w:r w:rsidRPr="00C20211" w:rsidR="60161EEF">
        <w:t>d</w:t>
      </w:r>
      <w:r w:rsidRPr="00C20211" w:rsidR="513C415D">
        <w:t xml:space="preserve"> with CCTA</w:t>
      </w:r>
      <w:r w:rsidRPr="00C20211" w:rsidR="1DC84FE4">
        <w:t>, citing Pub</w:t>
      </w:r>
      <w:r w:rsidRPr="00C20211" w:rsidR="4E701345">
        <w:t xml:space="preserve">. Util. Code </w:t>
      </w:r>
      <w:r w:rsidR="00280F54">
        <w:t>S</w:t>
      </w:r>
      <w:r w:rsidRPr="00C20211" w:rsidR="4E701345">
        <w:t>ection 281(e)</w:t>
      </w:r>
      <w:r w:rsidR="61ADDA89">
        <w:t xml:space="preserve"> </w:t>
      </w:r>
      <w:r w:rsidRPr="00C20211" w:rsidR="4F547E63">
        <w:t>for</w:t>
      </w:r>
      <w:r w:rsidRPr="00C20211" w:rsidR="1909D26E">
        <w:t xml:space="preserve"> authority to use CASF </w:t>
      </w:r>
      <w:r w:rsidRPr="00C20211" w:rsidR="09E0F717">
        <w:t>operations</w:t>
      </w:r>
      <w:r w:rsidRPr="00C20211" w:rsidR="1909D26E">
        <w:t xml:space="preserve"> funds to provide technical assistance</w:t>
      </w:r>
      <w:r w:rsidRPr="00C20211" w:rsidR="0C2E03D8">
        <w:t>.  TURN</w:t>
      </w:r>
      <w:r w:rsidRPr="00C20211" w:rsidR="1909D26E">
        <w:t xml:space="preserve"> supports using funds in a transparent manner</w:t>
      </w:r>
      <w:r w:rsidRPr="00C20211" w:rsidR="0F8787D9">
        <w:t>, including the submission of an annual report</w:t>
      </w:r>
      <w:r w:rsidRPr="00C20211" w:rsidR="1909D26E">
        <w:t xml:space="preserve"> </w:t>
      </w:r>
      <w:r w:rsidRPr="00C20211" w:rsidR="7A2FF91F">
        <w:t>on expenditures</w:t>
      </w:r>
      <w:r w:rsidRPr="00C20211" w:rsidR="1909D26E">
        <w:t>.  TURN</w:t>
      </w:r>
      <w:r w:rsidR="00506107">
        <w:t xml:space="preserve"> supported</w:t>
      </w:r>
      <w:r w:rsidR="00A023C6">
        <w:t xml:space="preserve"> an approach where no more than 10% of the CASF total funds should </w:t>
      </w:r>
      <w:r w:rsidR="00A023C6">
        <w:lastRenderedPageBreak/>
        <w:t>be used for technical assistance, while CETF supported no more than 10% of the total CASF funds be used for administration of the CASF fund, including technical assistance</w:t>
      </w:r>
      <w:r w:rsidRPr="00C20211" w:rsidR="5861A341">
        <w:t>.</w:t>
      </w:r>
      <w:r w:rsidRPr="00C20211" w:rsidR="00E86056">
        <w:rPr>
          <w:rStyle w:val="FootnoteReference"/>
        </w:rPr>
        <w:footnoteReference w:id="46"/>
      </w:r>
    </w:p>
    <w:p w:rsidRPr="00280F54" w:rsidR="00D83BC6" w:rsidP="00280F54" w:rsidRDefault="00D83BC6" w14:paraId="6DE907DF" w14:textId="418F3186">
      <w:pPr>
        <w:pStyle w:val="Heading2"/>
        <w:tabs>
          <w:tab w:val="clear" w:pos="1080"/>
        </w:tabs>
        <w:ind w:left="990" w:right="-720" w:hanging="630"/>
        <w:rPr>
          <w:rFonts w:ascii="Helvetica" w:hAnsi="Helvetica" w:cs="Helvetica"/>
        </w:rPr>
      </w:pPr>
      <w:bookmarkStart w:name="_Toc43744769" w:id="28"/>
      <w:r w:rsidRPr="00280F54">
        <w:rPr>
          <w:rFonts w:ascii="Helvetica" w:hAnsi="Helvetica" w:cs="Helvetica"/>
        </w:rPr>
        <w:t>3.2</w:t>
      </w:r>
      <w:r w:rsidR="00E743BD">
        <w:rPr>
          <w:rFonts w:ascii="Helvetica" w:hAnsi="Helvetica" w:cs="Helvetica"/>
        </w:rPr>
        <w:t>.</w:t>
      </w:r>
      <w:r w:rsidRPr="00280F54">
        <w:rPr>
          <w:rFonts w:ascii="Helvetica" w:hAnsi="Helvetica" w:cs="Helvetica"/>
        </w:rPr>
        <w:t xml:space="preserve"> </w:t>
      </w:r>
      <w:r w:rsidRPr="00280F54" w:rsidR="00862F95">
        <w:rPr>
          <w:rFonts w:ascii="Helvetica" w:hAnsi="Helvetica" w:cs="Helvetica"/>
        </w:rPr>
        <w:tab/>
      </w:r>
      <w:r w:rsidRPr="00280F54">
        <w:rPr>
          <w:rFonts w:ascii="Helvetica" w:hAnsi="Helvetica" w:cs="Helvetica"/>
        </w:rPr>
        <w:t>Discussion</w:t>
      </w:r>
      <w:bookmarkEnd w:id="28"/>
    </w:p>
    <w:p w:rsidRPr="00C20211" w:rsidR="00476DEE" w:rsidP="00D83BC6" w:rsidRDefault="000347BA" w14:paraId="1513A247" w14:textId="0ED42E1D">
      <w:r w:rsidRPr="00C20211">
        <w:t xml:space="preserve">We agree with </w:t>
      </w:r>
      <w:r w:rsidRPr="00C20211" w:rsidR="33DF261A">
        <w:t>TURN</w:t>
      </w:r>
      <w:r w:rsidRPr="00C20211">
        <w:t xml:space="preserve"> that the Commission should provide technical assistance through its </w:t>
      </w:r>
      <w:r w:rsidR="7CDB99B4">
        <w:t>S</w:t>
      </w:r>
      <w:r>
        <w:t xml:space="preserve">tate </w:t>
      </w:r>
      <w:r w:rsidR="6EDD0046">
        <w:t>O</w:t>
      </w:r>
      <w:r w:rsidRPr="00C20211">
        <w:t>perations</w:t>
      </w:r>
      <w:r w:rsidRPr="00C20211" w:rsidR="2A1C2DEF">
        <w:t xml:space="preserve"> budget for the CASF program</w:t>
      </w:r>
      <w:r w:rsidRPr="00C20211">
        <w:t xml:space="preserve">. </w:t>
      </w:r>
      <w:r w:rsidRPr="00C20211" w:rsidR="00316204">
        <w:t xml:space="preserve"> </w:t>
      </w:r>
      <w:r w:rsidRPr="00C20211" w:rsidR="00D83BC6">
        <w:t xml:space="preserve">The Commission’s </w:t>
      </w:r>
      <w:r w:rsidRPr="00C20211" w:rsidR="00476DEE">
        <w:t xml:space="preserve">objective is to cost effectively achieve the CASF Public Utilities Code </w:t>
      </w:r>
      <w:r w:rsidR="002F179C">
        <w:t>S</w:t>
      </w:r>
      <w:r w:rsidRPr="00C20211" w:rsidR="00476DEE">
        <w:t xml:space="preserve">ection 281 goal. </w:t>
      </w:r>
      <w:r w:rsidRPr="00C20211" w:rsidR="005F248E">
        <w:t xml:space="preserve"> </w:t>
      </w:r>
      <w:r w:rsidRPr="00C20211" w:rsidR="00476DEE">
        <w:t>To this end, supporting plans and technical assistance for Tribes that want to leverage CASF and non-CASF funding, and specifically federal funding</w:t>
      </w:r>
      <w:r w:rsidRPr="00C20211" w:rsidR="0060226B">
        <w:t>, is necessary</w:t>
      </w:r>
      <w:r w:rsidRPr="00C20211" w:rsidR="00476DEE">
        <w:t xml:space="preserve">. </w:t>
      </w:r>
    </w:p>
    <w:p w:rsidRPr="002F179C" w:rsidR="00D70A7C" w:rsidP="002F179C" w:rsidRDefault="00476DEE" w14:paraId="3AAFA859" w14:textId="104C4F26">
      <w:pPr>
        <w:pStyle w:val="standard0"/>
        <w:rPr>
          <w:rFonts w:ascii="Book Antiqua" w:hAnsi="Book Antiqua" w:eastAsiaTheme="minorHAnsi" w:cstheme="minorBidi"/>
          <w:szCs w:val="22"/>
        </w:rPr>
      </w:pPr>
      <w:r w:rsidRPr="002F179C">
        <w:rPr>
          <w:rFonts w:ascii="Book Antiqua" w:hAnsi="Book Antiqua" w:eastAsiaTheme="minorHAnsi" w:cstheme="minorBidi"/>
          <w:szCs w:val="22"/>
        </w:rPr>
        <w:t xml:space="preserve">To advance the </w:t>
      </w:r>
      <w:r w:rsidRPr="002F179C" w:rsidR="00725D74">
        <w:rPr>
          <w:rFonts w:ascii="Book Antiqua" w:hAnsi="Book Antiqua" w:eastAsiaTheme="minorHAnsi" w:cstheme="minorBidi"/>
          <w:szCs w:val="22"/>
        </w:rPr>
        <w:t xml:space="preserve">Pub. Util. Code </w:t>
      </w:r>
      <w:r w:rsidRPr="002F179C">
        <w:rPr>
          <w:rFonts w:ascii="Book Antiqua" w:hAnsi="Book Antiqua" w:eastAsiaTheme="minorHAnsi" w:cstheme="minorBidi"/>
          <w:szCs w:val="22"/>
        </w:rPr>
        <w:t xml:space="preserve">section 281 goal through supporting Tribes on their reservations, trust lands and surrounding areas to leverage </w:t>
      </w:r>
      <w:r w:rsidRPr="002F179C" w:rsidR="0060226B">
        <w:rPr>
          <w:rFonts w:ascii="Book Antiqua" w:hAnsi="Book Antiqua" w:eastAsiaTheme="minorHAnsi" w:cstheme="minorBidi"/>
          <w:szCs w:val="22"/>
        </w:rPr>
        <w:t>CASF and</w:t>
      </w:r>
      <w:r w:rsidRPr="002F179C">
        <w:rPr>
          <w:rFonts w:ascii="Book Antiqua" w:hAnsi="Book Antiqua" w:eastAsiaTheme="minorHAnsi" w:cstheme="minorBidi"/>
          <w:szCs w:val="22"/>
        </w:rPr>
        <w:t xml:space="preserve"> non</w:t>
      </w:r>
      <w:r w:rsidRPr="002F179C" w:rsidR="00981735">
        <w:rPr>
          <w:rFonts w:ascii="Book Antiqua" w:hAnsi="Book Antiqua" w:eastAsiaTheme="minorHAnsi" w:cstheme="minorBidi"/>
          <w:szCs w:val="22"/>
        </w:rPr>
        <w:t>-</w:t>
      </w:r>
      <w:r w:rsidRPr="002F179C">
        <w:rPr>
          <w:rFonts w:ascii="Book Antiqua" w:hAnsi="Book Antiqua" w:eastAsiaTheme="minorHAnsi" w:cstheme="minorBidi"/>
          <w:szCs w:val="22"/>
        </w:rPr>
        <w:t>CASF funding, this Decision assigns to staff the</w:t>
      </w:r>
      <w:r w:rsidRPr="002F179C" w:rsidR="006714D2">
        <w:rPr>
          <w:rFonts w:ascii="Book Antiqua" w:hAnsi="Book Antiqua" w:eastAsiaTheme="minorHAnsi" w:cstheme="minorBidi"/>
          <w:szCs w:val="22"/>
        </w:rPr>
        <w:t xml:space="preserve"> </w:t>
      </w:r>
      <w:r w:rsidRPr="002F179C" w:rsidR="3952B732">
        <w:rPr>
          <w:rFonts w:ascii="Book Antiqua" w:hAnsi="Book Antiqua" w:eastAsiaTheme="minorHAnsi" w:cstheme="minorBidi"/>
          <w:szCs w:val="22"/>
        </w:rPr>
        <w:t>option</w:t>
      </w:r>
      <w:r w:rsidRPr="002F179C" w:rsidR="006714D2">
        <w:rPr>
          <w:rFonts w:ascii="Book Antiqua" w:hAnsi="Book Antiqua" w:eastAsiaTheme="minorHAnsi" w:cstheme="minorBidi"/>
          <w:szCs w:val="22"/>
        </w:rPr>
        <w:t xml:space="preserve"> to use </w:t>
      </w:r>
      <w:r w:rsidRPr="002F179C" w:rsidR="00572789">
        <w:rPr>
          <w:rFonts w:ascii="Book Antiqua" w:hAnsi="Book Antiqua" w:eastAsiaTheme="minorHAnsi" w:cstheme="minorBidi"/>
          <w:szCs w:val="22"/>
        </w:rPr>
        <w:t xml:space="preserve">CASF </w:t>
      </w:r>
      <w:r w:rsidRPr="002F179C" w:rsidR="006714D2">
        <w:rPr>
          <w:rFonts w:ascii="Book Antiqua" w:hAnsi="Book Antiqua" w:eastAsiaTheme="minorHAnsi" w:cstheme="minorBidi"/>
          <w:szCs w:val="22"/>
        </w:rPr>
        <w:t xml:space="preserve">state operations to fund </w:t>
      </w:r>
      <w:r w:rsidRPr="002F179C">
        <w:rPr>
          <w:rFonts w:ascii="Book Antiqua" w:hAnsi="Book Antiqua" w:eastAsiaTheme="minorHAnsi" w:cstheme="minorBidi"/>
          <w:szCs w:val="22"/>
        </w:rPr>
        <w:t>technical assistance</w:t>
      </w:r>
      <w:r w:rsidRPr="002F179C" w:rsidR="006714D2">
        <w:rPr>
          <w:rFonts w:ascii="Book Antiqua" w:hAnsi="Book Antiqua" w:eastAsiaTheme="minorHAnsi" w:cstheme="minorBidi"/>
          <w:szCs w:val="22"/>
        </w:rPr>
        <w:t xml:space="preserve"> for </w:t>
      </w:r>
      <w:r w:rsidRPr="002F179C" w:rsidR="009E4746">
        <w:rPr>
          <w:rFonts w:ascii="Book Antiqua" w:hAnsi="Book Antiqua" w:eastAsiaTheme="minorHAnsi" w:cstheme="minorBidi"/>
          <w:szCs w:val="22"/>
        </w:rPr>
        <w:t>T</w:t>
      </w:r>
      <w:r w:rsidRPr="002F179C" w:rsidR="006714D2">
        <w:rPr>
          <w:rFonts w:ascii="Book Antiqua" w:hAnsi="Book Antiqua" w:eastAsiaTheme="minorHAnsi" w:cstheme="minorBidi"/>
          <w:szCs w:val="22"/>
        </w:rPr>
        <w:t>ribes</w:t>
      </w:r>
      <w:r w:rsidRPr="002F179C">
        <w:rPr>
          <w:rFonts w:ascii="Book Antiqua" w:hAnsi="Book Antiqua" w:eastAsiaTheme="minorHAnsi" w:cstheme="minorBidi"/>
          <w:szCs w:val="22"/>
        </w:rPr>
        <w:t>.</w:t>
      </w:r>
      <w:r w:rsidRPr="002F179C" w:rsidR="00B673BE">
        <w:rPr>
          <w:rFonts w:ascii="Book Antiqua" w:hAnsi="Book Antiqua" w:eastAsiaTheme="minorHAnsi" w:cstheme="minorBidi"/>
          <w:szCs w:val="22"/>
        </w:rPr>
        <w:t xml:space="preserve">  </w:t>
      </w:r>
      <w:r w:rsidRPr="002F179C" w:rsidR="00D70A7C">
        <w:rPr>
          <w:rFonts w:ascii="Book Antiqua" w:hAnsi="Book Antiqua" w:eastAsiaTheme="minorHAnsi" w:cstheme="minorBidi"/>
          <w:szCs w:val="22"/>
        </w:rPr>
        <w:t>Staff shall</w:t>
      </w:r>
      <w:r w:rsidRPr="002F179C" w:rsidR="216CDBBB">
        <w:rPr>
          <w:rFonts w:ascii="Book Antiqua" w:hAnsi="Book Antiqua" w:eastAsiaTheme="minorHAnsi" w:cstheme="minorBidi"/>
          <w:szCs w:val="22"/>
        </w:rPr>
        <w:t xml:space="preserve"> utilize</w:t>
      </w:r>
      <w:r w:rsidRPr="002F179C" w:rsidR="00D70A7C">
        <w:rPr>
          <w:rFonts w:ascii="Book Antiqua" w:hAnsi="Book Antiqua" w:eastAsiaTheme="minorHAnsi" w:cstheme="minorBidi"/>
          <w:szCs w:val="22"/>
        </w:rPr>
        <w:t xml:space="preserve"> </w:t>
      </w:r>
      <w:r w:rsidRPr="002F179C" w:rsidR="1900FBC8">
        <w:rPr>
          <w:rFonts w:ascii="Book Antiqua" w:hAnsi="Book Antiqua" w:eastAsiaTheme="minorHAnsi" w:cstheme="minorBidi"/>
          <w:szCs w:val="22"/>
        </w:rPr>
        <w:t xml:space="preserve">the </w:t>
      </w:r>
      <w:r w:rsidRPr="002F179C" w:rsidR="3F737430">
        <w:rPr>
          <w:rFonts w:ascii="Book Antiqua" w:hAnsi="Book Antiqua" w:eastAsiaTheme="minorHAnsi" w:cstheme="minorBidi"/>
          <w:szCs w:val="22"/>
        </w:rPr>
        <w:t>criteria</w:t>
      </w:r>
      <w:r w:rsidRPr="002F179C" w:rsidR="00EF29DA">
        <w:rPr>
          <w:rFonts w:ascii="Book Antiqua" w:hAnsi="Book Antiqua" w:eastAsiaTheme="minorHAnsi" w:cstheme="minorBidi"/>
          <w:szCs w:val="22"/>
        </w:rPr>
        <w:t xml:space="preserve"> </w:t>
      </w:r>
      <w:r w:rsidRPr="002F179C" w:rsidR="38A22C99">
        <w:rPr>
          <w:rFonts w:ascii="Book Antiqua" w:hAnsi="Book Antiqua" w:eastAsiaTheme="minorHAnsi" w:cstheme="minorBidi"/>
          <w:szCs w:val="22"/>
        </w:rPr>
        <w:t>specified in</w:t>
      </w:r>
      <w:r w:rsidRPr="002F179C" w:rsidR="55D69C4B">
        <w:rPr>
          <w:rFonts w:ascii="Book Antiqua" w:hAnsi="Book Antiqua" w:eastAsiaTheme="minorHAnsi" w:cstheme="minorBidi"/>
          <w:szCs w:val="22"/>
        </w:rPr>
        <w:t xml:space="preserve"> </w:t>
      </w:r>
      <w:r w:rsidRPr="002F179C" w:rsidR="00EF29DA">
        <w:rPr>
          <w:rFonts w:ascii="Book Antiqua" w:hAnsi="Book Antiqua" w:eastAsiaTheme="minorHAnsi" w:cstheme="minorBidi"/>
          <w:szCs w:val="22"/>
        </w:rPr>
        <w:t>Appendix 1</w:t>
      </w:r>
      <w:r w:rsidRPr="002F179C" w:rsidR="46E8A040">
        <w:rPr>
          <w:rFonts w:ascii="Book Antiqua" w:hAnsi="Book Antiqua" w:eastAsiaTheme="minorHAnsi" w:cstheme="minorBidi"/>
          <w:szCs w:val="22"/>
        </w:rPr>
        <w:t xml:space="preserve"> to assist Tribes</w:t>
      </w:r>
      <w:r w:rsidRPr="002F179C" w:rsidR="55D69C4B">
        <w:rPr>
          <w:rFonts w:ascii="Book Antiqua" w:hAnsi="Book Antiqua" w:eastAsiaTheme="minorHAnsi" w:cstheme="minorBidi"/>
          <w:szCs w:val="22"/>
        </w:rPr>
        <w:t>.</w:t>
      </w:r>
    </w:p>
    <w:p w:rsidRPr="002E3F71" w:rsidR="00322E8A" w:rsidP="00BB504D" w:rsidRDefault="75E36D27" w14:paraId="298FF016" w14:textId="1CC950B5">
      <w:pPr>
        <w:pStyle w:val="Heading1"/>
        <w:numPr>
          <w:ilvl w:val="0"/>
          <w:numId w:val="28"/>
        </w:numPr>
        <w:ind w:left="360"/>
      </w:pPr>
      <w:bookmarkStart w:name="_Toc43744770" w:id="29"/>
      <w:r w:rsidRPr="002E3F71">
        <w:t xml:space="preserve">Revisions to the </w:t>
      </w:r>
      <w:r w:rsidRPr="002E3F71" w:rsidR="7D0A28E1">
        <w:t xml:space="preserve">Public </w:t>
      </w:r>
      <w:r w:rsidR="008B1C77">
        <w:br/>
      </w:r>
      <w:r w:rsidRPr="002E3F71" w:rsidR="7D0A28E1">
        <w:t>Housing Account</w:t>
      </w:r>
      <w:bookmarkEnd w:id="29"/>
    </w:p>
    <w:p w:rsidRPr="00C20211" w:rsidR="00922B10" w:rsidP="00930B6C" w:rsidRDefault="3DBEF393" w14:paraId="6BA961F2" w14:textId="7CF9D9FC">
      <w:pPr>
        <w:pStyle w:val="Standard"/>
      </w:pPr>
      <w:r w:rsidRPr="00C20211">
        <w:t>In ACR Question 25, the Commission requested comments on Staff’s proposed modifications to the BPHA Application Requirements and Guidelines (</w:t>
      </w:r>
      <w:r w:rsidRPr="00C20211" w:rsidR="79AC1E5F">
        <w:t xml:space="preserve">ACR </w:t>
      </w:r>
      <w:r w:rsidRPr="00C20211">
        <w:t>Appendix</w:t>
      </w:r>
      <w:r w:rsidR="00180824">
        <w:t> </w:t>
      </w:r>
      <w:r w:rsidRPr="00C20211">
        <w:t xml:space="preserve">1).  The proposed modifications were </w:t>
      </w:r>
      <w:r w:rsidRPr="00C20211" w:rsidR="179AEAD0">
        <w:t>intended</w:t>
      </w:r>
      <w:r w:rsidRPr="00C20211">
        <w:t xml:space="preserve"> to clarify programmatic processes and procedures.</w:t>
      </w:r>
      <w:r w:rsidRPr="00C20211" w:rsidR="7D3088DD">
        <w:t xml:space="preserve">  Specifically, t</w:t>
      </w:r>
      <w:r w:rsidRPr="00C20211" w:rsidR="234FE0F6">
        <w:t>he statute states that o</w:t>
      </w:r>
      <w:r w:rsidRPr="00C20211" w:rsidR="286F4849">
        <w:t>nly unserved housing developments are eligible for grant funding.</w:t>
      </w:r>
      <w:r w:rsidRPr="00C20211" w:rsidR="001A7956">
        <w:rPr>
          <w:rStyle w:val="FootnoteReference"/>
        </w:rPr>
        <w:footnoteReference w:id="47"/>
      </w:r>
      <w:r w:rsidRPr="00C20211" w:rsidR="286F4849">
        <w:t xml:space="preserve">  </w:t>
      </w:r>
      <w:r w:rsidRPr="00C20211" w:rsidR="34070D93">
        <w:t xml:space="preserve">In </w:t>
      </w:r>
      <w:r w:rsidRPr="00C20211" w:rsidR="234FE0F6">
        <w:t>D.</w:t>
      </w:r>
      <w:r w:rsidRPr="00C20211" w:rsidR="397533BD">
        <w:t>1</w:t>
      </w:r>
      <w:r w:rsidRPr="00C20211" w:rsidR="7888DA46">
        <w:t>8-06-032</w:t>
      </w:r>
      <w:r w:rsidRPr="00C20211" w:rsidR="225FFEE4">
        <w:t>, the Commission</w:t>
      </w:r>
      <w:r w:rsidRPr="00C20211" w:rsidR="234FE0F6">
        <w:t xml:space="preserve"> further specifies that a housing unit is ‘not offered </w:t>
      </w:r>
      <w:r w:rsidRPr="00C20211" w:rsidR="234FE0F6">
        <w:lastRenderedPageBreak/>
        <w:t xml:space="preserve">broadband service’ if the unit does not have access to a commercially available broadband Internet service, such as Digital Subscriber Line (DSL), a cable modem, or another protocol, available at the unit.  </w:t>
      </w:r>
      <w:proofErr w:type="spellStart"/>
      <w:r w:rsidRPr="00C20211" w:rsidR="286F4849">
        <w:t>Staffproposed</w:t>
      </w:r>
      <w:proofErr w:type="spellEnd"/>
      <w:r w:rsidRPr="00C20211" w:rsidR="635DF86D">
        <w:t xml:space="preserve"> </w:t>
      </w:r>
      <w:r w:rsidRPr="00C20211" w:rsidR="7D3088DD">
        <w:t>that the definition of “not offered broadband internet” be modified to state that a housing unit is “not offered broadband internet” if an internet service provider (ISP) already provides access to all units on the property in question.</w:t>
      </w:r>
      <w:r w:rsidRPr="00C20211" w:rsidR="00322E8A">
        <w:rPr>
          <w:rStyle w:val="FootnoteReference"/>
        </w:rPr>
        <w:footnoteReference w:id="48"/>
      </w:r>
    </w:p>
    <w:p w:rsidRPr="00C20211" w:rsidR="00922B10" w:rsidP="00C96F56" w:rsidRDefault="00922B10" w14:paraId="3CAD099E" w14:textId="4176BB1C">
      <w:pPr>
        <w:pStyle w:val="Standard"/>
        <w:ind w:right="-720"/>
      </w:pPr>
      <w:r w:rsidRPr="00C20211">
        <w:t>No explicit challenge process is currently defined in D.18-06-032.</w:t>
      </w:r>
      <w:r w:rsidRPr="00C20211" w:rsidR="008F5A5C">
        <w:t xml:space="preserve">  </w:t>
      </w:r>
      <w:r w:rsidRPr="00C20211">
        <w:t>Staff</w:t>
      </w:r>
    </w:p>
    <w:p w:rsidRPr="00C20211" w:rsidR="00922B10" w:rsidP="00930B6C" w:rsidRDefault="00922B10" w14:paraId="5556B5C2" w14:textId="3A771E4A">
      <w:pPr>
        <w:pStyle w:val="Standard"/>
        <w:ind w:firstLine="0"/>
      </w:pPr>
      <w:r w:rsidRPr="00C20211">
        <w:t>propose</w:t>
      </w:r>
      <w:r w:rsidRPr="00C20211" w:rsidR="76A283A5">
        <w:t>d</w:t>
      </w:r>
      <w:r w:rsidRPr="00C20211">
        <w:t xml:space="preserve"> that a new challenge process be introduced to allow for an ISP to</w:t>
      </w:r>
    </w:p>
    <w:p w:rsidRPr="00C20211" w:rsidR="00922B10" w:rsidP="00930B6C" w:rsidRDefault="00922B10" w14:paraId="081CE27B" w14:textId="2D5B429D">
      <w:pPr>
        <w:pStyle w:val="Standard"/>
        <w:ind w:right="90" w:firstLine="0"/>
      </w:pPr>
      <w:r w:rsidRPr="00C20211">
        <w:t>challenge an application based on an ISP’s claim that it already serves 100</w:t>
      </w:r>
      <w:r w:rsidR="00930B6C">
        <w:t> </w:t>
      </w:r>
      <w:r w:rsidRPr="00C20211">
        <w:t xml:space="preserve">percent of the residents at the property or that an ISP was denied access to the property for the provision of broadband internet services.  </w:t>
      </w:r>
    </w:p>
    <w:p w:rsidRPr="00C20211" w:rsidR="00922B10" w:rsidP="00930B6C" w:rsidRDefault="00922B10" w14:paraId="504FE04E" w14:textId="1B0F606E">
      <w:pPr>
        <w:pStyle w:val="Standard"/>
        <w:ind w:right="-90"/>
      </w:pPr>
      <w:r w:rsidRPr="00C20211">
        <w:t>Additionally, Staff clarified and elaborated on the project submission and reporting</w:t>
      </w:r>
      <w:r w:rsidRPr="00C20211" w:rsidR="007C5F60">
        <w:t xml:space="preserve"> </w:t>
      </w:r>
      <w:r w:rsidRPr="00C20211">
        <w:t>requirements to better assist applicants in their project submission and in</w:t>
      </w:r>
      <w:r w:rsidRPr="00C20211" w:rsidR="007C5F60">
        <w:t xml:space="preserve"> </w:t>
      </w:r>
      <w:r w:rsidRPr="00C20211">
        <w:t>meeting their reporting requirements.</w:t>
      </w:r>
      <w:r w:rsidRPr="00C20211" w:rsidR="009B2F26">
        <w:t xml:space="preserve">  </w:t>
      </w:r>
      <w:r w:rsidRPr="00C20211" w:rsidR="2488C5FA">
        <w:t>Staff also made changes to BPHA Application Requirements and Guidelines (</w:t>
      </w:r>
      <w:r w:rsidRPr="00C20211" w:rsidR="00B23205">
        <w:t xml:space="preserve">ACR </w:t>
      </w:r>
      <w:r w:rsidRPr="00C20211" w:rsidR="2488C5FA">
        <w:t xml:space="preserve">Appendix 1) </w:t>
      </w:r>
      <w:proofErr w:type="gramStart"/>
      <w:r w:rsidRPr="00C20211" w:rsidR="2488C5FA">
        <w:t>in order t</w:t>
      </w:r>
      <w:r w:rsidRPr="00C20211" w:rsidR="55C4B5CD">
        <w:t>o</w:t>
      </w:r>
      <w:proofErr w:type="gramEnd"/>
      <w:r w:rsidRPr="00C20211" w:rsidR="55C4B5CD">
        <w:t xml:space="preserve"> clarify processes and procedures. </w:t>
      </w:r>
    </w:p>
    <w:p w:rsidRPr="00452BA6" w:rsidR="00322E8A" w:rsidP="00452BA6" w:rsidRDefault="00CF6BD3" w14:paraId="5A21DB1C" w14:textId="7BC99BDD">
      <w:pPr>
        <w:pStyle w:val="Heading2"/>
        <w:tabs>
          <w:tab w:val="clear" w:pos="1080"/>
        </w:tabs>
        <w:ind w:left="990" w:right="-720" w:hanging="630"/>
        <w:rPr>
          <w:rFonts w:ascii="Helvetica" w:hAnsi="Helvetica" w:cs="Helvetica"/>
        </w:rPr>
      </w:pPr>
      <w:bookmarkStart w:name="_Toc43744771" w:id="30"/>
      <w:r w:rsidRPr="00452BA6">
        <w:rPr>
          <w:rFonts w:ascii="Helvetica" w:hAnsi="Helvetica" w:cs="Helvetica"/>
        </w:rPr>
        <w:t>4.1</w:t>
      </w:r>
      <w:r w:rsidR="00452BA6">
        <w:rPr>
          <w:rFonts w:ascii="Helvetica" w:hAnsi="Helvetica" w:cs="Helvetica"/>
        </w:rPr>
        <w:t>.</w:t>
      </w:r>
      <w:r w:rsidRPr="00452BA6">
        <w:rPr>
          <w:rFonts w:ascii="Helvetica" w:hAnsi="Helvetica" w:cs="Helvetica"/>
        </w:rPr>
        <w:tab/>
      </w:r>
      <w:r w:rsidRPr="00452BA6" w:rsidR="00322E8A">
        <w:rPr>
          <w:rFonts w:ascii="Helvetica" w:hAnsi="Helvetica" w:cs="Helvetica"/>
        </w:rPr>
        <w:t xml:space="preserve">Parties’ Comments and </w:t>
      </w:r>
      <w:r w:rsidR="00623A62">
        <w:rPr>
          <w:rFonts w:ascii="Helvetica" w:hAnsi="Helvetica" w:cs="Helvetica"/>
        </w:rPr>
        <w:br/>
      </w:r>
      <w:r w:rsidRPr="00452BA6" w:rsidR="00322E8A">
        <w:rPr>
          <w:rFonts w:ascii="Helvetica" w:hAnsi="Helvetica" w:cs="Helvetica"/>
        </w:rPr>
        <w:t>Reply Comments</w:t>
      </w:r>
      <w:bookmarkEnd w:id="30"/>
    </w:p>
    <w:p w:rsidRPr="00C20211" w:rsidR="00322E8A" w:rsidP="00196DE4" w:rsidRDefault="3DBEF393" w14:paraId="45B1C306" w14:textId="5039DBC4">
      <w:pPr>
        <w:pStyle w:val="Standard"/>
        <w:ind w:right="-90"/>
      </w:pPr>
      <w:r w:rsidRPr="00C20211">
        <w:t>Only three parties provided opening and</w:t>
      </w:r>
      <w:r w:rsidRPr="00C20211" w:rsidR="234FE0F6">
        <w:t>/or</w:t>
      </w:r>
      <w:r w:rsidRPr="00C20211">
        <w:t xml:space="preserve"> reply comments </w:t>
      </w:r>
      <w:r w:rsidR="000D364F">
        <w:t>to</w:t>
      </w:r>
      <w:r w:rsidRPr="00C20211" w:rsidR="286F4849">
        <w:t xml:space="preserve"> Question 25</w:t>
      </w:r>
      <w:r w:rsidRPr="00C20211">
        <w:t>.</w:t>
      </w:r>
      <w:r w:rsidRPr="00C20211" w:rsidR="00322E8A">
        <w:rPr>
          <w:rStyle w:val="FootnoteReference"/>
        </w:rPr>
        <w:footnoteReference w:id="49"/>
      </w:r>
      <w:r w:rsidRPr="00C20211" w:rsidR="11B11243">
        <w:t xml:space="preserve">  CCTA stated </w:t>
      </w:r>
      <w:r w:rsidRPr="00C20211" w:rsidR="0B34817E">
        <w:t xml:space="preserve">concerns with both the process and substance of the </w:t>
      </w:r>
      <w:r w:rsidRPr="00C20211" w:rsidR="21127CA5">
        <w:t>proposed changes to the BPHA requirements and guidelines document</w:t>
      </w:r>
      <w:r w:rsidRPr="00C20211" w:rsidR="721B34FB">
        <w:t xml:space="preserve">, stating that that there was ”lack of adequate notice in the Ruling </w:t>
      </w:r>
      <w:r w:rsidRPr="00C20211" w:rsidR="366C524C">
        <w:t>as to the background and rationale for the proposed changes</w:t>
      </w:r>
      <w:r w:rsidRPr="00C20211" w:rsidR="21127CA5">
        <w:t>.</w:t>
      </w:r>
      <w:r w:rsidRPr="00C20211" w:rsidR="674E4E66">
        <w:t>“</w:t>
      </w:r>
      <w:r w:rsidRPr="00C20211" w:rsidR="00322E8A">
        <w:rPr>
          <w:rStyle w:val="FootnoteReference"/>
          <w:rFonts w:eastAsiaTheme="minorEastAsia"/>
        </w:rPr>
        <w:footnoteReference w:id="50"/>
      </w:r>
      <w:r w:rsidRPr="00C20211" w:rsidR="23A15536">
        <w:rPr>
          <w:rStyle w:val="FootnoteReference"/>
          <w:rFonts w:eastAsiaTheme="minorEastAsia"/>
        </w:rPr>
        <w:t xml:space="preserve"> </w:t>
      </w:r>
      <w:r w:rsidRPr="00C20211" w:rsidR="23A15536">
        <w:t xml:space="preserve"> </w:t>
      </w:r>
      <w:r w:rsidRPr="00C20211" w:rsidR="0CC6C65F">
        <w:t>I</w:t>
      </w:r>
      <w:r w:rsidRPr="00C20211" w:rsidR="2E8E6D49">
        <w:t>n its</w:t>
      </w:r>
      <w:r w:rsidRPr="00C20211" w:rsidR="0CC6C65F">
        <w:t xml:space="preserve"> reply comments and referring to </w:t>
      </w:r>
      <w:r w:rsidRPr="00C20211" w:rsidR="0CC6C65F">
        <w:lastRenderedPageBreak/>
        <w:t>CCTA’s comments,</w:t>
      </w:r>
      <w:r w:rsidRPr="00C20211" w:rsidR="11B11243">
        <w:t xml:space="preserve"> </w:t>
      </w:r>
      <w:r w:rsidRPr="00C20211">
        <w:t xml:space="preserve">TURN stated that the provided material </w:t>
      </w:r>
      <w:r w:rsidRPr="00C20211" w:rsidR="3C29CB6C">
        <w:t>(</w:t>
      </w:r>
      <w:r w:rsidRPr="00C20211" w:rsidR="6AF98158">
        <w:t xml:space="preserve">ACR </w:t>
      </w:r>
      <w:r w:rsidRPr="00C20211" w:rsidR="44FB7CD4">
        <w:t>Appendix 1</w:t>
      </w:r>
      <w:r w:rsidRPr="00C20211" w:rsidR="105AE994">
        <w:t>)</w:t>
      </w:r>
      <w:r w:rsidR="00196DE4">
        <w:t> </w:t>
      </w:r>
      <w:r w:rsidRPr="00C20211">
        <w:t>“did not provide</w:t>
      </w:r>
      <w:r w:rsidRPr="00C20211">
        <w:rPr>
          <w:rFonts w:eastAsiaTheme="minorEastAsia"/>
        </w:rPr>
        <w:t xml:space="preserve"> enough </w:t>
      </w:r>
      <w:r w:rsidRPr="00C20211">
        <w:t>information</w:t>
      </w:r>
      <w:r w:rsidRPr="00C20211">
        <w:rPr>
          <w:rFonts w:eastAsiaTheme="minorEastAsia"/>
        </w:rPr>
        <w:t xml:space="preserve"> for</w:t>
      </w:r>
      <w:r w:rsidRPr="00C20211">
        <w:t xml:space="preserve"> parties to provide meaningful comment on the proposed changes.”</w:t>
      </w:r>
      <w:r w:rsidRPr="00C20211" w:rsidR="00322E8A">
        <w:rPr>
          <w:rStyle w:val="FootnoteReference"/>
          <w:rFonts w:eastAsiaTheme="minorEastAsia"/>
        </w:rPr>
        <w:footnoteReference w:id="51"/>
      </w:r>
      <w:r w:rsidRPr="00C20211" w:rsidR="1DB2F492">
        <w:t xml:space="preserve">  </w:t>
      </w:r>
      <w:r w:rsidRPr="00C20211" w:rsidR="2EE98A0B">
        <w:t>CCTA</w:t>
      </w:r>
      <w:r w:rsidRPr="00C20211" w:rsidR="3D9DCC81">
        <w:t xml:space="preserve"> also</w:t>
      </w:r>
      <w:r w:rsidRPr="00C20211" w:rsidR="2EE98A0B">
        <w:t xml:space="preserve"> stated that the changes to the term “unserved housing development” are substantive and does not follow the intent of SB 745.</w:t>
      </w:r>
      <w:r w:rsidRPr="00C20211" w:rsidR="00322E8A">
        <w:rPr>
          <w:rStyle w:val="FootnoteReference"/>
          <w:rFonts w:eastAsiaTheme="minorEastAsia"/>
        </w:rPr>
        <w:footnoteReference w:id="52"/>
      </w:r>
      <w:r w:rsidRPr="00C20211" w:rsidR="1DB2F492">
        <w:t xml:space="preserve">  </w:t>
      </w:r>
      <w:r w:rsidRPr="00C20211" w:rsidR="0EB2B8EF">
        <w:t>CCTA raised a related issue o</w:t>
      </w:r>
      <w:r w:rsidRPr="00C20211" w:rsidR="36FC83B7">
        <w:t>f CASF funding for unbuilt public housing units</w:t>
      </w:r>
      <w:r w:rsidRPr="00C20211" w:rsidR="612626B1">
        <w:t>, stating that such funding is not in accordance with statue.</w:t>
      </w:r>
      <w:r w:rsidRPr="00C20211" w:rsidR="00322E8A">
        <w:rPr>
          <w:rStyle w:val="FootnoteReference"/>
          <w:rFonts w:eastAsiaTheme="minorEastAsia"/>
        </w:rPr>
        <w:footnoteReference w:id="53"/>
      </w:r>
      <w:r w:rsidRPr="00C20211" w:rsidR="612626B1">
        <w:rPr>
          <w:rStyle w:val="FootnoteReference"/>
          <w:rFonts w:eastAsiaTheme="minorEastAsia"/>
        </w:rPr>
        <w:t xml:space="preserve"> </w:t>
      </w:r>
      <w:r w:rsidRPr="00C20211" w:rsidR="612626B1">
        <w:t xml:space="preserve"> </w:t>
      </w:r>
      <w:r w:rsidRPr="00C20211" w:rsidR="46247D29">
        <w:t xml:space="preserve"> </w:t>
      </w:r>
    </w:p>
    <w:p w:rsidR="00322E8A" w:rsidP="00196DE4" w:rsidRDefault="3DBEF393" w14:paraId="0191025E" w14:textId="2789A1E7">
      <w:pPr>
        <w:pStyle w:val="Standard"/>
        <w:ind w:right="-90"/>
      </w:pPr>
      <w:r w:rsidRPr="00C20211">
        <w:t xml:space="preserve">CETF </w:t>
      </w:r>
      <w:r w:rsidRPr="00C20211" w:rsidR="11B11243">
        <w:t xml:space="preserve">supported </w:t>
      </w:r>
      <w:r w:rsidRPr="00C20211">
        <w:t>the proposed changes and encouraged the Commission and Staff to do whatever is necessary to use the remaining funds in the BPHA “in a manner that is consistent with spirit and intent of AB</w:t>
      </w:r>
      <w:r w:rsidR="00623A62">
        <w:t xml:space="preserve"> </w:t>
      </w:r>
      <w:r w:rsidRPr="00C20211">
        <w:t xml:space="preserve">1299.”  </w:t>
      </w:r>
      <w:r w:rsidRPr="00C20211" w:rsidR="4C3CCAEA">
        <w:t xml:space="preserve">CETF </w:t>
      </w:r>
      <w:r w:rsidRPr="00C20211" w:rsidR="1E6B62A1">
        <w:t>recommended that the Commission issue</w:t>
      </w:r>
      <w:r w:rsidRPr="00C20211" w:rsidR="45DF3B44">
        <w:t xml:space="preserve"> declarative findings regarding the lack of </w:t>
      </w:r>
      <w:r w:rsidRPr="00C20211" w:rsidR="1EAE91FD">
        <w:t xml:space="preserve">progress in improving broadband Internet connectivity in public housing </w:t>
      </w:r>
      <w:r w:rsidRPr="00C20211" w:rsidR="243A51AA">
        <w:t>since the passage of AB 166</w:t>
      </w:r>
      <w:r w:rsidRPr="00C20211" w:rsidR="2B58322D">
        <w:t xml:space="preserve">5 in 2017 </w:t>
      </w:r>
      <w:r w:rsidRPr="00C20211" w:rsidR="1EAE91FD">
        <w:t xml:space="preserve">and to declare </w:t>
      </w:r>
      <w:r w:rsidRPr="00C20211" w:rsidR="1BA17F74">
        <w:t xml:space="preserve">to be unserved public housing locations which do not have </w:t>
      </w:r>
      <w:r w:rsidRPr="00C20211" w:rsidR="23A15536">
        <w:t>“</w:t>
      </w:r>
      <w:r w:rsidRPr="00C20211" w:rsidR="1BA17F74">
        <w:t>available Internet connectivity in every unit.</w:t>
      </w:r>
      <w:r w:rsidRPr="00C20211" w:rsidR="23A15536">
        <w:t>”</w:t>
      </w:r>
      <w:r w:rsidRPr="00C20211" w:rsidR="1BA17F74">
        <w:t xml:space="preserve">  </w:t>
      </w:r>
      <w:r w:rsidRPr="00C20211" w:rsidR="001D915B">
        <w:t xml:space="preserve">CETF further recommended that the Commission reactivate applications that </w:t>
      </w:r>
      <w:r w:rsidRPr="00C20211" w:rsidR="23A15536">
        <w:t>“</w:t>
      </w:r>
      <w:r w:rsidRPr="00C20211" w:rsidR="001D915B">
        <w:t>were pending in 2017</w:t>
      </w:r>
      <w:r w:rsidRPr="00C20211" w:rsidR="23A15536">
        <w:t xml:space="preserve">” </w:t>
      </w:r>
      <w:r w:rsidRPr="00C20211" w:rsidR="269903FA">
        <w:t xml:space="preserve">when AB 1665 went into effect. </w:t>
      </w:r>
      <w:r w:rsidRPr="00C20211" w:rsidR="00322E8A">
        <w:rPr>
          <w:rStyle w:val="FootnoteReference"/>
        </w:rPr>
        <w:footnoteReference w:id="54"/>
      </w:r>
      <w:r w:rsidRPr="00C20211" w:rsidR="269903FA">
        <w:t xml:space="preserve"> CCTA rejected CETF’s proposed </w:t>
      </w:r>
      <w:r w:rsidRPr="00C20211" w:rsidR="112F713D">
        <w:t>requests for such findings to be made and question</w:t>
      </w:r>
      <w:r w:rsidRPr="00C20211" w:rsidR="4912C383">
        <w:t>ed</w:t>
      </w:r>
      <w:r w:rsidRPr="00C20211" w:rsidR="112F713D">
        <w:t xml:space="preserve"> CETF’s reasoning for doing so.</w:t>
      </w:r>
      <w:r w:rsidRPr="00C20211" w:rsidR="00322E8A">
        <w:rPr>
          <w:rStyle w:val="FootnoteReference"/>
          <w:rFonts w:eastAsiaTheme="minorEastAsia"/>
        </w:rPr>
        <w:footnoteReference w:id="55"/>
      </w:r>
    </w:p>
    <w:p w:rsidRPr="007A5DC8" w:rsidR="00322E8A" w:rsidP="007A5DC8" w:rsidRDefault="00CF6BD3" w14:paraId="34C845C6" w14:textId="572D404C">
      <w:pPr>
        <w:pStyle w:val="Heading2"/>
        <w:tabs>
          <w:tab w:val="clear" w:pos="1080"/>
        </w:tabs>
        <w:ind w:left="990" w:right="-720" w:hanging="630"/>
        <w:rPr>
          <w:rFonts w:ascii="Helvetica" w:hAnsi="Helvetica" w:cs="Helvetica"/>
        </w:rPr>
      </w:pPr>
      <w:bookmarkStart w:name="_Toc43744772" w:id="31"/>
      <w:r w:rsidRPr="007A5DC8">
        <w:rPr>
          <w:rFonts w:ascii="Helvetica" w:hAnsi="Helvetica" w:cs="Helvetica"/>
        </w:rPr>
        <w:t>4.2</w:t>
      </w:r>
      <w:r w:rsidR="00642838">
        <w:rPr>
          <w:rFonts w:ascii="Helvetica" w:hAnsi="Helvetica" w:cs="Helvetica"/>
        </w:rPr>
        <w:t>.</w:t>
      </w:r>
      <w:r w:rsidRPr="007A5DC8">
        <w:rPr>
          <w:rFonts w:ascii="Helvetica" w:hAnsi="Helvetica" w:cs="Helvetica"/>
        </w:rPr>
        <w:tab/>
      </w:r>
      <w:r w:rsidRPr="007A5DC8" w:rsidR="00322E8A">
        <w:rPr>
          <w:rFonts w:ascii="Helvetica" w:hAnsi="Helvetica" w:cs="Helvetica"/>
        </w:rPr>
        <w:t>Discussion</w:t>
      </w:r>
      <w:bookmarkEnd w:id="31"/>
    </w:p>
    <w:p w:rsidRPr="00C20211" w:rsidR="1BB0571C" w:rsidP="00196DE4" w:rsidRDefault="33C796F9" w14:paraId="3A8A261F" w14:textId="2AAB5989">
      <w:r w:rsidRPr="00C20211">
        <w:t xml:space="preserve">We disagree with CCTA and TURN </w:t>
      </w:r>
      <w:r w:rsidRPr="00C20211" w:rsidR="18C2F004">
        <w:t>concerning proces</w:t>
      </w:r>
      <w:r w:rsidRPr="00C20211" w:rsidR="183E6FB0">
        <w:t>s</w:t>
      </w:r>
      <w:r w:rsidRPr="00C20211" w:rsidR="55F6070C">
        <w:t xml:space="preserve"> and the substance of the proposed changes</w:t>
      </w:r>
      <w:r w:rsidRPr="00C20211" w:rsidR="183E6FB0">
        <w:t>.</w:t>
      </w:r>
      <w:r w:rsidRPr="00C20211" w:rsidR="00FF46D0">
        <w:t xml:space="preserve">  </w:t>
      </w:r>
      <w:r w:rsidRPr="00C20211" w:rsidR="5849AE1A">
        <w:rPr>
          <w:rFonts w:eastAsia="Palatino Linotype" w:cs="Palatino Linotype"/>
          <w:color w:val="000000" w:themeColor="text1"/>
        </w:rPr>
        <w:t>Parties were provided sufficient information to allow parties to consider the proposed revisions and comment.</w:t>
      </w:r>
      <w:r w:rsidRPr="00C20211" w:rsidR="00FF46D0">
        <w:rPr>
          <w:rFonts w:eastAsia="Palatino Linotype" w:cs="Palatino Linotype"/>
          <w:color w:val="000000" w:themeColor="text1"/>
        </w:rPr>
        <w:t xml:space="preserve">  </w:t>
      </w:r>
      <w:r w:rsidRPr="00C20211" w:rsidR="5849AE1A">
        <w:rPr>
          <w:rFonts w:eastAsia="Palatino Linotype" w:cs="Palatino Linotype"/>
          <w:color w:val="000000" w:themeColor="text1"/>
        </w:rPr>
        <w:t xml:space="preserve">For example, pages </w:t>
      </w:r>
      <w:r w:rsidRPr="00C20211" w:rsidR="3D3AE7A0">
        <w:rPr>
          <w:rFonts w:eastAsia="Palatino Linotype" w:cs="Palatino Linotype"/>
          <w:color w:val="000000" w:themeColor="text1"/>
        </w:rPr>
        <w:t>15</w:t>
      </w:r>
      <w:r w:rsidRPr="00C20211" w:rsidR="5849AE1A">
        <w:rPr>
          <w:rFonts w:eastAsia="Palatino Linotype" w:cs="Palatino Linotype"/>
          <w:color w:val="000000" w:themeColor="text1"/>
        </w:rPr>
        <w:t xml:space="preserve"> </w:t>
      </w:r>
      <w:r w:rsidRPr="00C20211" w:rsidR="5849AE1A">
        <w:rPr>
          <w:rFonts w:eastAsia="Palatino Linotype" w:cs="Palatino Linotype"/>
          <w:color w:val="000000" w:themeColor="text1"/>
        </w:rPr>
        <w:lastRenderedPageBreak/>
        <w:t xml:space="preserve">and </w:t>
      </w:r>
      <w:r w:rsidRPr="00C20211" w:rsidR="5EFE76C0">
        <w:rPr>
          <w:rFonts w:eastAsia="Palatino Linotype" w:cs="Palatino Linotype"/>
          <w:color w:val="000000" w:themeColor="text1"/>
        </w:rPr>
        <w:t>16</w:t>
      </w:r>
      <w:r w:rsidRPr="00C20211" w:rsidR="5849AE1A">
        <w:rPr>
          <w:rFonts w:eastAsia="Palatino Linotype" w:cs="Palatino Linotype"/>
          <w:color w:val="000000" w:themeColor="text1"/>
        </w:rPr>
        <w:t xml:space="preserve"> </w:t>
      </w:r>
      <w:r w:rsidRPr="00C20211" w:rsidR="009B2F26">
        <w:rPr>
          <w:rFonts w:eastAsia="Palatino Linotype" w:cs="Palatino Linotype"/>
          <w:color w:val="000000" w:themeColor="text1"/>
        </w:rPr>
        <w:t xml:space="preserve">of the ACR </w:t>
      </w:r>
      <w:r w:rsidRPr="00C20211" w:rsidR="5849AE1A">
        <w:rPr>
          <w:rFonts w:eastAsia="Palatino Linotype" w:cs="Palatino Linotype"/>
          <w:color w:val="000000" w:themeColor="text1"/>
        </w:rPr>
        <w:t>discuss the proposed modifications and clarifications to the BPHA Application Requirements and Guidelines and sought input on these changes.</w:t>
      </w:r>
      <w:r w:rsidRPr="00C20211" w:rsidR="004756F4">
        <w:rPr>
          <w:rFonts w:eastAsia="Palatino Linotype" w:cs="Palatino Linotype"/>
          <w:color w:val="000000" w:themeColor="text1"/>
        </w:rPr>
        <w:t xml:space="preserve">  </w:t>
      </w:r>
      <w:r w:rsidRPr="00C20211" w:rsidR="5495BC32">
        <w:rPr>
          <w:rFonts w:eastAsia="Palatino Linotype" w:cs="Palatino Linotype"/>
          <w:color w:val="000000" w:themeColor="text1"/>
        </w:rPr>
        <w:t>TURN request</w:t>
      </w:r>
      <w:r w:rsidRPr="00C20211" w:rsidR="009B2F26">
        <w:rPr>
          <w:rFonts w:eastAsia="Palatino Linotype" w:cs="Palatino Linotype"/>
          <w:color w:val="000000" w:themeColor="text1"/>
        </w:rPr>
        <w:t>ed</w:t>
      </w:r>
      <w:r w:rsidRPr="00C20211" w:rsidR="5495BC32">
        <w:rPr>
          <w:rFonts w:eastAsia="Palatino Linotype" w:cs="Palatino Linotype"/>
          <w:color w:val="000000" w:themeColor="text1"/>
        </w:rPr>
        <w:t xml:space="preserve"> additional information on the current challenge process </w:t>
      </w:r>
      <w:proofErr w:type="gramStart"/>
      <w:r w:rsidRPr="00C20211" w:rsidR="5495BC32">
        <w:rPr>
          <w:rFonts w:eastAsia="Palatino Linotype" w:cs="Palatino Linotype"/>
          <w:color w:val="000000" w:themeColor="text1"/>
        </w:rPr>
        <w:t>in order to</w:t>
      </w:r>
      <w:proofErr w:type="gramEnd"/>
      <w:r w:rsidRPr="00C20211" w:rsidR="5495BC32">
        <w:rPr>
          <w:rFonts w:eastAsia="Palatino Linotype" w:cs="Palatino Linotype"/>
          <w:color w:val="000000" w:themeColor="text1"/>
        </w:rPr>
        <w:t xml:space="preserve"> provide meaningful comment</w:t>
      </w:r>
      <w:r w:rsidRPr="00C20211" w:rsidR="050F552D">
        <w:rPr>
          <w:rFonts w:eastAsia="Palatino Linotype" w:cs="Palatino Linotype"/>
          <w:color w:val="000000" w:themeColor="text1"/>
        </w:rPr>
        <w:t>.</w:t>
      </w:r>
      <w:r w:rsidRPr="00C20211" w:rsidR="00012F78">
        <w:rPr>
          <w:rFonts w:eastAsia="Palatino Linotype" w:cs="Palatino Linotype"/>
          <w:color w:val="000000" w:themeColor="text1"/>
        </w:rPr>
        <w:t xml:space="preserve">  </w:t>
      </w:r>
      <w:r w:rsidRPr="00C20211" w:rsidR="11FD9D42">
        <w:rPr>
          <w:rFonts w:eastAsia="Palatino Linotype" w:cs="Palatino Linotype"/>
          <w:color w:val="000000" w:themeColor="text1"/>
        </w:rPr>
        <w:t xml:space="preserve">We </w:t>
      </w:r>
      <w:r w:rsidRPr="00C20211" w:rsidR="1AEBD5BE">
        <w:rPr>
          <w:rFonts w:eastAsia="Palatino Linotype" w:cs="Palatino Linotype"/>
          <w:color w:val="000000" w:themeColor="text1"/>
        </w:rPr>
        <w:t xml:space="preserve">do not </w:t>
      </w:r>
      <w:r w:rsidRPr="00C20211" w:rsidR="11FD9D42">
        <w:rPr>
          <w:rFonts w:eastAsia="Palatino Linotype" w:cs="Palatino Linotype"/>
          <w:color w:val="000000" w:themeColor="text1"/>
        </w:rPr>
        <w:t xml:space="preserve">find this request </w:t>
      </w:r>
      <w:r w:rsidRPr="00C20211" w:rsidR="5A891DC3">
        <w:rPr>
          <w:rFonts w:eastAsia="Palatino Linotype" w:cs="Palatino Linotype"/>
          <w:color w:val="000000" w:themeColor="text1"/>
        </w:rPr>
        <w:t>useful</w:t>
      </w:r>
      <w:r w:rsidRPr="00C20211" w:rsidR="11FD9D42">
        <w:rPr>
          <w:rFonts w:eastAsia="Palatino Linotype" w:cs="Palatino Linotype"/>
          <w:color w:val="000000" w:themeColor="text1"/>
        </w:rPr>
        <w:t xml:space="preserve"> given that we stated </w:t>
      </w:r>
      <w:r w:rsidRPr="00C20211" w:rsidR="2C7ACE71">
        <w:rPr>
          <w:rFonts w:eastAsia="Palatino Linotype" w:cs="Palatino Linotype"/>
          <w:color w:val="000000" w:themeColor="text1"/>
        </w:rPr>
        <w:t xml:space="preserve">in the ACR </w:t>
      </w:r>
      <w:r w:rsidRPr="00C20211" w:rsidR="087C3678">
        <w:rPr>
          <w:rFonts w:eastAsia="Palatino Linotype" w:cs="Palatino Linotype"/>
          <w:color w:val="000000" w:themeColor="text1"/>
        </w:rPr>
        <w:t>that there is no explicit challenge process.</w:t>
      </w:r>
      <w:r w:rsidRPr="00C20211" w:rsidR="00012F78">
        <w:rPr>
          <w:rFonts w:eastAsia="Palatino Linotype" w:cs="Palatino Linotype"/>
          <w:color w:val="000000" w:themeColor="text1"/>
        </w:rPr>
        <w:t xml:space="preserve">  </w:t>
      </w:r>
      <w:r w:rsidRPr="00C20211" w:rsidR="233C8F17">
        <w:rPr>
          <w:rFonts w:eastAsia="Palatino Linotype" w:cs="Palatino Linotype"/>
          <w:color w:val="000000" w:themeColor="text1"/>
        </w:rPr>
        <w:t>In addition, a</w:t>
      </w:r>
      <w:r w:rsidRPr="00C20211" w:rsidR="7CB626B5">
        <w:rPr>
          <w:rFonts w:eastAsia="Palatino Linotype" w:cs="Palatino Linotype"/>
          <w:color w:val="000000" w:themeColor="text1"/>
        </w:rPr>
        <w:t xml:space="preserve">ll </w:t>
      </w:r>
      <w:r w:rsidRPr="00C20211" w:rsidR="49556E41">
        <w:rPr>
          <w:rFonts w:eastAsia="Palatino Linotype" w:cs="Palatino Linotype"/>
          <w:color w:val="000000" w:themeColor="text1"/>
        </w:rPr>
        <w:t>p</w:t>
      </w:r>
      <w:r w:rsidRPr="00C20211" w:rsidR="7CB626B5">
        <w:rPr>
          <w:rFonts w:eastAsia="Palatino Linotype" w:cs="Palatino Linotype"/>
          <w:color w:val="000000" w:themeColor="text1"/>
        </w:rPr>
        <w:t>arties were given 20 days to comment on the ACR</w:t>
      </w:r>
      <w:r w:rsidRPr="00C20211" w:rsidR="00D10390">
        <w:rPr>
          <w:rFonts w:eastAsia="Palatino Linotype" w:cs="Palatino Linotype"/>
          <w:color w:val="000000" w:themeColor="text1"/>
        </w:rPr>
        <w:t xml:space="preserve">.  </w:t>
      </w:r>
      <w:r w:rsidRPr="00C20211" w:rsidR="7CB626B5">
        <w:rPr>
          <w:rFonts w:eastAsia="Palatino Linotype" w:cs="Palatino Linotype"/>
          <w:color w:val="000000" w:themeColor="text1"/>
        </w:rPr>
        <w:t>CCTA waited 11 days post issuance of the ACR to request a redline version</w:t>
      </w:r>
      <w:r w:rsidRPr="00C20211" w:rsidR="07507078">
        <w:rPr>
          <w:rFonts w:eastAsia="Palatino Linotype" w:cs="Palatino Linotype"/>
          <w:color w:val="000000" w:themeColor="text1"/>
        </w:rPr>
        <w:t xml:space="preserve"> of </w:t>
      </w:r>
      <w:r w:rsidRPr="00C20211" w:rsidR="00B23205">
        <w:rPr>
          <w:rFonts w:eastAsia="Palatino Linotype" w:cs="Palatino Linotype"/>
          <w:color w:val="000000" w:themeColor="text1"/>
        </w:rPr>
        <w:t xml:space="preserve">ACR </w:t>
      </w:r>
      <w:r w:rsidRPr="00C20211" w:rsidR="07507078">
        <w:rPr>
          <w:rFonts w:eastAsia="Palatino Linotype" w:cs="Palatino Linotype"/>
          <w:color w:val="000000" w:themeColor="text1"/>
        </w:rPr>
        <w:t>Appendix 1</w:t>
      </w:r>
      <w:r w:rsidRPr="00C20211" w:rsidR="7CB626B5">
        <w:rPr>
          <w:rFonts w:eastAsia="Palatino Linotype" w:cs="Palatino Linotype"/>
          <w:color w:val="000000" w:themeColor="text1"/>
        </w:rPr>
        <w:t>.</w:t>
      </w:r>
      <w:r w:rsidRPr="00C20211" w:rsidR="004756F4">
        <w:rPr>
          <w:rFonts w:eastAsia="Palatino Linotype" w:cs="Palatino Linotype"/>
          <w:color w:val="000000" w:themeColor="text1"/>
        </w:rPr>
        <w:t xml:space="preserve">  </w:t>
      </w:r>
      <w:r w:rsidRPr="00C20211" w:rsidR="4B943721">
        <w:rPr>
          <w:rFonts w:eastAsia="Palatino Linotype" w:cs="Palatino Linotype"/>
          <w:color w:val="000000" w:themeColor="text1"/>
        </w:rPr>
        <w:t xml:space="preserve">While the Commission is not legally required to provide a redline version of proposed revisions, </w:t>
      </w:r>
      <w:r w:rsidRPr="00C20211" w:rsidR="7CB626B5">
        <w:rPr>
          <w:rFonts w:eastAsia="Palatino Linotype" w:cs="Palatino Linotype"/>
          <w:color w:val="000000" w:themeColor="text1"/>
        </w:rPr>
        <w:t>CD promptly complied with CCTAs request and provided a redline version one day after receiving the request.</w:t>
      </w:r>
      <w:r w:rsidRPr="00C20211" w:rsidR="00012F78">
        <w:rPr>
          <w:rFonts w:eastAsia="Palatino Linotype" w:cs="Palatino Linotype"/>
          <w:color w:val="000000" w:themeColor="text1"/>
        </w:rPr>
        <w:t xml:space="preserve">  </w:t>
      </w:r>
      <w:r w:rsidRPr="00C20211" w:rsidR="7CB626B5">
        <w:rPr>
          <w:rFonts w:eastAsia="Palatino Linotype" w:cs="Palatino Linotype"/>
          <w:color w:val="000000" w:themeColor="text1"/>
        </w:rPr>
        <w:t>As such,</w:t>
      </w:r>
      <w:r w:rsidRPr="00C20211" w:rsidR="734D1698">
        <w:rPr>
          <w:rFonts w:eastAsia="Palatino Linotype" w:cs="Palatino Linotype"/>
          <w:color w:val="000000" w:themeColor="text1"/>
        </w:rPr>
        <w:t xml:space="preserve"> parties</w:t>
      </w:r>
      <w:r w:rsidRPr="00C20211" w:rsidR="7CB626B5">
        <w:rPr>
          <w:rFonts w:eastAsia="Palatino Linotype" w:cs="Palatino Linotype"/>
          <w:color w:val="000000" w:themeColor="text1"/>
        </w:rPr>
        <w:t xml:space="preserve"> had an opportunity to comment on the proposed revisions and due process was met.</w:t>
      </w:r>
      <w:r w:rsidRPr="00C20211" w:rsidR="5ED89CA6">
        <w:rPr>
          <w:rFonts w:eastAsia="Palatino Linotype" w:cs="Palatino Linotype"/>
          <w:color w:val="000000" w:themeColor="text1"/>
        </w:rPr>
        <w:t xml:space="preserve"> </w:t>
      </w:r>
    </w:p>
    <w:p w:rsidRPr="00C20211" w:rsidR="00597338" w:rsidP="00196DE4" w:rsidRDefault="11B11243" w14:paraId="1401AE12" w14:textId="1F38B5A5">
      <w:pPr>
        <w:rPr>
          <w:rFonts w:eastAsia="Times New Roman"/>
        </w:rPr>
      </w:pPr>
      <w:r w:rsidRPr="00C20211">
        <w:t xml:space="preserve">We disagree with the CCTA because the proposed changes to the term “unserved housing development” are not substantive and follows the intent of SB 745.   </w:t>
      </w:r>
      <w:r w:rsidRPr="00C20211">
        <w:rPr>
          <w:rFonts w:eastAsia="Times New Roman"/>
        </w:rPr>
        <w:t xml:space="preserve">In its comments, CCTA conflates the term access with subscription by stating, “The current rules, as required by SB 745, focus on whether an existing provider already </w:t>
      </w:r>
      <w:r w:rsidRPr="00C20211">
        <w:rPr>
          <w:rFonts w:eastAsia="Times New Roman"/>
          <w:i/>
          <w:iCs/>
        </w:rPr>
        <w:t>offers</w:t>
      </w:r>
      <w:r w:rsidRPr="00C20211">
        <w:rPr>
          <w:rFonts w:eastAsia="Times New Roman"/>
        </w:rPr>
        <w:t xml:space="preserve"> broadband services to all units of a public housing development, not whether every unit in the development already </w:t>
      </w:r>
      <w:r w:rsidRPr="00C20211">
        <w:rPr>
          <w:rFonts w:eastAsia="Times New Roman"/>
          <w:i/>
          <w:iCs/>
        </w:rPr>
        <w:t>subscribes</w:t>
      </w:r>
      <w:r w:rsidRPr="00C20211">
        <w:rPr>
          <w:rFonts w:eastAsia="Times New Roman"/>
        </w:rPr>
        <w:t xml:space="preserve"> to that service offering.”</w:t>
      </w:r>
      <w:r w:rsidRPr="00C20211" w:rsidR="007C5F60">
        <w:rPr>
          <w:rStyle w:val="FootnoteReference"/>
          <w:rFonts w:eastAsia="Times New Roman"/>
        </w:rPr>
        <w:footnoteReference w:id="56"/>
      </w:r>
      <w:r w:rsidRPr="00C20211">
        <w:rPr>
          <w:rFonts w:eastAsia="Times New Roman"/>
        </w:rPr>
        <w:t xml:space="preserve">  When we state that an ISP already provides access to all units, it does not mean that the residents in the units subscribe to that service. </w:t>
      </w:r>
      <w:r w:rsidRPr="00C20211" w:rsidR="5E4573E0">
        <w:rPr>
          <w:rFonts w:eastAsia="Times New Roman"/>
        </w:rPr>
        <w:t xml:space="preserve"> In </w:t>
      </w:r>
      <w:r w:rsidRPr="00C20211" w:rsidR="1D594261">
        <w:rPr>
          <w:rFonts w:eastAsia="Times New Roman"/>
        </w:rPr>
        <w:t>response to CCTA‘s comments</w:t>
      </w:r>
      <w:r w:rsidRPr="00C20211" w:rsidR="2F96FEF4">
        <w:rPr>
          <w:rFonts w:eastAsia="Times New Roman"/>
        </w:rPr>
        <w:t>,</w:t>
      </w:r>
      <w:r w:rsidRPr="00C20211" w:rsidR="1D594261">
        <w:rPr>
          <w:rFonts w:eastAsia="Times New Roman"/>
        </w:rPr>
        <w:t xml:space="preserve"> we made further </w:t>
      </w:r>
      <w:r w:rsidRPr="00C20211" w:rsidR="4607BFDF">
        <w:rPr>
          <w:rFonts w:eastAsia="Times New Roman"/>
        </w:rPr>
        <w:t>clarifications to</w:t>
      </w:r>
      <w:r w:rsidRPr="00C20211" w:rsidR="1D594261">
        <w:rPr>
          <w:rFonts w:eastAsia="Times New Roman"/>
        </w:rPr>
        <w:t xml:space="preserve"> Appendix </w:t>
      </w:r>
      <w:r w:rsidRPr="00C20211" w:rsidR="3F03A24A">
        <w:rPr>
          <w:rFonts w:eastAsia="Times New Roman"/>
        </w:rPr>
        <w:t>2</w:t>
      </w:r>
      <w:r w:rsidRPr="00C20211" w:rsidR="1D594261">
        <w:rPr>
          <w:rFonts w:eastAsia="Times New Roman"/>
        </w:rPr>
        <w:t xml:space="preserve"> </w:t>
      </w:r>
      <w:r w:rsidRPr="00C20211" w:rsidR="6AF98158">
        <w:rPr>
          <w:rFonts w:eastAsia="Times New Roman"/>
        </w:rPr>
        <w:t xml:space="preserve">(PD Appendix </w:t>
      </w:r>
      <w:r w:rsidRPr="00C20211" w:rsidR="3F03A24A">
        <w:rPr>
          <w:rFonts w:eastAsia="Times New Roman"/>
        </w:rPr>
        <w:t>2</w:t>
      </w:r>
      <w:r w:rsidRPr="00C20211" w:rsidR="6AF98158">
        <w:rPr>
          <w:rFonts w:eastAsia="Times New Roman"/>
        </w:rPr>
        <w:t>)</w:t>
      </w:r>
      <w:r w:rsidRPr="00C20211" w:rsidR="1D594261">
        <w:rPr>
          <w:rFonts w:eastAsia="Times New Roman"/>
        </w:rPr>
        <w:t xml:space="preserve"> in order to make it clear that </w:t>
      </w:r>
      <w:r w:rsidRPr="00C20211" w:rsidR="2BAD1AE8">
        <w:rPr>
          <w:rFonts w:eastAsia="Times New Roman"/>
        </w:rPr>
        <w:t xml:space="preserve">the </w:t>
      </w:r>
      <w:r w:rsidRPr="00C20211" w:rsidR="1803C0F9">
        <w:rPr>
          <w:rFonts w:eastAsia="Times New Roman"/>
        </w:rPr>
        <w:t>term</w:t>
      </w:r>
      <w:r w:rsidRPr="00C20211" w:rsidR="2BAD1AE8">
        <w:rPr>
          <w:rFonts w:eastAsia="Times New Roman"/>
        </w:rPr>
        <w:t xml:space="preserve"> unserved housing development is based on whether or not an ISP alr</w:t>
      </w:r>
      <w:r w:rsidRPr="00C20211" w:rsidR="31BB8407">
        <w:rPr>
          <w:rFonts w:eastAsia="Times New Roman"/>
        </w:rPr>
        <w:t>eady provides broadband access to the property and is not based on actual subscription.</w:t>
      </w:r>
      <w:r w:rsidRPr="00C20211" w:rsidR="2BAD1AE8">
        <w:rPr>
          <w:rFonts w:eastAsia="Times New Roman"/>
        </w:rPr>
        <w:t xml:space="preserve"> </w:t>
      </w:r>
      <w:r w:rsidRPr="00C20211" w:rsidR="2BB3292D">
        <w:rPr>
          <w:rFonts w:eastAsia="Times New Roman"/>
        </w:rPr>
        <w:t xml:space="preserve"> </w:t>
      </w:r>
      <w:r w:rsidRPr="00C20211" w:rsidR="2BB3292D">
        <w:t xml:space="preserve">Appendix </w:t>
      </w:r>
      <w:r w:rsidRPr="00C20211" w:rsidR="3F03A24A">
        <w:t>2</w:t>
      </w:r>
      <w:r w:rsidRPr="00C20211" w:rsidR="7D1A30B7">
        <w:t xml:space="preserve">, </w:t>
      </w:r>
      <w:r w:rsidRPr="00C20211" w:rsidR="7D1A30B7">
        <w:lastRenderedPageBreak/>
        <w:t xml:space="preserve">Section III (Definitions) </w:t>
      </w:r>
      <w:r w:rsidRPr="00C20211" w:rsidR="6AF98158">
        <w:t xml:space="preserve">attached to this decision </w:t>
      </w:r>
      <w:r w:rsidRPr="00C20211" w:rsidR="7D1A30B7">
        <w:t xml:space="preserve">has been </w:t>
      </w:r>
      <w:r w:rsidRPr="00C20211" w:rsidR="5D9F968E">
        <w:t>clarified</w:t>
      </w:r>
      <w:r w:rsidRPr="00C20211" w:rsidR="7D1A30B7">
        <w:t xml:space="preserve"> to state</w:t>
      </w:r>
      <w:r w:rsidRPr="00C20211" w:rsidR="2F96FEF4">
        <w:t xml:space="preserve">, </w:t>
      </w:r>
      <w:r w:rsidRPr="00C20211" w:rsidR="535DBC6C">
        <w:rPr>
          <w:rFonts w:eastAsia="Times New Roman"/>
        </w:rPr>
        <w:t>“An “unserved” housing development is a housing development where at least one housing unit within the housing development is not offered broadband Internet service.</w:t>
      </w:r>
      <w:r w:rsidRPr="00C20211" w:rsidR="00A4520B">
        <w:rPr>
          <w:rStyle w:val="FootnoteReference"/>
          <w:rFonts w:eastAsia="Times New Roman"/>
        </w:rPr>
        <w:footnoteReference w:id="57"/>
      </w:r>
      <w:r w:rsidRPr="00C20211" w:rsidR="06AC998E">
        <w:rPr>
          <w:rFonts w:eastAsia="Times New Roman"/>
        </w:rPr>
        <w:t xml:space="preserve">  </w:t>
      </w:r>
      <w:r w:rsidRPr="00C20211" w:rsidR="535DBC6C">
        <w:rPr>
          <w:rFonts w:eastAsia="Times New Roman"/>
        </w:rPr>
        <w:t>All units within a housing development are offered broadband internet service if an ISP already provides access to all units</w:t>
      </w:r>
      <w:r w:rsidRPr="00C20211" w:rsidR="2D6409FF">
        <w:rPr>
          <w:rFonts w:eastAsia="Times New Roman"/>
        </w:rPr>
        <w:t xml:space="preserve">.  </w:t>
      </w:r>
      <w:r w:rsidRPr="00C20211" w:rsidR="535DBC6C">
        <w:rPr>
          <w:rFonts w:eastAsia="Times New Roman"/>
        </w:rPr>
        <w:t>Further</w:t>
      </w:r>
      <w:r w:rsidRPr="00C20211" w:rsidR="5BF929CD">
        <w:rPr>
          <w:rFonts w:eastAsia="Times New Roman"/>
        </w:rPr>
        <w:t xml:space="preserve">, </w:t>
      </w:r>
      <w:r w:rsidRPr="00C20211" w:rsidR="5BF929CD">
        <w:t>Section VII (Challenge Process)</w:t>
      </w:r>
      <w:r w:rsidRPr="00C20211">
        <w:t xml:space="preserve"> </w:t>
      </w:r>
      <w:r w:rsidRPr="00C20211" w:rsidR="6AF98158">
        <w:t xml:space="preserve">of the Appendix </w:t>
      </w:r>
      <w:r w:rsidRPr="00C20211" w:rsidR="3F03A24A">
        <w:t>2</w:t>
      </w:r>
      <w:r w:rsidRPr="00C20211" w:rsidR="6AF98158">
        <w:t xml:space="preserve"> in this decision </w:t>
      </w:r>
      <w:r w:rsidRPr="00C20211">
        <w:t xml:space="preserve">has been </w:t>
      </w:r>
      <w:r w:rsidRPr="00C20211" w:rsidR="68B160C4">
        <w:t>clarified</w:t>
      </w:r>
      <w:r w:rsidRPr="00C20211">
        <w:t xml:space="preserve"> to </w:t>
      </w:r>
      <w:r w:rsidRPr="00C20211" w:rsidR="3DBEF393">
        <w:rPr>
          <w:rFonts w:eastAsia="Times New Roman"/>
        </w:rPr>
        <w:t>state</w:t>
      </w:r>
      <w:r w:rsidRPr="00C20211" w:rsidR="2D6409FF">
        <w:rPr>
          <w:rFonts w:eastAsia="Times New Roman"/>
        </w:rPr>
        <w:t xml:space="preserve"> “</w:t>
      </w:r>
      <w:r w:rsidRPr="00C20211" w:rsidR="6AD17BC7">
        <w:rPr>
          <w:rFonts w:eastAsia="Times New Roman"/>
        </w:rPr>
        <w:t>ISPs</w:t>
      </w:r>
      <w:r w:rsidRPr="00C20211" w:rsidR="255454A4">
        <w:rPr>
          <w:rFonts w:eastAsia="Times New Roman"/>
        </w:rPr>
        <w:t xml:space="preserve"> have three weeks from the date of the posting of the application to the BPHA website to challenge the application.  An ISP who challenges an application on the ground</w:t>
      </w:r>
      <w:r w:rsidRPr="00C20211" w:rsidR="0278B006">
        <w:rPr>
          <w:rFonts w:eastAsia="Times New Roman"/>
        </w:rPr>
        <w:t>s</w:t>
      </w:r>
      <w:r w:rsidRPr="00C20211" w:rsidR="255454A4">
        <w:rPr>
          <w:rFonts w:eastAsia="Times New Roman"/>
        </w:rPr>
        <w:t xml:space="preserve"> that it already provides broadband internet </w:t>
      </w:r>
      <w:r w:rsidRPr="00C20211" w:rsidR="1762B395">
        <w:rPr>
          <w:rFonts w:eastAsia="Times New Roman"/>
        </w:rPr>
        <w:t xml:space="preserve">access </w:t>
      </w:r>
      <w:r w:rsidRPr="00C20211" w:rsidR="255454A4">
        <w:rPr>
          <w:rFonts w:eastAsia="Times New Roman"/>
        </w:rPr>
        <w:t>to 100 percent of the residents at the property</w:t>
      </w:r>
      <w:r w:rsidRPr="00C20211" w:rsidR="1762B395">
        <w:rPr>
          <w:rFonts w:eastAsia="Times New Roman"/>
        </w:rPr>
        <w:t>…”</w:t>
      </w:r>
      <w:r w:rsidRPr="00C20211" w:rsidR="3DBEF393">
        <w:rPr>
          <w:rFonts w:eastAsia="Times New Roman"/>
        </w:rPr>
        <w:t xml:space="preserve"> </w:t>
      </w:r>
    </w:p>
    <w:p w:rsidRPr="00C20211" w:rsidR="03F194D4" w:rsidP="00196DE4" w:rsidRDefault="03F194D4" w14:paraId="09433CC3" w14:textId="34541F55">
      <w:pPr>
        <w:rPr>
          <w:rFonts w:eastAsia="Times New Roman"/>
        </w:rPr>
      </w:pPr>
      <w:r w:rsidRPr="00C20211">
        <w:rPr>
          <w:rFonts w:eastAsia="Times New Roman"/>
        </w:rPr>
        <w:t xml:space="preserve">We </w:t>
      </w:r>
      <w:r w:rsidRPr="00C20211" w:rsidR="00D10390">
        <w:rPr>
          <w:rFonts w:eastAsia="Times New Roman"/>
        </w:rPr>
        <w:t xml:space="preserve">do not </w:t>
      </w:r>
      <w:r w:rsidRPr="00C20211">
        <w:rPr>
          <w:rFonts w:eastAsia="Times New Roman"/>
        </w:rPr>
        <w:t>find CCTA’s comment regarding unbuilt housing units relevant to the modifications made to the</w:t>
      </w:r>
      <w:r w:rsidRPr="00C20211" w:rsidR="0A179B6A">
        <w:rPr>
          <w:rFonts w:eastAsia="Times New Roman"/>
        </w:rPr>
        <w:t xml:space="preserve"> BPHA </w:t>
      </w:r>
      <w:r w:rsidRPr="00C20211" w:rsidR="6C21108B">
        <w:rPr>
          <w:rFonts w:eastAsia="Times New Roman"/>
        </w:rPr>
        <w:t>Applications Requirements and Guidelines</w:t>
      </w:r>
      <w:r w:rsidRPr="00C20211" w:rsidR="643065DA">
        <w:rPr>
          <w:rFonts w:eastAsia="Times New Roman"/>
        </w:rPr>
        <w:t xml:space="preserve"> nor do we find </w:t>
      </w:r>
      <w:r w:rsidRPr="00C20211" w:rsidR="0E37E7DE">
        <w:rPr>
          <w:rFonts w:eastAsia="Times New Roman"/>
        </w:rPr>
        <w:t xml:space="preserve">a benefit from CETF’s recommendation that the Commission make broad statements regarding connectivity in public housing.  </w:t>
      </w:r>
    </w:p>
    <w:p w:rsidRPr="004914E8" w:rsidR="00B46269" w:rsidP="004914E8" w:rsidRDefault="00597338" w14:paraId="5CCD4674" w14:textId="15B305CA">
      <w:pPr>
        <w:ind w:right="-720"/>
        <w:rPr>
          <w:rFonts w:eastAsia="Times New Roman"/>
        </w:rPr>
      </w:pPr>
      <w:r w:rsidRPr="00C20211">
        <w:rPr>
          <w:rFonts w:eastAsia="Times New Roman"/>
        </w:rPr>
        <w:t xml:space="preserve">The Commission adopts Appendix </w:t>
      </w:r>
      <w:r w:rsidRPr="00C20211" w:rsidR="00315F31">
        <w:rPr>
          <w:rFonts w:eastAsia="Times New Roman"/>
        </w:rPr>
        <w:t>2</w:t>
      </w:r>
      <w:r w:rsidRPr="00C20211" w:rsidR="009F4D89">
        <w:rPr>
          <w:rFonts w:eastAsia="Times New Roman"/>
        </w:rPr>
        <w:t xml:space="preserve">, attached </w:t>
      </w:r>
      <w:r w:rsidRPr="00C20211" w:rsidR="00BB0951">
        <w:rPr>
          <w:rFonts w:eastAsia="Times New Roman"/>
        </w:rPr>
        <w:t>hereto</w:t>
      </w:r>
      <w:r w:rsidRPr="00C20211" w:rsidR="009F4D89">
        <w:rPr>
          <w:rFonts w:eastAsia="Times New Roman"/>
        </w:rPr>
        <w:t xml:space="preserve">, </w:t>
      </w:r>
      <w:r w:rsidRPr="00C20211" w:rsidR="001A7956">
        <w:rPr>
          <w:rFonts w:eastAsia="Times New Roman"/>
        </w:rPr>
        <w:t xml:space="preserve">as the revised BPHA </w:t>
      </w:r>
      <w:r w:rsidRPr="00C20211" w:rsidR="00D200EB">
        <w:rPr>
          <w:rFonts w:eastAsia="Times New Roman"/>
        </w:rPr>
        <w:t xml:space="preserve">Application Requirements and Guidelines. </w:t>
      </w:r>
    </w:p>
    <w:p w:rsidRPr="00EB29DE" w:rsidR="00CA60D6" w:rsidP="00BB504D" w:rsidRDefault="00751480" w14:paraId="32B48E57" w14:textId="47278CBF">
      <w:pPr>
        <w:pStyle w:val="Heading1"/>
        <w:numPr>
          <w:ilvl w:val="0"/>
          <w:numId w:val="28"/>
        </w:numPr>
        <w:ind w:left="360"/>
      </w:pPr>
      <w:bookmarkStart w:name="_Toc42009403" w:id="32"/>
      <w:bookmarkStart w:name="_Toc43744773" w:id="33"/>
      <w:r w:rsidRPr="00EB29DE">
        <w:t>Closing the Proceeding</w:t>
      </w:r>
      <w:bookmarkEnd w:id="32"/>
      <w:bookmarkEnd w:id="33"/>
    </w:p>
    <w:p w:rsidRPr="00C20211" w:rsidR="008F5516" w:rsidP="00196DE4" w:rsidRDefault="00100D36" w14:paraId="16331F5B" w14:textId="51D928D3">
      <w:pPr>
        <w:pStyle w:val="Standard"/>
      </w:pPr>
      <w:r w:rsidRPr="00C20211">
        <w:t xml:space="preserve">In ACR Question </w:t>
      </w:r>
      <w:r w:rsidRPr="00C20211" w:rsidR="00C564E2">
        <w:t>2</w:t>
      </w:r>
      <w:r w:rsidRPr="00C20211">
        <w:t xml:space="preserve">, </w:t>
      </w:r>
      <w:r w:rsidRPr="00C20211" w:rsidR="00C564E2">
        <w:t>we ask</w:t>
      </w:r>
      <w:r w:rsidRPr="00C20211" w:rsidR="00597338">
        <w:t>ed</w:t>
      </w:r>
      <w:r w:rsidRPr="00C20211" w:rsidR="00C564E2">
        <w:t xml:space="preserve"> if the Commission should close this proceeding and open a new rulemaking to consider rules established in prior CASF decisions.</w:t>
      </w:r>
    </w:p>
    <w:p w:rsidRPr="00EB29DE" w:rsidR="00597338" w:rsidP="00EB29DE" w:rsidRDefault="00321BA3" w14:paraId="3E7FD9A3" w14:textId="7569E5E9">
      <w:pPr>
        <w:pStyle w:val="Heading2"/>
        <w:tabs>
          <w:tab w:val="clear" w:pos="1080"/>
        </w:tabs>
        <w:ind w:left="990" w:right="-720" w:hanging="630"/>
        <w:rPr>
          <w:rFonts w:ascii="Helvetica" w:hAnsi="Helvetica" w:cs="Helvetica"/>
        </w:rPr>
      </w:pPr>
      <w:bookmarkStart w:name="_Toc43744774" w:id="34"/>
      <w:bookmarkStart w:name="_Toc42009404" w:id="35"/>
      <w:r w:rsidRPr="00EB29DE">
        <w:rPr>
          <w:rFonts w:ascii="Helvetica" w:hAnsi="Helvetica" w:cs="Helvetica"/>
        </w:rPr>
        <w:t>5.1</w:t>
      </w:r>
      <w:r w:rsidR="00EB29DE">
        <w:rPr>
          <w:rFonts w:ascii="Helvetica" w:hAnsi="Helvetica" w:cs="Helvetica"/>
        </w:rPr>
        <w:t>.</w:t>
      </w:r>
      <w:r w:rsidRPr="00EB29DE">
        <w:rPr>
          <w:rFonts w:ascii="Helvetica" w:hAnsi="Helvetica" w:cs="Helvetica"/>
        </w:rPr>
        <w:tab/>
      </w:r>
      <w:r w:rsidRPr="00EB29DE" w:rsidR="00597338">
        <w:rPr>
          <w:rFonts w:ascii="Helvetica" w:hAnsi="Helvetica" w:cs="Helvetica"/>
        </w:rPr>
        <w:t>Parties’ Comments and</w:t>
      </w:r>
      <w:r w:rsidR="002B60CA">
        <w:rPr>
          <w:rFonts w:ascii="Helvetica" w:hAnsi="Helvetica" w:cs="Helvetica"/>
        </w:rPr>
        <w:br/>
      </w:r>
      <w:r w:rsidRPr="00EB29DE" w:rsidR="00597338">
        <w:rPr>
          <w:rFonts w:ascii="Helvetica" w:hAnsi="Helvetica" w:cs="Helvetica"/>
        </w:rPr>
        <w:t>Reply Comments</w:t>
      </w:r>
      <w:bookmarkEnd w:id="34"/>
    </w:p>
    <w:bookmarkEnd w:id="35"/>
    <w:p w:rsidRPr="00C20211" w:rsidR="00E13FE3" w:rsidP="00196DE4" w:rsidRDefault="00597338" w14:paraId="48E03CE7" w14:textId="18E56994">
      <w:pPr>
        <w:pStyle w:val="Standard"/>
      </w:pPr>
      <w:proofErr w:type="gramStart"/>
      <w:r w:rsidRPr="00C20211">
        <w:t>The</w:t>
      </w:r>
      <w:r w:rsidRPr="00C20211" w:rsidR="00E13FE3">
        <w:t xml:space="preserve"> majority of</w:t>
      </w:r>
      <w:proofErr w:type="gramEnd"/>
      <w:r w:rsidRPr="00C20211" w:rsidR="00E13FE3">
        <w:t xml:space="preserve"> parties support</w:t>
      </w:r>
      <w:r w:rsidRPr="00C20211" w:rsidR="007C2435">
        <w:t>ed</w:t>
      </w:r>
      <w:r w:rsidRPr="00C20211" w:rsidR="00E13FE3">
        <w:t xml:space="preserve"> closing R.1</w:t>
      </w:r>
      <w:r w:rsidRPr="00C20211" w:rsidR="60C29230">
        <w:t>2</w:t>
      </w:r>
      <w:r w:rsidRPr="00C20211" w:rsidR="7AE40569">
        <w:t>-1</w:t>
      </w:r>
      <w:r w:rsidRPr="00C20211" w:rsidR="199F285E">
        <w:t>0</w:t>
      </w:r>
      <w:r w:rsidRPr="00C20211" w:rsidR="7AE40569">
        <w:t>-01</w:t>
      </w:r>
      <w:r w:rsidRPr="00C20211" w:rsidR="0B19411F">
        <w:t>2</w:t>
      </w:r>
      <w:r w:rsidRPr="00C20211" w:rsidR="00E13FE3">
        <w:t xml:space="preserve"> </w:t>
      </w:r>
      <w:r w:rsidRPr="00C20211" w:rsidR="00032382">
        <w:t>and opening a new rulemaking.</w:t>
      </w:r>
      <w:r w:rsidRPr="00C20211" w:rsidR="00D27F99">
        <w:t xml:space="preserve">  </w:t>
      </w:r>
      <w:r w:rsidRPr="00C20211" w:rsidR="00032382">
        <w:t>Notably, the P</w:t>
      </w:r>
      <w:r w:rsidRPr="00C20211" w:rsidR="00F22D77">
        <w:t>ublic Advocates Office</w:t>
      </w:r>
      <w:r w:rsidRPr="00C20211" w:rsidR="00032382">
        <w:t xml:space="preserve"> </w:t>
      </w:r>
      <w:r w:rsidRPr="00C20211" w:rsidR="006F0167">
        <w:t xml:space="preserve">encapsulated other </w:t>
      </w:r>
      <w:r w:rsidRPr="00C20211" w:rsidR="008F5516">
        <w:t>parties’</w:t>
      </w:r>
      <w:r w:rsidRPr="00C20211" w:rsidR="006F0167">
        <w:t xml:space="preserve"> comments and outlined sound reasoning for opening a new rulemaking.</w:t>
      </w:r>
      <w:r w:rsidRPr="00C20211">
        <w:t xml:space="preserve">  </w:t>
      </w:r>
      <w:r w:rsidRPr="00C20211" w:rsidR="196F70F9">
        <w:t xml:space="preserve">Public </w:t>
      </w:r>
      <w:r w:rsidRPr="00C20211" w:rsidR="196F70F9">
        <w:lastRenderedPageBreak/>
        <w:t>Advocates Office‘s</w:t>
      </w:r>
      <w:r w:rsidRPr="00C20211" w:rsidR="006F0167">
        <w:t xml:space="preserve"> recommendations include</w:t>
      </w:r>
      <w:r w:rsidRPr="00C20211" w:rsidR="007C2435">
        <w:t>d</w:t>
      </w:r>
      <w:r w:rsidRPr="00C20211" w:rsidR="006F0167">
        <w:t xml:space="preserve">: allowing </w:t>
      </w:r>
      <w:r w:rsidRPr="00C20211" w:rsidR="00131AA4">
        <w:t xml:space="preserve">organizations </w:t>
      </w:r>
      <w:r w:rsidRPr="00C20211" w:rsidR="006F0167">
        <w:t>t</w:t>
      </w:r>
      <w:r w:rsidRPr="00C20211" w:rsidR="00131AA4">
        <w:t>he</w:t>
      </w:r>
      <w:r w:rsidRPr="00C20211" w:rsidR="006F0167">
        <w:t xml:space="preserve"> </w:t>
      </w:r>
      <w:r w:rsidRPr="00C20211" w:rsidR="00131AA4">
        <w:t>chance to</w:t>
      </w:r>
      <w:r w:rsidRPr="00C20211" w:rsidR="006F0167">
        <w:t xml:space="preserve"> </w:t>
      </w:r>
      <w:r w:rsidRPr="00C20211" w:rsidR="00131AA4">
        <w:t xml:space="preserve">fully participate as intervenors and </w:t>
      </w:r>
      <w:r w:rsidRPr="00C20211" w:rsidR="00702004">
        <w:t xml:space="preserve">be </w:t>
      </w:r>
      <w:r w:rsidRPr="00C20211" w:rsidR="00131AA4">
        <w:t>provide</w:t>
      </w:r>
      <w:r w:rsidRPr="00C20211" w:rsidR="00702004">
        <w:t>d</w:t>
      </w:r>
      <w:r w:rsidRPr="00C20211" w:rsidR="00131AA4">
        <w:t xml:space="preserve"> the financial resources to contribute meaningfully to</w:t>
      </w:r>
      <w:r w:rsidRPr="00C20211" w:rsidR="006F0167">
        <w:t xml:space="preserve"> </w:t>
      </w:r>
      <w:r w:rsidRPr="00C20211" w:rsidR="00131AA4">
        <w:t>the CASF rulemaking process</w:t>
      </w:r>
      <w:r w:rsidRPr="00C20211" w:rsidR="006F0167">
        <w:t xml:space="preserve">, </w:t>
      </w:r>
      <w:r w:rsidRPr="00C20211" w:rsidR="008F5516">
        <w:t>a</w:t>
      </w:r>
      <w:r w:rsidRPr="00C20211" w:rsidR="00131AA4">
        <w:t xml:space="preserve">ddress CASF </w:t>
      </w:r>
      <w:r w:rsidRPr="00C20211" w:rsidR="008F5516">
        <w:t>p</w:t>
      </w:r>
      <w:r w:rsidRPr="00C20211" w:rsidR="00131AA4">
        <w:t xml:space="preserve">rogram modifications </w:t>
      </w:r>
      <w:r w:rsidRPr="00C20211" w:rsidR="00F22D77">
        <w:t xml:space="preserve">in </w:t>
      </w:r>
      <w:r w:rsidRPr="00C20211" w:rsidR="008F5516">
        <w:t>a</w:t>
      </w:r>
      <w:r w:rsidRPr="00C20211" w:rsidR="00131AA4">
        <w:t xml:space="preserve"> new proceeding</w:t>
      </w:r>
      <w:r w:rsidRPr="00C20211" w:rsidR="008F5516">
        <w:t>, i</w:t>
      </w:r>
      <w:r w:rsidRPr="00C20211" w:rsidR="00131AA4">
        <w:t>ncorporate the record of R.12-10-012</w:t>
      </w:r>
      <w:r w:rsidRPr="00C20211" w:rsidR="008F5516">
        <w:t xml:space="preserve"> </w:t>
      </w:r>
      <w:r w:rsidRPr="00C20211" w:rsidR="00131AA4">
        <w:t>in the new proceeding</w:t>
      </w:r>
      <w:r w:rsidRPr="00C20211" w:rsidR="008F5516">
        <w:t>, and develop</w:t>
      </w:r>
      <w:r w:rsidRPr="00C20211" w:rsidR="00131AA4">
        <w:t xml:space="preserve"> more background and details on specific</w:t>
      </w:r>
      <w:r w:rsidRPr="00C20211" w:rsidR="008F5516">
        <w:t xml:space="preserve"> </w:t>
      </w:r>
      <w:r w:rsidRPr="00C20211" w:rsidR="00131AA4">
        <w:t>CASF program issues that</w:t>
      </w:r>
      <w:r w:rsidRPr="00C20211" w:rsidR="008F5516">
        <w:t xml:space="preserve"> </w:t>
      </w:r>
      <w:r w:rsidRPr="00C20211" w:rsidR="00131AA4">
        <w:t>require modification.</w:t>
      </w:r>
    </w:p>
    <w:p w:rsidRPr="00F64FDC" w:rsidR="00EE43CF" w:rsidP="00F64FDC" w:rsidRDefault="00321BA3" w14:paraId="0568F5DC" w14:textId="4DEFA8A1">
      <w:pPr>
        <w:pStyle w:val="Heading2"/>
        <w:tabs>
          <w:tab w:val="clear" w:pos="1080"/>
        </w:tabs>
        <w:ind w:left="990" w:right="-720" w:hanging="630"/>
        <w:rPr>
          <w:rFonts w:ascii="Helvetica" w:hAnsi="Helvetica" w:cs="Helvetica"/>
        </w:rPr>
      </w:pPr>
      <w:bookmarkStart w:name="_Toc42009405" w:id="36"/>
      <w:bookmarkStart w:name="_Toc43744775" w:id="37"/>
      <w:r w:rsidRPr="00F64FDC">
        <w:rPr>
          <w:rFonts w:ascii="Helvetica" w:hAnsi="Helvetica" w:cs="Helvetica"/>
        </w:rPr>
        <w:t>5.2</w:t>
      </w:r>
      <w:r w:rsidRPr="00F64FDC">
        <w:rPr>
          <w:rFonts w:ascii="Helvetica" w:hAnsi="Helvetica" w:cs="Helvetica"/>
        </w:rPr>
        <w:tab/>
      </w:r>
      <w:r w:rsidRPr="00F64FDC" w:rsidR="00131AA4">
        <w:rPr>
          <w:rFonts w:ascii="Helvetica" w:hAnsi="Helvetica" w:cs="Helvetica"/>
        </w:rPr>
        <w:t>D</w:t>
      </w:r>
      <w:r w:rsidRPr="00F64FDC" w:rsidR="00DB096F">
        <w:rPr>
          <w:rFonts w:ascii="Helvetica" w:hAnsi="Helvetica" w:cs="Helvetica"/>
        </w:rPr>
        <w:t>iscussion</w:t>
      </w:r>
      <w:bookmarkEnd w:id="36"/>
      <w:bookmarkEnd w:id="37"/>
      <w:r w:rsidRPr="00F64FDC" w:rsidR="00EE43CF">
        <w:rPr>
          <w:rFonts w:ascii="Helvetica" w:hAnsi="Helvetica" w:cs="Helvetica"/>
        </w:rPr>
        <w:t xml:space="preserve"> </w:t>
      </w:r>
    </w:p>
    <w:p w:rsidRPr="00C20211" w:rsidR="00D70A7C" w:rsidP="00196DE4" w:rsidRDefault="00032382" w14:paraId="327CB922" w14:textId="2A1D5158">
      <w:pPr>
        <w:pStyle w:val="Standard"/>
        <w:ind w:right="-90"/>
      </w:pPr>
      <w:r w:rsidRPr="00C20211">
        <w:t xml:space="preserve">The Commission believes that revisiting the whole of the CASF program rules at this time, as evidenced by the breadth of the responses to the ACR and the magnitude of the 2020 application cycle, is not efficient and </w:t>
      </w:r>
      <w:r w:rsidRPr="00C20211" w:rsidR="4448DE35">
        <w:t xml:space="preserve">instead </w:t>
      </w:r>
      <w:r w:rsidRPr="00C20211">
        <w:t>will initiate a further rulemaking on the subject.</w:t>
      </w:r>
      <w:r w:rsidRPr="00C20211" w:rsidR="00597338">
        <w:t xml:space="preserve">  </w:t>
      </w:r>
      <w:bookmarkStart w:name="_Hlk42341522" w:id="38"/>
      <w:r w:rsidRPr="00C20211">
        <w:t>We</w:t>
      </w:r>
      <w:r w:rsidRPr="00C20211" w:rsidR="00163636">
        <w:t xml:space="preserve"> will likely</w:t>
      </w:r>
      <w:r w:rsidRPr="00C20211">
        <w:t xml:space="preserve"> take notice of the existing record developed in R.12-10-012</w:t>
      </w:r>
      <w:r w:rsidRPr="00C20211" w:rsidR="00163636">
        <w:t xml:space="preserve"> in a future proceeding</w:t>
      </w:r>
      <w:r w:rsidRPr="00C20211">
        <w:t>.</w:t>
      </w:r>
      <w:r w:rsidRPr="00C20211" w:rsidR="00200404">
        <w:t xml:space="preserve">  </w:t>
      </w:r>
      <w:r w:rsidRPr="00C20211" w:rsidR="00F22D77">
        <w:t>Accordingly, we hereby close R.12-12-010</w:t>
      </w:r>
      <w:r w:rsidR="0077014B">
        <w:t xml:space="preserve"> on September 10, 2020 or </w:t>
      </w:r>
      <w:r w:rsidR="008B592B">
        <w:t>upon the issuance of a</w:t>
      </w:r>
      <w:r w:rsidR="00CF4509">
        <w:t xml:space="preserve"> new order instituting rulemaking that addresses issues related to </w:t>
      </w:r>
      <w:r w:rsidR="0091231A">
        <w:t>CASF</w:t>
      </w:r>
      <w:r w:rsidR="007F6AE0">
        <w:t>, whichever is later</w:t>
      </w:r>
      <w:r w:rsidRPr="00C20211" w:rsidR="00F22D77">
        <w:t xml:space="preserve">.  </w:t>
      </w:r>
      <w:bookmarkStart w:name="_Toc8123723" w:id="39"/>
    </w:p>
    <w:p w:rsidRPr="003A12DF" w:rsidR="005939A5" w:rsidP="00BB504D" w:rsidRDefault="005939A5" w14:paraId="6C28FAA9" w14:textId="77C36B52">
      <w:pPr>
        <w:pStyle w:val="Heading1"/>
        <w:numPr>
          <w:ilvl w:val="0"/>
          <w:numId w:val="28"/>
        </w:numPr>
        <w:ind w:left="360"/>
      </w:pPr>
      <w:bookmarkStart w:name="_Toc42009407" w:id="40"/>
      <w:bookmarkStart w:name="_Toc43744776" w:id="41"/>
      <w:bookmarkEnd w:id="38"/>
      <w:r w:rsidRPr="003A12DF">
        <w:t>Comments on Proposed Decision</w:t>
      </w:r>
      <w:bookmarkEnd w:id="39"/>
      <w:bookmarkEnd w:id="40"/>
      <w:bookmarkEnd w:id="41"/>
    </w:p>
    <w:p w:rsidR="00B22B99" w:rsidP="00467105" w:rsidRDefault="009F3EFB" w14:paraId="29512A02" w14:textId="2E4F0699">
      <w:pPr>
        <w:pStyle w:val="Standard"/>
        <w:rPr>
          <w:b/>
          <w:bCs/>
        </w:rPr>
      </w:pPr>
      <w:bookmarkStart w:name="_Toc42619816" w:id="42"/>
      <w:bookmarkStart w:name="_Toc8123724" w:id="43"/>
      <w:r w:rsidRPr="00C20211">
        <w:t>The proposed decision of the Commissioner in this matter was mailed to</w:t>
      </w:r>
      <w:bookmarkEnd w:id="42"/>
      <w:r w:rsidR="00826271">
        <w:t xml:space="preserve"> </w:t>
      </w:r>
      <w:bookmarkStart w:name="_Toc42619817" w:id="44"/>
      <w:r w:rsidRPr="00C20211">
        <w:t xml:space="preserve">the parties in accordance with Pub. Util. Code </w:t>
      </w:r>
      <w:r w:rsidRPr="00C20211" w:rsidR="002521C0">
        <w:t>section</w:t>
      </w:r>
      <w:r w:rsidRPr="00C20211">
        <w:t xml:space="preserve"> 311 and comments were allowed</w:t>
      </w:r>
      <w:bookmarkEnd w:id="44"/>
      <w:r w:rsidR="00826271">
        <w:t xml:space="preserve"> </w:t>
      </w:r>
      <w:bookmarkStart w:name="_Toc42619818" w:id="45"/>
      <w:r w:rsidRPr="00C20211">
        <w:t>under Rule 14.3 of the Commission’s Rules of Practice and Procedure.</w:t>
      </w:r>
      <w:bookmarkEnd w:id="45"/>
      <w:r w:rsidR="00826271">
        <w:t xml:space="preserve">  </w:t>
      </w:r>
      <w:bookmarkStart w:name="_Toc42619819" w:id="46"/>
      <w:r w:rsidRPr="00C20211">
        <w:t xml:space="preserve">Comments were filed by </w:t>
      </w:r>
      <w:r w:rsidR="00405C88">
        <w:t>CCTA and</w:t>
      </w:r>
      <w:r w:rsidRPr="00C20211" w:rsidR="00405C88">
        <w:t xml:space="preserve"> </w:t>
      </w:r>
      <w:r w:rsidRPr="00C20211" w:rsidR="00C62B39">
        <w:t xml:space="preserve">Frontier </w:t>
      </w:r>
      <w:r w:rsidRPr="00C20211">
        <w:t xml:space="preserve">on </w:t>
      </w:r>
      <w:r w:rsidR="00C62B39">
        <w:t>July 23, 2020</w:t>
      </w:r>
      <w:r w:rsidRPr="00C20211" w:rsidR="00C62B39">
        <w:t>.</w:t>
      </w:r>
      <w:r w:rsidRPr="00C20211">
        <w:t xml:space="preserve">  Reply comments were filed</w:t>
      </w:r>
      <w:bookmarkEnd w:id="46"/>
      <w:r w:rsidR="00826271">
        <w:t xml:space="preserve"> </w:t>
      </w:r>
      <w:bookmarkStart w:name="_Toc42619820" w:id="47"/>
      <w:r w:rsidRPr="00C20211">
        <w:t xml:space="preserve">by </w:t>
      </w:r>
      <w:bookmarkEnd w:id="47"/>
      <w:r w:rsidR="00000AA9">
        <w:t>TURN</w:t>
      </w:r>
      <w:r w:rsidR="0061240A">
        <w:t>,</w:t>
      </w:r>
      <w:r w:rsidR="00000AA9">
        <w:t xml:space="preserve"> CETF</w:t>
      </w:r>
      <w:r w:rsidR="0061240A">
        <w:t>, and CCTA</w:t>
      </w:r>
      <w:r w:rsidRPr="00C20211">
        <w:t xml:space="preserve"> on</w:t>
      </w:r>
      <w:r w:rsidR="00C62B39">
        <w:t xml:space="preserve"> July 28, 2020.</w:t>
      </w:r>
      <w:r w:rsidR="00EC362B">
        <w:rPr>
          <w:b/>
          <w:bCs/>
        </w:rPr>
        <w:t xml:space="preserve">  </w:t>
      </w:r>
    </w:p>
    <w:p w:rsidRPr="00B22B99" w:rsidR="00B22B99" w:rsidP="00F64CA7" w:rsidRDefault="52D715DC" w14:paraId="5B8F52C8" w14:textId="26BB3FAD">
      <w:r>
        <w:t xml:space="preserve">CETF and TURN support </w:t>
      </w:r>
      <w:r w:rsidR="07BCB75F">
        <w:t xml:space="preserve">Tribal assistance but </w:t>
      </w:r>
      <w:r w:rsidR="30A79BB9">
        <w:t xml:space="preserve">CETF </w:t>
      </w:r>
      <w:r w:rsidR="07BCB75F">
        <w:t>shares CCTA concerns that a cap should be placed on the amounts for Tribal assistance.</w:t>
      </w:r>
      <w:r w:rsidR="00DD3B03">
        <w:rPr>
          <w:rStyle w:val="FootnoteReference"/>
        </w:rPr>
        <w:footnoteReference w:id="58"/>
      </w:r>
    </w:p>
    <w:p w:rsidRPr="00B22B99" w:rsidR="00B22B99" w:rsidP="00F64CA7" w:rsidRDefault="692D2714" w14:paraId="22BF57E8" w14:textId="2CFC2C73">
      <w:r>
        <w:lastRenderedPageBreak/>
        <w:t xml:space="preserve">We agree </w:t>
      </w:r>
      <w:r w:rsidR="685AEB0B">
        <w:t>with the goals o</w:t>
      </w:r>
      <w:r w:rsidR="7B8DF4C7">
        <w:t>f</w:t>
      </w:r>
      <w:r w:rsidR="685AEB0B">
        <w:t xml:space="preserve"> transparency and accountability </w:t>
      </w:r>
      <w:r w:rsidR="75900C69">
        <w:t xml:space="preserve">and have </w:t>
      </w:r>
      <w:r w:rsidR="4B606E48">
        <w:t>provided</w:t>
      </w:r>
      <w:r w:rsidR="75900C69">
        <w:t xml:space="preserve"> </w:t>
      </w:r>
      <w:r w:rsidR="70BD84E9">
        <w:t xml:space="preserve">more information and </w:t>
      </w:r>
      <w:r w:rsidR="75900C69">
        <w:t xml:space="preserve">detail </w:t>
      </w:r>
      <w:r w:rsidR="6A23989F">
        <w:t xml:space="preserve">to the Tribal Technical Assistance Guidelines </w:t>
      </w:r>
      <w:r w:rsidR="685AEB0B">
        <w:t xml:space="preserve">in Appendix 1 </w:t>
      </w:r>
      <w:r w:rsidR="194EEA35">
        <w:t>accordingly</w:t>
      </w:r>
      <w:r w:rsidR="685AEB0B">
        <w:t>.</w:t>
      </w:r>
    </w:p>
    <w:p w:rsidRPr="00CA08C6" w:rsidR="00FE0B53" w:rsidP="00EC5B1E" w:rsidRDefault="00FE0B53" w14:paraId="4E23AC5C" w14:textId="419455C4">
      <w:pPr>
        <w:pStyle w:val="Standard"/>
      </w:pPr>
      <w:bookmarkStart w:name="_Hlk47013369" w:id="48"/>
      <w:bookmarkStart w:name="_Hlk47011868" w:id="49"/>
      <w:r w:rsidRPr="00CA08C6">
        <w:t xml:space="preserve">In terms </w:t>
      </w:r>
      <w:bookmarkEnd w:id="48"/>
      <w:r w:rsidRPr="00CA08C6">
        <w:t xml:space="preserve">of the existing rules allowing Staff to recommend opening a second application window for infrastructure grant proposals, Frontier offered support in opening comments </w:t>
      </w:r>
      <w:bookmarkEnd w:id="49"/>
      <w:r w:rsidRPr="00CA08C6">
        <w:t>stating that “..where circumstances are rapidly changing, providing additional opportunities for new proposals will best serve the public and ensure that the Commission has the benefit of a full range of proposals, even if needs are identified or proposals coalesce at later dates.”</w:t>
      </w:r>
      <w:r w:rsidRPr="00CA08C6">
        <w:rPr>
          <w:vertAlign w:val="superscript"/>
        </w:rPr>
        <w:footnoteReference w:id="59"/>
      </w:r>
      <w:r w:rsidRPr="00CA08C6">
        <w:t xml:space="preserve">  CETF offered support for allowing further application windows.  CETF supports the delegated authority to Staff and would broaden the authority to set additional infrastructure application windows for Tribal governments for instance.</w:t>
      </w:r>
      <w:r w:rsidRPr="00CA08C6">
        <w:rPr>
          <w:vertAlign w:val="superscript"/>
        </w:rPr>
        <w:footnoteReference w:id="60"/>
      </w:r>
      <w:r w:rsidRPr="00CA08C6">
        <w:t xml:space="preserve">  </w:t>
      </w:r>
    </w:p>
    <w:p w:rsidRPr="00CA08C6" w:rsidR="00DC6FD7" w:rsidP="00DC6FD7" w:rsidRDefault="00FE0B53" w14:paraId="28446562" w14:textId="6E2792BF">
      <w:pPr>
        <w:pStyle w:val="Standard"/>
      </w:pPr>
      <w:r w:rsidRPr="00CA08C6">
        <w:t>Frontier supports removal and opines that “..while these limitations may facilitate faster processing of applications, these requirements could come at the expense of overlooking beneficial and much-needed projects in some of the most difficult to reach areas.”</w:t>
      </w:r>
      <w:r w:rsidRPr="00CA08C6">
        <w:rPr>
          <w:vertAlign w:val="superscript"/>
        </w:rPr>
        <w:footnoteReference w:id="61"/>
      </w:r>
      <w:r w:rsidRPr="00CA08C6">
        <w:t xml:space="preserve">  In reply comments, CCTA likewise supports removal of the </w:t>
      </w:r>
      <w:r w:rsidR="38CC0FD2">
        <w:t>M</w:t>
      </w:r>
      <w:r>
        <w:t xml:space="preserve">inisterial </w:t>
      </w:r>
      <w:r w:rsidR="2CEAEE21">
        <w:t>R</w:t>
      </w:r>
      <w:r w:rsidRPr="00CA08C6">
        <w:t>eview requirements for applications received through additional application windows.</w:t>
      </w:r>
      <w:r w:rsidRPr="00CA08C6">
        <w:rPr>
          <w:vertAlign w:val="superscript"/>
        </w:rPr>
        <w:footnoteReference w:id="62"/>
      </w:r>
      <w:r w:rsidRPr="00CA08C6">
        <w:t xml:space="preserve">In opening comments, Frontier notes that the Proposed Decision declines to require that applicants pursue Rural Digital Opportunity Fund (“RDOF”) support as a condition of CASF eligibility </w:t>
      </w:r>
      <w:r w:rsidRPr="00CA08C6">
        <w:lastRenderedPageBreak/>
        <w:t>and states that “..while these synergies should be encouraged, it would be unduly limiting to require them.”</w:t>
      </w:r>
      <w:r w:rsidRPr="00CA08C6">
        <w:rPr>
          <w:vertAlign w:val="superscript"/>
        </w:rPr>
        <w:footnoteReference w:id="63"/>
      </w:r>
    </w:p>
    <w:p w:rsidR="00FF0D41" w:rsidP="00E66EBE" w:rsidRDefault="7A7F9E51" w14:paraId="318E6F56" w14:textId="77777777">
      <w:pPr>
        <w:rPr>
          <w:rFonts w:eastAsia="Book Antiqua" w:cs="Book Antiqua"/>
        </w:rPr>
      </w:pPr>
      <w:r w:rsidRPr="513DAAD2">
        <w:rPr>
          <w:rFonts w:eastAsia="Book Antiqua" w:cs="Book Antiqua"/>
        </w:rPr>
        <w:t xml:space="preserve">Only two parties provided comments on the revisions to the BPHA.  </w:t>
      </w:r>
      <w:r w:rsidRPr="513DAAD2">
        <w:rPr>
          <w:rFonts w:eastAsia="Book Antiqua" w:cs="Book Antiqua"/>
          <w:color w:val="1F497D"/>
        </w:rPr>
        <w:t xml:space="preserve">In opening comments, </w:t>
      </w:r>
      <w:r w:rsidRPr="513DAAD2">
        <w:rPr>
          <w:rFonts w:eastAsia="Book Antiqua" w:cs="Book Antiqua"/>
        </w:rPr>
        <w:t xml:space="preserve">CCTA stated that the Commission was adding in new and ambiguous language into the definition of an “unserved housing development” by introducing the term “access” and that this language contravenes </w:t>
      </w:r>
      <w:r w:rsidRPr="513DAAD2" w:rsidR="197DEA77">
        <w:rPr>
          <w:rFonts w:eastAsia="Book Antiqua" w:cs="Book Antiqua"/>
        </w:rPr>
        <w:t>statu</w:t>
      </w:r>
      <w:r w:rsidRPr="513DAAD2" w:rsidR="0F760D24">
        <w:rPr>
          <w:rFonts w:eastAsia="Book Antiqua" w:cs="Book Antiqua"/>
        </w:rPr>
        <w:t>t</w:t>
      </w:r>
      <w:r w:rsidRPr="513DAAD2" w:rsidR="197DEA77">
        <w:rPr>
          <w:rFonts w:eastAsia="Book Antiqua" w:cs="Book Antiqua"/>
        </w:rPr>
        <w:t>e</w:t>
      </w:r>
      <w:r w:rsidRPr="00CA08C6">
        <w:rPr>
          <w:rFonts w:eastAsia="Book Antiqua" w:cs="Book Antiqua"/>
          <w:sz w:val="22"/>
          <w:vertAlign w:val="superscript"/>
        </w:rPr>
        <w:footnoteReference w:id="64"/>
      </w:r>
      <w:r w:rsidRPr="513DAAD2">
        <w:rPr>
          <w:rFonts w:eastAsia="Book Antiqua" w:cs="Book Antiqua"/>
        </w:rPr>
        <w:t xml:space="preserve"> while </w:t>
      </w:r>
      <w:r w:rsidRPr="513DAAD2">
        <w:rPr>
          <w:rFonts w:eastAsia="Book Antiqua" w:cs="Book Antiqua"/>
          <w:color w:val="1F497D"/>
        </w:rPr>
        <w:t xml:space="preserve">in reply comments, </w:t>
      </w:r>
      <w:r w:rsidRPr="513DAAD2">
        <w:rPr>
          <w:rFonts w:eastAsia="Book Antiqua" w:cs="Book Antiqua"/>
        </w:rPr>
        <w:t>CETF supported this revision, saying that the change makes sense.</w:t>
      </w:r>
      <w:r w:rsidRPr="00CA08C6">
        <w:rPr>
          <w:rFonts w:eastAsia="Book Antiqua" w:cs="Book Antiqua"/>
          <w:sz w:val="22"/>
          <w:vertAlign w:val="superscript"/>
        </w:rPr>
        <w:footnoteReference w:id="65"/>
      </w:r>
      <w:r w:rsidRPr="513DAAD2">
        <w:rPr>
          <w:rFonts w:eastAsia="Book Antiqua" w:cs="Book Antiqua"/>
        </w:rPr>
        <w:t xml:space="preserve">  Given that the proposed modification is not adding the term “access” as this term is already employed in the determination of whether or not a location is an “unserved housing development” in the current decision, no modification will be made</w:t>
      </w:r>
      <w:r w:rsidRPr="513DAAD2">
        <w:rPr>
          <w:rFonts w:eastAsia="Book Antiqua" w:cs="Book Antiqua"/>
          <w:color w:val="1F497D"/>
        </w:rPr>
        <w:t xml:space="preserve"> in response to CCTA’s comment</w:t>
      </w:r>
      <w:bookmarkStart w:name="_Hlk47450882" w:id="50"/>
      <w:r w:rsidRPr="513DAAD2">
        <w:rPr>
          <w:rFonts w:eastAsia="Book Antiqua" w:cs="Book Antiqua"/>
        </w:rPr>
        <w:t>.</w:t>
      </w:r>
    </w:p>
    <w:p w:rsidR="00E66EBE" w:rsidP="00E66EBE" w:rsidRDefault="00E66EBE" w14:paraId="041AAE9B" w14:textId="4CDC113F">
      <w:r w:rsidRPr="00CA08C6">
        <w:t xml:space="preserve">In terms of the closing this proceeding and opening a new rulemaking, CCTA and Frontier agree but with some reservations.  CCTA has concerns that the </w:t>
      </w:r>
      <w:r>
        <w:t>Proposed Decision</w:t>
      </w:r>
      <w:r w:rsidRPr="00CA08C6">
        <w:t xml:space="preserve"> does not fully address issues raised in the ACR</w:t>
      </w:r>
      <w:r>
        <w:t xml:space="preserve"> </w:t>
      </w:r>
      <w:r w:rsidRPr="00CA08C6" w:rsidR="00FE0B53">
        <w:t>and suggests that “given the significant record on these issues, it would not be “efficient” to fail to address these issues now, or, at a minimum, require that this record be noticed in a new proceeding.”</w:t>
      </w:r>
      <w:r w:rsidRPr="00CA08C6" w:rsidR="00FE0B53">
        <w:rPr>
          <w:vertAlign w:val="superscript"/>
        </w:rPr>
        <w:footnoteReference w:id="66"/>
      </w:r>
      <w:r w:rsidRPr="00CA08C6" w:rsidR="00FE0B53">
        <w:t xml:space="preserve">  Frontier proposes that the Commission defer a new rulemaking until the current application cycle and pending Legislative activity completes.</w:t>
      </w:r>
      <w:r w:rsidRPr="00CA08C6" w:rsidR="00FE0B53">
        <w:rPr>
          <w:vertAlign w:val="superscript"/>
        </w:rPr>
        <w:footnoteReference w:id="67"/>
      </w:r>
      <w:r w:rsidRPr="00CA08C6" w:rsidR="00FE0B53">
        <w:t xml:space="preserve">  However, in reply comments CETF disagrees with Frontier on waiting until after several pending Legislative </w:t>
      </w:r>
      <w:r w:rsidRPr="00CA08C6" w:rsidR="00FE0B53">
        <w:lastRenderedPageBreak/>
        <w:t>activity completes and notes that broadband is a necessity in dealing with the current COVID-19.</w:t>
      </w:r>
      <w:r w:rsidRPr="00CA08C6" w:rsidR="00FE0B53">
        <w:rPr>
          <w:vertAlign w:val="superscript"/>
        </w:rPr>
        <w:footnoteReference w:id="68"/>
      </w:r>
      <w:r w:rsidRPr="00CA08C6" w:rsidR="003C35E6">
        <w:t xml:space="preserve">  </w:t>
      </w:r>
    </w:p>
    <w:p w:rsidR="00E66EBE" w:rsidP="00E66EBE" w:rsidRDefault="00D90B99" w14:paraId="54E34863" w14:textId="77777777">
      <w:r w:rsidRPr="003510A2">
        <w:t xml:space="preserve">In response to </w:t>
      </w:r>
      <w:r w:rsidRPr="003510A2" w:rsidR="001144BD">
        <w:t>comments and reply comments, we make the following revisions and clarifications throughout the Decision</w:t>
      </w:r>
      <w:r w:rsidRPr="003510A2" w:rsidR="00CA08C6">
        <w:t>,</w:t>
      </w:r>
      <w:r w:rsidRPr="003510A2" w:rsidR="001144BD">
        <w:t xml:space="preserve"> Appendix </w:t>
      </w:r>
      <w:proofErr w:type="gramStart"/>
      <w:r w:rsidRPr="003510A2" w:rsidR="001144BD">
        <w:t>1</w:t>
      </w:r>
      <w:proofErr w:type="gramEnd"/>
      <w:r w:rsidRPr="003510A2" w:rsidR="00CA08C6">
        <w:t xml:space="preserve"> and Appendix</w:t>
      </w:r>
      <w:r w:rsidR="00E66EBE">
        <w:t> </w:t>
      </w:r>
      <w:r w:rsidRPr="003510A2" w:rsidR="00CA08C6">
        <w:t>2</w:t>
      </w:r>
      <w:r w:rsidRPr="003510A2" w:rsidR="001144BD">
        <w:t>:</w:t>
      </w:r>
      <w:r w:rsidR="00E66EBE">
        <w:t xml:space="preserve"> </w:t>
      </w:r>
    </w:p>
    <w:p w:rsidRPr="000403BF" w:rsidR="00834FF6" w:rsidP="00E66EBE" w:rsidRDefault="005C5686" w14:paraId="15C9BB33" w14:textId="47F31E6E">
      <w:pPr>
        <w:pStyle w:val="Standard"/>
        <w:numPr>
          <w:ilvl w:val="0"/>
          <w:numId w:val="34"/>
        </w:numPr>
        <w:spacing w:after="120" w:line="240" w:lineRule="auto"/>
        <w:ind w:left="1080" w:right="1267"/>
      </w:pPr>
      <w:r w:rsidRPr="000403BF">
        <w:t>C</w:t>
      </w:r>
      <w:r w:rsidRPr="000403BF" w:rsidR="007317F2">
        <w:t>larify CETF</w:t>
      </w:r>
      <w:r w:rsidRPr="000403BF" w:rsidR="00E94FF7">
        <w:t xml:space="preserve">’s comments on the March </w:t>
      </w:r>
      <w:r w:rsidRPr="000403BF" w:rsidR="00675F02">
        <w:t>26 ACR</w:t>
      </w:r>
      <w:r w:rsidRPr="000403BF" w:rsidR="002A7ECA">
        <w:t xml:space="preserve"> </w:t>
      </w:r>
      <w:r w:rsidRPr="000403BF" w:rsidR="00563672">
        <w:t xml:space="preserve">to state that CETF supported no more than 10% of the total CASF funds be used for administration of the CASF fund, including technical </w:t>
      </w:r>
      <w:proofErr w:type="gramStart"/>
      <w:r w:rsidRPr="000403BF" w:rsidR="00563672">
        <w:t>assistance</w:t>
      </w:r>
      <w:r w:rsidRPr="000403BF" w:rsidR="00FB0EEA">
        <w:t>;</w:t>
      </w:r>
      <w:proofErr w:type="gramEnd"/>
    </w:p>
    <w:p w:rsidR="009B4C45" w:rsidP="003510A2" w:rsidRDefault="00EB157B" w14:paraId="336D2F58" w14:textId="7E7C608B">
      <w:pPr>
        <w:pStyle w:val="Standard"/>
        <w:numPr>
          <w:ilvl w:val="0"/>
          <w:numId w:val="34"/>
        </w:numPr>
        <w:spacing w:after="120" w:line="240" w:lineRule="auto"/>
        <w:ind w:left="1080" w:right="1267"/>
      </w:pPr>
      <w:r w:rsidRPr="000403BF">
        <w:t>Clarify</w:t>
      </w:r>
      <w:r w:rsidRPr="000403BF" w:rsidR="000C61A0">
        <w:t xml:space="preserve"> </w:t>
      </w:r>
      <w:r w:rsidR="3A5D83EB">
        <w:t xml:space="preserve">the </w:t>
      </w:r>
      <w:r w:rsidR="394BBA01">
        <w:t>S</w:t>
      </w:r>
      <w:r w:rsidR="5C157642">
        <w:t>taff</w:t>
      </w:r>
      <w:r w:rsidR="60BD09A9">
        <w:t>’s</w:t>
      </w:r>
      <w:r w:rsidRPr="000403BF" w:rsidR="00392FE2">
        <w:t xml:space="preserve"> authority </w:t>
      </w:r>
      <w:r w:rsidR="59AD127A">
        <w:t>and application criteria for grant</w:t>
      </w:r>
      <w:r w:rsidRPr="000403BF" w:rsidR="00392FE2">
        <w:t xml:space="preserve"> of </w:t>
      </w:r>
      <w:r w:rsidRPr="000403BF" w:rsidR="00CD4F9E">
        <w:t xml:space="preserve">Tribal </w:t>
      </w:r>
      <w:r w:rsidRPr="000403BF" w:rsidR="00392FE2">
        <w:t xml:space="preserve">technical assistance </w:t>
      </w:r>
      <w:r w:rsidR="00CA08C6">
        <w:t>in Appendix 1</w:t>
      </w:r>
      <w:r w:rsidRPr="000403BF" w:rsidR="00CD4F9E">
        <w:t>.</w:t>
      </w:r>
    </w:p>
    <w:p w:rsidR="00CA08C6" w:rsidP="003510A2" w:rsidRDefault="00CA08C6" w14:paraId="1D4D01CE" w14:textId="40961026">
      <w:pPr>
        <w:pStyle w:val="Standard"/>
        <w:numPr>
          <w:ilvl w:val="0"/>
          <w:numId w:val="34"/>
        </w:numPr>
        <w:spacing w:after="120" w:line="240" w:lineRule="auto"/>
        <w:ind w:left="1080" w:right="1267"/>
        <w:rPr>
          <w:rFonts w:asciiTheme="minorHAnsi" w:hAnsiTheme="minorHAnsi" w:eastAsiaTheme="minorEastAsia"/>
          <w:szCs w:val="26"/>
        </w:rPr>
      </w:pPr>
      <w:r>
        <w:t>Added the July 1, 2020 application due date (which already occurred)</w:t>
      </w:r>
      <w:r w:rsidR="4D9058E1">
        <w:t xml:space="preserve"> </w:t>
      </w:r>
      <w:r>
        <w:t>in Appendix 2</w:t>
      </w:r>
    </w:p>
    <w:p w:rsidRPr="00BF5AE7" w:rsidR="00BF5AE7" w:rsidP="003510A2" w:rsidRDefault="00524AE0" w14:paraId="6A3C3370" w14:textId="76B3A9F1">
      <w:pPr>
        <w:pStyle w:val="ListParagraph"/>
        <w:numPr>
          <w:ilvl w:val="0"/>
          <w:numId w:val="34"/>
        </w:numPr>
        <w:spacing w:after="120" w:line="240" w:lineRule="auto"/>
        <w:ind w:left="1080" w:right="1267"/>
        <w:contextualSpacing w:val="0"/>
      </w:pPr>
      <w:r>
        <w:t>Clarify that t</w:t>
      </w:r>
      <w:r w:rsidRPr="00BF5AE7" w:rsidR="00BF5AE7">
        <w:t>his rulemaking should be closed on September</w:t>
      </w:r>
      <w:r w:rsidR="00D90673">
        <w:t> </w:t>
      </w:r>
      <w:r w:rsidRPr="00BF5AE7" w:rsidR="00BF5AE7">
        <w:t xml:space="preserve">10, 2020 or upon the issuance of a new order instituting rulemaking that addresses issues related to CASF, whichever is later. </w:t>
      </w:r>
    </w:p>
    <w:p w:rsidRPr="003A12DF" w:rsidR="005939A5" w:rsidP="00BB504D" w:rsidRDefault="005939A5" w14:paraId="5A7977D4" w14:textId="172E2A23">
      <w:pPr>
        <w:pStyle w:val="Heading1"/>
        <w:numPr>
          <w:ilvl w:val="0"/>
          <w:numId w:val="28"/>
        </w:numPr>
        <w:ind w:left="360"/>
      </w:pPr>
      <w:bookmarkStart w:name="_Toc42009408" w:id="52"/>
      <w:bookmarkStart w:name="_Toc43744777" w:id="53"/>
      <w:r w:rsidRPr="003A12DF">
        <w:t>Assignment of Proceeding</w:t>
      </w:r>
      <w:bookmarkEnd w:id="43"/>
      <w:bookmarkEnd w:id="52"/>
      <w:bookmarkEnd w:id="53"/>
    </w:p>
    <w:p w:rsidRPr="00C20211" w:rsidR="00321BA3" w:rsidP="00467105" w:rsidRDefault="00D06F09" w14:paraId="228DF3F9" w14:textId="32BDACDF">
      <w:pPr>
        <w:pStyle w:val="Standard"/>
        <w:ind w:right="-720"/>
      </w:pPr>
      <w:r w:rsidRPr="00C20211">
        <w:t xml:space="preserve">Commissioner Martha Guzman Aceves </w:t>
      </w:r>
      <w:r w:rsidRPr="00C20211" w:rsidR="005939A5">
        <w:t>is the assigned Commissioner and</w:t>
      </w:r>
      <w:r w:rsidRPr="00C20211">
        <w:t xml:space="preserve"> Brian Stevens</w:t>
      </w:r>
      <w:r w:rsidRPr="00C20211" w:rsidR="005939A5">
        <w:t xml:space="preserve"> is the assigned Administrative Law Judge in this proceeding</w:t>
      </w:r>
      <w:bookmarkEnd w:id="50"/>
      <w:r w:rsidRPr="00C20211" w:rsidR="005939A5">
        <w:t>.</w:t>
      </w:r>
    </w:p>
    <w:p w:rsidRPr="003A12DF" w:rsidR="005939A5" w:rsidP="00C96F56" w:rsidRDefault="005939A5" w14:paraId="1B609D98" w14:textId="17F526B8">
      <w:pPr>
        <w:pStyle w:val="Dummy"/>
        <w:ind w:right="-720"/>
        <w:rPr>
          <w:rFonts w:ascii="Helvetica" w:hAnsi="Helvetica" w:cs="Helvetica"/>
        </w:rPr>
      </w:pPr>
      <w:bookmarkStart w:name="_Toc8123725" w:id="54"/>
      <w:bookmarkStart w:name="_Toc43744778" w:id="55"/>
      <w:r w:rsidRPr="003A12DF">
        <w:rPr>
          <w:rFonts w:ascii="Helvetica" w:hAnsi="Helvetica" w:cs="Helvetica"/>
        </w:rPr>
        <w:t>Findings of Fact</w:t>
      </w:r>
      <w:bookmarkEnd w:id="54"/>
      <w:bookmarkEnd w:id="55"/>
    </w:p>
    <w:p w:rsidRPr="00610E65" w:rsidR="12299C7E" w:rsidP="00BB504D" w:rsidRDefault="12299C7E" w14:paraId="188128C3" w14:textId="14496E89">
      <w:pPr>
        <w:pStyle w:val="FoF"/>
        <w:numPr>
          <w:ilvl w:val="0"/>
          <w:numId w:val="6"/>
        </w:numPr>
        <w:ind w:left="0" w:right="-720" w:firstLine="360"/>
      </w:pPr>
      <w:r w:rsidRPr="00C20211">
        <w:t>Currently, the CASF program has awarded approximately $271 million of the $570 million allocated for infrastructure projects.</w:t>
      </w:r>
    </w:p>
    <w:p w:rsidRPr="00610E65" w:rsidR="12299C7E" w:rsidP="00BB504D" w:rsidRDefault="12299C7E" w14:paraId="6BC0950E" w14:textId="489C139E">
      <w:pPr>
        <w:pStyle w:val="FoF"/>
        <w:numPr>
          <w:ilvl w:val="0"/>
          <w:numId w:val="6"/>
        </w:numPr>
        <w:ind w:left="0" w:right="-720" w:firstLine="360"/>
      </w:pPr>
      <w:r w:rsidRPr="00C20211">
        <w:t>Due to the COVID-19 public health emergency and in response to individual stakeholder’s requests, the Commission postponed the 2020 CASF infrastructure application deadline.</w:t>
      </w:r>
    </w:p>
    <w:p w:rsidRPr="00610E65" w:rsidR="12299C7E" w:rsidP="00BB504D" w:rsidRDefault="12299C7E" w14:paraId="6B3C8FF2" w14:textId="241F590A">
      <w:pPr>
        <w:pStyle w:val="FoF"/>
        <w:numPr>
          <w:ilvl w:val="0"/>
          <w:numId w:val="6"/>
        </w:numPr>
        <w:ind w:left="0" w:right="-720" w:firstLine="360"/>
      </w:pPr>
      <w:r w:rsidRPr="00C20211">
        <w:lastRenderedPageBreak/>
        <w:t>On May 4, 2020, the CD received 54 applications requesting approximately $533</w:t>
      </w:r>
      <w:r w:rsidR="00F33E9C">
        <w:t> </w:t>
      </w:r>
      <w:r w:rsidRPr="00C20211">
        <w:t>million in total funding from the Infrastructure Grant Account.</w:t>
      </w:r>
    </w:p>
    <w:p w:rsidRPr="00610E65" w:rsidR="002661FF" w:rsidP="00BB504D" w:rsidRDefault="002661FF" w14:paraId="2EFD1E3E" w14:textId="75EEEB61">
      <w:pPr>
        <w:pStyle w:val="FoF"/>
        <w:numPr>
          <w:ilvl w:val="0"/>
          <w:numId w:val="6"/>
        </w:numPr>
        <w:ind w:left="0" w:right="-720" w:firstLine="360"/>
      </w:pPr>
      <w:r w:rsidRPr="00610E65">
        <w:t>Even if all 54 applications from the May 4, 2020 application cycle met CASF rules and requirements, there would not be a guarantee that the goal</w:t>
      </w:r>
      <w:r w:rsidRPr="00C20211">
        <w:t xml:space="preserve"> </w:t>
      </w:r>
      <w:r w:rsidRPr="00C20211" w:rsidR="00481A04">
        <w:t>to reach 98</w:t>
      </w:r>
      <w:r w:rsidR="00F33E9C">
        <w:t> </w:t>
      </w:r>
      <w:r w:rsidRPr="00C20211" w:rsidR="00481A04">
        <w:t>percent of households in each consortia region by 2022</w:t>
      </w:r>
      <w:r w:rsidRPr="00610E65">
        <w:t xml:space="preserve"> of the program would be met.</w:t>
      </w:r>
    </w:p>
    <w:p w:rsidRPr="00610E65" w:rsidR="00DA7EBB" w:rsidP="00BB504D" w:rsidRDefault="00DA7EBB" w14:paraId="4710FF2B" w14:textId="0EDEEB5E">
      <w:pPr>
        <w:pStyle w:val="FoF"/>
        <w:numPr>
          <w:ilvl w:val="0"/>
          <w:numId w:val="6"/>
        </w:numPr>
        <w:ind w:left="0" w:right="-720" w:firstLine="360"/>
      </w:pPr>
      <w:r w:rsidRPr="00C20211">
        <w:t xml:space="preserve">In response to comments on the </w:t>
      </w:r>
      <w:r w:rsidRPr="004505CE" w:rsidR="00DA4992">
        <w:t>March 26, 2020</w:t>
      </w:r>
      <w:r w:rsidRPr="00C20211" w:rsidR="00DA4992">
        <w:t xml:space="preserve"> </w:t>
      </w:r>
      <w:r w:rsidRPr="00C20211">
        <w:t xml:space="preserve">ACR, multiple parties supported adding additional application windows and revising the timeline to accommodate review of additional applications.  </w:t>
      </w:r>
    </w:p>
    <w:p w:rsidRPr="00610E65" w:rsidR="009E0077" w:rsidP="00BB504D" w:rsidRDefault="009E0077" w14:paraId="482D3A19" w14:textId="1AF1B72D">
      <w:pPr>
        <w:pStyle w:val="FoF"/>
        <w:numPr>
          <w:ilvl w:val="0"/>
          <w:numId w:val="6"/>
        </w:numPr>
        <w:ind w:left="0" w:right="-720" w:firstLine="360"/>
      </w:pPr>
      <w:r w:rsidRPr="00C20211">
        <w:t xml:space="preserve">In response to comments on the </w:t>
      </w:r>
      <w:r w:rsidRPr="004505CE" w:rsidR="00DA4992">
        <w:t>March 26, 2020</w:t>
      </w:r>
      <w:r w:rsidRPr="00C20211">
        <w:t xml:space="preserve"> ACR, </w:t>
      </w:r>
      <w:proofErr w:type="gramStart"/>
      <w:r w:rsidRPr="00C20211">
        <w:t>the overwhelming majority of</w:t>
      </w:r>
      <w:proofErr w:type="gramEnd"/>
      <w:r w:rsidRPr="00C20211">
        <w:t xml:space="preserve"> parties supported increasing Staff’s authority to set additional applications windows.</w:t>
      </w:r>
    </w:p>
    <w:p w:rsidRPr="00C20211" w:rsidR="00080EDB" w:rsidP="00BB504D" w:rsidRDefault="00080EDB" w14:paraId="59B2DD0D" w14:textId="52EA78F4">
      <w:pPr>
        <w:pStyle w:val="FoF"/>
        <w:numPr>
          <w:ilvl w:val="0"/>
          <w:numId w:val="6"/>
        </w:numPr>
        <w:ind w:left="0" w:right="-720" w:firstLine="360"/>
      </w:pPr>
      <w:r w:rsidRPr="00C20211">
        <w:t xml:space="preserve">In response to comments on the </w:t>
      </w:r>
      <w:r w:rsidRPr="004505CE" w:rsidR="00DA4992">
        <w:t>March 26, 2020</w:t>
      </w:r>
      <w:r w:rsidRPr="00C20211" w:rsidR="00DA4992">
        <w:t xml:space="preserve"> </w:t>
      </w:r>
      <w:r w:rsidRPr="00C20211">
        <w:t>ACR, the majority of commenters agreed that applications submitted during additional rounds should not be limited to review by the</w:t>
      </w:r>
      <w:r w:rsidRPr="00C20211" w:rsidR="00DC4B0A">
        <w:t xml:space="preserve"> </w:t>
      </w:r>
      <w:r w:rsidRPr="00C20211">
        <w:t>ministerial review process nor be automatically rejected due to a complete and timely challenge.</w:t>
      </w:r>
    </w:p>
    <w:p w:rsidRPr="00C20211" w:rsidR="00194089" w:rsidP="00BB504D" w:rsidRDefault="0FCF5F2F" w14:paraId="346C9953" w14:textId="1213F11B">
      <w:pPr>
        <w:pStyle w:val="FoF"/>
        <w:numPr>
          <w:ilvl w:val="0"/>
          <w:numId w:val="6"/>
        </w:numPr>
        <w:ind w:left="0" w:right="-720" w:firstLine="360"/>
      </w:pPr>
      <w:r w:rsidRPr="00C20211">
        <w:t xml:space="preserve">In response to comments on the </w:t>
      </w:r>
      <w:r w:rsidRPr="004505CE" w:rsidR="4520BACB">
        <w:t>March 26, 2020</w:t>
      </w:r>
      <w:r w:rsidRPr="00C20211" w:rsidR="4520BACB">
        <w:t xml:space="preserve"> </w:t>
      </w:r>
      <w:r w:rsidRPr="00C20211">
        <w:t>ACR, parties overwhelmingly disagreed with a requirement that CASF awardees must apply for RDOF funding.</w:t>
      </w:r>
    </w:p>
    <w:p w:rsidRPr="00C20211" w:rsidR="00D658EF" w:rsidP="00BB504D" w:rsidRDefault="36A010E9" w14:paraId="30396E94" w14:textId="4B399FDC">
      <w:pPr>
        <w:pStyle w:val="FoF"/>
        <w:numPr>
          <w:ilvl w:val="0"/>
          <w:numId w:val="6"/>
        </w:numPr>
        <w:ind w:left="0" w:right="-720" w:firstLine="180"/>
      </w:pPr>
      <w:r w:rsidRPr="00C20211">
        <w:t xml:space="preserve">In response to comments on the March 26, 2020 ACR, </w:t>
      </w:r>
      <w:r w:rsidRPr="00C20211" w:rsidR="2CC5458F">
        <w:t xml:space="preserve">some parties </w:t>
      </w:r>
      <w:r w:rsidRPr="00C20211" w:rsidR="003145EF">
        <w:t>proposed that</w:t>
      </w:r>
      <w:r w:rsidRPr="00C20211" w:rsidR="160BBC15">
        <w:t xml:space="preserve"> Consortia</w:t>
      </w:r>
      <w:r w:rsidRPr="00C20211" w:rsidR="45155E24">
        <w:t xml:space="preserve"> </w:t>
      </w:r>
      <w:r w:rsidRPr="00C20211" w:rsidR="003145EF">
        <w:t xml:space="preserve">Account </w:t>
      </w:r>
      <w:r w:rsidRPr="00C20211" w:rsidR="45155E24">
        <w:t>funds</w:t>
      </w:r>
      <w:r w:rsidRPr="00C20211" w:rsidR="53A4BCAD">
        <w:t xml:space="preserve"> should be used</w:t>
      </w:r>
      <w:r w:rsidRPr="00C20211" w:rsidR="45155E24">
        <w:t xml:space="preserve"> for technical assistance </w:t>
      </w:r>
      <w:r w:rsidRPr="00C20211" w:rsidR="553561F6">
        <w:t xml:space="preserve">for </w:t>
      </w:r>
      <w:r w:rsidRPr="00C20211" w:rsidR="00CB1B61">
        <w:t>T</w:t>
      </w:r>
      <w:r w:rsidRPr="00C20211" w:rsidR="553561F6">
        <w:t>ribes while</w:t>
      </w:r>
      <w:r w:rsidRPr="00C20211" w:rsidR="2CC5458F">
        <w:t xml:space="preserve"> </w:t>
      </w:r>
      <w:r w:rsidRPr="00C20211">
        <w:t>The Utility Ref</w:t>
      </w:r>
      <w:r w:rsidRPr="00C20211" w:rsidR="5526AB23">
        <w:t xml:space="preserve">orm Network (TURN) </w:t>
      </w:r>
      <w:r w:rsidRPr="00C20211" w:rsidR="672ED77B">
        <w:t xml:space="preserve">agreed </w:t>
      </w:r>
      <w:r w:rsidRPr="00C20211" w:rsidR="22BCB74B">
        <w:t xml:space="preserve">that </w:t>
      </w:r>
      <w:r w:rsidRPr="00C20211" w:rsidR="672ED77B">
        <w:t xml:space="preserve">the Commission should provide technical assistance to </w:t>
      </w:r>
      <w:r w:rsidRPr="00C20211" w:rsidR="1D73337E">
        <w:t>T</w:t>
      </w:r>
      <w:r w:rsidRPr="00C20211" w:rsidR="672ED77B">
        <w:t>ribes</w:t>
      </w:r>
      <w:r w:rsidRPr="00C20211" w:rsidR="5526AB23">
        <w:t>.</w:t>
      </w:r>
      <w:r w:rsidRPr="00C20211" w:rsidR="056A0A86">
        <w:t xml:space="preserve"> </w:t>
      </w:r>
      <w:r w:rsidRPr="00C20211" w:rsidR="003145EF">
        <w:t xml:space="preserve"> </w:t>
      </w:r>
      <w:proofErr w:type="gramStart"/>
      <w:r w:rsidRPr="00C20211" w:rsidR="056A0A86">
        <w:t>The majority of</w:t>
      </w:r>
      <w:proofErr w:type="gramEnd"/>
      <w:r w:rsidRPr="00C20211" w:rsidR="056A0A86">
        <w:t xml:space="preserve"> parties</w:t>
      </w:r>
      <w:r w:rsidRPr="00C20211" w:rsidR="0E52461A">
        <w:t xml:space="preserve">’ </w:t>
      </w:r>
      <w:r w:rsidRPr="00C20211" w:rsidR="003145EF">
        <w:t>comments and reply comments</w:t>
      </w:r>
      <w:r w:rsidRPr="00C20211" w:rsidR="056A0A86">
        <w:t xml:space="preserve"> </w:t>
      </w:r>
      <w:r w:rsidRPr="00C20211" w:rsidR="657D5EBA">
        <w:t xml:space="preserve">did not address the issue of providing </w:t>
      </w:r>
      <w:r w:rsidRPr="00C20211" w:rsidR="25B7A0F5">
        <w:t xml:space="preserve">technical assistance to </w:t>
      </w:r>
      <w:r w:rsidRPr="00C20211" w:rsidR="03246740">
        <w:t>T</w:t>
      </w:r>
      <w:r w:rsidRPr="00C20211" w:rsidR="25B7A0F5">
        <w:t>ribes.</w:t>
      </w:r>
      <w:r w:rsidRPr="00C20211" w:rsidR="006F4D96">
        <w:t xml:space="preserve"> </w:t>
      </w:r>
      <w:r w:rsidR="00F33E9C">
        <w:t xml:space="preserve"> </w:t>
      </w:r>
      <w:r w:rsidRPr="00610E65" w:rsidR="5DBF3046">
        <w:t xml:space="preserve">The FCC adopted a </w:t>
      </w:r>
      <w:r w:rsidRPr="00610E65" w:rsidR="00CB1B61">
        <w:t>T</w:t>
      </w:r>
      <w:r w:rsidRPr="00610E65" w:rsidR="5DBF3046">
        <w:t xml:space="preserve">ribal </w:t>
      </w:r>
      <w:r w:rsidRPr="00610E65" w:rsidR="00CB1B61">
        <w:t>P</w:t>
      </w:r>
      <w:r w:rsidRPr="00610E65" w:rsidR="5DBF3046">
        <w:t xml:space="preserve">riority </w:t>
      </w:r>
      <w:r w:rsidRPr="00610E65" w:rsidR="00CB1B61">
        <w:t>W</w:t>
      </w:r>
      <w:r w:rsidRPr="00610E65" w:rsidR="5DBF3046">
        <w:t xml:space="preserve">indow for rural, federally recognized </w:t>
      </w:r>
      <w:r w:rsidRPr="00610E65" w:rsidR="00CB1B61">
        <w:t>T</w:t>
      </w:r>
      <w:r w:rsidRPr="00610E65" w:rsidR="5DBF3046">
        <w:t xml:space="preserve">ribes to apply for 2.5 GHz spectrum over their </w:t>
      </w:r>
      <w:r w:rsidRPr="00610E65" w:rsidR="00CB1B61">
        <w:t>T</w:t>
      </w:r>
      <w:r w:rsidRPr="00610E65" w:rsidR="5DBF3046">
        <w:t xml:space="preserve">ribal lands.  </w:t>
      </w:r>
    </w:p>
    <w:p w:rsidRPr="004505CE" w:rsidR="009D02B1" w:rsidP="00BB504D" w:rsidRDefault="544D2DC9" w14:paraId="69E566FC" w14:textId="6124CC3C">
      <w:pPr>
        <w:pStyle w:val="FoF"/>
        <w:numPr>
          <w:ilvl w:val="0"/>
          <w:numId w:val="6"/>
        </w:numPr>
        <w:ind w:left="0" w:right="-720" w:firstLine="180"/>
      </w:pPr>
      <w:r w:rsidRPr="00610E65">
        <w:lastRenderedPageBreak/>
        <w:t xml:space="preserve">The term unserved housing development is based on </w:t>
      </w:r>
      <w:proofErr w:type="gramStart"/>
      <w:r w:rsidRPr="00610E65">
        <w:t>whether or not</w:t>
      </w:r>
      <w:proofErr w:type="gramEnd"/>
      <w:r w:rsidRPr="00610E65">
        <w:t xml:space="preserve"> an ISP </w:t>
      </w:r>
      <w:r w:rsidRPr="00610E65" w:rsidR="72F506BB">
        <w:t xml:space="preserve">can </w:t>
      </w:r>
      <w:r w:rsidRPr="00610E65">
        <w:t xml:space="preserve">provide broadband access to the </w:t>
      </w:r>
      <w:r w:rsidRPr="00610E65" w:rsidR="72F506BB">
        <w:t>entire</w:t>
      </w:r>
      <w:r w:rsidRPr="00610E65">
        <w:t xml:space="preserve"> property and is not based on actual subscription</w:t>
      </w:r>
      <w:r w:rsidRPr="00610E65" w:rsidR="4710838C">
        <w:t>.</w:t>
      </w:r>
      <w:r w:rsidRPr="00610E65" w:rsidR="510B822B">
        <w:t xml:space="preserve">  A challenge process to consider whether </w:t>
      </w:r>
      <w:r w:rsidRPr="00610E65" w:rsidR="0C5E47EC">
        <w:t xml:space="preserve">an ISP can provide broadband access to the </w:t>
      </w:r>
      <w:r w:rsidRPr="00610E65" w:rsidR="7462FD3A">
        <w:t xml:space="preserve">entire property </w:t>
      </w:r>
      <w:r w:rsidRPr="00610E65" w:rsidR="5B1AFC2B">
        <w:t xml:space="preserve">is reasonable. </w:t>
      </w:r>
    </w:p>
    <w:p w:rsidRPr="004505CE" w:rsidR="00E87635" w:rsidP="00BB504D" w:rsidRDefault="39E16AFC" w14:paraId="78E500C1" w14:textId="74A4A443">
      <w:pPr>
        <w:pStyle w:val="FoF"/>
        <w:numPr>
          <w:ilvl w:val="0"/>
          <w:numId w:val="6"/>
        </w:numPr>
        <w:ind w:left="0" w:right="-720" w:firstLine="180"/>
      </w:pPr>
      <w:r w:rsidRPr="00610E65">
        <w:t>If an ISP already provides access to all units</w:t>
      </w:r>
      <w:r w:rsidRPr="00610E65" w:rsidR="2A7D2186">
        <w:t xml:space="preserve"> of a multifamily housing development</w:t>
      </w:r>
      <w:r w:rsidRPr="00610E65">
        <w:t xml:space="preserve">, it does not mean that the residents in </w:t>
      </w:r>
      <w:proofErr w:type="gramStart"/>
      <w:r w:rsidRPr="00610E65">
        <w:t xml:space="preserve">the </w:t>
      </w:r>
      <w:r w:rsidRPr="00610E65" w:rsidR="2A7D2186">
        <w:t>all</w:t>
      </w:r>
      <w:proofErr w:type="gramEnd"/>
      <w:r w:rsidRPr="00610E65" w:rsidR="2A7D2186">
        <w:t xml:space="preserve"> units must</w:t>
      </w:r>
      <w:r w:rsidRPr="00610E65">
        <w:t xml:space="preserve"> subscribe to that service</w:t>
      </w:r>
      <w:r w:rsidRPr="00610E65" w:rsidR="2A7D2186">
        <w:t>.</w:t>
      </w:r>
    </w:p>
    <w:p w:rsidRPr="00610E65" w:rsidR="009D02B1" w:rsidP="00BB504D" w:rsidRDefault="544D2DC9" w14:paraId="743C94F5" w14:textId="5C496F6F">
      <w:pPr>
        <w:pStyle w:val="FoF"/>
        <w:numPr>
          <w:ilvl w:val="0"/>
          <w:numId w:val="6"/>
        </w:numPr>
        <w:ind w:left="0" w:right="-720" w:firstLine="180"/>
      </w:pPr>
      <w:r w:rsidRPr="00610E65">
        <w:t>An unserved housing development is a housing development where at least one housing unit within the housing development is not offered broadband Internet service.</w:t>
      </w:r>
    </w:p>
    <w:p w:rsidRPr="00A30B3D" w:rsidR="009F3EFB" w:rsidP="004505CE" w:rsidRDefault="005939A5" w14:paraId="515DF14D" w14:textId="2DD4250F">
      <w:pPr>
        <w:pStyle w:val="Dummy"/>
        <w:ind w:right="-720"/>
        <w:rPr>
          <w:rFonts w:ascii="Helvetica" w:hAnsi="Helvetica" w:cs="Helvetica"/>
          <w:bCs/>
        </w:rPr>
      </w:pPr>
      <w:bookmarkStart w:name="_Toc8123726" w:id="56"/>
      <w:bookmarkStart w:name="_Toc43744779" w:id="57"/>
      <w:r w:rsidRPr="00A30B3D">
        <w:rPr>
          <w:rFonts w:ascii="Helvetica" w:hAnsi="Helvetica" w:cs="Helvetica"/>
          <w:bCs/>
        </w:rPr>
        <w:t>Conclusions of Law</w:t>
      </w:r>
      <w:bookmarkEnd w:id="56"/>
      <w:bookmarkEnd w:id="57"/>
    </w:p>
    <w:p w:rsidRPr="004505CE" w:rsidR="009D02B1" w:rsidP="00A30B3D" w:rsidRDefault="7777C21B" w14:paraId="4456DFF6" w14:textId="275D4390">
      <w:pPr>
        <w:pStyle w:val="FoF"/>
        <w:numPr>
          <w:ilvl w:val="6"/>
          <w:numId w:val="1"/>
        </w:numPr>
        <w:tabs>
          <w:tab w:val="clear" w:pos="1080"/>
        </w:tabs>
        <w:ind w:left="0" w:right="-720" w:firstLine="360"/>
      </w:pPr>
      <w:r w:rsidRPr="004505CE">
        <w:t xml:space="preserve">The Guidelines set forth in Appendix </w:t>
      </w:r>
      <w:r w:rsidRPr="00C20211" w:rsidR="74EA01FF">
        <w:t>2</w:t>
      </w:r>
      <w:r w:rsidRPr="004505CE">
        <w:t xml:space="preserve"> are consistent with the intent and objectives of the Broadband Public Housing Account as stated in Pub. Util. Code </w:t>
      </w:r>
      <w:r w:rsidR="001F5F59">
        <w:t>Section </w:t>
      </w:r>
      <w:r w:rsidRPr="004505CE">
        <w:t>281(i)(</w:t>
      </w:r>
      <w:proofErr w:type="gramStart"/>
      <w:r w:rsidRPr="004505CE">
        <w:t>1)-(</w:t>
      </w:r>
      <w:proofErr w:type="gramEnd"/>
      <w:r w:rsidRPr="004505CE">
        <w:t>i)(7).</w:t>
      </w:r>
    </w:p>
    <w:p w:rsidRPr="00C20211" w:rsidR="00DC4B0A" w:rsidP="001F5F59" w:rsidRDefault="7395FAD2" w14:paraId="304D9D24" w14:textId="505A54B4">
      <w:pPr>
        <w:pStyle w:val="FoF"/>
        <w:numPr>
          <w:ilvl w:val="6"/>
          <w:numId w:val="1"/>
        </w:numPr>
        <w:tabs>
          <w:tab w:val="clear" w:pos="1080"/>
        </w:tabs>
        <w:ind w:left="0" w:right="-720" w:firstLine="360"/>
      </w:pPr>
      <w:r w:rsidRPr="00C20211">
        <w:t xml:space="preserve">The Public Utilities Code does not explicitly limit a project from receiving both federal and CASF funding, </w:t>
      </w:r>
      <w:proofErr w:type="gramStart"/>
      <w:r w:rsidRPr="00C20211">
        <w:t>with the exception of</w:t>
      </w:r>
      <w:proofErr w:type="gramEnd"/>
      <w:r w:rsidRPr="00C20211">
        <w:t xml:space="preserve"> Pub. Util. Code </w:t>
      </w:r>
      <w:r w:rsidR="001F5F59">
        <w:t>S</w:t>
      </w:r>
      <w:r w:rsidRPr="00C20211">
        <w:t xml:space="preserve">ection 281(f)(5)(C) which has a sunset date of July 1, 2020.  </w:t>
      </w:r>
    </w:p>
    <w:p w:rsidRPr="00C20211" w:rsidR="00484121" w:rsidP="001F5F59" w:rsidRDefault="35ACEBA7" w14:paraId="17B12406" w14:textId="549E3207">
      <w:pPr>
        <w:pStyle w:val="FoF"/>
        <w:numPr>
          <w:ilvl w:val="6"/>
          <w:numId w:val="1"/>
        </w:numPr>
        <w:tabs>
          <w:tab w:val="clear" w:pos="1080"/>
        </w:tabs>
        <w:ind w:left="0" w:right="-720" w:firstLine="360"/>
      </w:pPr>
      <w:r w:rsidRPr="00C20211">
        <w:t xml:space="preserve">Pub. Util. </w:t>
      </w:r>
      <w:r w:rsidR="00966796">
        <w:t>C</w:t>
      </w:r>
      <w:r w:rsidRPr="00C20211" w:rsidR="00966796">
        <w:t xml:space="preserve">ode </w:t>
      </w:r>
      <w:r w:rsidRPr="00C20211">
        <w:t>§ 281 (b)(1)(A) set the goal of the CASF program to reach 98</w:t>
      </w:r>
      <w:r w:rsidR="001F5F59">
        <w:t> </w:t>
      </w:r>
      <w:r w:rsidRPr="00C20211">
        <w:t>percent of households in each consortia region by 2022.</w:t>
      </w:r>
    </w:p>
    <w:p w:rsidRPr="00C20211" w:rsidR="00484121" w:rsidP="001F5F59" w:rsidRDefault="35ACEBA7" w14:paraId="09CF10D2" w14:textId="156FA156">
      <w:pPr>
        <w:pStyle w:val="FoF"/>
        <w:numPr>
          <w:ilvl w:val="6"/>
          <w:numId w:val="1"/>
        </w:numPr>
        <w:tabs>
          <w:tab w:val="clear" w:pos="1080"/>
        </w:tabs>
        <w:ind w:left="0" w:right="-720" w:firstLine="360"/>
      </w:pPr>
      <w:r w:rsidRPr="00C20211">
        <w:t xml:space="preserve">Commission CD staff should have the authorization to set additional infrastructure application windows in 2020 and/or subsequent years </w:t>
      </w:r>
      <w:proofErr w:type="gramStart"/>
      <w:r w:rsidRPr="00C20211">
        <w:t>in order to</w:t>
      </w:r>
      <w:proofErr w:type="gramEnd"/>
      <w:r w:rsidRPr="00C20211">
        <w:t xml:space="preserve"> maximize broadband infrastructure deployment and leverage multiple funding sources, to better meet the goal of the program</w:t>
      </w:r>
      <w:r w:rsidRPr="00C20211" w:rsidR="7BF00139">
        <w:t>.</w:t>
      </w:r>
    </w:p>
    <w:p w:rsidRPr="00C20211" w:rsidR="0042598C" w:rsidP="001F5F59" w:rsidRDefault="1F1DA96B" w14:paraId="266472F2" w14:textId="3641A0DF">
      <w:pPr>
        <w:pStyle w:val="FoF"/>
        <w:numPr>
          <w:ilvl w:val="6"/>
          <w:numId w:val="1"/>
        </w:numPr>
        <w:tabs>
          <w:tab w:val="clear" w:pos="1080"/>
        </w:tabs>
        <w:ind w:left="0" w:right="-720" w:firstLine="360"/>
      </w:pPr>
      <w:r w:rsidRPr="00C20211">
        <w:t>Commission CD staff should be authorized to set additional application window(s) and timeline</w:t>
      </w:r>
      <w:r w:rsidR="00966796">
        <w:t>(s)</w:t>
      </w:r>
      <w:r w:rsidRPr="00C20211">
        <w:t xml:space="preserve">, via a letter from the </w:t>
      </w:r>
      <w:r w:rsidRPr="00C20211" w:rsidR="38FEE952">
        <w:t>Communications Division</w:t>
      </w:r>
      <w:r w:rsidRPr="00C20211">
        <w:t xml:space="preserve"> to the CASF Distribution and Service Lists for </w:t>
      </w:r>
      <w:r w:rsidRPr="00C20211" w:rsidR="2ED2CBD0">
        <w:t>T</w:t>
      </w:r>
      <w:r w:rsidRPr="00C20211">
        <w:t xml:space="preserve">ribal areas and/or other eligible applicants to </w:t>
      </w:r>
      <w:r w:rsidRPr="00C20211">
        <w:lastRenderedPageBreak/>
        <w:t xml:space="preserve">incorporate federal broadband funding opportunities, such as RDOF.  Applications during additional window(s) should not be required to meet the Ministerial Review criteria.  Further, applications submitted during additional application window(s) receiving a complete and timely challenge should not automatically </w:t>
      </w:r>
      <w:r w:rsidR="00966796">
        <w:t xml:space="preserve">be </w:t>
      </w:r>
      <w:r w:rsidRPr="00C20211">
        <w:t xml:space="preserve">denied.  Staff should be authorized to determine and maintain a six-month review and approval timeline for applications submitted during subsequent application window(s).  </w:t>
      </w:r>
    </w:p>
    <w:p w:rsidRPr="00C20211" w:rsidR="00B356CE" w:rsidP="001F5F59" w:rsidRDefault="00B356CE" w14:paraId="2D9CCDE6" w14:textId="7AB25480">
      <w:pPr>
        <w:pStyle w:val="FoF"/>
        <w:numPr>
          <w:ilvl w:val="6"/>
          <w:numId w:val="1"/>
        </w:numPr>
        <w:tabs>
          <w:tab w:val="clear" w:pos="1080"/>
        </w:tabs>
        <w:ind w:left="0" w:right="-720" w:firstLine="360"/>
        <w:rPr>
          <w:szCs w:val="26"/>
        </w:rPr>
      </w:pPr>
      <w:r w:rsidRPr="00C20211">
        <w:rPr>
          <w:szCs w:val="26"/>
        </w:rPr>
        <w:t xml:space="preserve">The changes to the CASF Broadband Public Housing Account Application Requirements and Guidelines as set forth in Appendix </w:t>
      </w:r>
      <w:r w:rsidRPr="00C20211" w:rsidR="0008599D">
        <w:rPr>
          <w:szCs w:val="26"/>
        </w:rPr>
        <w:t>2</w:t>
      </w:r>
      <w:r w:rsidRPr="00C20211">
        <w:rPr>
          <w:szCs w:val="26"/>
        </w:rPr>
        <w:t xml:space="preserve"> attached hereto should be adopted. </w:t>
      </w:r>
    </w:p>
    <w:p w:rsidRPr="00C20211" w:rsidR="00295779" w:rsidP="001F5F59" w:rsidRDefault="7D64BF95" w14:paraId="6652CF29" w14:textId="5F8287B3">
      <w:pPr>
        <w:pStyle w:val="FoF"/>
        <w:numPr>
          <w:ilvl w:val="6"/>
          <w:numId w:val="1"/>
        </w:numPr>
        <w:tabs>
          <w:tab w:val="clear" w:pos="1080"/>
        </w:tabs>
        <w:ind w:left="0" w:right="-720" w:firstLine="360"/>
      </w:pPr>
      <w:r w:rsidRPr="004505CE">
        <w:t>ISPs</w:t>
      </w:r>
      <w:r w:rsidRPr="00C20211">
        <w:t xml:space="preserve"> should have</w:t>
      </w:r>
      <w:r w:rsidRPr="004505CE">
        <w:t xml:space="preserve"> three weeks from the date of the posting of the application to the BPHA website to challenge the application. </w:t>
      </w:r>
    </w:p>
    <w:p w:rsidRPr="00C20211" w:rsidR="007F6AE0" w:rsidP="001F5F59" w:rsidRDefault="007F6AE0" w14:paraId="7831553C" w14:textId="107B3F2D">
      <w:pPr>
        <w:pStyle w:val="FoF"/>
        <w:numPr>
          <w:ilvl w:val="6"/>
          <w:numId w:val="1"/>
        </w:numPr>
        <w:tabs>
          <w:tab w:val="clear" w:pos="1080"/>
        </w:tabs>
        <w:ind w:left="0" w:right="-720" w:firstLine="360"/>
      </w:pPr>
      <w:bookmarkStart w:name="_Hlk47027231" w:id="58"/>
      <w:r>
        <w:t xml:space="preserve">This rulemaking should be closed on September 10, 2020 or upon the issuance of a new order instituting rulemaking that addresses issues related to CASF, whichever is later. </w:t>
      </w:r>
    </w:p>
    <w:p w:rsidRPr="00C20211" w:rsidR="00BB0243" w:rsidP="00202922" w:rsidRDefault="005939A5" w14:paraId="3F465CCD" w14:textId="7BE5C39F">
      <w:pPr>
        <w:pStyle w:val="Mainex"/>
        <w:spacing w:before="120"/>
      </w:pPr>
      <w:bookmarkStart w:name="_Toc43744780" w:id="59"/>
      <w:bookmarkEnd w:id="58"/>
      <w:r w:rsidRPr="004505CE">
        <w:t>O</w:t>
      </w:r>
      <w:r w:rsidRPr="004505CE" w:rsidR="00722850">
        <w:t>RDER</w:t>
      </w:r>
      <w:bookmarkEnd w:id="59"/>
    </w:p>
    <w:p w:rsidRPr="00C20211" w:rsidR="00BB0243" w:rsidP="00C96F56" w:rsidRDefault="00BB0243" w14:paraId="0962F58C" w14:textId="743822B6">
      <w:pPr>
        <w:keepNext/>
        <w:ind w:right="-720"/>
      </w:pPr>
      <w:r w:rsidRPr="00C20211">
        <w:rPr>
          <w:b/>
        </w:rPr>
        <w:t>IT IS ORDERED</w:t>
      </w:r>
      <w:r w:rsidRPr="00C20211">
        <w:t xml:space="preserve"> that:</w:t>
      </w:r>
    </w:p>
    <w:p w:rsidRPr="00C20211" w:rsidR="00CE6154" w:rsidP="00BB504D" w:rsidRDefault="00D07853" w14:paraId="241F9E40" w14:textId="609209A7">
      <w:pPr>
        <w:pStyle w:val="ListParagraph"/>
        <w:numPr>
          <w:ilvl w:val="0"/>
          <w:numId w:val="24"/>
        </w:numPr>
        <w:ind w:left="0" w:right="-720" w:firstLine="360"/>
        <w:rPr>
          <w:rFonts w:eastAsiaTheme="minorEastAsia"/>
        </w:rPr>
      </w:pPr>
      <w:r>
        <w:t>T</w:t>
      </w:r>
      <w:r w:rsidR="00B63818">
        <w:t xml:space="preserve">he Commission’s </w:t>
      </w:r>
      <w:r w:rsidRPr="00C20211" w:rsidR="231A1B6D">
        <w:t>Communications Division is assigned responsibility and authority to perfo</w:t>
      </w:r>
      <w:r w:rsidRPr="00C20211" w:rsidR="1B3F326F">
        <w:t>r</w:t>
      </w:r>
      <w:r w:rsidRPr="00C20211" w:rsidR="231A1B6D">
        <w:t>m the task of setting additional infrastructure application windows and timelines for the California Advanced Services Fund Broadband Infrastructure Grant Account</w:t>
      </w:r>
      <w:r w:rsidR="001F5F59">
        <w:t>.</w:t>
      </w:r>
      <w:r w:rsidRPr="00C20211" w:rsidR="231A1B6D">
        <w:t xml:space="preserve"> </w:t>
      </w:r>
    </w:p>
    <w:p w:rsidRPr="00C20211" w:rsidR="00CE6154" w:rsidP="00BB504D" w:rsidRDefault="00B63818" w14:paraId="1E4B4380" w14:textId="2CE63B11">
      <w:pPr>
        <w:pStyle w:val="ListParagraph"/>
        <w:keepNext/>
        <w:numPr>
          <w:ilvl w:val="0"/>
          <w:numId w:val="24"/>
        </w:numPr>
        <w:ind w:left="0" w:right="-720" w:firstLine="360"/>
        <w:rPr>
          <w:rFonts w:eastAsiaTheme="minorEastAsia"/>
        </w:rPr>
      </w:pPr>
      <w:r w:rsidRPr="00B63818">
        <w:t xml:space="preserve">The Commission’s </w:t>
      </w:r>
      <w:r w:rsidRPr="00C20211" w:rsidR="00033640">
        <w:t xml:space="preserve">Communications Division is </w:t>
      </w:r>
      <w:r w:rsidRPr="00C20211" w:rsidR="00370A14">
        <w:t xml:space="preserve">assigned </w:t>
      </w:r>
      <w:r w:rsidRPr="00C20211" w:rsidR="00E1458A">
        <w:t xml:space="preserve">responsibility and </w:t>
      </w:r>
      <w:r w:rsidRPr="00C20211" w:rsidR="00033640">
        <w:t>author</w:t>
      </w:r>
      <w:r w:rsidRPr="00C20211" w:rsidR="005B0E71">
        <w:t>ity</w:t>
      </w:r>
      <w:r w:rsidRPr="00C20211" w:rsidR="00033640">
        <w:t xml:space="preserve"> to </w:t>
      </w:r>
      <w:r w:rsidRPr="00C20211" w:rsidR="00683BBF">
        <w:t>use</w:t>
      </w:r>
      <w:r w:rsidRPr="00C20211" w:rsidR="28D15434">
        <w:t xml:space="preserve"> </w:t>
      </w:r>
      <w:r w:rsidRPr="00C20211" w:rsidR="001F5F59">
        <w:t xml:space="preserve">California Advanced Services Fund </w:t>
      </w:r>
      <w:r w:rsidRPr="00C20211" w:rsidR="00205C77">
        <w:t xml:space="preserve">state </w:t>
      </w:r>
      <w:r w:rsidRPr="00C20211" w:rsidR="75346C7A">
        <w:t xml:space="preserve">operations </w:t>
      </w:r>
      <w:r w:rsidRPr="00C20211" w:rsidR="28D15434">
        <w:t xml:space="preserve">funds </w:t>
      </w:r>
      <w:r w:rsidRPr="00C20211" w:rsidR="3D0D0E77">
        <w:t>to provide</w:t>
      </w:r>
      <w:r w:rsidRPr="00C20211" w:rsidR="28D15434">
        <w:t xml:space="preserve"> technical assistance</w:t>
      </w:r>
      <w:r w:rsidRPr="00C20211" w:rsidR="06C177AE">
        <w:t xml:space="preserve"> for</w:t>
      </w:r>
      <w:r w:rsidRPr="00C20211" w:rsidR="00033640">
        <w:t xml:space="preserve"> </w:t>
      </w:r>
      <w:r w:rsidRPr="00C20211" w:rsidR="00F231B4">
        <w:t>T</w:t>
      </w:r>
      <w:r w:rsidRPr="00C20211" w:rsidR="00683BBF">
        <w:t>ribes</w:t>
      </w:r>
      <w:r w:rsidRPr="00C20211" w:rsidR="00033640">
        <w:t xml:space="preserve">.  Staff </w:t>
      </w:r>
      <w:r w:rsidRPr="00C20211" w:rsidR="00D70A7C">
        <w:t>should utilize</w:t>
      </w:r>
      <w:r w:rsidRPr="00C20211" w:rsidR="0586C682">
        <w:t xml:space="preserve"> the criteria specified in Appendix 1 </w:t>
      </w:r>
      <w:r w:rsidRPr="00C20211" w:rsidR="0586C682">
        <w:lastRenderedPageBreak/>
        <w:t>to assist Tribes.</w:t>
      </w:r>
      <w:r w:rsidRPr="00C20211" w:rsidR="002521A0">
        <w:t xml:space="preserve"> </w:t>
      </w:r>
      <w:r w:rsidRPr="00C20211" w:rsidR="36C97218">
        <w:t xml:space="preserve"> Staff shall prepare and submit an annual report with a summary of how operations funds were utilized to provide technical assistance to tribes.</w:t>
      </w:r>
    </w:p>
    <w:p w:rsidRPr="00C20211" w:rsidR="00F22D77" w:rsidP="00BB504D" w:rsidRDefault="723628F8" w14:paraId="2898A32B" w14:textId="739DCBDE">
      <w:pPr>
        <w:pStyle w:val="ListParagraph"/>
        <w:keepNext/>
        <w:numPr>
          <w:ilvl w:val="0"/>
          <w:numId w:val="24"/>
        </w:numPr>
        <w:ind w:left="0" w:right="-720" w:firstLine="360"/>
      </w:pPr>
      <w:r w:rsidRPr="00C20211">
        <w:t>The programmatic changes to the C</w:t>
      </w:r>
      <w:r w:rsidRPr="00C20211" w:rsidR="02D3BEC3">
        <w:t>a</w:t>
      </w:r>
      <w:r w:rsidRPr="00C20211">
        <w:t>lifo</w:t>
      </w:r>
      <w:r w:rsidRPr="00C20211" w:rsidR="1E4E7C29">
        <w:t>r</w:t>
      </w:r>
      <w:r w:rsidRPr="00C20211">
        <w:t xml:space="preserve">nia Advanced Services Fund program as set </w:t>
      </w:r>
      <w:r w:rsidRPr="00C20211" w:rsidR="49DC1CB5">
        <w:t>forth</w:t>
      </w:r>
      <w:r w:rsidRPr="00C20211">
        <w:t xml:space="preserve"> in Appendix </w:t>
      </w:r>
      <w:r w:rsidRPr="00C20211" w:rsidR="77DED310">
        <w:t>2</w:t>
      </w:r>
      <w:r w:rsidRPr="00C20211">
        <w:t xml:space="preserve"> (Broadband Public Housing Account Application Requiremen</w:t>
      </w:r>
      <w:r w:rsidRPr="00C20211" w:rsidR="409ED7A9">
        <w:t>t</w:t>
      </w:r>
      <w:r w:rsidRPr="00C20211">
        <w:t>s and Guidelines)</w:t>
      </w:r>
      <w:r w:rsidRPr="00C20211" w:rsidR="16E3EE62">
        <w:t xml:space="preserve"> attached hereto are hereby adop</w:t>
      </w:r>
      <w:r w:rsidRPr="00C20211" w:rsidR="48A875BD">
        <w:t>t</w:t>
      </w:r>
      <w:r w:rsidRPr="00C20211" w:rsidR="16E3EE62">
        <w:t>ed.</w:t>
      </w:r>
    </w:p>
    <w:p w:rsidRPr="00C20211" w:rsidR="00446113" w:rsidP="007071E9" w:rsidRDefault="2E0D98BF" w14:paraId="4ACC5419" w14:textId="53DDBB83">
      <w:pPr>
        <w:pStyle w:val="OP"/>
        <w:keepNext/>
        <w:keepLines/>
        <w:ind w:right="-720" w:firstLine="360"/>
      </w:pPr>
      <w:r w:rsidRPr="00C20211">
        <w:t xml:space="preserve">The Commission may revisit the whole of the </w:t>
      </w:r>
      <w:r w:rsidRPr="00C20211" w:rsidR="35D5893F">
        <w:t>California Advanced Services Fund</w:t>
      </w:r>
      <w:r w:rsidRPr="00C20211">
        <w:t xml:space="preserve"> program rules in a future proceeding.</w:t>
      </w:r>
      <w:r w:rsidRPr="00C20211" w:rsidR="468E4BA9">
        <w:t xml:space="preserve">  </w:t>
      </w:r>
      <w:r w:rsidRPr="00C20211" w:rsidR="646F4B40">
        <w:t>T</w:t>
      </w:r>
      <w:r w:rsidRPr="00C20211" w:rsidR="045E9DA1">
        <w:t>he entire record in R</w:t>
      </w:r>
      <w:r w:rsidRPr="00C20211" w:rsidR="3C272B39">
        <w:t>ulemaking</w:t>
      </w:r>
      <w:r w:rsidR="001F5F59">
        <w:t> </w:t>
      </w:r>
      <w:r w:rsidRPr="00C20211" w:rsidR="045E9DA1">
        <w:t>12</w:t>
      </w:r>
      <w:r w:rsidR="001F5F59">
        <w:noBreakHyphen/>
      </w:r>
      <w:r w:rsidRPr="00C20211" w:rsidR="045E9DA1">
        <w:t>10</w:t>
      </w:r>
      <w:r w:rsidR="001F5F59">
        <w:noBreakHyphen/>
      </w:r>
      <w:r w:rsidRPr="00C20211" w:rsidR="045E9DA1">
        <w:t>012</w:t>
      </w:r>
      <w:r w:rsidRPr="00C20211" w:rsidR="3C272B39">
        <w:t xml:space="preserve"> </w:t>
      </w:r>
      <w:r w:rsidRPr="00C20211" w:rsidR="4C405A88">
        <w:t>will likely be</w:t>
      </w:r>
      <w:r w:rsidRPr="00C20211" w:rsidR="646F4B40">
        <w:t xml:space="preserve"> noticed </w:t>
      </w:r>
      <w:r w:rsidRPr="00C20211" w:rsidR="3C272B39">
        <w:t xml:space="preserve">for </w:t>
      </w:r>
      <w:r w:rsidRPr="00C20211" w:rsidR="0E68A1B5">
        <w:t xml:space="preserve">consideration </w:t>
      </w:r>
      <w:r w:rsidRPr="00C20211" w:rsidR="3C272B39">
        <w:t>in a further rulemaking</w:t>
      </w:r>
      <w:r w:rsidRPr="00C20211" w:rsidR="1A2DF107">
        <w:t xml:space="preserve"> as needed</w:t>
      </w:r>
      <w:r w:rsidRPr="00C20211" w:rsidR="045E9DA1">
        <w:t>.</w:t>
      </w:r>
      <w:r w:rsidR="007071E9">
        <w:t xml:space="preserve">5.  </w:t>
      </w:r>
      <w:r w:rsidRPr="00C20211" w:rsidR="3AA4DBFF">
        <w:t>Rulemaking</w:t>
      </w:r>
      <w:r w:rsidRPr="00C20211" w:rsidR="2B79B9BA">
        <w:t xml:space="preserve"> 12</w:t>
      </w:r>
      <w:r w:rsidR="004B6485">
        <w:t>-</w:t>
      </w:r>
      <w:r w:rsidRPr="00C20211" w:rsidR="2B79B9BA">
        <w:t>10-012</w:t>
      </w:r>
      <w:r w:rsidRPr="00C20211" w:rsidR="3AA4DBFF">
        <w:t xml:space="preserve"> </w:t>
      </w:r>
      <w:r w:rsidR="00446113">
        <w:t>will be</w:t>
      </w:r>
      <w:r w:rsidRPr="00C20211" w:rsidR="3AA4DBFF">
        <w:t xml:space="preserve"> closed</w:t>
      </w:r>
      <w:r w:rsidR="007F6AE0">
        <w:t xml:space="preserve"> on</w:t>
      </w:r>
      <w:r w:rsidRPr="007F6AE0" w:rsidR="007F6AE0">
        <w:t xml:space="preserve"> </w:t>
      </w:r>
      <w:r w:rsidR="007F6AE0">
        <w:t>September</w:t>
      </w:r>
      <w:r w:rsidR="003510A2">
        <w:t> </w:t>
      </w:r>
      <w:r w:rsidR="007F6AE0">
        <w:t>10,</w:t>
      </w:r>
      <w:r w:rsidR="003510A2">
        <w:t> </w:t>
      </w:r>
      <w:r w:rsidR="007F6AE0">
        <w:t>2020 or upon the issuance of a new order instituting rulemaking that addresses issues related to the California Advanced Services Fund, whichever is later</w:t>
      </w:r>
      <w:r w:rsidDel="007F6AE0" w:rsidR="3AA4DBFF">
        <w:t>.</w:t>
      </w:r>
      <w:r w:rsidR="11C55C4F">
        <w:t xml:space="preserve"> </w:t>
      </w:r>
    </w:p>
    <w:p w:rsidRPr="00C20211" w:rsidR="008F0116" w:rsidP="007071E9" w:rsidRDefault="008F0116" w14:paraId="35DA0B71" w14:textId="77777777">
      <w:pPr>
        <w:keepNext/>
        <w:keepLines/>
        <w:ind w:right="-720"/>
      </w:pPr>
      <w:r w:rsidRPr="00C20211">
        <w:t>This order is effective today.</w:t>
      </w:r>
    </w:p>
    <w:p w:rsidR="00714CF2" w:rsidP="007071E9" w:rsidRDefault="008F0116" w14:paraId="08F5AFD7" w14:textId="1B54BB35">
      <w:pPr>
        <w:keepNext/>
        <w:keepLines/>
        <w:ind w:right="-720"/>
      </w:pPr>
      <w:r w:rsidRPr="00C20211">
        <w:t xml:space="preserve">Dated </w:t>
      </w:r>
      <w:r w:rsidRPr="001632E9" w:rsidR="001632E9">
        <w:t>August 6, 2020</w:t>
      </w:r>
      <w:r w:rsidRPr="00C20211">
        <w:t xml:space="preserve">, at </w:t>
      </w:r>
      <w:r w:rsidR="002D1654">
        <w:t>San Francisco</w:t>
      </w:r>
      <w:r w:rsidRPr="00C20211">
        <w:t>, California</w:t>
      </w:r>
    </w:p>
    <w:p w:rsidR="001F5F59" w:rsidP="007071E9" w:rsidRDefault="001F5F59" w14:paraId="31B4919C" w14:textId="32E8E077">
      <w:pPr>
        <w:keepNext/>
        <w:keepLines/>
        <w:spacing w:line="240" w:lineRule="auto"/>
        <w:ind w:right="-720"/>
      </w:pPr>
    </w:p>
    <w:p w:rsidR="001F5F59" w:rsidP="007071E9" w:rsidRDefault="001F5F59" w14:paraId="2AF816CA" w14:textId="0A8F09E5">
      <w:pPr>
        <w:keepNext/>
        <w:keepLines/>
        <w:spacing w:line="240" w:lineRule="auto"/>
        <w:ind w:right="-720"/>
      </w:pPr>
    </w:p>
    <w:p w:rsidR="001632E9" w:rsidP="001632E9" w:rsidRDefault="001632E9" w14:paraId="2FA8C50C" w14:textId="77777777">
      <w:pPr>
        <w:autoSpaceDE w:val="0"/>
        <w:autoSpaceDN w:val="0"/>
        <w:adjustRightInd w:val="0"/>
        <w:spacing w:line="240" w:lineRule="auto"/>
        <w:ind w:left="4320"/>
        <w:jc w:val="both"/>
        <w:rPr>
          <w:rFonts w:ascii="Palatino" w:hAnsi="Palatino" w:cs="Palatino"/>
          <w:szCs w:val="26"/>
        </w:rPr>
      </w:pPr>
      <w:bookmarkStart w:name="_Hlk17215919" w:id="60"/>
      <w:r>
        <w:rPr>
          <w:rFonts w:cs="Courier New"/>
          <w:szCs w:val="26"/>
        </w:rPr>
        <w:t>MARYBEL BATJER</w:t>
      </w:r>
    </w:p>
    <w:p w:rsidR="001632E9" w:rsidP="001632E9" w:rsidRDefault="001632E9" w14:paraId="789C1F38" w14:textId="77777777">
      <w:pPr>
        <w:autoSpaceDE w:val="0"/>
        <w:autoSpaceDN w:val="0"/>
        <w:adjustRightInd w:val="0"/>
        <w:spacing w:line="240" w:lineRule="auto"/>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1632E9" w:rsidP="001632E9" w:rsidRDefault="001632E9" w14:paraId="18669A96" w14:textId="77777777">
      <w:pPr>
        <w:autoSpaceDE w:val="0"/>
        <w:autoSpaceDN w:val="0"/>
        <w:adjustRightInd w:val="0"/>
        <w:spacing w:line="240" w:lineRule="auto"/>
        <w:ind w:left="4320"/>
        <w:jc w:val="both"/>
        <w:rPr>
          <w:rFonts w:cs="Courier New"/>
          <w:szCs w:val="26"/>
        </w:rPr>
      </w:pPr>
      <w:r>
        <w:rPr>
          <w:rFonts w:cs="Courier New"/>
          <w:szCs w:val="26"/>
        </w:rPr>
        <w:t>LIANE M. RANDOLPH</w:t>
      </w:r>
    </w:p>
    <w:p w:rsidR="001632E9" w:rsidP="001632E9" w:rsidRDefault="001632E9" w14:paraId="33452E0E" w14:textId="77777777">
      <w:pPr>
        <w:autoSpaceDE w:val="0"/>
        <w:autoSpaceDN w:val="0"/>
        <w:adjustRightInd w:val="0"/>
        <w:spacing w:line="240" w:lineRule="auto"/>
        <w:ind w:left="4320"/>
        <w:jc w:val="both"/>
        <w:rPr>
          <w:rFonts w:ascii="Times New Roman" w:hAnsi="Times New Roman" w:cs="Arial"/>
          <w:sz w:val="28"/>
          <w:szCs w:val="28"/>
        </w:rPr>
      </w:pPr>
      <w:r>
        <w:rPr>
          <w:rFonts w:ascii="Times New Roman" w:hAnsi="Times New Roman"/>
          <w:sz w:val="28"/>
          <w:szCs w:val="28"/>
        </w:rPr>
        <w:t>MARTHA GUZMAN ACEVES</w:t>
      </w:r>
    </w:p>
    <w:p w:rsidR="001632E9" w:rsidP="001632E9" w:rsidRDefault="001632E9" w14:paraId="0004A675" w14:textId="77777777">
      <w:pPr>
        <w:autoSpaceDE w:val="0"/>
        <w:autoSpaceDN w:val="0"/>
        <w:adjustRightInd w:val="0"/>
        <w:spacing w:line="240" w:lineRule="auto"/>
        <w:ind w:left="4320"/>
        <w:jc w:val="both"/>
        <w:rPr>
          <w:rFonts w:ascii="Palatino" w:hAnsi="Palatino"/>
          <w:sz w:val="28"/>
          <w:szCs w:val="28"/>
        </w:rPr>
      </w:pPr>
      <w:r>
        <w:rPr>
          <w:sz w:val="28"/>
          <w:szCs w:val="28"/>
        </w:rPr>
        <w:t>CLIFFORD RECHTSCHAFFEN</w:t>
      </w:r>
    </w:p>
    <w:p w:rsidR="001632E9" w:rsidP="001632E9" w:rsidRDefault="001632E9" w14:paraId="4D728209" w14:textId="77777777">
      <w:pPr>
        <w:autoSpaceDE w:val="0"/>
        <w:autoSpaceDN w:val="0"/>
        <w:adjustRightInd w:val="0"/>
        <w:spacing w:line="240" w:lineRule="auto"/>
        <w:ind w:left="4320"/>
        <w:jc w:val="both"/>
        <w:rPr>
          <w:sz w:val="28"/>
          <w:szCs w:val="28"/>
        </w:rPr>
      </w:pPr>
      <w:r>
        <w:rPr>
          <w:sz w:val="28"/>
          <w:szCs w:val="28"/>
        </w:rPr>
        <w:t>GENEVIEVE SHIROMA</w:t>
      </w:r>
    </w:p>
    <w:p w:rsidR="001632E9" w:rsidP="001632E9" w:rsidRDefault="001632E9" w14:paraId="3CF38191" w14:textId="77777777">
      <w:pPr>
        <w:autoSpaceDE w:val="0"/>
        <w:autoSpaceDN w:val="0"/>
        <w:adjustRightInd w:val="0"/>
        <w:spacing w:line="240" w:lineRule="auto"/>
        <w:ind w:left="4320"/>
        <w:jc w:val="both"/>
        <w:rPr>
          <w:rFonts w:cs="Palatino"/>
          <w:szCs w:val="26"/>
        </w:rPr>
      </w:pPr>
      <w:r>
        <w:rPr>
          <w:rFonts w:cs="Palatino"/>
          <w:szCs w:val="26"/>
        </w:rPr>
        <w:t xml:space="preserve">                 Commissioners</w:t>
      </w:r>
    </w:p>
    <w:bookmarkEnd w:id="60"/>
    <w:p w:rsidR="001632E9" w:rsidP="001632E9" w:rsidRDefault="001632E9" w14:paraId="64BE6766" w14:textId="77777777">
      <w:pPr>
        <w:rPr>
          <w:rFonts w:cs="Arial"/>
          <w:sz w:val="24"/>
          <w:szCs w:val="24"/>
        </w:rPr>
      </w:pPr>
    </w:p>
    <w:p w:rsidR="001F5F59" w:rsidP="007071E9" w:rsidRDefault="001F5F59" w14:paraId="2C7B46BF" w14:textId="1055DBD7">
      <w:pPr>
        <w:keepNext/>
        <w:keepLines/>
        <w:spacing w:line="240" w:lineRule="auto"/>
        <w:ind w:right="-720"/>
      </w:pPr>
    </w:p>
    <w:p w:rsidR="001F5F59" w:rsidP="007071E9" w:rsidRDefault="001F5F59" w14:paraId="48DF8166" w14:textId="41740C08">
      <w:pPr>
        <w:keepNext/>
        <w:keepLines/>
        <w:spacing w:line="240" w:lineRule="auto"/>
        <w:ind w:right="-720"/>
      </w:pPr>
    </w:p>
    <w:p w:rsidR="001F5F59" w:rsidP="001F5F59" w:rsidRDefault="001F5F59" w14:paraId="1BFE70EA" w14:textId="77777777">
      <w:pPr>
        <w:spacing w:line="240" w:lineRule="auto"/>
        <w:ind w:right="-720"/>
      </w:pPr>
    </w:p>
    <w:p w:rsidR="001F5F59" w:rsidP="001F5F59" w:rsidRDefault="001F5F59" w14:paraId="5A489A53" w14:textId="2E554788">
      <w:pPr>
        <w:spacing w:line="240" w:lineRule="auto"/>
        <w:ind w:right="-720"/>
      </w:pPr>
    </w:p>
    <w:p w:rsidRPr="00C20211" w:rsidR="001F5F59" w:rsidP="00C96F56" w:rsidRDefault="001F5F59" w14:paraId="18A5FD08" w14:textId="77777777">
      <w:pPr>
        <w:ind w:right="-720"/>
      </w:pPr>
    </w:p>
    <w:p w:rsidR="00FF2A79" w:rsidP="00C96F56" w:rsidRDefault="00FF2A79" w14:paraId="0215F464" w14:textId="7C694592">
      <w:pPr>
        <w:spacing w:after="160" w:line="259" w:lineRule="auto"/>
        <w:ind w:right="-720" w:firstLine="0"/>
        <w:sectPr w:rsidR="00FF2A79" w:rsidSect="0043594B">
          <w:headerReference w:type="default" r:id="rId19"/>
          <w:footerReference w:type="default" r:id="rId20"/>
          <w:pgSz w:w="12240" w:h="15840"/>
          <w:pgMar w:top="1728" w:right="1440" w:bottom="1440" w:left="1530" w:header="720" w:footer="720" w:gutter="0"/>
          <w:pgNumType w:start="2"/>
          <w:cols w:space="720"/>
          <w:docGrid w:linePitch="360"/>
        </w:sectPr>
      </w:pPr>
    </w:p>
    <w:p w:rsidR="00202922" w:rsidP="624D1952" w:rsidRDefault="00202922" w14:paraId="66DC419B" w14:textId="77777777">
      <w:pPr>
        <w:spacing w:after="160" w:line="259" w:lineRule="auto"/>
        <w:ind w:hanging="90"/>
        <w:jc w:val="center"/>
        <w:rPr>
          <w:b/>
          <w:bCs/>
          <w:sz w:val="64"/>
          <w:szCs w:val="64"/>
        </w:rPr>
      </w:pPr>
    </w:p>
    <w:p w:rsidR="00202922" w:rsidP="624D1952" w:rsidRDefault="00202922" w14:paraId="339E279C" w14:textId="77777777">
      <w:pPr>
        <w:spacing w:after="160" w:line="259" w:lineRule="auto"/>
        <w:ind w:hanging="90"/>
        <w:jc w:val="center"/>
        <w:rPr>
          <w:b/>
          <w:bCs/>
          <w:sz w:val="64"/>
          <w:szCs w:val="64"/>
        </w:rPr>
      </w:pPr>
    </w:p>
    <w:p w:rsidR="00202922" w:rsidP="624D1952" w:rsidRDefault="00202922" w14:paraId="3B1C616B" w14:textId="77777777">
      <w:pPr>
        <w:spacing w:after="160" w:line="259" w:lineRule="auto"/>
        <w:ind w:hanging="90"/>
        <w:jc w:val="center"/>
        <w:rPr>
          <w:b/>
          <w:bCs/>
          <w:sz w:val="64"/>
          <w:szCs w:val="64"/>
        </w:rPr>
      </w:pPr>
    </w:p>
    <w:p w:rsidR="00202922" w:rsidP="624D1952" w:rsidRDefault="00202922" w14:paraId="77EF739E" w14:textId="77777777">
      <w:pPr>
        <w:spacing w:after="160" w:line="259" w:lineRule="auto"/>
        <w:ind w:hanging="90"/>
        <w:jc w:val="center"/>
        <w:rPr>
          <w:b/>
          <w:bCs/>
          <w:sz w:val="64"/>
          <w:szCs w:val="64"/>
        </w:rPr>
      </w:pPr>
    </w:p>
    <w:p w:rsidR="00202922" w:rsidP="624D1952" w:rsidRDefault="00202922" w14:paraId="26D3E34D" w14:textId="77777777">
      <w:pPr>
        <w:spacing w:after="160" w:line="259" w:lineRule="auto"/>
        <w:ind w:hanging="90"/>
        <w:jc w:val="center"/>
        <w:rPr>
          <w:b/>
          <w:bCs/>
          <w:sz w:val="64"/>
          <w:szCs w:val="64"/>
        </w:rPr>
      </w:pPr>
    </w:p>
    <w:p w:rsidR="00483CF8" w:rsidP="624D1952" w:rsidRDefault="2E57CAFD" w14:paraId="68398B00" w14:textId="383365C4">
      <w:pPr>
        <w:spacing w:after="160" w:line="259" w:lineRule="auto"/>
        <w:ind w:hanging="90"/>
        <w:jc w:val="center"/>
        <w:rPr>
          <w:b/>
          <w:bCs/>
          <w:sz w:val="64"/>
          <w:szCs w:val="64"/>
        </w:rPr>
        <w:sectPr w:rsidR="00483CF8" w:rsidSect="002F4007">
          <w:footerReference w:type="default" r:id="rId21"/>
          <w:headerReference w:type="first" r:id="rId22"/>
          <w:footerReference w:type="first" r:id="rId23"/>
          <w:pgSz w:w="12240" w:h="15840"/>
          <w:pgMar w:top="1728" w:right="1440" w:bottom="1440" w:left="1530" w:header="720" w:footer="720" w:gutter="0"/>
          <w:pgNumType w:start="1"/>
          <w:cols w:space="720"/>
          <w:titlePg/>
          <w:docGrid w:linePitch="360"/>
        </w:sectPr>
      </w:pPr>
      <w:r w:rsidRPr="00C20211">
        <w:rPr>
          <w:b/>
          <w:bCs/>
          <w:sz w:val="64"/>
          <w:szCs w:val="64"/>
        </w:rPr>
        <w:t xml:space="preserve">Appendix </w:t>
      </w:r>
      <w:r w:rsidR="00FF2A79">
        <w:rPr>
          <w:b/>
          <w:bCs/>
          <w:sz w:val="64"/>
          <w:szCs w:val="64"/>
        </w:rPr>
        <w:t>1</w:t>
      </w:r>
    </w:p>
    <w:p w:rsidR="00CA09FE" w:rsidP="004505CE" w:rsidRDefault="186E3E92" w14:paraId="6230A8C3" w14:textId="77777777">
      <w:pPr>
        <w:spacing w:after="160" w:line="259" w:lineRule="auto"/>
        <w:ind w:firstLine="0"/>
        <w:jc w:val="center"/>
        <w:rPr>
          <w:b/>
          <w:bCs/>
          <w:sz w:val="32"/>
          <w:szCs w:val="32"/>
        </w:rPr>
      </w:pPr>
      <w:r w:rsidRPr="00DF6D43">
        <w:rPr>
          <w:b/>
          <w:bCs/>
          <w:sz w:val="32"/>
          <w:szCs w:val="32"/>
        </w:rPr>
        <w:lastRenderedPageBreak/>
        <w:t xml:space="preserve">Tribal </w:t>
      </w:r>
      <w:r w:rsidRPr="00DF6D43" w:rsidR="24985754">
        <w:rPr>
          <w:b/>
          <w:bCs/>
          <w:sz w:val="32"/>
          <w:szCs w:val="32"/>
        </w:rPr>
        <w:t xml:space="preserve">Technical Assistance </w:t>
      </w:r>
    </w:p>
    <w:p w:rsidR="00E70ADC" w:rsidP="00953915" w:rsidRDefault="00CA09FE" w14:paraId="6852171E" w14:textId="2A9EF910">
      <w:pPr>
        <w:spacing w:after="160" w:line="259" w:lineRule="auto"/>
        <w:ind w:firstLine="0"/>
        <w:jc w:val="center"/>
      </w:pPr>
      <w:r w:rsidRPr="00DF6D43">
        <w:rPr>
          <w:b/>
          <w:bCs/>
          <w:sz w:val="32"/>
          <w:szCs w:val="32"/>
        </w:rPr>
        <w:t xml:space="preserve">Application Requirements and </w:t>
      </w:r>
      <w:r w:rsidRPr="00DF6D43" w:rsidR="173984AC">
        <w:rPr>
          <w:b/>
          <w:bCs/>
          <w:sz w:val="32"/>
          <w:szCs w:val="32"/>
        </w:rPr>
        <w:t>Guidelines</w:t>
      </w:r>
    </w:p>
    <w:p w:rsidRPr="00AA2CFE" w:rsidR="00715405" w:rsidP="00DF6D43" w:rsidRDefault="00715405" w14:paraId="78B6F86E" w14:textId="77777777">
      <w:pPr>
        <w:pStyle w:val="ListParagraph"/>
        <w:numPr>
          <w:ilvl w:val="0"/>
          <w:numId w:val="29"/>
        </w:numPr>
        <w:spacing w:after="120" w:line="240" w:lineRule="auto"/>
        <w:contextualSpacing w:val="0"/>
        <w:rPr>
          <w:rFonts w:ascii="Calibri" w:hAnsi="Calibri" w:eastAsia="Times New Roman"/>
          <w:color w:val="000000"/>
        </w:rPr>
      </w:pPr>
      <w:r w:rsidRPr="00DF6D43">
        <w:rPr>
          <w:rFonts w:eastAsia="Times New Roman"/>
          <w:color w:val="000000" w:themeColor="text1"/>
        </w:rPr>
        <w:t>Background</w:t>
      </w:r>
    </w:p>
    <w:p w:rsidR="00953915" w:rsidP="00CA7746" w:rsidRDefault="00953915" w14:paraId="6A84F745" w14:textId="5E3DA170">
      <w:pPr>
        <w:pStyle w:val="ListParagraph"/>
        <w:spacing w:after="120" w:line="240" w:lineRule="auto"/>
        <w:ind w:firstLine="0"/>
        <w:contextualSpacing w:val="0"/>
      </w:pPr>
      <w:r>
        <w:t xml:space="preserve">To advance the California Advanced Services Fund (CASF) goal </w:t>
      </w:r>
      <w:r w:rsidR="26D4ED0D">
        <w:t xml:space="preserve">of Pub. Util. Code section 281(b)(1)(A) </w:t>
      </w:r>
      <w:r>
        <w:t>to increase broadband access</w:t>
      </w:r>
      <w:r w:rsidR="58EE80D6">
        <w:t>, technical assistance grants will be made available</w:t>
      </w:r>
      <w:r>
        <w:t xml:space="preserve">   support Tribes on their reservations, trust lands and surrounding areas to leverage non-CASF </w:t>
      </w:r>
      <w:r w:rsidR="53C50C4F">
        <w:t xml:space="preserve">broadband deployment </w:t>
      </w:r>
      <w:r>
        <w:t>funding</w:t>
      </w:r>
      <w:r w:rsidR="154D3A09">
        <w:t>.</w:t>
      </w:r>
      <w:r w:rsidR="5CD967F1">
        <w:t>,</w:t>
      </w:r>
      <w:r>
        <w:t xml:space="preserve"> </w:t>
      </w:r>
      <w:r w:rsidR="2597108C">
        <w:t>T</w:t>
      </w:r>
      <w:r w:rsidR="5CD967F1">
        <w:t>he</w:t>
      </w:r>
      <w:r>
        <w:t xml:space="preserve"> </w:t>
      </w:r>
      <w:r w:rsidR="7D471E1D">
        <w:t xml:space="preserve">Commission </w:t>
      </w:r>
      <w:r w:rsidR="6F083845">
        <w:t>authorizes</w:t>
      </w:r>
      <w:r w:rsidR="7D471E1D">
        <w:t xml:space="preserve"> </w:t>
      </w:r>
      <w:r>
        <w:t xml:space="preserve">Communications Division Staff (Staff) </w:t>
      </w:r>
      <w:r w:rsidR="0007181A">
        <w:t xml:space="preserve"> </w:t>
      </w:r>
      <w:r>
        <w:t xml:space="preserve">to </w:t>
      </w:r>
      <w:r w:rsidR="24DF0B58">
        <w:t>approve applications for</w:t>
      </w:r>
      <w:r>
        <w:t xml:space="preserve"> CASF administrative funds (for example, state operations) to provide technical assistance  for Tribes.  </w:t>
      </w:r>
      <w:r w:rsidR="00C16614">
        <w:t xml:space="preserve">The following criteria </w:t>
      </w:r>
      <w:r w:rsidR="002C139D">
        <w:t xml:space="preserve">details the process and guidelines </w:t>
      </w:r>
      <w:r w:rsidR="003E1815">
        <w:t xml:space="preserve">for requesting, reviewing, and approving “Technical Assistance Grants.”  </w:t>
      </w:r>
    </w:p>
    <w:p w:rsidR="00715405" w:rsidP="00DF6D43" w:rsidRDefault="00715405" w14:paraId="1E6590A5" w14:textId="170B05AF">
      <w:pPr>
        <w:pStyle w:val="ListParagraph"/>
        <w:numPr>
          <w:ilvl w:val="1"/>
          <w:numId w:val="29"/>
        </w:numPr>
        <w:spacing w:after="120" w:line="240" w:lineRule="auto"/>
        <w:contextualSpacing w:val="0"/>
        <w:rPr>
          <w:rFonts w:asciiTheme="minorHAnsi" w:hAnsiTheme="minorHAnsi" w:eastAsiaTheme="minorEastAsia"/>
          <w:color w:val="000000"/>
          <w:szCs w:val="26"/>
        </w:rPr>
      </w:pPr>
      <w:r w:rsidRPr="00DF6D43">
        <w:rPr>
          <w:color w:val="000000" w:themeColor="text1"/>
        </w:rPr>
        <w:t>Amount Available for Grants</w:t>
      </w:r>
    </w:p>
    <w:p w:rsidR="008C3596" w:rsidP="189037C3" w:rsidRDefault="00900CD7" w14:paraId="57F4C7F6" w14:textId="193A2964">
      <w:pPr>
        <w:pStyle w:val="ListParagraph"/>
        <w:spacing w:after="120" w:line="240" w:lineRule="auto"/>
        <w:ind w:firstLine="0"/>
        <w:contextualSpacing w:val="0"/>
        <w:rPr>
          <w:rFonts w:eastAsia="Book Antiqua" w:cs="Book Antiqua"/>
          <w:color w:val="000000" w:themeColor="text1"/>
        </w:rPr>
      </w:pPr>
      <w:r w:rsidRPr="00DF6D43">
        <w:rPr>
          <w:rFonts w:eastAsia="Book Antiqua" w:cs="Book Antiqua"/>
          <w:color w:val="000000" w:themeColor="text1"/>
        </w:rPr>
        <w:t xml:space="preserve">CASF administrative funds (for example, </w:t>
      </w:r>
      <w:r w:rsidRPr="00DF6D43" w:rsidR="00C573D4">
        <w:rPr>
          <w:rFonts w:eastAsia="Book Antiqua" w:cs="Book Antiqua"/>
          <w:color w:val="000000" w:themeColor="text1"/>
        </w:rPr>
        <w:t>S</w:t>
      </w:r>
      <w:r w:rsidRPr="00DF6D43">
        <w:rPr>
          <w:rFonts w:eastAsia="Book Antiqua" w:cs="Book Antiqua"/>
          <w:color w:val="000000" w:themeColor="text1"/>
        </w:rPr>
        <w:t xml:space="preserve">tate </w:t>
      </w:r>
      <w:r w:rsidRPr="00DF6D43" w:rsidR="00C573D4">
        <w:rPr>
          <w:rFonts w:eastAsia="Book Antiqua" w:cs="Book Antiqua"/>
          <w:color w:val="000000" w:themeColor="text1"/>
        </w:rPr>
        <w:t>O</w:t>
      </w:r>
      <w:r w:rsidRPr="00DF6D43">
        <w:rPr>
          <w:rFonts w:eastAsia="Book Antiqua" w:cs="Book Antiqua"/>
          <w:color w:val="000000" w:themeColor="text1"/>
        </w:rPr>
        <w:t>perations) will be available for communications technical assistance, including but not limited to, feasibility studies, market studies, and/or business plans</w:t>
      </w:r>
      <w:r w:rsidRPr="00DF6D43" w:rsidR="28E52285">
        <w:rPr>
          <w:rFonts w:eastAsia="Book Antiqua" w:cs="Book Antiqua"/>
          <w:color w:val="000000" w:themeColor="text1"/>
        </w:rPr>
        <w:t>,</w:t>
      </w:r>
      <w:r w:rsidRPr="00DF6D43">
        <w:rPr>
          <w:rFonts w:eastAsia="Book Antiqua" w:cs="Book Antiqua"/>
          <w:color w:val="000000" w:themeColor="text1"/>
        </w:rPr>
        <w:t xml:space="preserve"> not to exceed $150,000 </w:t>
      </w:r>
      <w:r w:rsidRPr="00DF6D43" w:rsidR="4A6E28C7">
        <w:rPr>
          <w:rFonts w:eastAsia="Book Antiqua" w:cs="Book Antiqua"/>
          <w:color w:val="000000" w:themeColor="text1"/>
        </w:rPr>
        <w:t xml:space="preserve">per </w:t>
      </w:r>
      <w:r w:rsidRPr="00DF6D43" w:rsidR="48003E40">
        <w:rPr>
          <w:rFonts w:eastAsia="Book Antiqua" w:cs="Book Antiqua"/>
          <w:color w:val="000000" w:themeColor="text1"/>
        </w:rPr>
        <w:t xml:space="preserve">Tribe, per </w:t>
      </w:r>
      <w:r w:rsidRPr="00DF6D43" w:rsidR="4A6E28C7">
        <w:rPr>
          <w:rFonts w:eastAsia="Book Antiqua" w:cs="Book Antiqua"/>
          <w:color w:val="000000" w:themeColor="text1"/>
        </w:rPr>
        <w:t>fiscal year</w:t>
      </w:r>
      <w:r w:rsidRPr="00DF6D43" w:rsidR="3D8E2002">
        <w:rPr>
          <w:rFonts w:eastAsia="Book Antiqua" w:cs="Book Antiqua"/>
          <w:color w:val="000000" w:themeColor="text1"/>
        </w:rPr>
        <w:t>.</w:t>
      </w:r>
      <w:r w:rsidRPr="00DF6D43" w:rsidR="13DDCC8F">
        <w:rPr>
          <w:rFonts w:eastAsia="Book Antiqua" w:cs="Book Antiqua"/>
          <w:color w:val="000000" w:themeColor="text1"/>
        </w:rPr>
        <w:t xml:space="preserve">  </w:t>
      </w:r>
    </w:p>
    <w:p w:rsidRPr="00900CD7" w:rsidR="00254D6E" w:rsidP="005B37EC" w:rsidRDefault="00900CD7" w14:paraId="78064929" w14:textId="2067E493">
      <w:pPr>
        <w:spacing w:after="120" w:line="240" w:lineRule="auto"/>
        <w:ind w:left="720" w:firstLine="0"/>
      </w:pPr>
      <w:r>
        <w:t xml:space="preserve">The aggregate amount available for awards is </w:t>
      </w:r>
      <w:r w:rsidR="0EAD213F">
        <w:t>not</w:t>
      </w:r>
      <w:r w:rsidR="008C3596">
        <w:t xml:space="preserve"> to </w:t>
      </w:r>
      <w:r w:rsidR="0EAD213F">
        <w:t xml:space="preserve">exceed </w:t>
      </w:r>
      <w:r w:rsidR="008C3596">
        <w:t>$</w:t>
      </w:r>
      <w:proofErr w:type="gramStart"/>
      <w:r w:rsidR="008C3596">
        <w:t>5</w:t>
      </w:r>
      <w:r w:rsidR="0EAD213F">
        <w:t>,000,000</w:t>
      </w:r>
      <w:r w:rsidR="008C3596">
        <w:t xml:space="preserve"> </w:t>
      </w:r>
      <w:r w:rsidRPr="00DF6D43" w:rsidR="19474400">
        <w:rPr>
          <w:highlight w:val="yellow"/>
        </w:rPr>
        <w:t xml:space="preserve"> </w:t>
      </w:r>
      <w:r w:rsidR="008C3596">
        <w:t>until</w:t>
      </w:r>
      <w:proofErr w:type="gramEnd"/>
      <w:r w:rsidR="008C3596">
        <w:t xml:space="preserve"> funds </w:t>
      </w:r>
      <w:r w:rsidR="7B60C21E">
        <w:t xml:space="preserve">are </w:t>
      </w:r>
      <w:r w:rsidR="19474400">
        <w:t>replenish</w:t>
      </w:r>
      <w:r w:rsidR="47BA723E">
        <w:t>ed</w:t>
      </w:r>
      <w:r w:rsidR="19474400">
        <w:t xml:space="preserve"> and/or exhaust</w:t>
      </w:r>
      <w:r w:rsidR="2D82B8A1">
        <w:t>ed</w:t>
      </w:r>
      <w:r w:rsidR="005B37EC">
        <w:t>.</w:t>
      </w:r>
      <w:r>
        <w:t xml:space="preserve"> </w:t>
      </w:r>
    </w:p>
    <w:p w:rsidR="00715405" w:rsidP="00DF6D43" w:rsidRDefault="6B2F1D81" w14:paraId="396AC702" w14:textId="309C7C3D">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Definition</w:t>
      </w:r>
      <w:r w:rsidRPr="00DF6D43" w:rsidR="327AC29F">
        <w:rPr>
          <w:rFonts w:eastAsia="Times New Roman"/>
          <w:color w:val="000000" w:themeColor="text1"/>
        </w:rPr>
        <w:t xml:space="preserve"> of Tribal Technical Assistance</w:t>
      </w:r>
    </w:p>
    <w:p w:rsidR="0025690A" w:rsidP="0025690A" w:rsidRDefault="00A12F23" w14:paraId="68A15C67" w14:textId="57F6A047">
      <w:pPr>
        <w:pStyle w:val="ListParagraph"/>
        <w:spacing w:after="120" w:line="240" w:lineRule="auto"/>
        <w:ind w:firstLine="0"/>
        <w:contextualSpacing w:val="0"/>
        <w:rPr>
          <w:rFonts w:eastAsia="Times New Roman"/>
          <w:color w:val="000000" w:themeColor="text1"/>
        </w:rPr>
      </w:pPr>
      <w:proofErr w:type="gramStart"/>
      <w:r w:rsidRPr="00DF6D43">
        <w:rPr>
          <w:rFonts w:eastAsia="Times New Roman"/>
          <w:color w:val="000000" w:themeColor="text1"/>
        </w:rPr>
        <w:t>For the purpose of</w:t>
      </w:r>
      <w:proofErr w:type="gramEnd"/>
      <w:r w:rsidRPr="00DF6D43">
        <w:rPr>
          <w:rFonts w:eastAsia="Times New Roman"/>
          <w:color w:val="000000" w:themeColor="text1"/>
        </w:rPr>
        <w:t xml:space="preserve"> </w:t>
      </w:r>
      <w:r w:rsidRPr="00DF6D43" w:rsidR="007A62D5">
        <w:rPr>
          <w:rFonts w:eastAsia="Times New Roman"/>
          <w:color w:val="000000" w:themeColor="text1"/>
        </w:rPr>
        <w:t xml:space="preserve">Tribal </w:t>
      </w:r>
      <w:r w:rsidRPr="00DF6D43">
        <w:rPr>
          <w:rFonts w:eastAsia="Times New Roman"/>
          <w:color w:val="000000" w:themeColor="text1"/>
        </w:rPr>
        <w:t>Technical Ass</w:t>
      </w:r>
      <w:r w:rsidRPr="00DF6D43" w:rsidR="007A62D5">
        <w:rPr>
          <w:rFonts w:eastAsia="Times New Roman"/>
          <w:color w:val="000000" w:themeColor="text1"/>
        </w:rPr>
        <w:t>istance</w:t>
      </w:r>
      <w:r w:rsidRPr="00DF6D43" w:rsidR="00474C5F">
        <w:rPr>
          <w:rFonts w:eastAsia="Times New Roman"/>
          <w:color w:val="000000" w:themeColor="text1"/>
        </w:rPr>
        <w:t xml:space="preserve"> Grants</w:t>
      </w:r>
      <w:r w:rsidRPr="00DF6D43" w:rsidR="007A62D5">
        <w:rPr>
          <w:rFonts w:eastAsia="Times New Roman"/>
          <w:color w:val="000000" w:themeColor="text1"/>
        </w:rPr>
        <w:t xml:space="preserve">, technical </w:t>
      </w:r>
      <w:r w:rsidRPr="00DF6D43" w:rsidR="004605C8">
        <w:rPr>
          <w:rFonts w:eastAsia="Times New Roman"/>
          <w:color w:val="000000" w:themeColor="text1"/>
        </w:rPr>
        <w:t xml:space="preserve">assistance </w:t>
      </w:r>
      <w:r w:rsidRPr="00DF6D43" w:rsidR="00496459">
        <w:rPr>
          <w:rFonts w:eastAsia="Times New Roman"/>
          <w:color w:val="000000" w:themeColor="text1"/>
        </w:rPr>
        <w:t>means</w:t>
      </w:r>
      <w:r w:rsidR="00F0066B">
        <w:rPr>
          <w:rFonts w:eastAsia="Times New Roman"/>
          <w:color w:val="000000" w:themeColor="text1"/>
        </w:rPr>
        <w:t xml:space="preserve"> ass</w:t>
      </w:r>
      <w:r w:rsidR="00860A98">
        <w:rPr>
          <w:rFonts w:eastAsia="Times New Roman"/>
          <w:color w:val="000000" w:themeColor="text1"/>
        </w:rPr>
        <w:t>istance in developing</w:t>
      </w:r>
      <w:r w:rsidRPr="00DF6D43" w:rsidR="004605C8">
        <w:rPr>
          <w:rFonts w:eastAsia="Times New Roman"/>
          <w:color w:val="000000" w:themeColor="text1"/>
        </w:rPr>
        <w:t xml:space="preserve"> market studies, feasibilities studies, and/or business plans</w:t>
      </w:r>
      <w:r w:rsidRPr="00DF6D43" w:rsidR="00E31719">
        <w:rPr>
          <w:rFonts w:eastAsia="Times New Roman"/>
          <w:color w:val="000000" w:themeColor="text1"/>
        </w:rPr>
        <w:t xml:space="preserve"> which support </w:t>
      </w:r>
      <w:r w:rsidRPr="00DF6D43" w:rsidR="00AA7BD7">
        <w:rPr>
          <w:rFonts w:eastAsia="Times New Roman"/>
          <w:color w:val="000000" w:themeColor="text1"/>
        </w:rPr>
        <w:t xml:space="preserve">Tribes </w:t>
      </w:r>
      <w:r w:rsidRPr="00DF6D43" w:rsidR="006166E4">
        <w:rPr>
          <w:rFonts w:eastAsia="Times New Roman"/>
          <w:color w:val="000000" w:themeColor="text1"/>
        </w:rPr>
        <w:t>in their pursuit of improved communications</w:t>
      </w:r>
      <w:r w:rsidRPr="00DF6D43" w:rsidR="00496459">
        <w:rPr>
          <w:rFonts w:eastAsia="Times New Roman"/>
          <w:color w:val="000000" w:themeColor="text1"/>
        </w:rPr>
        <w:t>.</w:t>
      </w:r>
    </w:p>
    <w:p w:rsidR="00715405" w:rsidP="00DF6D43" w:rsidRDefault="00715405" w14:paraId="506172FD" w14:textId="66CE0E5A">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 xml:space="preserve">Eligible Applicants/Eligibility for Technical Assistance </w:t>
      </w:r>
    </w:p>
    <w:p w:rsidR="008406A2" w:rsidP="00DF6D43" w:rsidRDefault="005C3B77" w14:paraId="1F94B580" w14:textId="3E2C75E4">
      <w:pPr>
        <w:pStyle w:val="ListParagraph"/>
        <w:spacing w:after="120" w:line="240" w:lineRule="auto"/>
        <w:ind w:firstLine="0"/>
        <w:rPr>
          <w:rFonts w:eastAsia="Book Antiqua" w:cs="Book Antiqua"/>
          <w:color w:val="000000" w:themeColor="text1"/>
        </w:rPr>
      </w:pPr>
      <w:r w:rsidRPr="00DF6D43">
        <w:rPr>
          <w:rFonts w:eastAsia="Book Antiqua" w:cs="Book Antiqua"/>
          <w:color w:val="000000" w:themeColor="text1"/>
        </w:rPr>
        <w:t xml:space="preserve">Tribes are </w:t>
      </w:r>
      <w:r w:rsidR="00860A98">
        <w:rPr>
          <w:rFonts w:eastAsia="Book Antiqua" w:cs="Book Antiqua"/>
          <w:color w:val="000000" w:themeColor="text1"/>
        </w:rPr>
        <w:t xml:space="preserve">deemed to be </w:t>
      </w:r>
      <w:r w:rsidRPr="00DF6D43">
        <w:rPr>
          <w:rFonts w:eastAsia="Book Antiqua" w:cs="Book Antiqua"/>
          <w:color w:val="000000" w:themeColor="text1"/>
        </w:rPr>
        <w:t xml:space="preserve">eligible </w:t>
      </w:r>
      <w:r w:rsidRPr="00DF6D43" w:rsidR="00166E76">
        <w:rPr>
          <w:rFonts w:eastAsia="Book Antiqua" w:cs="Book Antiqua"/>
          <w:color w:val="000000" w:themeColor="text1"/>
        </w:rPr>
        <w:t xml:space="preserve">applicants </w:t>
      </w:r>
      <w:r w:rsidRPr="00DF6D43">
        <w:rPr>
          <w:rFonts w:eastAsia="Book Antiqua" w:cs="Book Antiqua"/>
          <w:color w:val="000000" w:themeColor="text1"/>
        </w:rPr>
        <w:t xml:space="preserve">for </w:t>
      </w:r>
      <w:r w:rsidRPr="00DF6D43" w:rsidR="00111A4C">
        <w:rPr>
          <w:rFonts w:eastAsia="Book Antiqua" w:cs="Book Antiqua"/>
          <w:color w:val="000000" w:themeColor="text1"/>
        </w:rPr>
        <w:t xml:space="preserve">the </w:t>
      </w:r>
      <w:r w:rsidRPr="00DF6D43" w:rsidR="00DD2B81">
        <w:rPr>
          <w:rFonts w:eastAsia="Book Antiqua" w:cs="Book Antiqua"/>
          <w:color w:val="000000" w:themeColor="text1"/>
        </w:rPr>
        <w:t xml:space="preserve">Technical Assistance Grants.  </w:t>
      </w:r>
      <w:r w:rsidRPr="00DF6D43" w:rsidR="00353293">
        <w:rPr>
          <w:rFonts w:eastAsia="Book Antiqua" w:cs="Book Antiqua"/>
          <w:color w:val="000000" w:themeColor="text1"/>
        </w:rPr>
        <w:t xml:space="preserve">An eligible Tribe is a California Tribe, with or without federal recognition, that </w:t>
      </w:r>
      <w:r w:rsidR="005D20EE">
        <w:rPr>
          <w:rFonts w:eastAsia="Book Antiqua" w:cs="Book Antiqua"/>
          <w:color w:val="000000" w:themeColor="text1"/>
        </w:rPr>
        <w:t>demonstrates</w:t>
      </w:r>
      <w:r w:rsidRPr="00DF6D43" w:rsidR="00353293">
        <w:rPr>
          <w:rFonts w:eastAsia="Book Antiqua" w:cs="Book Antiqua"/>
          <w:color w:val="000000" w:themeColor="text1"/>
        </w:rPr>
        <w:t xml:space="preserve"> Tribal leadership support.  </w:t>
      </w:r>
      <w:r w:rsidR="005D20EE">
        <w:rPr>
          <w:rFonts w:eastAsia="Book Antiqua" w:cs="Book Antiqua"/>
          <w:color w:val="000000" w:themeColor="text1"/>
        </w:rPr>
        <w:t>Staff shall consider</w:t>
      </w:r>
      <w:r w:rsidRPr="00DF6D43" w:rsidR="00353293">
        <w:rPr>
          <w:rFonts w:eastAsia="Book Antiqua" w:cs="Book Antiqua"/>
          <w:color w:val="000000" w:themeColor="text1"/>
        </w:rPr>
        <w:t xml:space="preserve"> Tribal support</w:t>
      </w:r>
      <w:r w:rsidRPr="00DF6D43" w:rsidR="513F729D">
        <w:rPr>
          <w:rFonts w:eastAsia="Book Antiqua" w:cs="Book Antiqua"/>
          <w:color w:val="000000" w:themeColor="text1"/>
        </w:rPr>
        <w:t xml:space="preserve"> </w:t>
      </w:r>
      <w:r w:rsidR="005D20EE">
        <w:rPr>
          <w:rFonts w:eastAsia="Book Antiqua" w:cs="Book Antiqua"/>
          <w:color w:val="000000" w:themeColor="text1"/>
        </w:rPr>
        <w:t>to</w:t>
      </w:r>
      <w:r w:rsidRPr="00DF6D43" w:rsidR="00353293">
        <w:rPr>
          <w:rFonts w:eastAsia="Book Antiqua" w:cs="Book Antiqua"/>
          <w:color w:val="000000" w:themeColor="text1"/>
        </w:rPr>
        <w:t xml:space="preserve"> be established</w:t>
      </w:r>
      <w:r w:rsidRPr="00DF6D43" w:rsidR="174D7DC7">
        <w:rPr>
          <w:rFonts w:eastAsia="Book Antiqua" w:cs="Book Antiqua"/>
          <w:color w:val="000000" w:themeColor="text1"/>
        </w:rPr>
        <w:t>, for example</w:t>
      </w:r>
      <w:r w:rsidR="005D20EE">
        <w:rPr>
          <w:rFonts w:eastAsia="Book Antiqua" w:cs="Book Antiqua"/>
          <w:color w:val="000000" w:themeColor="text1"/>
        </w:rPr>
        <w:t>,</w:t>
      </w:r>
      <w:r w:rsidRPr="00DF6D43" w:rsidR="00353293">
        <w:rPr>
          <w:rFonts w:eastAsia="Book Antiqua" w:cs="Book Antiqua"/>
          <w:color w:val="000000" w:themeColor="text1"/>
        </w:rPr>
        <w:t xml:space="preserve"> by </w:t>
      </w:r>
      <w:r w:rsidR="005D20EE">
        <w:rPr>
          <w:rFonts w:eastAsia="Book Antiqua" w:cs="Book Antiqua"/>
          <w:color w:val="000000" w:themeColor="text1"/>
        </w:rPr>
        <w:t xml:space="preserve">the </w:t>
      </w:r>
      <w:r w:rsidRPr="00DF6D43" w:rsidR="00353293">
        <w:rPr>
          <w:rFonts w:eastAsia="Book Antiqua" w:cs="Book Antiqua"/>
          <w:color w:val="000000" w:themeColor="text1"/>
        </w:rPr>
        <w:t xml:space="preserve">furnishing </w:t>
      </w:r>
      <w:r w:rsidR="005D20EE">
        <w:rPr>
          <w:rFonts w:eastAsia="Book Antiqua" w:cs="Book Antiqua"/>
          <w:color w:val="000000" w:themeColor="text1"/>
        </w:rPr>
        <w:t xml:space="preserve">of </w:t>
      </w:r>
      <w:r w:rsidRPr="00DF6D43" w:rsidR="00353293">
        <w:rPr>
          <w:rFonts w:eastAsia="Book Antiqua" w:cs="Book Antiqua"/>
          <w:color w:val="000000" w:themeColor="text1"/>
        </w:rPr>
        <w:t>a letter from the Tribal administrator, chair</w:t>
      </w:r>
      <w:r w:rsidR="006D410B">
        <w:rPr>
          <w:rFonts w:eastAsia="Book Antiqua" w:cs="Book Antiqua"/>
          <w:color w:val="000000" w:themeColor="text1"/>
        </w:rPr>
        <w:t>,</w:t>
      </w:r>
      <w:r w:rsidRPr="00DF6D43" w:rsidR="00353293">
        <w:rPr>
          <w:rFonts w:eastAsia="Book Antiqua" w:cs="Book Antiqua"/>
          <w:color w:val="000000" w:themeColor="text1"/>
        </w:rPr>
        <w:t xml:space="preserve"> or council.</w:t>
      </w:r>
      <w:r w:rsidRPr="00DF6D43" w:rsidR="00E3374B">
        <w:rPr>
          <w:rFonts w:eastAsia="Book Antiqua" w:cs="Book Antiqua"/>
          <w:color w:val="000000" w:themeColor="text1"/>
        </w:rPr>
        <w:t xml:space="preserve">  </w:t>
      </w:r>
    </w:p>
    <w:p w:rsidR="006D410B" w:rsidP="00DF6D43" w:rsidRDefault="006D410B" w14:paraId="228D951F" w14:textId="77777777">
      <w:pPr>
        <w:pStyle w:val="ListParagraph"/>
        <w:spacing w:after="120" w:line="240" w:lineRule="auto"/>
        <w:ind w:firstLine="0"/>
        <w:rPr>
          <w:rFonts w:eastAsia="Book Antiqua" w:cs="Book Antiqua"/>
          <w:color w:val="000000" w:themeColor="text1"/>
        </w:rPr>
      </w:pPr>
    </w:p>
    <w:p w:rsidR="00715405" w:rsidP="00DF6D43" w:rsidRDefault="00715405" w14:paraId="458536E4" w14:textId="41887D36">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Subsidy Level</w:t>
      </w:r>
    </w:p>
    <w:p w:rsidR="004F3927" w:rsidP="00E67D0B" w:rsidRDefault="004F3927" w14:paraId="4DB2F22A" w14:textId="70333A3B">
      <w:pPr>
        <w:spacing w:after="120" w:line="240" w:lineRule="auto"/>
        <w:ind w:left="720" w:firstLine="0"/>
        <w:rPr>
          <w:rFonts w:eastAsia="Times New Roman"/>
          <w:color w:val="000000" w:themeColor="text1"/>
        </w:rPr>
      </w:pPr>
      <w:r w:rsidRPr="00DF6D43">
        <w:rPr>
          <w:rFonts w:eastAsia="Times New Roman"/>
          <w:color w:val="000000" w:themeColor="text1"/>
        </w:rPr>
        <w:lastRenderedPageBreak/>
        <w:t xml:space="preserve">For projects </w:t>
      </w:r>
      <w:r w:rsidRPr="00DF6D43" w:rsidR="00FA7A28">
        <w:rPr>
          <w:rFonts w:eastAsia="Times New Roman"/>
          <w:color w:val="000000" w:themeColor="text1"/>
        </w:rPr>
        <w:t>that meet</w:t>
      </w:r>
      <w:r w:rsidRPr="00DF6D43">
        <w:rPr>
          <w:rFonts w:eastAsia="Times New Roman"/>
          <w:color w:val="000000" w:themeColor="text1"/>
        </w:rPr>
        <w:t xml:space="preserve"> </w:t>
      </w:r>
      <w:r w:rsidRPr="00DF6D43" w:rsidR="008E2E2C">
        <w:rPr>
          <w:rFonts w:eastAsia="Times New Roman"/>
          <w:color w:val="000000" w:themeColor="text1"/>
        </w:rPr>
        <w:t>M</w:t>
      </w:r>
      <w:r w:rsidRPr="00DF6D43">
        <w:rPr>
          <w:rFonts w:eastAsia="Times New Roman"/>
          <w:color w:val="000000" w:themeColor="text1"/>
        </w:rPr>
        <w:t xml:space="preserve">inisterial </w:t>
      </w:r>
      <w:r w:rsidRPr="00DF6D43" w:rsidR="008E2E2C">
        <w:rPr>
          <w:rFonts w:eastAsia="Times New Roman"/>
          <w:color w:val="000000" w:themeColor="text1"/>
        </w:rPr>
        <w:t>R</w:t>
      </w:r>
      <w:r w:rsidRPr="00DF6D43">
        <w:rPr>
          <w:rFonts w:eastAsia="Times New Roman"/>
          <w:color w:val="000000" w:themeColor="text1"/>
        </w:rPr>
        <w:t>eview criteria</w:t>
      </w:r>
      <w:r w:rsidRPr="00DF6D43" w:rsidR="008E2E2C">
        <w:rPr>
          <w:rFonts w:eastAsia="Times New Roman"/>
          <w:color w:val="000000" w:themeColor="text1"/>
        </w:rPr>
        <w:t xml:space="preserve"> (Section 7</w:t>
      </w:r>
      <w:r w:rsidRPr="00DF6D43" w:rsidR="006B6BBF">
        <w:rPr>
          <w:rFonts w:eastAsia="Times New Roman"/>
          <w:color w:val="000000" w:themeColor="text1"/>
        </w:rPr>
        <w:t xml:space="preserve"> below</w:t>
      </w:r>
      <w:r w:rsidRPr="00DF6D43" w:rsidR="008E2E2C">
        <w:rPr>
          <w:rFonts w:eastAsia="Times New Roman"/>
          <w:color w:val="000000" w:themeColor="text1"/>
        </w:rPr>
        <w:t>)</w:t>
      </w:r>
      <w:r w:rsidRPr="00DF6D43">
        <w:rPr>
          <w:rFonts w:eastAsia="Times New Roman"/>
          <w:color w:val="000000" w:themeColor="text1"/>
        </w:rPr>
        <w:t>, t</w:t>
      </w:r>
      <w:r w:rsidRPr="00DF6D43" w:rsidR="00F418DB">
        <w:rPr>
          <w:rFonts w:eastAsia="Times New Roman"/>
          <w:color w:val="000000" w:themeColor="text1"/>
        </w:rPr>
        <w:t xml:space="preserve">he </w:t>
      </w:r>
      <w:r w:rsidRPr="00DF6D43">
        <w:rPr>
          <w:rFonts w:eastAsia="Times New Roman"/>
          <w:color w:val="000000" w:themeColor="text1"/>
        </w:rPr>
        <w:t xml:space="preserve">Commission </w:t>
      </w:r>
      <w:r w:rsidRPr="00DF6D43" w:rsidR="009F7CF5">
        <w:rPr>
          <w:rFonts w:eastAsia="Times New Roman"/>
          <w:color w:val="000000" w:themeColor="text1"/>
        </w:rPr>
        <w:t>may</w:t>
      </w:r>
      <w:r w:rsidRPr="00DF6D43" w:rsidR="00F418DB">
        <w:rPr>
          <w:rFonts w:eastAsia="Times New Roman"/>
          <w:color w:val="000000" w:themeColor="text1"/>
        </w:rPr>
        <w:t xml:space="preserve"> subsidize 100 percent of the </w:t>
      </w:r>
      <w:r w:rsidRPr="00DF6D43" w:rsidR="00931359">
        <w:rPr>
          <w:rFonts w:eastAsia="Times New Roman"/>
          <w:color w:val="000000" w:themeColor="text1"/>
        </w:rPr>
        <w:t>cost of Technical Assistance</w:t>
      </w:r>
      <w:r w:rsidRPr="00DF6D43" w:rsidR="00AD46E0">
        <w:rPr>
          <w:rFonts w:eastAsia="Times New Roman"/>
          <w:color w:val="000000" w:themeColor="text1"/>
        </w:rPr>
        <w:t xml:space="preserve">, </w:t>
      </w:r>
      <w:r w:rsidRPr="00DF6D43" w:rsidR="00931359">
        <w:rPr>
          <w:rFonts w:eastAsia="Times New Roman"/>
          <w:color w:val="000000" w:themeColor="text1"/>
        </w:rPr>
        <w:t>not to exceed $150,000 per assistance, study, or plan</w:t>
      </w:r>
      <w:r w:rsidRPr="00DF6D43" w:rsidR="00751BEF">
        <w:rPr>
          <w:rFonts w:eastAsia="Times New Roman"/>
          <w:color w:val="000000" w:themeColor="text1"/>
        </w:rPr>
        <w:t xml:space="preserve"> per Tribe</w:t>
      </w:r>
      <w:r w:rsidRPr="00DF6D43" w:rsidR="00AD46E0">
        <w:rPr>
          <w:rFonts w:eastAsia="Times New Roman"/>
          <w:color w:val="000000" w:themeColor="text1"/>
        </w:rPr>
        <w:t>,</w:t>
      </w:r>
      <w:r w:rsidRPr="00DF6D43" w:rsidR="004D17B4">
        <w:rPr>
          <w:rFonts w:eastAsia="Times New Roman"/>
          <w:color w:val="000000" w:themeColor="text1"/>
        </w:rPr>
        <w:t xml:space="preserve"> in </w:t>
      </w:r>
      <w:r w:rsidRPr="00DF6D43" w:rsidR="08F50EB0">
        <w:rPr>
          <w:rFonts w:eastAsia="Times New Roman"/>
          <w:color w:val="000000" w:themeColor="text1"/>
        </w:rPr>
        <w:t xml:space="preserve">any </w:t>
      </w:r>
      <w:r w:rsidRPr="00DF6D43" w:rsidR="004D17B4">
        <w:rPr>
          <w:rFonts w:eastAsia="Times New Roman"/>
          <w:color w:val="000000" w:themeColor="text1"/>
        </w:rPr>
        <w:t>one fiscal year.</w:t>
      </w:r>
    </w:p>
    <w:p w:rsidR="00FD6987" w:rsidP="00DF6D43" w:rsidRDefault="004F3927" w14:paraId="53D59F8F" w14:textId="5381F17A">
      <w:pPr>
        <w:spacing w:after="120" w:line="240" w:lineRule="auto"/>
        <w:ind w:left="720" w:firstLine="0"/>
        <w:rPr>
          <w:rFonts w:eastAsia="Times New Roman"/>
          <w:color w:val="000000"/>
        </w:rPr>
      </w:pPr>
      <w:r w:rsidRPr="00DF6D43">
        <w:rPr>
          <w:rFonts w:eastAsia="Times New Roman"/>
          <w:color w:val="000000" w:themeColor="text1"/>
        </w:rPr>
        <w:t xml:space="preserve">For projects </w:t>
      </w:r>
      <w:r w:rsidRPr="00DF6D43" w:rsidR="00FA7A28">
        <w:rPr>
          <w:rFonts w:eastAsia="Times New Roman"/>
          <w:color w:val="000000" w:themeColor="text1"/>
        </w:rPr>
        <w:t xml:space="preserve">that do not meet </w:t>
      </w:r>
      <w:r w:rsidRPr="00DF6D43" w:rsidR="00784069">
        <w:rPr>
          <w:rFonts w:eastAsia="Times New Roman"/>
          <w:color w:val="000000" w:themeColor="text1"/>
        </w:rPr>
        <w:t>M</w:t>
      </w:r>
      <w:r w:rsidRPr="00DF6D43" w:rsidR="00FA7A28">
        <w:rPr>
          <w:rFonts w:eastAsia="Times New Roman"/>
          <w:color w:val="000000" w:themeColor="text1"/>
        </w:rPr>
        <w:t xml:space="preserve">inisterial </w:t>
      </w:r>
      <w:r w:rsidRPr="00DF6D43" w:rsidR="00784069">
        <w:rPr>
          <w:rFonts w:eastAsia="Times New Roman"/>
          <w:color w:val="000000" w:themeColor="text1"/>
        </w:rPr>
        <w:t>R</w:t>
      </w:r>
      <w:r w:rsidRPr="00DF6D43" w:rsidR="00FA7A28">
        <w:rPr>
          <w:rFonts w:eastAsia="Times New Roman"/>
          <w:color w:val="000000" w:themeColor="text1"/>
        </w:rPr>
        <w:t>eview criteria</w:t>
      </w:r>
      <w:r w:rsidRPr="00DF6D43" w:rsidR="00784069">
        <w:rPr>
          <w:rFonts w:eastAsia="Times New Roman"/>
          <w:color w:val="000000" w:themeColor="text1"/>
        </w:rPr>
        <w:t xml:space="preserve"> (Section 7</w:t>
      </w:r>
      <w:r w:rsidRPr="00DF6D43" w:rsidR="006B6BBF">
        <w:rPr>
          <w:rFonts w:eastAsia="Times New Roman"/>
          <w:color w:val="000000" w:themeColor="text1"/>
        </w:rPr>
        <w:t xml:space="preserve"> below</w:t>
      </w:r>
      <w:r w:rsidRPr="00DF6D43" w:rsidR="00784069">
        <w:rPr>
          <w:rFonts w:eastAsia="Times New Roman"/>
          <w:color w:val="000000" w:themeColor="text1"/>
        </w:rPr>
        <w:t>)</w:t>
      </w:r>
      <w:r w:rsidRPr="00DF6D43" w:rsidR="00FA7A28">
        <w:rPr>
          <w:rFonts w:eastAsia="Times New Roman"/>
          <w:color w:val="000000" w:themeColor="text1"/>
        </w:rPr>
        <w:t xml:space="preserve">, the Commission will </w:t>
      </w:r>
      <w:r w:rsidRPr="00DF6D43" w:rsidR="0064729F">
        <w:rPr>
          <w:rFonts w:eastAsia="Times New Roman"/>
          <w:color w:val="000000" w:themeColor="text1"/>
        </w:rPr>
        <w:t xml:space="preserve">conduct a </w:t>
      </w:r>
      <w:r w:rsidRPr="00DF6D43" w:rsidR="00203E38">
        <w:rPr>
          <w:rFonts w:eastAsia="Times New Roman"/>
          <w:color w:val="000000" w:themeColor="text1"/>
        </w:rPr>
        <w:t>reasonableness</w:t>
      </w:r>
      <w:r w:rsidRPr="00DF6D43" w:rsidR="0064729F">
        <w:rPr>
          <w:rFonts w:eastAsia="Times New Roman"/>
          <w:color w:val="000000" w:themeColor="text1"/>
        </w:rPr>
        <w:t xml:space="preserve"> review </w:t>
      </w:r>
      <w:r w:rsidRPr="00DF6D43" w:rsidR="008B12DD">
        <w:rPr>
          <w:rFonts w:eastAsia="Times New Roman"/>
          <w:color w:val="000000" w:themeColor="text1"/>
        </w:rPr>
        <w:t xml:space="preserve">and may adjust budgets </w:t>
      </w:r>
      <w:r w:rsidRPr="00DF6D43" w:rsidR="001D5766">
        <w:rPr>
          <w:rFonts w:eastAsia="Times New Roman"/>
          <w:color w:val="000000" w:themeColor="text1"/>
        </w:rPr>
        <w:t>via the Resolution Review</w:t>
      </w:r>
      <w:r w:rsidRPr="00DF6D43" w:rsidR="006B6BBF">
        <w:rPr>
          <w:rFonts w:eastAsia="Times New Roman"/>
          <w:color w:val="000000" w:themeColor="text1"/>
        </w:rPr>
        <w:t xml:space="preserve"> (Section 8 below)</w:t>
      </w:r>
      <w:r w:rsidRPr="00DF6D43" w:rsidR="001D5766">
        <w:rPr>
          <w:rFonts w:eastAsia="Times New Roman"/>
          <w:color w:val="000000" w:themeColor="text1"/>
        </w:rPr>
        <w:t xml:space="preserve"> process. </w:t>
      </w:r>
      <w:r w:rsidRPr="00DF6D43" w:rsidR="00D04F5E">
        <w:rPr>
          <w:rFonts w:eastAsia="Times New Roman"/>
          <w:color w:val="000000" w:themeColor="text1"/>
        </w:rPr>
        <w:t xml:space="preserve"> </w:t>
      </w:r>
    </w:p>
    <w:p w:rsidR="00715405" w:rsidP="00DF6D43" w:rsidRDefault="00715405" w14:paraId="2297A0A5" w14:textId="74ABF32A">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Information Required from Applicants</w:t>
      </w:r>
    </w:p>
    <w:p w:rsidR="00BF128F" w:rsidP="00CA7746" w:rsidRDefault="004D17B4" w14:paraId="1216D873" w14:textId="262E22CB">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The </w:t>
      </w:r>
      <w:r w:rsidRPr="00DF6D43" w:rsidR="00544C23">
        <w:rPr>
          <w:rFonts w:eastAsia="Times New Roman"/>
          <w:color w:val="000000" w:themeColor="text1"/>
        </w:rPr>
        <w:t xml:space="preserve">Tribal </w:t>
      </w:r>
      <w:r w:rsidRPr="00DF6D43">
        <w:rPr>
          <w:rFonts w:eastAsia="Times New Roman"/>
          <w:color w:val="000000" w:themeColor="text1"/>
        </w:rPr>
        <w:t xml:space="preserve">applicant must provide a proposed contract </w:t>
      </w:r>
      <w:r w:rsidRPr="00DF6D43" w:rsidR="003F741B">
        <w:rPr>
          <w:rFonts w:eastAsia="Times New Roman"/>
          <w:color w:val="000000" w:themeColor="text1"/>
        </w:rPr>
        <w:t xml:space="preserve">(“the contract”) or written estimate </w:t>
      </w:r>
      <w:r w:rsidRPr="00DF6D43" w:rsidR="00C557E2">
        <w:rPr>
          <w:rFonts w:eastAsia="Times New Roman"/>
          <w:color w:val="000000" w:themeColor="text1"/>
        </w:rPr>
        <w:t xml:space="preserve">with scope of work </w:t>
      </w:r>
      <w:r w:rsidRPr="00DF6D43" w:rsidR="003F741B">
        <w:rPr>
          <w:rFonts w:eastAsia="Times New Roman"/>
          <w:color w:val="000000" w:themeColor="text1"/>
        </w:rPr>
        <w:t xml:space="preserve">from the </w:t>
      </w:r>
      <w:r w:rsidRPr="00DF6D43" w:rsidR="005955B8">
        <w:rPr>
          <w:rFonts w:eastAsia="Times New Roman"/>
          <w:color w:val="000000" w:themeColor="text1"/>
        </w:rPr>
        <w:t xml:space="preserve">Tribe’s </w:t>
      </w:r>
      <w:r w:rsidRPr="00DF6D43" w:rsidR="003F741B">
        <w:rPr>
          <w:rFonts w:eastAsia="Times New Roman"/>
          <w:color w:val="000000" w:themeColor="text1"/>
        </w:rPr>
        <w:t>approved contractor for the purpose of the Technical Assistance.</w:t>
      </w:r>
      <w:r w:rsidRPr="00DF6D43" w:rsidR="00086152">
        <w:rPr>
          <w:rFonts w:eastAsia="Times New Roman"/>
          <w:color w:val="000000" w:themeColor="text1"/>
        </w:rPr>
        <w:t xml:space="preserve">  </w:t>
      </w:r>
      <w:r w:rsidRPr="00DF6D43" w:rsidR="003F741B">
        <w:rPr>
          <w:rFonts w:eastAsia="Times New Roman"/>
          <w:color w:val="000000" w:themeColor="text1"/>
        </w:rPr>
        <w:t>This contract or estimate must state details of th</w:t>
      </w:r>
      <w:r w:rsidRPr="00DF6D43" w:rsidR="00B01454">
        <w:rPr>
          <w:rFonts w:eastAsia="Times New Roman"/>
          <w:color w:val="000000" w:themeColor="text1"/>
        </w:rPr>
        <w:t>e proposed</w:t>
      </w:r>
      <w:r w:rsidRPr="00DF6D43" w:rsidR="003F741B">
        <w:rPr>
          <w:rFonts w:eastAsia="Times New Roman"/>
          <w:color w:val="000000" w:themeColor="text1"/>
        </w:rPr>
        <w:t xml:space="preserve"> </w:t>
      </w:r>
      <w:r w:rsidRPr="00DF6D43" w:rsidR="00086152">
        <w:rPr>
          <w:rFonts w:eastAsia="Times New Roman"/>
          <w:color w:val="000000" w:themeColor="text1"/>
        </w:rPr>
        <w:t>work</w:t>
      </w:r>
      <w:r w:rsidRPr="00DF6D43" w:rsidR="003F741B">
        <w:rPr>
          <w:rFonts w:eastAsia="Times New Roman"/>
          <w:color w:val="000000" w:themeColor="text1"/>
        </w:rPr>
        <w:t xml:space="preserve">, </w:t>
      </w:r>
      <w:r w:rsidRPr="00DF6D43" w:rsidR="00B01454">
        <w:rPr>
          <w:rFonts w:eastAsia="Times New Roman"/>
          <w:color w:val="000000" w:themeColor="text1"/>
        </w:rPr>
        <w:t>including a</w:t>
      </w:r>
      <w:r w:rsidRPr="00DF6D43" w:rsidR="003F741B">
        <w:rPr>
          <w:rFonts w:eastAsia="Times New Roman"/>
          <w:color w:val="000000" w:themeColor="text1"/>
        </w:rPr>
        <w:t xml:space="preserve"> statement of work</w:t>
      </w:r>
      <w:r w:rsidRPr="00DF6D43" w:rsidR="00B816FB">
        <w:rPr>
          <w:rFonts w:eastAsia="Times New Roman"/>
          <w:color w:val="000000" w:themeColor="text1"/>
        </w:rPr>
        <w:t>,</w:t>
      </w:r>
      <w:r w:rsidRPr="00DF6D43" w:rsidR="003F741B">
        <w:rPr>
          <w:rFonts w:eastAsia="Times New Roman"/>
          <w:color w:val="000000" w:themeColor="text1"/>
        </w:rPr>
        <w:t xml:space="preserve"> detailed cost estimate</w:t>
      </w:r>
      <w:r w:rsidRPr="00DF6D43" w:rsidR="00B816FB">
        <w:rPr>
          <w:rFonts w:eastAsia="Times New Roman"/>
          <w:color w:val="000000" w:themeColor="text1"/>
        </w:rPr>
        <w:t xml:space="preserve"> and </w:t>
      </w:r>
      <w:r w:rsidRPr="00DF6D43" w:rsidR="00FD6DBB">
        <w:rPr>
          <w:rFonts w:eastAsia="Times New Roman"/>
          <w:color w:val="000000" w:themeColor="text1"/>
        </w:rPr>
        <w:t xml:space="preserve">proposed </w:t>
      </w:r>
      <w:r w:rsidRPr="00DF6D43" w:rsidR="00B816FB">
        <w:rPr>
          <w:rFonts w:eastAsia="Times New Roman"/>
          <w:color w:val="000000" w:themeColor="text1"/>
        </w:rPr>
        <w:t>timeline for completion</w:t>
      </w:r>
      <w:r w:rsidRPr="00DF6D43" w:rsidR="003F741B">
        <w:rPr>
          <w:rFonts w:eastAsia="Times New Roman"/>
          <w:color w:val="000000" w:themeColor="text1"/>
        </w:rPr>
        <w:t>.</w:t>
      </w:r>
    </w:p>
    <w:p w:rsidR="00715405" w:rsidP="00DF6D43" w:rsidRDefault="00715405" w14:paraId="2DFAAF49" w14:textId="29F207F3">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Submission and Timeline</w:t>
      </w:r>
    </w:p>
    <w:p w:rsidR="007C77C6" w:rsidP="00CA7746" w:rsidRDefault="00A64EC7" w14:paraId="46EB0DA1" w14:textId="5CED1667">
      <w:pPr>
        <w:pStyle w:val="ListParagraph"/>
        <w:spacing w:after="120" w:line="240" w:lineRule="auto"/>
        <w:ind w:firstLine="0"/>
        <w:contextualSpacing w:val="0"/>
        <w:rPr>
          <w:rFonts w:eastAsia="Times New Roman"/>
          <w:color w:val="000000"/>
        </w:rPr>
      </w:pPr>
      <w:r>
        <w:rPr>
          <w:rFonts w:eastAsia="Times New Roman"/>
          <w:color w:val="000000" w:themeColor="text1"/>
        </w:rPr>
        <w:t>To be considered, a</w:t>
      </w:r>
      <w:r w:rsidRPr="00DF6D43" w:rsidR="007C77C6">
        <w:rPr>
          <w:rFonts w:eastAsia="Times New Roman"/>
          <w:color w:val="000000" w:themeColor="text1"/>
        </w:rPr>
        <w:t xml:space="preserve">pplicants </w:t>
      </w:r>
      <w:r>
        <w:rPr>
          <w:rFonts w:eastAsia="Times New Roman"/>
          <w:color w:val="000000" w:themeColor="text1"/>
        </w:rPr>
        <w:t>must submit</w:t>
      </w:r>
      <w:r w:rsidRPr="00DF6D43" w:rsidR="007C77C6">
        <w:rPr>
          <w:rFonts w:eastAsia="Times New Roman"/>
          <w:color w:val="000000" w:themeColor="text1"/>
        </w:rPr>
        <w:t xml:space="preserve"> the Commission</w:t>
      </w:r>
      <w:r>
        <w:rPr>
          <w:rFonts w:eastAsia="Times New Roman"/>
          <w:color w:val="000000" w:themeColor="text1"/>
        </w:rPr>
        <w:t>-</w:t>
      </w:r>
      <w:r w:rsidRPr="00DF6D43" w:rsidR="007C77C6">
        <w:rPr>
          <w:rFonts w:eastAsia="Times New Roman"/>
          <w:color w:val="000000" w:themeColor="text1"/>
        </w:rPr>
        <w:t xml:space="preserve">provided application form to apply.  Applicants </w:t>
      </w:r>
      <w:r w:rsidRPr="00DF6D43" w:rsidR="00564038">
        <w:rPr>
          <w:rFonts w:eastAsia="Times New Roman"/>
          <w:color w:val="000000" w:themeColor="text1"/>
        </w:rPr>
        <w:t>may</w:t>
      </w:r>
      <w:r w:rsidRPr="00DF6D43" w:rsidR="007C77C6">
        <w:rPr>
          <w:rFonts w:eastAsia="Times New Roman"/>
          <w:color w:val="000000" w:themeColor="text1"/>
        </w:rPr>
        <w:t xml:space="preserve"> electronically file their completed application, along with required documentation, using the Commission’s email address at </w:t>
      </w:r>
      <w:proofErr w:type="gramStart"/>
      <w:r w:rsidRPr="00DF6D43" w:rsidR="008C3596">
        <w:rPr>
          <w:rFonts w:eastAsia="Times New Roman"/>
          <w:color w:val="000000" w:themeColor="text1"/>
        </w:rPr>
        <w:t xml:space="preserve">CASF_Application_Questions@cpuc.ca.gov </w:t>
      </w:r>
      <w:r w:rsidRPr="00DF6D43" w:rsidR="007C77C6">
        <w:rPr>
          <w:rFonts w:eastAsia="Times New Roman"/>
          <w:color w:val="000000" w:themeColor="text1"/>
        </w:rPr>
        <w:t xml:space="preserve"> </w:t>
      </w:r>
      <w:r w:rsidRPr="00DF6D43" w:rsidR="03AD8133">
        <w:rPr>
          <w:rFonts w:eastAsia="Times New Roman"/>
          <w:color w:val="000000" w:themeColor="text1"/>
        </w:rPr>
        <w:t>or</w:t>
      </w:r>
      <w:proofErr w:type="gramEnd"/>
      <w:r w:rsidRPr="00DF6D43" w:rsidR="007C77C6">
        <w:rPr>
          <w:rFonts w:eastAsia="Times New Roman"/>
          <w:color w:val="000000" w:themeColor="text1"/>
        </w:rPr>
        <w:t xml:space="preserve"> mail a separate hard copy to</w:t>
      </w:r>
      <w:r w:rsidRPr="00DF6D43" w:rsidR="00BD7BEA">
        <w:rPr>
          <w:rFonts w:eastAsia="Times New Roman"/>
          <w:color w:val="000000" w:themeColor="text1"/>
        </w:rPr>
        <w:t xml:space="preserve"> (postmarked </w:t>
      </w:r>
      <w:r w:rsidRPr="00DF6D43" w:rsidR="00225292">
        <w:rPr>
          <w:rFonts w:eastAsia="Times New Roman"/>
          <w:color w:val="000000" w:themeColor="text1"/>
        </w:rPr>
        <w:t>by the quarterly application due dates)</w:t>
      </w:r>
      <w:r w:rsidRPr="00DF6D43" w:rsidR="007C77C6">
        <w:rPr>
          <w:rFonts w:eastAsia="Times New Roman"/>
          <w:color w:val="000000" w:themeColor="text1"/>
        </w:rPr>
        <w:t>:</w:t>
      </w:r>
    </w:p>
    <w:p w:rsidRPr="007C77C6" w:rsidR="007C77C6" w:rsidP="00DF6D43" w:rsidRDefault="007C77C6" w14:paraId="4276A205" w14:textId="34CBC503">
      <w:pPr>
        <w:pStyle w:val="ListParagraph"/>
        <w:spacing w:after="120" w:line="240" w:lineRule="auto"/>
        <w:ind w:left="1440" w:firstLine="0"/>
        <w:rPr>
          <w:rFonts w:eastAsia="Times New Roman"/>
          <w:color w:val="000000"/>
        </w:rPr>
      </w:pPr>
      <w:r w:rsidRPr="00DF6D43">
        <w:rPr>
          <w:rFonts w:eastAsia="Times New Roman"/>
          <w:color w:val="000000" w:themeColor="text1"/>
        </w:rPr>
        <w:t>Communications Division</w:t>
      </w:r>
    </w:p>
    <w:p w:rsidRPr="007C77C6" w:rsidR="007C77C6" w:rsidP="00DF6D43" w:rsidRDefault="007C77C6" w14:paraId="5C326D0F" w14:textId="2A58C39A">
      <w:pPr>
        <w:pStyle w:val="ListParagraph"/>
        <w:spacing w:after="120" w:line="240" w:lineRule="auto"/>
        <w:ind w:left="1440" w:firstLine="0"/>
        <w:rPr>
          <w:rFonts w:eastAsia="Times New Roman"/>
          <w:color w:val="000000"/>
        </w:rPr>
      </w:pPr>
      <w:r w:rsidRPr="00DF6D43">
        <w:rPr>
          <w:rFonts w:eastAsia="Times New Roman"/>
          <w:color w:val="000000" w:themeColor="text1"/>
        </w:rPr>
        <w:t>Attn: California Advanced Services Fund, Technical Assistance Grant</w:t>
      </w:r>
    </w:p>
    <w:p w:rsidRPr="007C77C6" w:rsidR="007C77C6" w:rsidP="00DF6D43" w:rsidRDefault="007C77C6" w14:paraId="158ED116" w14:textId="77777777">
      <w:pPr>
        <w:pStyle w:val="ListParagraph"/>
        <w:spacing w:after="120" w:line="240" w:lineRule="auto"/>
        <w:ind w:left="1440" w:firstLine="0"/>
        <w:rPr>
          <w:rFonts w:eastAsia="Times New Roman"/>
          <w:color w:val="000000"/>
        </w:rPr>
      </w:pPr>
      <w:r w:rsidRPr="00DF6D43">
        <w:rPr>
          <w:rFonts w:eastAsia="Times New Roman"/>
          <w:color w:val="000000" w:themeColor="text1"/>
        </w:rPr>
        <w:t>505 Van Ness Avenue</w:t>
      </w:r>
    </w:p>
    <w:p w:rsidR="007C77C6" w:rsidP="00DF6D43" w:rsidRDefault="007C77C6" w14:paraId="22F7FD67" w14:textId="77777777">
      <w:pPr>
        <w:pStyle w:val="ListParagraph"/>
        <w:spacing w:after="120" w:line="240" w:lineRule="auto"/>
        <w:ind w:left="1440" w:firstLine="0"/>
        <w:contextualSpacing w:val="0"/>
        <w:rPr>
          <w:rFonts w:eastAsia="Times New Roman"/>
          <w:color w:val="000000"/>
        </w:rPr>
      </w:pPr>
      <w:r w:rsidRPr="00DF6D43">
        <w:rPr>
          <w:rFonts w:eastAsia="Times New Roman"/>
          <w:color w:val="000000" w:themeColor="text1"/>
        </w:rPr>
        <w:t>San Francisco, CA 94102</w:t>
      </w:r>
    </w:p>
    <w:p w:rsidRPr="007C77C6" w:rsidR="007C77C6" w:rsidP="00CA7746" w:rsidRDefault="007C77C6" w14:paraId="1EC12C0A" w14:textId="1473765B">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Applications may be submitted at any time. However, Communications Division will consider applications submitted on or before each deadline listed below as a batch, </w:t>
      </w:r>
      <w:r w:rsidRPr="00DF6D43" w:rsidR="7283A90F">
        <w:rPr>
          <w:rFonts w:eastAsia="Times New Roman"/>
          <w:color w:val="000000" w:themeColor="text1"/>
        </w:rPr>
        <w:t xml:space="preserve">quarterly and ongoing, </w:t>
      </w:r>
      <w:r w:rsidRPr="00DF6D43">
        <w:rPr>
          <w:rFonts w:eastAsia="Times New Roman"/>
          <w:color w:val="000000" w:themeColor="text1"/>
        </w:rPr>
        <w:t>until the funding is exhausted.</w:t>
      </w:r>
    </w:p>
    <w:p w:rsidRPr="00105D70" w:rsidR="00355ACF" w:rsidP="00DF6D43" w:rsidRDefault="007C77C6" w14:paraId="2EB2DBC7" w14:textId="77777777">
      <w:pPr>
        <w:pStyle w:val="ListParagraph"/>
        <w:numPr>
          <w:ilvl w:val="0"/>
          <w:numId w:val="30"/>
        </w:numPr>
        <w:spacing w:after="120" w:line="240" w:lineRule="auto"/>
        <w:rPr>
          <w:rFonts w:eastAsia="Times New Roman"/>
          <w:color w:val="000000" w:themeColor="text1"/>
        </w:rPr>
      </w:pPr>
      <w:r w:rsidRPr="00DF6D43">
        <w:rPr>
          <w:rFonts w:eastAsia="Times New Roman"/>
          <w:color w:val="000000" w:themeColor="text1"/>
        </w:rPr>
        <w:t>October 1, 2020</w:t>
      </w:r>
    </w:p>
    <w:p w:rsidRPr="00105D70" w:rsidR="007C77C6" w:rsidP="00CA7746" w:rsidRDefault="78B4B157" w14:paraId="260967C5" w14:textId="4ED6BD73">
      <w:pPr>
        <w:pStyle w:val="ListParagraph"/>
        <w:numPr>
          <w:ilvl w:val="0"/>
          <w:numId w:val="30"/>
        </w:numPr>
        <w:spacing w:after="120" w:line="240" w:lineRule="auto"/>
        <w:rPr>
          <w:rFonts w:eastAsia="Times New Roman"/>
          <w:color w:val="000000" w:themeColor="text1"/>
        </w:rPr>
      </w:pPr>
      <w:r w:rsidRPr="00DF6D43">
        <w:rPr>
          <w:rFonts w:eastAsia="Times New Roman"/>
          <w:color w:val="000000" w:themeColor="text1"/>
        </w:rPr>
        <w:t>January</w:t>
      </w:r>
      <w:r w:rsidRPr="00DF6D43" w:rsidR="00F03AC5">
        <w:rPr>
          <w:rFonts w:eastAsia="Times New Roman"/>
          <w:color w:val="000000" w:themeColor="text1"/>
        </w:rPr>
        <w:t xml:space="preserve"> 1</w:t>
      </w:r>
      <w:r w:rsidRPr="00DF6D43" w:rsidR="007C77C6">
        <w:rPr>
          <w:rFonts w:eastAsia="Times New Roman"/>
          <w:color w:val="000000" w:themeColor="text1"/>
        </w:rPr>
        <w:t>, 20</w:t>
      </w:r>
      <w:r w:rsidRPr="00DF6D43" w:rsidR="00F03AC5">
        <w:rPr>
          <w:rFonts w:eastAsia="Times New Roman"/>
          <w:color w:val="000000" w:themeColor="text1"/>
        </w:rPr>
        <w:t>2</w:t>
      </w:r>
      <w:r w:rsidRPr="00DF6D43" w:rsidR="00B61A78">
        <w:rPr>
          <w:rFonts w:eastAsia="Times New Roman"/>
          <w:color w:val="000000" w:themeColor="text1"/>
        </w:rPr>
        <w:t>1</w:t>
      </w:r>
    </w:p>
    <w:p w:rsidRPr="00105D70" w:rsidR="3FEA3730" w:rsidP="513DAAD2" w:rsidRDefault="3FEA3730" w14:paraId="642C9D0F" w14:textId="32460E57">
      <w:pPr>
        <w:pStyle w:val="ListParagraph"/>
        <w:numPr>
          <w:ilvl w:val="0"/>
          <w:numId w:val="30"/>
        </w:numPr>
        <w:spacing w:after="120" w:line="240" w:lineRule="auto"/>
        <w:rPr>
          <w:rFonts w:eastAsia="Times New Roman"/>
          <w:color w:val="000000" w:themeColor="text1"/>
        </w:rPr>
      </w:pPr>
      <w:r w:rsidRPr="00DF6D43">
        <w:rPr>
          <w:rFonts w:eastAsia="Times New Roman"/>
          <w:color w:val="000000" w:themeColor="text1"/>
        </w:rPr>
        <w:t>April 1, 2021</w:t>
      </w:r>
    </w:p>
    <w:p w:rsidR="00105D70" w:rsidP="00DF6D43" w:rsidRDefault="3FEA3730" w14:paraId="618E458E" w14:textId="53EC2FFA">
      <w:pPr>
        <w:pStyle w:val="ListParagraph"/>
        <w:numPr>
          <w:ilvl w:val="0"/>
          <w:numId w:val="30"/>
        </w:numPr>
        <w:spacing w:after="120" w:line="240" w:lineRule="auto"/>
        <w:rPr>
          <w:rFonts w:asciiTheme="minorHAnsi" w:hAnsiTheme="minorHAnsi" w:eastAsiaTheme="minorEastAsia"/>
          <w:color w:val="000000" w:themeColor="text1"/>
          <w:szCs w:val="26"/>
        </w:rPr>
      </w:pPr>
      <w:r w:rsidRPr="00DF6D43">
        <w:rPr>
          <w:rFonts w:eastAsia="Times New Roman"/>
          <w:color w:val="000000" w:themeColor="text1"/>
        </w:rPr>
        <w:t>July 1, 2021 and so on.</w:t>
      </w:r>
      <w:r w:rsidRPr="00DF6D43" w:rsidR="00647E26">
        <w:rPr>
          <w:rFonts w:eastAsia="Times New Roman"/>
          <w:color w:val="000000" w:themeColor="text1"/>
        </w:rPr>
        <w:t xml:space="preserve"> </w:t>
      </w:r>
    </w:p>
    <w:p w:rsidRPr="00105D70" w:rsidR="00105D70" w:rsidP="00105D70" w:rsidRDefault="00105D70" w14:paraId="55747952" w14:textId="77777777">
      <w:pPr>
        <w:pStyle w:val="ListParagraph"/>
        <w:spacing w:after="120" w:line="240" w:lineRule="auto"/>
        <w:ind w:left="1440" w:firstLine="0"/>
        <w:rPr>
          <w:rFonts w:eastAsia="Times New Roman"/>
          <w:color w:val="000000" w:themeColor="text1"/>
        </w:rPr>
      </w:pPr>
    </w:p>
    <w:p w:rsidRPr="00105D70" w:rsidR="009D4778" w:rsidP="00105D70" w:rsidRDefault="009D4778" w14:paraId="571CA8CE" w14:textId="2625DB5D">
      <w:pPr>
        <w:pStyle w:val="ListParagraph"/>
        <w:spacing w:after="120" w:line="240" w:lineRule="auto"/>
        <w:ind w:firstLine="0"/>
        <w:contextualSpacing w:val="0"/>
        <w:rPr>
          <w:rFonts w:eastAsia="Times New Roman"/>
          <w:color w:val="000000" w:themeColor="text1"/>
        </w:rPr>
      </w:pPr>
      <w:r w:rsidRPr="00DF6D43">
        <w:rPr>
          <w:rFonts w:eastAsia="Times New Roman"/>
          <w:color w:val="000000" w:themeColor="text1"/>
        </w:rPr>
        <w:t xml:space="preserve">Any deadline </w:t>
      </w:r>
      <w:r w:rsidRPr="00DF6D43" w:rsidR="006D6D6A">
        <w:rPr>
          <w:rFonts w:eastAsia="Times New Roman"/>
          <w:color w:val="000000" w:themeColor="text1"/>
        </w:rPr>
        <w:t xml:space="preserve">which </w:t>
      </w:r>
      <w:r w:rsidRPr="00DF6D43">
        <w:rPr>
          <w:rFonts w:eastAsia="Times New Roman"/>
          <w:color w:val="000000" w:themeColor="text1"/>
        </w:rPr>
        <w:t>fall</w:t>
      </w:r>
      <w:r w:rsidRPr="00DF6D43" w:rsidR="006D6D6A">
        <w:rPr>
          <w:rFonts w:eastAsia="Times New Roman"/>
          <w:color w:val="000000" w:themeColor="text1"/>
        </w:rPr>
        <w:t>s</w:t>
      </w:r>
      <w:r w:rsidRPr="00DF6D43">
        <w:rPr>
          <w:rFonts w:eastAsia="Times New Roman"/>
          <w:color w:val="000000" w:themeColor="text1"/>
        </w:rPr>
        <w:t xml:space="preserve"> on a holiday or a weekend will be extended to the following business day.</w:t>
      </w:r>
    </w:p>
    <w:p w:rsidRPr="00E67D0B" w:rsidR="00E3374B" w:rsidP="00DF6D43" w:rsidRDefault="006D6D6A" w14:paraId="736BA0CF" w14:textId="2C08BAA4">
      <w:pPr>
        <w:pStyle w:val="ListParagraph"/>
        <w:spacing w:after="120" w:line="240" w:lineRule="auto"/>
        <w:ind w:firstLine="0"/>
        <w:contextualSpacing w:val="0"/>
        <w:rPr>
          <w:rFonts w:eastAsia="Times New Roman"/>
          <w:color w:val="000000" w:themeColor="text1"/>
        </w:rPr>
      </w:pPr>
      <w:r w:rsidRPr="00DF6D43">
        <w:rPr>
          <w:rFonts w:eastAsia="Times New Roman"/>
          <w:color w:val="000000" w:themeColor="text1"/>
        </w:rPr>
        <w:lastRenderedPageBreak/>
        <w:t>N</w:t>
      </w:r>
      <w:r w:rsidRPr="00DF6D43" w:rsidR="009D4778">
        <w:rPr>
          <w:rFonts w:eastAsia="Times New Roman"/>
          <w:color w:val="000000" w:themeColor="text1"/>
        </w:rPr>
        <w:t>otice of applications received will be published on the Commission’s website</w:t>
      </w:r>
      <w:r w:rsidRPr="00DF6D43" w:rsidR="7993FCE7">
        <w:rPr>
          <w:rFonts w:eastAsia="Times New Roman"/>
          <w:color w:val="000000" w:themeColor="text1"/>
        </w:rPr>
        <w:t xml:space="preserve"> on a quarterly basis</w:t>
      </w:r>
      <w:r w:rsidRPr="00DF6D43" w:rsidR="009D4778">
        <w:rPr>
          <w:rFonts w:eastAsia="Times New Roman"/>
          <w:color w:val="000000" w:themeColor="text1"/>
        </w:rPr>
        <w:t>.</w:t>
      </w:r>
    </w:p>
    <w:p w:rsidR="00715405" w:rsidP="00DF6D43" w:rsidRDefault="00715405" w14:paraId="05235917" w14:textId="558299B1">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Ministerial Review</w:t>
      </w:r>
    </w:p>
    <w:p w:rsidR="00670C57" w:rsidP="00CA7746" w:rsidRDefault="0093051D" w14:paraId="31FEE715" w14:textId="4DBB9700">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The Commission </w:t>
      </w:r>
      <w:r w:rsidRPr="00DF6D43" w:rsidR="45131EF5">
        <w:rPr>
          <w:rFonts w:eastAsia="Times New Roman"/>
          <w:color w:val="000000" w:themeColor="text1"/>
        </w:rPr>
        <w:t>authorizes</w:t>
      </w:r>
      <w:r w:rsidRPr="00DF6D43">
        <w:rPr>
          <w:rFonts w:eastAsia="Times New Roman"/>
          <w:color w:val="000000" w:themeColor="text1"/>
        </w:rPr>
        <w:t xml:space="preserve"> Communications Division </w:t>
      </w:r>
      <w:r w:rsidRPr="00DF6D43" w:rsidR="00D96A9D">
        <w:rPr>
          <w:rFonts w:eastAsia="Times New Roman"/>
          <w:color w:val="000000" w:themeColor="text1"/>
        </w:rPr>
        <w:t xml:space="preserve">Staff </w:t>
      </w:r>
      <w:r w:rsidRPr="00DF6D43" w:rsidR="261E7580">
        <w:rPr>
          <w:rFonts w:eastAsia="Times New Roman"/>
          <w:color w:val="000000" w:themeColor="text1"/>
        </w:rPr>
        <w:t>to approve</w:t>
      </w:r>
      <w:r w:rsidRPr="00DF6D43" w:rsidR="00670C57">
        <w:rPr>
          <w:rFonts w:eastAsia="Times New Roman"/>
          <w:color w:val="000000" w:themeColor="text1"/>
        </w:rPr>
        <w:t xml:space="preserve"> applications that meet </w:t>
      </w:r>
      <w:r w:rsidRPr="00DF6D43" w:rsidR="5F6C9937">
        <w:rPr>
          <w:rFonts w:eastAsia="Times New Roman"/>
          <w:color w:val="000000" w:themeColor="text1"/>
        </w:rPr>
        <w:t>each of</w:t>
      </w:r>
      <w:r w:rsidRPr="00DF6D43" w:rsidR="00670C57">
        <w:rPr>
          <w:rFonts w:eastAsia="Times New Roman"/>
          <w:color w:val="000000" w:themeColor="text1"/>
        </w:rPr>
        <w:t xml:space="preserve"> the following criteria:</w:t>
      </w:r>
    </w:p>
    <w:p w:rsidR="00770972" w:rsidP="00CA7746" w:rsidRDefault="00670C57" w14:paraId="388D3857" w14:textId="504F032E">
      <w:pPr>
        <w:pStyle w:val="ListParagraph"/>
        <w:numPr>
          <w:ilvl w:val="0"/>
          <w:numId w:val="31"/>
        </w:numPr>
        <w:spacing w:after="120" w:line="240" w:lineRule="auto"/>
        <w:contextualSpacing w:val="0"/>
        <w:rPr>
          <w:rFonts w:eastAsia="Times New Roman"/>
          <w:color w:val="000000"/>
        </w:rPr>
      </w:pPr>
      <w:r w:rsidRPr="00DF6D43">
        <w:rPr>
          <w:rFonts w:eastAsia="Times New Roman"/>
          <w:color w:val="000000" w:themeColor="text1"/>
        </w:rPr>
        <w:t xml:space="preserve">The </w:t>
      </w:r>
      <w:r w:rsidRPr="00DF6D43" w:rsidR="005551DA">
        <w:rPr>
          <w:rFonts w:eastAsia="Times New Roman"/>
          <w:color w:val="000000" w:themeColor="text1"/>
        </w:rPr>
        <w:t>requested amount</w:t>
      </w:r>
      <w:r w:rsidRPr="00DF6D43">
        <w:rPr>
          <w:rFonts w:eastAsia="Times New Roman"/>
          <w:color w:val="000000" w:themeColor="text1"/>
        </w:rPr>
        <w:t xml:space="preserve"> </w:t>
      </w:r>
      <w:r w:rsidRPr="00DF6D43" w:rsidR="005551DA">
        <w:rPr>
          <w:rFonts w:eastAsia="Times New Roman"/>
          <w:color w:val="000000" w:themeColor="text1"/>
        </w:rPr>
        <w:t xml:space="preserve">per Technical Assistance </w:t>
      </w:r>
      <w:r w:rsidRPr="00DF6D43">
        <w:rPr>
          <w:rFonts w:eastAsia="Times New Roman"/>
          <w:color w:val="000000" w:themeColor="text1"/>
        </w:rPr>
        <w:t xml:space="preserve">does not exceed </w:t>
      </w:r>
      <w:r w:rsidRPr="00DF6D43" w:rsidR="005551DA">
        <w:rPr>
          <w:rFonts w:eastAsia="Times New Roman"/>
          <w:color w:val="000000" w:themeColor="text1"/>
        </w:rPr>
        <w:t>$</w:t>
      </w:r>
      <w:r w:rsidRPr="00DF6D43" w:rsidR="006D6D6A">
        <w:rPr>
          <w:rFonts w:eastAsia="Times New Roman"/>
          <w:color w:val="000000" w:themeColor="text1"/>
        </w:rPr>
        <w:t>1</w:t>
      </w:r>
      <w:r w:rsidRPr="00DF6D43" w:rsidR="005551DA">
        <w:rPr>
          <w:rFonts w:eastAsia="Times New Roman"/>
          <w:color w:val="000000" w:themeColor="text1"/>
        </w:rPr>
        <w:t xml:space="preserve">50,000 </w:t>
      </w:r>
      <w:r w:rsidRPr="00DF6D43" w:rsidR="00620A36">
        <w:rPr>
          <w:rFonts w:eastAsia="Times New Roman"/>
          <w:color w:val="000000" w:themeColor="text1"/>
        </w:rPr>
        <w:t>per fiscal year</w:t>
      </w:r>
      <w:r w:rsidRPr="00DF6D43" w:rsidR="006E1B0C">
        <w:rPr>
          <w:rFonts w:eastAsia="Times New Roman"/>
          <w:color w:val="000000" w:themeColor="text1"/>
        </w:rPr>
        <w:t xml:space="preserve"> per Tribe</w:t>
      </w:r>
      <w:r w:rsidRPr="00DF6D43" w:rsidR="00620A36">
        <w:rPr>
          <w:rFonts w:eastAsia="Times New Roman"/>
          <w:color w:val="000000" w:themeColor="text1"/>
        </w:rPr>
        <w:t>.</w:t>
      </w:r>
    </w:p>
    <w:p w:rsidRPr="00810E86" w:rsidR="00810E86" w:rsidP="00DF6D43" w:rsidRDefault="0E8733EA" w14:paraId="1452EDD1" w14:textId="4ABE5F95">
      <w:pPr>
        <w:pStyle w:val="ListParagraph"/>
        <w:numPr>
          <w:ilvl w:val="0"/>
          <w:numId w:val="31"/>
        </w:numPr>
        <w:tabs>
          <w:tab w:val="left" w:pos="4500"/>
        </w:tabs>
        <w:spacing w:after="120" w:line="240" w:lineRule="auto"/>
        <w:contextualSpacing w:val="0"/>
        <w:rPr>
          <w:rFonts w:asciiTheme="minorHAnsi" w:hAnsiTheme="minorHAnsi" w:eastAsiaTheme="minorEastAsia"/>
          <w:color w:val="000000" w:themeColor="text1"/>
          <w:szCs w:val="26"/>
        </w:rPr>
      </w:pPr>
      <w:r w:rsidRPr="00DF6D43">
        <w:rPr>
          <w:rFonts w:eastAsia="Times New Roman"/>
          <w:color w:val="000000" w:themeColor="text1"/>
        </w:rPr>
        <w:t xml:space="preserve">The application </w:t>
      </w:r>
      <w:r w:rsidRPr="00DF6D43" w:rsidR="004D727B">
        <w:rPr>
          <w:rFonts w:eastAsia="Times New Roman"/>
          <w:color w:val="000000" w:themeColor="text1"/>
        </w:rPr>
        <w:t>specifies</w:t>
      </w:r>
      <w:r w:rsidRPr="00DF6D43">
        <w:rPr>
          <w:rFonts w:eastAsia="Times New Roman"/>
          <w:color w:val="000000" w:themeColor="text1"/>
        </w:rPr>
        <w:t xml:space="preserve"> </w:t>
      </w:r>
      <w:r w:rsidRPr="00DF6D43" w:rsidR="00C9295D">
        <w:rPr>
          <w:rFonts w:eastAsia="Times New Roman"/>
          <w:color w:val="000000" w:themeColor="text1"/>
        </w:rPr>
        <w:t>that</w:t>
      </w:r>
      <w:r w:rsidRPr="00DF6D43" w:rsidR="0010586D">
        <w:rPr>
          <w:rFonts w:eastAsia="Times New Roman"/>
          <w:color w:val="000000" w:themeColor="text1"/>
        </w:rPr>
        <w:t xml:space="preserve"> </w:t>
      </w:r>
      <w:r w:rsidRPr="00DF6D43" w:rsidR="00ED24CB">
        <w:rPr>
          <w:rFonts w:eastAsia="Times New Roman"/>
          <w:color w:val="000000" w:themeColor="text1"/>
        </w:rPr>
        <w:t xml:space="preserve">the technical assistance will </w:t>
      </w:r>
      <w:r w:rsidRPr="00DF6D43" w:rsidR="7A4ED77C">
        <w:rPr>
          <w:rFonts w:eastAsia="Times New Roman"/>
          <w:color w:val="000000" w:themeColor="text1"/>
        </w:rPr>
        <w:t>advance</w:t>
      </w:r>
      <w:r w:rsidRPr="00DF6D43" w:rsidR="00ED24CB">
        <w:rPr>
          <w:rFonts w:eastAsia="Times New Roman"/>
          <w:color w:val="000000" w:themeColor="text1"/>
        </w:rPr>
        <w:t xml:space="preserve"> </w:t>
      </w:r>
      <w:r w:rsidRPr="00DF6D43" w:rsidR="00043A3D">
        <w:rPr>
          <w:rFonts w:eastAsia="Times New Roman"/>
          <w:color w:val="000000" w:themeColor="text1"/>
        </w:rPr>
        <w:t xml:space="preserve"> the </w:t>
      </w:r>
      <w:r w:rsidRPr="00DF6D43" w:rsidR="0020149D">
        <w:rPr>
          <w:rFonts w:eastAsia="Times New Roman"/>
          <w:color w:val="000000" w:themeColor="text1"/>
        </w:rPr>
        <w:t>CASF</w:t>
      </w:r>
      <w:r w:rsidRPr="00DF6D43" w:rsidR="00043A3D">
        <w:rPr>
          <w:rFonts w:eastAsia="Times New Roman"/>
          <w:color w:val="000000" w:themeColor="text1"/>
        </w:rPr>
        <w:t xml:space="preserve"> program goal to “provide broadband access to no less than 98 percent of California households in each consortia region” where broadband access is defined as service at 6 megabits per second download and 1 megabit per second upload. (Public Utilities Code section 281</w:t>
      </w:r>
      <w:r w:rsidRPr="00DF6D43" w:rsidR="00722027">
        <w:rPr>
          <w:rFonts w:eastAsia="Times New Roman"/>
          <w:color w:val="000000" w:themeColor="text1"/>
        </w:rPr>
        <w:t>(b)(1)(A)</w:t>
      </w:r>
      <w:r w:rsidRPr="00DF6D43" w:rsidR="006F60C1">
        <w:rPr>
          <w:rFonts w:eastAsia="Times New Roman"/>
          <w:color w:val="000000" w:themeColor="text1"/>
        </w:rPr>
        <w:t>)</w:t>
      </w:r>
      <w:r w:rsidRPr="00DF6D43" w:rsidR="00BF2EE3">
        <w:rPr>
          <w:rFonts w:eastAsia="Times New Roman"/>
          <w:color w:val="000000" w:themeColor="text1"/>
        </w:rPr>
        <w:t>.</w:t>
      </w:r>
      <w:r w:rsidRPr="00DF6D43" w:rsidR="00043A3D">
        <w:rPr>
          <w:rFonts w:eastAsia="Times New Roman"/>
          <w:color w:val="000000" w:themeColor="text1"/>
        </w:rPr>
        <w:t xml:space="preserve"> </w:t>
      </w:r>
    </w:p>
    <w:p w:rsidRPr="00C01352" w:rsidR="00C01352" w:rsidP="00DF6D43" w:rsidRDefault="008749E3" w14:paraId="7313ABC0" w14:textId="0E814503">
      <w:pPr>
        <w:pStyle w:val="ListParagraph"/>
        <w:numPr>
          <w:ilvl w:val="0"/>
          <w:numId w:val="31"/>
        </w:numPr>
        <w:spacing w:after="120" w:line="240" w:lineRule="auto"/>
        <w:contextualSpacing w:val="0"/>
        <w:rPr>
          <w:rFonts w:asciiTheme="minorHAnsi" w:hAnsiTheme="minorHAnsi" w:eastAsiaTheme="minorEastAsia"/>
          <w:color w:val="000000" w:themeColor="text1"/>
          <w:szCs w:val="26"/>
        </w:rPr>
      </w:pPr>
      <w:r w:rsidRPr="00DF6D43">
        <w:rPr>
          <w:rFonts w:eastAsia="Times New Roman"/>
          <w:color w:val="000000" w:themeColor="text1"/>
        </w:rPr>
        <w:t>If approved, t</w:t>
      </w:r>
      <w:r w:rsidRPr="00DF6D43" w:rsidR="00620A36">
        <w:rPr>
          <w:rFonts w:eastAsia="Times New Roman"/>
          <w:color w:val="000000" w:themeColor="text1"/>
        </w:rPr>
        <w:t>he Technical Assistance</w:t>
      </w:r>
      <w:r w:rsidRPr="00DF6D43" w:rsidR="00670C57">
        <w:rPr>
          <w:rFonts w:eastAsia="Times New Roman"/>
          <w:color w:val="000000" w:themeColor="text1"/>
        </w:rPr>
        <w:t xml:space="preserve"> must be completed within </w:t>
      </w:r>
      <w:r w:rsidRPr="00DF6D43" w:rsidR="00620A36">
        <w:rPr>
          <w:rFonts w:eastAsia="Times New Roman"/>
          <w:color w:val="000000" w:themeColor="text1"/>
        </w:rPr>
        <w:t xml:space="preserve">24 </w:t>
      </w:r>
      <w:r w:rsidRPr="00DF6D43" w:rsidR="00670C57">
        <w:rPr>
          <w:rFonts w:eastAsia="Times New Roman"/>
          <w:color w:val="000000" w:themeColor="text1"/>
        </w:rPr>
        <w:t>month</w:t>
      </w:r>
      <w:r w:rsidRPr="00DF6D43" w:rsidR="00174474">
        <w:rPr>
          <w:rFonts w:eastAsia="Times New Roman"/>
          <w:color w:val="000000" w:themeColor="text1"/>
        </w:rPr>
        <w:t>s</w:t>
      </w:r>
      <w:r w:rsidRPr="00DF6D43" w:rsidR="00670C57">
        <w:rPr>
          <w:rFonts w:eastAsia="Times New Roman"/>
          <w:color w:val="000000" w:themeColor="text1"/>
        </w:rPr>
        <w:t>.</w:t>
      </w:r>
    </w:p>
    <w:p w:rsidR="7AF163B3" w:rsidP="2C661213" w:rsidRDefault="7AF163B3" w14:paraId="2781DA81" w14:textId="1B5FE785">
      <w:pPr>
        <w:pStyle w:val="ListParagraph"/>
        <w:numPr>
          <w:ilvl w:val="0"/>
          <w:numId w:val="31"/>
        </w:numPr>
        <w:spacing w:after="120" w:line="240" w:lineRule="auto"/>
        <w:rPr>
          <w:color w:val="000000" w:themeColor="text1"/>
        </w:rPr>
      </w:pPr>
      <w:r w:rsidRPr="00DF6D43">
        <w:rPr>
          <w:rFonts w:eastAsia="Times New Roman"/>
          <w:color w:val="000000" w:themeColor="text1"/>
        </w:rPr>
        <w:t xml:space="preserve">The application meets all the other requirements of a Technical Assistance grant included in </w:t>
      </w:r>
      <w:r w:rsidRPr="00DF6D43" w:rsidR="7498D11D">
        <w:rPr>
          <w:rFonts w:eastAsia="Times New Roman"/>
          <w:color w:val="000000" w:themeColor="text1"/>
        </w:rPr>
        <w:t xml:space="preserve">Sections 2, 3, 5, and 6 of </w:t>
      </w:r>
      <w:r w:rsidRPr="00DF6D43">
        <w:rPr>
          <w:rFonts w:eastAsia="Times New Roman"/>
          <w:color w:val="000000" w:themeColor="text1"/>
        </w:rPr>
        <w:t>this Appendix.</w:t>
      </w:r>
    </w:p>
    <w:p w:rsidR="00715405" w:rsidP="00DF6D43" w:rsidRDefault="00715405" w14:paraId="381D8B77" w14:textId="4022BF95">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Resolution Review</w:t>
      </w:r>
    </w:p>
    <w:p w:rsidR="006E1B0C" w:rsidP="00DF6D43" w:rsidRDefault="008C2631" w14:paraId="1A259E5A" w14:textId="765B406C">
      <w:pPr>
        <w:pStyle w:val="ListParagraph"/>
        <w:numPr>
          <w:ilvl w:val="0"/>
          <w:numId w:val="29"/>
        </w:numPr>
        <w:spacing w:after="120" w:line="240" w:lineRule="auto"/>
        <w:contextualSpacing w:val="0"/>
        <w:rPr>
          <w:rFonts w:eastAsia="Times New Roman"/>
          <w:color w:val="000000"/>
        </w:rPr>
      </w:pPr>
      <w:r w:rsidRPr="00DF6D43">
        <w:rPr>
          <w:rFonts w:eastAsia="Times New Roman"/>
          <w:color w:val="000000" w:themeColor="text1"/>
        </w:rPr>
        <w:t xml:space="preserve">When an application does not meet the ministerial review criteria, Staff may </w:t>
      </w:r>
      <w:r w:rsidRPr="00DF6D43" w:rsidR="066F8AEA">
        <w:rPr>
          <w:rFonts w:eastAsia="Times New Roman"/>
          <w:color w:val="000000" w:themeColor="text1"/>
        </w:rPr>
        <w:t>refer the application to</w:t>
      </w:r>
      <w:r w:rsidRPr="00DF6D43">
        <w:rPr>
          <w:rFonts w:eastAsia="Times New Roman"/>
          <w:color w:val="000000" w:themeColor="text1"/>
        </w:rPr>
        <w:t xml:space="preserve"> the Commission </w:t>
      </w:r>
      <w:r w:rsidRPr="00DF6D43" w:rsidR="282E3E29">
        <w:rPr>
          <w:rFonts w:eastAsia="Times New Roman"/>
          <w:color w:val="000000" w:themeColor="text1"/>
        </w:rPr>
        <w:t xml:space="preserve">for review and approval </w:t>
      </w:r>
      <w:r w:rsidRPr="00DF6D43" w:rsidR="57EF52D4">
        <w:rPr>
          <w:rFonts w:eastAsia="Times New Roman"/>
          <w:color w:val="000000" w:themeColor="text1"/>
        </w:rPr>
        <w:t>via the Resolution process.</w:t>
      </w:r>
      <w:r w:rsidRPr="00DF6D43">
        <w:rPr>
          <w:rFonts w:eastAsia="Times New Roman"/>
          <w:color w:val="000000" w:themeColor="text1"/>
        </w:rPr>
        <w:t xml:space="preserve"> </w:t>
      </w:r>
    </w:p>
    <w:p w:rsidR="00715405" w:rsidP="00DF6D43" w:rsidRDefault="00715405" w14:paraId="607C3257" w14:textId="35D1FE4C">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Reporting</w:t>
      </w:r>
      <w:r w:rsidRPr="00DF6D43" w:rsidR="22FEF1F6">
        <w:rPr>
          <w:rFonts w:eastAsia="Times New Roman"/>
          <w:color w:val="000000" w:themeColor="text1"/>
        </w:rPr>
        <w:t xml:space="preserve"> and Public Posting</w:t>
      </w:r>
    </w:p>
    <w:p w:rsidR="002806E7" w:rsidP="00DF6D43" w:rsidRDefault="004B0D78" w14:paraId="5ED22CB9" w14:textId="05DBD846">
      <w:pPr>
        <w:pStyle w:val="ListParagraph"/>
        <w:spacing w:after="120" w:line="240" w:lineRule="auto"/>
        <w:ind w:firstLine="0"/>
        <w:contextualSpacing w:val="0"/>
        <w:rPr>
          <w:rFonts w:eastAsia="Book Antiqua" w:cs="Book Antiqua"/>
          <w:color w:val="000000" w:themeColor="text1"/>
        </w:rPr>
      </w:pPr>
      <w:r>
        <w:t xml:space="preserve">Upon completion of </w:t>
      </w:r>
      <w:r w:rsidR="00810E86">
        <w:t xml:space="preserve">the </w:t>
      </w:r>
      <w:r w:rsidR="004F082B">
        <w:t>Technical Assistance</w:t>
      </w:r>
      <w:r>
        <w:t xml:space="preserve"> and before payment, the applicant must provide a signed completion form stating that the </w:t>
      </w:r>
      <w:r w:rsidR="008A302E">
        <w:t xml:space="preserve">Technical Assistance </w:t>
      </w:r>
      <w:r>
        <w:t>work has been completed.</w:t>
      </w:r>
      <w:r w:rsidR="005C5102">
        <w:t xml:space="preserve"> </w:t>
      </w:r>
      <w:r w:rsidR="52D68C2C">
        <w:t xml:space="preserve"> </w:t>
      </w:r>
      <w:r w:rsidR="001376C6">
        <w:t>Th</w:t>
      </w:r>
      <w:r w:rsidR="005A4A22">
        <w:t xml:space="preserve">is form </w:t>
      </w:r>
      <w:r w:rsidR="00362AD0">
        <w:t>should</w:t>
      </w:r>
      <w:r w:rsidR="005A4A22">
        <w:t xml:space="preserve"> include a short description of the work suitable for posting on the Commission’s web page.</w:t>
      </w:r>
    </w:p>
    <w:p w:rsidR="00DD4C35" w:rsidP="00CA7746" w:rsidRDefault="002806E7" w14:paraId="53D4F3C9" w14:textId="63770566">
      <w:pPr>
        <w:pStyle w:val="ListParagraph"/>
        <w:spacing w:after="120" w:line="240" w:lineRule="auto"/>
        <w:ind w:firstLine="0"/>
        <w:contextualSpacing w:val="0"/>
      </w:pPr>
      <w:r>
        <w:t>U</w:t>
      </w:r>
      <w:r w:rsidR="005C5102">
        <w:t>pon completion of the work, Tribes should provide Staff a copy of the final report</w:t>
      </w:r>
      <w:r w:rsidR="2BF26A0A">
        <w:t>(s), plan(s), studies, etc</w:t>
      </w:r>
      <w:r w:rsidR="005C5102">
        <w:t>.</w:t>
      </w:r>
      <w:r w:rsidR="00E3374B">
        <w:t xml:space="preserve">  </w:t>
      </w:r>
      <w:r>
        <w:t xml:space="preserve">The final report will </w:t>
      </w:r>
      <w:r w:rsidR="00854F1D">
        <w:t>be presumed confidential.</w:t>
      </w:r>
    </w:p>
    <w:p w:rsidR="00C5161F" w:rsidP="00DF6D43" w:rsidRDefault="6994F694" w14:paraId="64173106" w14:textId="786F650B">
      <w:pPr>
        <w:pStyle w:val="ListParagraph"/>
        <w:spacing w:after="120" w:line="240" w:lineRule="auto"/>
        <w:ind w:firstLine="0"/>
      </w:pPr>
      <w:r>
        <w:t>Notifications of awards will be made by letter from the Communications Division Director. Award letters will be regularly posted to the Commission’s</w:t>
      </w:r>
      <w:r w:rsidR="6D297229">
        <w:t xml:space="preserve"> website. A short summary of the funds utilized for </w:t>
      </w:r>
      <w:r w:rsidR="5B350CD1">
        <w:t xml:space="preserve">Tribal Technical </w:t>
      </w:r>
      <w:r w:rsidR="0017768A">
        <w:t>Assistance</w:t>
      </w:r>
      <w:r w:rsidR="5B350CD1">
        <w:t xml:space="preserve"> will be posted on the Com</w:t>
      </w:r>
      <w:r w:rsidR="69B70608">
        <w:t>mission’s website.</w:t>
      </w:r>
    </w:p>
    <w:p w:rsidR="00715405" w:rsidP="00DF6D43" w:rsidRDefault="00715405" w14:paraId="17A412D8" w14:textId="7D0EFF12">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lastRenderedPageBreak/>
        <w:t>Payment</w:t>
      </w:r>
    </w:p>
    <w:p w:rsidRPr="000C5C0C" w:rsidR="000C5C0C" w:rsidP="00DF6D43" w:rsidRDefault="00D855D0" w14:paraId="6A7485F3" w14:textId="5B902B08">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Payment will be made directly to the Tribe.  Payment will be based upon receipt and approval of the invoice submitted by the Tribe showing the expenditures incurred for the </w:t>
      </w:r>
      <w:r w:rsidRPr="00DF6D43" w:rsidR="00D5501E">
        <w:rPr>
          <w:rFonts w:eastAsia="Times New Roman"/>
          <w:color w:val="000000" w:themeColor="text1"/>
        </w:rPr>
        <w:t xml:space="preserve">Technical Assistance </w:t>
      </w:r>
      <w:r w:rsidRPr="00DF6D43">
        <w:rPr>
          <w:rFonts w:eastAsia="Times New Roman"/>
          <w:color w:val="000000" w:themeColor="text1"/>
        </w:rPr>
        <w:t xml:space="preserve">along with the </w:t>
      </w:r>
      <w:r w:rsidRPr="00DF6D43" w:rsidR="00D63C94">
        <w:rPr>
          <w:rFonts w:eastAsia="Times New Roman"/>
          <w:color w:val="000000" w:themeColor="text1"/>
        </w:rPr>
        <w:t>documents</w:t>
      </w:r>
      <w:r w:rsidRPr="00DF6D43">
        <w:rPr>
          <w:rFonts w:eastAsia="Times New Roman"/>
          <w:color w:val="000000" w:themeColor="text1"/>
        </w:rPr>
        <w:t xml:space="preserve"> detailed in the Section </w:t>
      </w:r>
      <w:r w:rsidRPr="00DF6D43" w:rsidR="00D5501E">
        <w:rPr>
          <w:rFonts w:eastAsia="Times New Roman"/>
          <w:color w:val="000000" w:themeColor="text1"/>
        </w:rPr>
        <w:t>9</w:t>
      </w:r>
      <w:r w:rsidRPr="00DF6D43">
        <w:rPr>
          <w:rFonts w:eastAsia="Times New Roman"/>
          <w:color w:val="000000" w:themeColor="text1"/>
        </w:rPr>
        <w:t xml:space="preserve"> “Reporting.” </w:t>
      </w:r>
    </w:p>
    <w:p w:rsidR="00D855D0" w:rsidP="00DF6D43" w:rsidRDefault="00D855D0" w14:paraId="59B2B0A7" w14:textId="270DF137">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The invoice must be supported by documentation </w:t>
      </w:r>
      <w:r w:rsidRPr="00DF6D43" w:rsidR="00D5501E">
        <w:rPr>
          <w:rFonts w:eastAsia="Times New Roman"/>
          <w:color w:val="000000" w:themeColor="text1"/>
        </w:rPr>
        <w:t xml:space="preserve">such as </w:t>
      </w:r>
      <w:r w:rsidRPr="00DF6D43">
        <w:rPr>
          <w:rFonts w:eastAsia="Times New Roman"/>
          <w:color w:val="000000" w:themeColor="text1"/>
        </w:rPr>
        <w:t xml:space="preserve">cost of labor and any other expense that will be recovered by the </w:t>
      </w:r>
      <w:r w:rsidRPr="00DF6D43" w:rsidR="005123F4">
        <w:rPr>
          <w:rFonts w:eastAsia="Times New Roman"/>
          <w:color w:val="000000" w:themeColor="text1"/>
        </w:rPr>
        <w:t>grant</w:t>
      </w:r>
      <w:r w:rsidRPr="00DF6D43">
        <w:rPr>
          <w:rFonts w:eastAsia="Times New Roman"/>
          <w:color w:val="000000" w:themeColor="text1"/>
        </w:rPr>
        <w:t>.</w:t>
      </w:r>
    </w:p>
    <w:p w:rsidR="00715405" w:rsidP="00DF6D43" w:rsidRDefault="00715405" w14:paraId="0C7396C7" w14:textId="65FBB439">
      <w:pPr>
        <w:pStyle w:val="ListParagraph"/>
        <w:numPr>
          <w:ilvl w:val="0"/>
          <w:numId w:val="29"/>
        </w:numPr>
        <w:spacing w:after="120" w:line="240" w:lineRule="auto"/>
        <w:contextualSpacing w:val="0"/>
        <w:rPr>
          <w:rFonts w:asciiTheme="minorHAnsi" w:hAnsiTheme="minorHAnsi" w:eastAsiaTheme="minorEastAsia"/>
          <w:color w:val="000000"/>
          <w:szCs w:val="26"/>
        </w:rPr>
      </w:pPr>
      <w:r w:rsidRPr="00DF6D43">
        <w:rPr>
          <w:rFonts w:eastAsia="Times New Roman"/>
          <w:color w:val="000000" w:themeColor="text1"/>
        </w:rPr>
        <w:t>Execution and Performance</w:t>
      </w:r>
    </w:p>
    <w:p w:rsidR="001E05D9" w:rsidP="00CA7746" w:rsidRDefault="001E05D9" w14:paraId="05A2F50F" w14:textId="4D338637">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 xml:space="preserve">The Commission has the right to conduct any necessary audit, verification, and discovery for work </w:t>
      </w:r>
      <w:r w:rsidRPr="00DF6D43" w:rsidR="00117FF4">
        <w:rPr>
          <w:rFonts w:eastAsia="Times New Roman"/>
          <w:color w:val="000000" w:themeColor="text1"/>
        </w:rPr>
        <w:t>proposed or completed</w:t>
      </w:r>
      <w:r w:rsidRPr="00DF6D43">
        <w:rPr>
          <w:rFonts w:eastAsia="Times New Roman"/>
          <w:color w:val="000000" w:themeColor="text1"/>
        </w:rPr>
        <w:t xml:space="preserve"> under the Technical Assistance for Trib</w:t>
      </w:r>
      <w:r w:rsidRPr="00DF6D43" w:rsidR="151BCC30">
        <w:rPr>
          <w:rFonts w:eastAsia="Times New Roman"/>
          <w:color w:val="000000" w:themeColor="text1"/>
        </w:rPr>
        <w:t>es</w:t>
      </w:r>
      <w:r w:rsidRPr="00DF6D43">
        <w:rPr>
          <w:rFonts w:eastAsia="Times New Roman"/>
          <w:color w:val="000000" w:themeColor="text1"/>
        </w:rPr>
        <w:t xml:space="preserve"> to ensure that CASF funds are spent in accordance with Commission</w:t>
      </w:r>
      <w:r w:rsidRPr="00DF6D43" w:rsidR="001D022B">
        <w:rPr>
          <w:rFonts w:eastAsia="Times New Roman"/>
          <w:color w:val="000000" w:themeColor="text1"/>
        </w:rPr>
        <w:t xml:space="preserve"> rules</w:t>
      </w:r>
      <w:r w:rsidRPr="00DF6D43">
        <w:rPr>
          <w:rFonts w:eastAsia="Times New Roman"/>
          <w:color w:val="000000" w:themeColor="text1"/>
        </w:rPr>
        <w:t>.</w:t>
      </w:r>
    </w:p>
    <w:p w:rsidR="001E05D9" w:rsidP="00DF6D43" w:rsidRDefault="001E05D9" w14:paraId="579FE191" w14:textId="526D3F5A">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Invoices from the Tribe or its approved contractor will be subject to financial audit by the Commission at any time within 3 years of completion of the work.</w:t>
      </w:r>
    </w:p>
    <w:p w:rsidR="001E05D9" w:rsidP="00DF6D43" w:rsidRDefault="001E05D9" w14:paraId="79E75ACE" w14:textId="0DDAB1AE">
      <w:pPr>
        <w:pStyle w:val="ListParagraph"/>
        <w:spacing w:after="120" w:line="240" w:lineRule="auto"/>
        <w:ind w:firstLine="0"/>
        <w:contextualSpacing w:val="0"/>
        <w:rPr>
          <w:rFonts w:eastAsia="Times New Roman"/>
          <w:color w:val="000000"/>
        </w:rPr>
      </w:pPr>
      <w:r w:rsidRPr="00DF6D43">
        <w:rPr>
          <w:rFonts w:eastAsia="Times New Roman"/>
          <w:color w:val="000000" w:themeColor="text1"/>
        </w:rPr>
        <w:t>In the event that the applicant or contractor fails to complete the work in accordance with the approval granted by the Commission, and as described in the contract, the Tribe must reimburse some or all of the funds that it has received.</w:t>
      </w:r>
    </w:p>
    <w:p w:rsidRPr="001E05D9" w:rsidR="001E05D9" w:rsidP="00DF6D43" w:rsidRDefault="001E05D9" w14:paraId="79E0005C" w14:textId="48E6F74B">
      <w:pPr>
        <w:pStyle w:val="ListParagraph"/>
        <w:spacing w:after="120" w:line="240" w:lineRule="auto"/>
        <w:ind w:firstLine="0"/>
        <w:contextualSpacing w:val="0"/>
        <w:rPr>
          <w:rFonts w:eastAsia="Times New Roman"/>
          <w:color w:val="000000"/>
        </w:rPr>
      </w:pPr>
      <w:r w:rsidRPr="00DF6D43">
        <w:rPr>
          <w:color w:val="000000" w:themeColor="text1"/>
        </w:rPr>
        <w:t xml:space="preserve">All grantees are required to sign a consent form agreeing to the terms stated in the resolution or award letter authorizing the CASF award.  The agreement will provide the name of </w:t>
      </w:r>
      <w:r w:rsidRPr="00DF6D43" w:rsidR="00B46F91">
        <w:rPr>
          <w:color w:val="000000" w:themeColor="text1"/>
        </w:rPr>
        <w:t>person who is managing the consulting contract</w:t>
      </w:r>
      <w:r w:rsidRPr="00DF6D43" w:rsidR="00D43D6B">
        <w:rPr>
          <w:color w:val="000000" w:themeColor="text1"/>
        </w:rPr>
        <w:t xml:space="preserve"> </w:t>
      </w:r>
      <w:r w:rsidRPr="00DF6D43">
        <w:rPr>
          <w:color w:val="000000" w:themeColor="text1"/>
        </w:rPr>
        <w:t xml:space="preserve">and must be signed by the grantee.  </w:t>
      </w:r>
    </w:p>
    <w:p w:rsidRPr="00C20211" w:rsidR="00E70ADC" w:rsidP="00715405" w:rsidRDefault="00E70ADC" w14:paraId="321FF260" w14:textId="77777777">
      <w:pPr>
        <w:spacing w:after="160" w:line="259" w:lineRule="auto"/>
        <w:ind w:firstLine="0"/>
        <w:rPr>
          <w:rFonts w:eastAsia="Book Antiqua" w:cs="Book Antiqua"/>
          <w:color w:val="FF0000"/>
          <w:szCs w:val="26"/>
        </w:rPr>
      </w:pPr>
    </w:p>
    <w:p w:rsidRPr="00C20211" w:rsidR="00C20211" w:rsidP="00622EFC" w:rsidRDefault="00C20211" w14:paraId="33A31207" w14:textId="77777777">
      <w:pPr>
        <w:pStyle w:val="ListParagraph"/>
        <w:numPr>
          <w:ilvl w:val="0"/>
          <w:numId w:val="25"/>
        </w:numPr>
        <w:spacing w:after="120" w:line="240" w:lineRule="auto"/>
        <w:ind w:left="360"/>
        <w:sectPr w:rsidRPr="00C20211" w:rsidR="00C20211" w:rsidSect="002F4007">
          <w:headerReference w:type="default" r:id="rId24"/>
          <w:footerReference w:type="default" r:id="rId25"/>
          <w:headerReference w:type="first" r:id="rId26"/>
          <w:footerReference w:type="first" r:id="rId27"/>
          <w:pgSz w:w="12240" w:h="15840"/>
          <w:pgMar w:top="1728" w:right="1440" w:bottom="1440" w:left="1530" w:header="720" w:footer="720" w:gutter="0"/>
          <w:pgNumType w:start="1"/>
          <w:cols w:space="720"/>
          <w:titlePg/>
          <w:docGrid w:linePitch="360"/>
        </w:sectPr>
      </w:pPr>
    </w:p>
    <w:p w:rsidR="00C20211" w:rsidP="00C20211" w:rsidRDefault="00C20211" w14:paraId="11F76286" w14:textId="7F0B3813">
      <w:pPr>
        <w:keepNext/>
        <w:keepLines/>
        <w:jc w:val="center"/>
        <w:rPr>
          <w:b/>
          <w:sz w:val="64"/>
          <w:szCs w:val="72"/>
        </w:rPr>
      </w:pPr>
    </w:p>
    <w:p w:rsidR="002D17EE" w:rsidP="00C20211" w:rsidRDefault="002D17EE" w14:paraId="6C732EEE" w14:textId="19DC4E62">
      <w:pPr>
        <w:keepNext/>
        <w:keepLines/>
        <w:jc w:val="center"/>
        <w:rPr>
          <w:b/>
          <w:sz w:val="64"/>
          <w:szCs w:val="72"/>
        </w:rPr>
      </w:pPr>
    </w:p>
    <w:p w:rsidR="002D17EE" w:rsidP="00C20211" w:rsidRDefault="002D17EE" w14:paraId="33B7CB10" w14:textId="2CF5E6E7">
      <w:pPr>
        <w:keepNext/>
        <w:keepLines/>
        <w:jc w:val="center"/>
        <w:rPr>
          <w:b/>
          <w:sz w:val="64"/>
          <w:szCs w:val="72"/>
        </w:rPr>
      </w:pPr>
    </w:p>
    <w:p w:rsidRPr="00C20211" w:rsidR="002D17EE" w:rsidP="00C20211" w:rsidRDefault="002D17EE" w14:paraId="70A7E755" w14:textId="77777777">
      <w:pPr>
        <w:keepNext/>
        <w:keepLines/>
        <w:jc w:val="center"/>
        <w:rPr>
          <w:b/>
          <w:sz w:val="64"/>
          <w:szCs w:val="72"/>
        </w:rPr>
      </w:pPr>
    </w:p>
    <w:p w:rsidRPr="00C20211" w:rsidR="00C20211" w:rsidP="00C20211" w:rsidRDefault="00C20211" w14:paraId="5A8B6933" w14:textId="77777777">
      <w:pPr>
        <w:keepNext/>
        <w:keepLines/>
        <w:ind w:hanging="90"/>
        <w:jc w:val="center"/>
        <w:rPr>
          <w:b/>
          <w:sz w:val="64"/>
          <w:szCs w:val="72"/>
        </w:rPr>
      </w:pPr>
      <w:r w:rsidRPr="00C20211">
        <w:rPr>
          <w:b/>
          <w:sz w:val="64"/>
          <w:szCs w:val="72"/>
        </w:rPr>
        <w:t>Appendix 2</w:t>
      </w:r>
    </w:p>
    <w:p w:rsidRPr="00C20211" w:rsidR="00C20211" w:rsidP="00C20211" w:rsidRDefault="00C20211" w14:paraId="314F9E0C" w14:textId="77777777">
      <w:pPr>
        <w:jc w:val="center"/>
        <w:rPr>
          <w:b/>
        </w:rPr>
      </w:pPr>
    </w:p>
    <w:p w:rsidRPr="00C20211" w:rsidR="00C20211" w:rsidP="00C20211" w:rsidRDefault="00C20211" w14:paraId="566F0800" w14:textId="77777777">
      <w:pPr>
        <w:jc w:val="center"/>
        <w:rPr>
          <w:b/>
        </w:rPr>
      </w:pPr>
    </w:p>
    <w:p w:rsidRPr="00C20211" w:rsidR="00C20211" w:rsidP="00C20211" w:rsidRDefault="00C20211" w14:paraId="7C92D970" w14:textId="77777777">
      <w:pPr>
        <w:jc w:val="center"/>
        <w:rPr>
          <w:b/>
        </w:rPr>
      </w:pPr>
    </w:p>
    <w:p w:rsidRPr="00C20211" w:rsidR="00C20211" w:rsidP="00C20211" w:rsidRDefault="00C20211" w14:paraId="28AC9E0B" w14:textId="77777777">
      <w:pPr>
        <w:jc w:val="center"/>
        <w:rPr>
          <w:b/>
          <w:bCs/>
        </w:rPr>
      </w:pPr>
    </w:p>
    <w:p w:rsidRPr="00C20211" w:rsidR="00C20211" w:rsidP="00C20211" w:rsidRDefault="00C20211" w14:paraId="0137C552" w14:textId="77777777">
      <w:pPr>
        <w:jc w:val="center"/>
        <w:rPr>
          <w:b/>
        </w:rPr>
      </w:pPr>
    </w:p>
    <w:p w:rsidRPr="00C20211" w:rsidR="00C20211" w:rsidP="00C20211" w:rsidRDefault="00C20211" w14:paraId="53998C8A" w14:textId="77777777">
      <w:pPr>
        <w:jc w:val="center"/>
        <w:rPr>
          <w:b/>
        </w:rPr>
        <w:sectPr w:rsidRPr="00C20211" w:rsidR="00C20211" w:rsidSect="009E4A03">
          <w:headerReference w:type="default" r:id="rId28"/>
          <w:footerReference w:type="default" r:id="rId29"/>
          <w:headerReference w:type="first" r:id="rId30"/>
          <w:footerReference w:type="first" r:id="rId31"/>
          <w:footnotePr>
            <w:numRestart w:val="eachSect"/>
          </w:footnotePr>
          <w:pgSz w:w="12240" w:h="15840" w:code="1"/>
          <w:pgMar w:top="1728" w:right="1440" w:bottom="1440" w:left="1440" w:header="720" w:footer="720" w:gutter="0"/>
          <w:pgNumType w:start="1"/>
          <w:cols w:space="720"/>
          <w:titlePg/>
        </w:sectPr>
      </w:pPr>
    </w:p>
    <w:p w:rsidRPr="00FF2A79" w:rsidR="00C20211" w:rsidP="00C20211" w:rsidRDefault="00C20211" w14:paraId="44B17B5A" w14:textId="77777777">
      <w:pPr>
        <w:spacing w:line="240" w:lineRule="auto"/>
        <w:ind w:firstLine="0"/>
        <w:jc w:val="center"/>
        <w:rPr>
          <w:szCs w:val="26"/>
        </w:rPr>
      </w:pPr>
      <w:r w:rsidRPr="00FF2A79">
        <w:rPr>
          <w:rFonts w:eastAsia="Book Antiqua" w:cs="Book Antiqua"/>
          <w:b/>
          <w:bCs/>
          <w:color w:val="000000" w:themeColor="text1"/>
          <w:szCs w:val="26"/>
        </w:rPr>
        <w:lastRenderedPageBreak/>
        <w:t>APPENDIX 2</w:t>
      </w:r>
    </w:p>
    <w:p w:rsidRPr="00FF2A79" w:rsidR="00C20211" w:rsidP="00C20211" w:rsidRDefault="00C20211" w14:paraId="67D5FC3E" w14:textId="77777777">
      <w:pPr>
        <w:spacing w:line="240" w:lineRule="auto"/>
        <w:ind w:firstLine="0"/>
        <w:jc w:val="center"/>
        <w:rPr>
          <w:szCs w:val="26"/>
        </w:rPr>
      </w:pPr>
      <w:r w:rsidRPr="00FF2A79">
        <w:rPr>
          <w:rFonts w:eastAsia="Book Antiqua" w:cs="Book Antiqua"/>
          <w:b/>
          <w:bCs/>
          <w:color w:val="000000" w:themeColor="text1"/>
          <w:szCs w:val="26"/>
        </w:rPr>
        <w:t xml:space="preserve">Broadband Public Housing Account </w:t>
      </w:r>
    </w:p>
    <w:p w:rsidRPr="00FF2A79" w:rsidR="00C20211" w:rsidP="00C20211" w:rsidRDefault="00C20211" w14:paraId="173ABA7B" w14:textId="77777777">
      <w:pPr>
        <w:spacing w:line="240" w:lineRule="auto"/>
        <w:ind w:firstLine="0"/>
        <w:jc w:val="center"/>
        <w:rPr>
          <w:szCs w:val="26"/>
        </w:rPr>
      </w:pPr>
      <w:r w:rsidRPr="00FF2A79">
        <w:rPr>
          <w:rFonts w:eastAsia="Book Antiqua" w:cs="Book Antiqua"/>
          <w:b/>
          <w:bCs/>
          <w:color w:val="000000" w:themeColor="text1"/>
          <w:szCs w:val="26"/>
        </w:rPr>
        <w:t>Revised Application Requirements and Guidelines</w:t>
      </w:r>
    </w:p>
    <w:p w:rsidRPr="00FF2A79" w:rsidR="00C20211" w:rsidP="00C20211" w:rsidRDefault="00C20211" w14:paraId="4310C000" w14:textId="77777777">
      <w:pPr>
        <w:rPr>
          <w:szCs w:val="26"/>
        </w:rPr>
      </w:pPr>
      <w:r w:rsidRPr="00FF2A79">
        <w:rPr>
          <w:rFonts w:eastAsia="Book Antiqua" w:cs="Book Antiqua"/>
          <w:color w:val="000000" w:themeColor="text1"/>
          <w:szCs w:val="26"/>
        </w:rPr>
        <w:t xml:space="preserve"> </w:t>
      </w:r>
    </w:p>
    <w:p w:rsidRPr="00FF2A79" w:rsidR="00C20211" w:rsidP="00C20211" w:rsidRDefault="00C20211" w14:paraId="74A28621" w14:textId="05B6ED4E">
      <w:pPr>
        <w:pStyle w:val="Heading2"/>
        <w:tabs>
          <w:tab w:val="clear" w:pos="1080"/>
          <w:tab w:val="num" w:pos="810"/>
        </w:tabs>
        <w:ind w:left="720"/>
        <w:rPr>
          <w:rFonts w:ascii="Book Antiqua" w:hAnsi="Book Antiqua"/>
        </w:rPr>
      </w:pPr>
      <w:bookmarkStart w:name="_Toc43713778" w:id="61"/>
      <w:bookmarkStart w:name="_Toc43713937" w:id="62"/>
      <w:bookmarkStart w:name="_Toc43722411" w:id="63"/>
      <w:bookmarkStart w:name="_Toc43744781" w:id="64"/>
      <w:r w:rsidRPr="00FF2A79">
        <w:rPr>
          <w:rFonts w:ascii="Book Antiqua" w:hAnsi="Book Antiqua" w:eastAsia="Book Antiqua" w:cs="Book Antiqua"/>
        </w:rPr>
        <w:t>I.</w:t>
      </w:r>
      <w:r w:rsidRPr="00FF2A79">
        <w:rPr>
          <w:rFonts w:ascii="Book Antiqua" w:hAnsi="Book Antiqua" w:eastAsia="Times New Roman" w:cs="Times New Roman"/>
          <w:b w:val="0"/>
        </w:rPr>
        <w:t xml:space="preserve">   </w:t>
      </w:r>
      <w:r w:rsidRPr="00FF2A79">
        <w:rPr>
          <w:rFonts w:ascii="Book Antiqua" w:hAnsi="Book Antiqua"/>
        </w:rPr>
        <w:t>Background</w:t>
      </w:r>
      <w:bookmarkEnd w:id="61"/>
      <w:bookmarkEnd w:id="62"/>
      <w:bookmarkEnd w:id="63"/>
      <w:bookmarkEnd w:id="64"/>
    </w:p>
    <w:p w:rsidRPr="00FF2A79" w:rsidR="00C20211" w:rsidP="00C20211" w:rsidRDefault="00C20211" w14:paraId="1A00A0CB" w14:textId="77777777">
      <w:pPr>
        <w:spacing w:line="240" w:lineRule="auto"/>
        <w:ind w:firstLine="0"/>
        <w:rPr>
          <w:color w:val="000000" w:themeColor="text1"/>
          <w:szCs w:val="26"/>
        </w:rPr>
      </w:pPr>
      <w:r w:rsidRPr="00FF2A79">
        <w:rPr>
          <w:color w:val="000000" w:themeColor="text1"/>
          <w:szCs w:val="26"/>
        </w:rPr>
        <w:t xml:space="preserve">AB 1299 (Bradford) was signed into law on October 3, 2013.  AB 1299 expanded the CASF Program by adding a fourth account, the Broadband Public Housing Account (BPHA), dedicated to broadband access and adoption in publicly supported communities (PSCs).  </w:t>
      </w:r>
    </w:p>
    <w:p w:rsidRPr="00FF2A79" w:rsidR="00C20211" w:rsidP="00C20211" w:rsidRDefault="00C20211" w14:paraId="25254884" w14:textId="77777777">
      <w:pPr>
        <w:spacing w:line="240" w:lineRule="auto"/>
        <w:ind w:firstLine="0"/>
        <w:rPr>
          <w:color w:val="000000" w:themeColor="text1"/>
          <w:szCs w:val="26"/>
        </w:rPr>
      </w:pPr>
    </w:p>
    <w:p w:rsidRPr="00FF2A79" w:rsidR="00C20211" w:rsidP="00C20211" w:rsidRDefault="00C20211" w14:paraId="225BAF58" w14:textId="77777777">
      <w:pPr>
        <w:spacing w:line="240" w:lineRule="auto"/>
        <w:ind w:firstLine="0"/>
        <w:rPr>
          <w:color w:val="000000" w:themeColor="text1"/>
          <w:szCs w:val="26"/>
        </w:rPr>
      </w:pPr>
      <w:r w:rsidRPr="00FF2A79">
        <w:rPr>
          <w:color w:val="000000" w:themeColor="text1"/>
          <w:szCs w:val="26"/>
        </w:rPr>
        <w:t>In 2016 the Legislature passed SB 745 (</w:t>
      </w:r>
      <w:proofErr w:type="spellStart"/>
      <w:r w:rsidRPr="00FF2A79">
        <w:rPr>
          <w:color w:val="000000" w:themeColor="text1"/>
          <w:szCs w:val="26"/>
        </w:rPr>
        <w:t>Hueso</w:t>
      </w:r>
      <w:proofErr w:type="spellEnd"/>
      <w:r w:rsidRPr="00FF2A79">
        <w:rPr>
          <w:color w:val="000000" w:themeColor="text1"/>
          <w:szCs w:val="26"/>
        </w:rPr>
        <w:t>).  SB 745 extended the date when remaining funds from the BPHA are transferred back to other CASF Accounts from December 31, 2016, to December 31, 2020.  SB 745 further limited the Commission’s awarding of grants for BPHA infrastructure projects to only unserved housing developments.</w:t>
      </w:r>
    </w:p>
    <w:p w:rsidRPr="00FF2A79" w:rsidR="00C20211" w:rsidP="00C20211" w:rsidRDefault="00C20211" w14:paraId="32629012" w14:textId="77777777">
      <w:pPr>
        <w:spacing w:line="240" w:lineRule="auto"/>
        <w:ind w:firstLine="0"/>
        <w:rPr>
          <w:color w:val="000000" w:themeColor="text1"/>
          <w:szCs w:val="26"/>
        </w:rPr>
      </w:pPr>
    </w:p>
    <w:p w:rsidRPr="00FF2A79" w:rsidR="00C20211" w:rsidP="00C20211" w:rsidRDefault="00C20211" w14:paraId="0A3DD8DC" w14:textId="77777777">
      <w:pPr>
        <w:spacing w:line="240" w:lineRule="auto"/>
        <w:ind w:firstLine="0"/>
        <w:rPr>
          <w:color w:val="000000" w:themeColor="text1"/>
          <w:szCs w:val="26"/>
        </w:rPr>
      </w:pPr>
      <w:r w:rsidRPr="00FF2A79">
        <w:rPr>
          <w:color w:val="000000" w:themeColor="text1"/>
          <w:szCs w:val="26"/>
        </w:rPr>
        <w:t xml:space="preserve">In 2017, the Legislature passed AB 1665 (Garcia) that authorized PSCs eligible for funding via the BPHA, only after all funds available for the BPHA have been awarded, to submit a CASF application for funding from the Broadband Infrastructure Account and/or Broadband Adoption Account. </w:t>
      </w:r>
    </w:p>
    <w:p w:rsidRPr="00FF2A79" w:rsidR="00C20211" w:rsidP="00C20211" w:rsidRDefault="00C20211" w14:paraId="01B52CFE" w14:textId="77777777">
      <w:pPr>
        <w:spacing w:line="240" w:lineRule="auto"/>
        <w:ind w:left="360"/>
        <w:rPr>
          <w:color w:val="000000" w:themeColor="text1"/>
          <w:szCs w:val="26"/>
        </w:rPr>
      </w:pPr>
    </w:p>
    <w:p w:rsidRPr="00FF2A79" w:rsidR="00C20211" w:rsidP="00BB504D" w:rsidRDefault="003D4040" w14:paraId="1E8BC12D" w14:textId="1A7B9019">
      <w:pPr>
        <w:pStyle w:val="Heading2"/>
        <w:widowControl w:val="0"/>
        <w:numPr>
          <w:ilvl w:val="0"/>
          <w:numId w:val="8"/>
        </w:numPr>
        <w:ind w:left="360" w:hanging="360"/>
        <w:rPr>
          <w:rFonts w:ascii="Book Antiqua" w:hAnsi="Book Antiqua"/>
        </w:rPr>
      </w:pPr>
      <w:bookmarkStart w:name="_Toc43713779" w:id="65"/>
      <w:bookmarkStart w:name="_Toc43713938" w:id="66"/>
      <w:bookmarkStart w:name="_Toc43722412" w:id="67"/>
      <w:r>
        <w:rPr>
          <w:rFonts w:ascii="Book Antiqua" w:hAnsi="Book Antiqua"/>
        </w:rPr>
        <w:t xml:space="preserve"> </w:t>
      </w:r>
      <w:bookmarkStart w:name="_Toc43744782" w:id="68"/>
      <w:r w:rsidRPr="00FF2A79" w:rsidR="00C20211">
        <w:rPr>
          <w:rFonts w:ascii="Book Antiqua" w:hAnsi="Book Antiqua"/>
        </w:rPr>
        <w:t>Amount Available for Grants</w:t>
      </w:r>
      <w:bookmarkEnd w:id="65"/>
      <w:bookmarkEnd w:id="66"/>
      <w:bookmarkEnd w:id="67"/>
      <w:bookmarkEnd w:id="68"/>
    </w:p>
    <w:p w:rsidRPr="00FF2A79" w:rsidR="00C20211" w:rsidP="00C20211" w:rsidRDefault="00C20211" w14:paraId="727E97F7" w14:textId="77777777">
      <w:pPr>
        <w:spacing w:line="240" w:lineRule="auto"/>
        <w:ind w:firstLine="0"/>
        <w:rPr>
          <w:strike/>
          <w:szCs w:val="26"/>
        </w:rPr>
      </w:pPr>
      <w:r w:rsidRPr="00FF2A79">
        <w:rPr>
          <w:color w:val="000000" w:themeColor="text1"/>
          <w:szCs w:val="26"/>
        </w:rPr>
        <w:t xml:space="preserve">The BPHA provides $20 million for grants and loans to finance infrastructure projects </w:t>
      </w:r>
      <w:r w:rsidRPr="00FF2A79">
        <w:rPr>
          <w:szCs w:val="26"/>
        </w:rPr>
        <w:t xml:space="preserve">connecting PSCs with broadband Internet.  The Account provides $5 million for adoption projects for residents in PSCs.  To date, the $5 million allocated for grants for PSCs has been fully committed.  Therefore, the Commission can no longer accept applications for these projects unless the statutory cap is raised.  However, eligible PSCs can apply for funds for broadband adoption projects from the CASF Broadband Adoption Account.  </w:t>
      </w:r>
    </w:p>
    <w:p w:rsidRPr="00FF2A79" w:rsidR="00C20211" w:rsidP="00C20211" w:rsidRDefault="00C20211" w14:paraId="7D98CD8C" w14:textId="77777777">
      <w:pPr>
        <w:spacing w:line="240" w:lineRule="auto"/>
        <w:ind w:firstLine="0"/>
        <w:rPr>
          <w:strike/>
          <w:szCs w:val="26"/>
        </w:rPr>
      </w:pPr>
    </w:p>
    <w:p w:rsidRPr="00FF2A79" w:rsidR="00C20211" w:rsidP="00C20211" w:rsidRDefault="00C20211" w14:paraId="6A126693" w14:textId="5FA853DC">
      <w:pPr>
        <w:spacing w:line="240" w:lineRule="auto"/>
        <w:ind w:firstLine="0"/>
        <w:rPr>
          <w:szCs w:val="26"/>
        </w:rPr>
      </w:pPr>
      <w:r w:rsidRPr="7139016B">
        <w:t>The Commission will award grants to finance up to 100 percent of the costs to install inside wiring</w:t>
      </w:r>
      <w:r w:rsidRPr="7139016B" w:rsidR="003D4040">
        <w:rPr>
          <w:rStyle w:val="FootnoteReference"/>
        </w:rPr>
        <w:footnoteReference w:id="69"/>
      </w:r>
      <w:r w:rsidRPr="7139016B">
        <w:t xml:space="preserve"> and broadband network equipment but will not finance operations and maintenance costs.  </w:t>
      </w:r>
    </w:p>
    <w:p w:rsidRPr="00FF2A79" w:rsidR="00C20211" w:rsidP="00C20211" w:rsidRDefault="00C20211" w14:paraId="1C71E8FD" w14:textId="77777777">
      <w:pPr>
        <w:widowControl w:val="0"/>
        <w:spacing w:line="240" w:lineRule="auto"/>
        <w:ind w:firstLine="0"/>
        <w:rPr>
          <w:color w:val="000000" w:themeColor="text1"/>
          <w:szCs w:val="26"/>
        </w:rPr>
      </w:pPr>
      <w:r w:rsidRPr="00FF2A79">
        <w:rPr>
          <w:color w:val="000000" w:themeColor="text1"/>
          <w:szCs w:val="26"/>
        </w:rPr>
        <w:t xml:space="preserve">The Commission will reimburse the following project-related expenses after a review of the project progress or completion reports and supporting </w:t>
      </w:r>
      <w:r w:rsidRPr="00FF2A79">
        <w:rPr>
          <w:color w:val="000000" w:themeColor="text1"/>
          <w:szCs w:val="26"/>
        </w:rPr>
        <w:lastRenderedPageBreak/>
        <w:t>documentation:</w:t>
      </w:r>
    </w:p>
    <w:p w:rsidRPr="00FF2A79" w:rsidR="00C20211" w:rsidP="00BB504D" w:rsidRDefault="00C20211" w14:paraId="5904054E"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tabs>
          <w:tab w:val="left" w:pos="720"/>
        </w:tabs>
        <w:suppressAutoHyphens/>
        <w:ind w:hanging="540"/>
        <w:rPr>
          <w:rFonts w:ascii="Book Antiqua" w:hAnsi="Book Antiqua" w:eastAsia="Palatino Linotype" w:cs="Times New Roman"/>
          <w:color w:val="000000" w:themeColor="text1"/>
        </w:rPr>
      </w:pPr>
      <w:r w:rsidRPr="00FF2A79">
        <w:rPr>
          <w:rFonts w:ascii="Book Antiqua" w:hAnsi="Book Antiqua" w:eastAsia="Palatino Linotype" w:cs="Times New Roman"/>
          <w:color w:val="000000" w:themeColor="text1"/>
        </w:rPr>
        <w:t xml:space="preserve">All </w:t>
      </w:r>
      <w:r w:rsidRPr="00FF2A79">
        <w:rPr>
          <w:rFonts w:ascii="Book Antiqua" w:hAnsi="Book Antiqua" w:eastAsia="Book Antiqua" w:cs="Book Antiqua"/>
          <w:color w:val="000000" w:themeColor="text1"/>
        </w:rPr>
        <w:t xml:space="preserve">broadband </w:t>
      </w:r>
      <w:r w:rsidRPr="00FF2A79">
        <w:rPr>
          <w:rFonts w:ascii="Book Antiqua" w:hAnsi="Book Antiqua" w:eastAsia="Palatino Linotype" w:cs="Times New Roman"/>
          <w:color w:val="000000" w:themeColor="text1"/>
        </w:rPr>
        <w:t>networking equipment (hardware and software), wireless access points, wireless bridge(s), modem(s), switches, router(s), and firewall(s) for network security but not personal computers, laptops, handheld or human interface devices.</w:t>
      </w:r>
    </w:p>
    <w:p w:rsidRPr="00FF2A79" w:rsidR="00C20211" w:rsidP="00BB504D" w:rsidRDefault="00C20211" w14:paraId="0A4C618C"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suppressAutoHyphens/>
        <w:ind w:hanging="540"/>
        <w:rPr>
          <w:rFonts w:ascii="Book Antiqua" w:hAnsi="Book Antiqua" w:eastAsia="Palatino Linotype" w:cs="Times New Roman"/>
          <w:color w:val="000000" w:themeColor="text1"/>
        </w:rPr>
      </w:pPr>
      <w:r w:rsidRPr="00FF2A79">
        <w:rPr>
          <w:rFonts w:ascii="Book Antiqua" w:hAnsi="Book Antiqua" w:eastAsia="Palatino Linotype" w:cs="Times New Roman"/>
          <w:color w:val="000000" w:themeColor="text1"/>
        </w:rPr>
        <w:t>Low voltage contracting work including the installation of inside wiring, network cabinets, NEMA boxes</w:t>
      </w:r>
      <w:r w:rsidRPr="00FF2A79">
        <w:rPr>
          <w:rStyle w:val="FootnoteReference"/>
          <w:rFonts w:ascii="Book Antiqua" w:hAnsi="Book Antiqua" w:eastAsia="Palatino Linotype" w:cs="Times New Roman"/>
          <w:color w:val="000000" w:themeColor="text1"/>
        </w:rPr>
        <w:footnoteReference w:id="70"/>
      </w:r>
      <w:r w:rsidRPr="00FF2A79">
        <w:rPr>
          <w:rFonts w:ascii="Book Antiqua" w:hAnsi="Book Antiqua" w:eastAsia="Palatino Linotype" w:cs="Times New Roman"/>
          <w:color w:val="000000" w:themeColor="text1"/>
        </w:rPr>
        <w:t>, conduits, patch panels, cable tray or ladders, and other cabling requirements to provide power and connectivity for the broadband network equipment funded as part of the project.  Major rehabilitation, demolition or construction work will not be funded.</w:t>
      </w:r>
    </w:p>
    <w:p w:rsidRPr="00FF2A79" w:rsidR="00C20211" w:rsidP="00BB504D" w:rsidRDefault="00C20211" w14:paraId="2F46F407"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suppressAutoHyphens/>
        <w:ind w:hanging="540"/>
        <w:rPr>
          <w:rFonts w:ascii="Book Antiqua" w:hAnsi="Book Antiqua" w:eastAsia="Palatino Linotype" w:cs="Times New Roman"/>
          <w:color w:val="000000" w:themeColor="text1"/>
        </w:rPr>
      </w:pPr>
      <w:r w:rsidRPr="00FF2A79">
        <w:rPr>
          <w:rFonts w:ascii="Book Antiqua" w:hAnsi="Book Antiqua" w:eastAsia="Palatino Linotype" w:cs="Times New Roman"/>
          <w:color w:val="000000" w:themeColor="text1"/>
        </w:rPr>
        <w:t>Broadband network engineering and designing documentation.</w:t>
      </w:r>
    </w:p>
    <w:p w:rsidRPr="00FF2A79" w:rsidR="00C20211" w:rsidP="00BB504D" w:rsidRDefault="00C20211" w14:paraId="500C84E9"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suppressAutoHyphens/>
        <w:ind w:hanging="540"/>
        <w:rPr>
          <w:rFonts w:ascii="Book Antiqua" w:hAnsi="Book Antiqua" w:eastAsia="Palatino Linotype" w:cs="Times New Roman"/>
          <w:color w:val="000000" w:themeColor="text1"/>
        </w:rPr>
      </w:pPr>
      <w:r w:rsidRPr="00FF2A79">
        <w:rPr>
          <w:rFonts w:ascii="Book Antiqua" w:hAnsi="Book Antiqua" w:eastAsia="Palatino Linotype" w:cs="Times New Roman"/>
          <w:color w:val="000000" w:themeColor="text1"/>
        </w:rPr>
        <w:t>Hardware warranty of broadband network equipment as needed.</w:t>
      </w:r>
    </w:p>
    <w:p w:rsidRPr="00FF2A79" w:rsidR="00C20211" w:rsidP="00BB504D" w:rsidRDefault="00C20211" w14:paraId="0B53CCB8"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suppressAutoHyphens/>
        <w:ind w:hanging="540"/>
        <w:rPr>
          <w:rFonts w:ascii="Book Antiqua" w:hAnsi="Book Antiqua" w:eastAsia="Palatino Linotype" w:cs="Times New Roman"/>
          <w:color w:val="000000" w:themeColor="text1"/>
        </w:rPr>
      </w:pPr>
      <w:r w:rsidRPr="00FF2A79">
        <w:rPr>
          <w:rFonts w:ascii="Book Antiqua" w:hAnsi="Book Antiqua" w:eastAsia="Palatino Linotype" w:cs="Times New Roman"/>
          <w:color w:val="000000" w:themeColor="text1"/>
        </w:rPr>
        <w:t xml:space="preserve">Installation, provisioning, and configuration labor costs at the Minimum Point of Entry (MPOE), MDFs (Main Distribution Frame), IDFs (Intermediate Distribution Frame), WAPs (Wireless Access Point), Wireless Bridges such as P2P and P2MP (Point to Point and Point to Multi-point) Radios, Switched Ethernet, and </w:t>
      </w:r>
      <w:proofErr w:type="spellStart"/>
      <w:r w:rsidRPr="00FF2A79">
        <w:rPr>
          <w:rFonts w:ascii="Book Antiqua" w:hAnsi="Book Antiqua" w:eastAsia="Palatino Linotype" w:cs="Times New Roman"/>
          <w:color w:val="000000" w:themeColor="text1"/>
        </w:rPr>
        <w:t>xDSL</w:t>
      </w:r>
      <w:proofErr w:type="spellEnd"/>
      <w:r w:rsidRPr="00FF2A79">
        <w:rPr>
          <w:rFonts w:ascii="Book Antiqua" w:hAnsi="Book Antiqua" w:eastAsia="Palatino Linotype" w:cs="Times New Roman"/>
          <w:color w:val="000000" w:themeColor="text1"/>
        </w:rPr>
        <w:t xml:space="preserve"> (Digital Subscriber Line) modems.</w:t>
      </w:r>
      <w:r w:rsidRPr="00FF2A79" w:rsidDel="00D32BA3">
        <w:rPr>
          <w:rStyle w:val="CommentReference"/>
          <w:rFonts w:ascii="Book Antiqua" w:hAnsi="Book Antiqua" w:cs="Times New Roman"/>
          <w:color w:val="auto"/>
          <w:sz w:val="26"/>
          <w:szCs w:val="26"/>
        </w:rPr>
        <w:t xml:space="preserve"> </w:t>
      </w:r>
    </w:p>
    <w:p w:rsidRPr="00FF2A79" w:rsidR="00C20211" w:rsidP="00BB504D" w:rsidRDefault="00C20211" w14:paraId="28E15BCD" w14:textId="77777777">
      <w:pPr>
        <w:pStyle w:val="BodyA"/>
        <w:widowControl w:val="0"/>
        <w:numPr>
          <w:ilvl w:val="0"/>
          <w:numId w:val="7"/>
        </w:numPr>
        <w:pBdr>
          <w:top w:val="none" w:color="auto" w:sz="0" w:space="0"/>
          <w:left w:val="none" w:color="auto" w:sz="0" w:space="0"/>
          <w:bottom w:val="none" w:color="auto" w:sz="0" w:space="0"/>
          <w:right w:val="none" w:color="auto" w:sz="0" w:space="0"/>
          <w:bar w:val="none" w:color="auto" w:sz="0"/>
        </w:pBdr>
        <w:suppressAutoHyphens/>
        <w:spacing w:after="120"/>
        <w:ind w:left="734" w:hanging="547"/>
        <w:rPr>
          <w:rFonts w:ascii="Book Antiqua" w:hAnsi="Book Antiqua" w:cs="Times New Roman" w:eastAsiaTheme="minorEastAsia"/>
          <w:color w:val="000000" w:themeColor="text1"/>
        </w:rPr>
      </w:pPr>
      <w:r w:rsidRPr="00FF2A79">
        <w:rPr>
          <w:rFonts w:ascii="Book Antiqua" w:hAnsi="Book Antiqua" w:eastAsia="Palatino Linotype" w:cs="Times New Roman"/>
          <w:color w:val="000000" w:themeColor="text1"/>
        </w:rPr>
        <w:t xml:space="preserve">Taxes, </w:t>
      </w:r>
      <w:proofErr w:type="gramStart"/>
      <w:r w:rsidRPr="00FF2A79">
        <w:rPr>
          <w:rFonts w:ascii="Book Antiqua" w:hAnsi="Book Antiqua" w:eastAsia="Palatino Linotype" w:cs="Times New Roman"/>
          <w:color w:val="000000" w:themeColor="text1"/>
        </w:rPr>
        <w:t>shipping</w:t>
      </w:r>
      <w:proofErr w:type="gramEnd"/>
      <w:r w:rsidRPr="00FF2A79">
        <w:rPr>
          <w:rFonts w:ascii="Book Antiqua" w:hAnsi="Book Antiqua" w:eastAsia="Palatino Linotype" w:cs="Times New Roman"/>
          <w:color w:val="000000" w:themeColor="text1"/>
        </w:rPr>
        <w:t xml:space="preserve"> and insurance costs (if applicable) that are directly related to broadband network equipment deployed under the BPHA.</w:t>
      </w:r>
    </w:p>
    <w:p w:rsidRPr="00FF2A79" w:rsidR="00C20211" w:rsidP="00C20211" w:rsidRDefault="00C20211" w14:paraId="688BA0B6" w14:textId="77777777">
      <w:pPr>
        <w:pStyle w:val="BodyA"/>
        <w:widowControl w:val="0"/>
        <w:pBdr>
          <w:top w:val="none" w:color="auto" w:sz="0" w:space="0"/>
          <w:left w:val="none" w:color="auto" w:sz="0" w:space="0"/>
          <w:bottom w:val="none" w:color="auto" w:sz="0" w:space="0"/>
          <w:right w:val="none" w:color="auto" w:sz="0" w:space="0"/>
          <w:bar w:val="none" w:color="auto" w:sz="0"/>
        </w:pBdr>
        <w:suppressAutoHyphens/>
        <w:rPr>
          <w:rFonts w:ascii="Book Antiqua" w:hAnsi="Book Antiqua" w:cs="Times New Roman"/>
          <w:color w:val="000000" w:themeColor="text1"/>
        </w:rPr>
      </w:pPr>
      <w:r w:rsidRPr="00FF2A79">
        <w:rPr>
          <w:rFonts w:ascii="Book Antiqua" w:hAnsi="Book Antiqua" w:cs="Times New Roman"/>
          <w:color w:val="000000" w:themeColor="text1"/>
        </w:rPr>
        <w:t>For wireless networking projects, equipment must meet at least the 802.11n standard</w:t>
      </w:r>
      <w:r w:rsidRPr="00FF2A79">
        <w:rPr>
          <w:rStyle w:val="FootnoteReference"/>
          <w:rFonts w:ascii="Book Antiqua" w:hAnsi="Book Antiqua" w:cs="Times New Roman"/>
          <w:color w:val="000000" w:themeColor="text1"/>
        </w:rPr>
        <w:footnoteReference w:id="71"/>
      </w:r>
      <w:r w:rsidRPr="00FF2A79">
        <w:rPr>
          <w:rFonts w:ascii="Book Antiqua" w:hAnsi="Book Antiqua" w:cs="Times New Roman"/>
          <w:color w:val="000000" w:themeColor="text1"/>
        </w:rPr>
        <w:t>.  For wireline networking projects, equipment must meet at least ADSL2+ standard</w:t>
      </w:r>
      <w:r w:rsidRPr="00FF2A79">
        <w:rPr>
          <w:rStyle w:val="FootnoteReference"/>
          <w:rFonts w:ascii="Book Antiqua" w:hAnsi="Book Antiqua" w:cs="Times New Roman"/>
          <w:color w:val="000000" w:themeColor="text1"/>
        </w:rPr>
        <w:footnoteReference w:id="72"/>
      </w:r>
      <w:r w:rsidRPr="00FF2A79">
        <w:rPr>
          <w:rFonts w:ascii="Book Antiqua" w:hAnsi="Book Antiqua" w:cs="Times New Roman"/>
          <w:color w:val="000000" w:themeColor="text1"/>
        </w:rPr>
        <w:t xml:space="preserve"> or the 10BASE-X standard</w:t>
      </w:r>
      <w:r w:rsidRPr="00FF2A79">
        <w:rPr>
          <w:rStyle w:val="FootnoteReference"/>
          <w:rFonts w:ascii="Book Antiqua" w:hAnsi="Book Antiqua" w:cs="Times New Roman"/>
          <w:color w:val="000000" w:themeColor="text1"/>
        </w:rPr>
        <w:footnoteReference w:id="73"/>
      </w:r>
      <w:r w:rsidRPr="00FF2A79">
        <w:rPr>
          <w:rFonts w:ascii="Book Antiqua" w:hAnsi="Book Antiqua" w:cs="Times New Roman"/>
          <w:color w:val="000000" w:themeColor="text1"/>
        </w:rPr>
        <w:t xml:space="preserve">.  </w:t>
      </w:r>
    </w:p>
    <w:p w:rsidRPr="00FF2A79" w:rsidR="009E4A03" w:rsidP="00C20211" w:rsidRDefault="009E4A03" w14:paraId="194244DA" w14:textId="77777777">
      <w:pPr>
        <w:pStyle w:val="BodyA"/>
        <w:widowControl w:val="0"/>
        <w:pBdr>
          <w:top w:val="none" w:color="auto" w:sz="0" w:space="0"/>
          <w:left w:val="none" w:color="auto" w:sz="0" w:space="0"/>
          <w:bottom w:val="none" w:color="auto" w:sz="0" w:space="0"/>
          <w:right w:val="none" w:color="auto" w:sz="0" w:space="0"/>
          <w:bar w:val="none" w:color="auto" w:sz="0"/>
        </w:pBdr>
        <w:suppressAutoHyphens/>
        <w:rPr>
          <w:rFonts w:ascii="Book Antiqua" w:hAnsi="Book Antiqua" w:cs="Times New Roman"/>
          <w:color w:val="000000" w:themeColor="text1"/>
        </w:rPr>
      </w:pPr>
    </w:p>
    <w:p w:rsidRPr="00FF2A79" w:rsidR="00C20211" w:rsidP="00BB504D" w:rsidRDefault="00C20211" w14:paraId="7A0AF58F" w14:textId="77777777">
      <w:pPr>
        <w:pStyle w:val="Heading2"/>
        <w:keepNext w:val="0"/>
        <w:keepLines w:val="0"/>
        <w:widowControl w:val="0"/>
        <w:numPr>
          <w:ilvl w:val="0"/>
          <w:numId w:val="8"/>
        </w:numPr>
        <w:rPr>
          <w:rFonts w:ascii="Book Antiqua" w:hAnsi="Book Antiqua"/>
        </w:rPr>
      </w:pPr>
      <w:bookmarkStart w:name="_Toc43713780" w:id="69"/>
      <w:bookmarkStart w:name="_Toc43713939" w:id="70"/>
      <w:bookmarkStart w:name="_Toc43722413" w:id="71"/>
      <w:bookmarkStart w:name="_Toc43744783" w:id="72"/>
      <w:r w:rsidRPr="00FF2A79">
        <w:rPr>
          <w:rFonts w:ascii="Book Antiqua" w:hAnsi="Book Antiqua"/>
        </w:rPr>
        <w:t>Definitions</w:t>
      </w:r>
      <w:bookmarkEnd w:id="69"/>
      <w:bookmarkEnd w:id="70"/>
      <w:bookmarkEnd w:id="71"/>
      <w:bookmarkEnd w:id="72"/>
    </w:p>
    <w:p w:rsidRPr="00FF2A79" w:rsidR="00C20211" w:rsidP="00C20211" w:rsidRDefault="00C20211" w14:paraId="117B608B" w14:textId="77777777">
      <w:pPr>
        <w:pStyle w:val="ListParagraph"/>
        <w:spacing w:line="240" w:lineRule="auto"/>
        <w:ind w:left="0" w:firstLine="0"/>
        <w:rPr>
          <w:color w:val="000000" w:themeColor="text1"/>
          <w:szCs w:val="26"/>
        </w:rPr>
      </w:pPr>
      <w:r w:rsidRPr="00FF2A79">
        <w:rPr>
          <w:color w:val="000000" w:themeColor="text1"/>
          <w:szCs w:val="26"/>
        </w:rPr>
        <w:lastRenderedPageBreak/>
        <w:t xml:space="preserve">“Project” is a publicly subsidized multifamily housing development that is requesting funds under one application from the BPHA. </w:t>
      </w:r>
    </w:p>
    <w:p w:rsidRPr="00FF2A79" w:rsidR="00C20211" w:rsidP="00C20211" w:rsidRDefault="00C20211" w14:paraId="4533760F" w14:textId="77777777">
      <w:pPr>
        <w:pStyle w:val="ListParagraph"/>
        <w:spacing w:line="240" w:lineRule="auto"/>
        <w:ind w:left="0" w:firstLine="0"/>
        <w:rPr>
          <w:color w:val="000000" w:themeColor="text1"/>
          <w:szCs w:val="26"/>
        </w:rPr>
      </w:pPr>
      <w:r w:rsidRPr="00FF2A79">
        <w:rPr>
          <w:color w:val="000000" w:themeColor="text1"/>
          <w:szCs w:val="26"/>
        </w:rPr>
        <w:t>“Publicly subsidized” means either that the housing development receives financial assistance from the United States Department of Housing and Urban Development (HUD) pursuant to an annual contribution contract or is financed with low-income housing tax credits, tax-exempt mortgage revenue bonds, general obligation bonds, or local, state, or federal loans or grants and the rents of the occupants, who are lower-income households, do not exceed those prescribed by deed restrictions or regulatory agreements pursuant to the terms of the financing or financial assistance.</w:t>
      </w:r>
    </w:p>
    <w:p w:rsidRPr="00FF2A79" w:rsidR="00C20211" w:rsidP="00C20211" w:rsidRDefault="00C20211" w14:paraId="6244F4D0" w14:textId="77777777">
      <w:pPr>
        <w:pStyle w:val="ListParagraph"/>
        <w:spacing w:line="240" w:lineRule="auto"/>
        <w:ind w:left="0" w:firstLine="0"/>
        <w:rPr>
          <w:color w:val="000000" w:themeColor="text1"/>
          <w:szCs w:val="26"/>
        </w:rPr>
      </w:pPr>
    </w:p>
    <w:p w:rsidRPr="00FF2A79" w:rsidR="00C20211" w:rsidP="00C20211" w:rsidRDefault="00C20211" w14:paraId="0A70C7D3" w14:textId="77777777">
      <w:pPr>
        <w:pStyle w:val="ListParagraph"/>
        <w:spacing w:line="240" w:lineRule="auto"/>
        <w:ind w:left="0" w:firstLine="0"/>
        <w:rPr>
          <w:color w:val="000000" w:themeColor="text1"/>
          <w:szCs w:val="26"/>
        </w:rPr>
      </w:pPr>
      <w:r w:rsidRPr="00FF2A79">
        <w:rPr>
          <w:color w:val="000000" w:themeColor="text1"/>
          <w:szCs w:val="26"/>
        </w:rPr>
        <w:t>“Publicly supported community” (PSC) is a publicly subsidized multifamily housing development that is wholly owned by either of the following:</w:t>
      </w:r>
    </w:p>
    <w:p w:rsidRPr="00FF2A79" w:rsidR="00C20211" w:rsidP="00C20211" w:rsidRDefault="00C20211" w14:paraId="23AEB196" w14:textId="77777777">
      <w:pPr>
        <w:pStyle w:val="ListParagraph"/>
        <w:spacing w:line="240" w:lineRule="auto"/>
        <w:ind w:left="360" w:firstLine="0"/>
        <w:rPr>
          <w:color w:val="000000" w:themeColor="text1"/>
          <w:szCs w:val="26"/>
        </w:rPr>
      </w:pPr>
    </w:p>
    <w:p w:rsidRPr="00FF2A79" w:rsidR="00C20211" w:rsidP="00C20211" w:rsidRDefault="00C20211" w14:paraId="7FDF895A" w14:textId="77777777">
      <w:pPr>
        <w:pStyle w:val="ListParagraph"/>
        <w:spacing w:line="240" w:lineRule="auto"/>
        <w:ind w:firstLine="0"/>
        <w:rPr>
          <w:color w:val="000000" w:themeColor="text1"/>
          <w:szCs w:val="26"/>
        </w:rPr>
      </w:pPr>
      <w:r w:rsidRPr="00FF2A79">
        <w:rPr>
          <w:color w:val="000000" w:themeColor="text1"/>
          <w:szCs w:val="26"/>
        </w:rPr>
        <w:t>(i) A public housing agency that has been chartered by the state, or by any city or county in the state, and has been determined to be an eligible public housing agency by the United States Department of Housing and Urban Development.</w:t>
      </w:r>
    </w:p>
    <w:p w:rsidRPr="00FF2A79" w:rsidR="00C20211" w:rsidP="00C20211" w:rsidRDefault="00C20211" w14:paraId="3DA534EF" w14:textId="77777777">
      <w:pPr>
        <w:pStyle w:val="ListParagraph"/>
        <w:spacing w:line="240" w:lineRule="auto"/>
        <w:ind w:firstLine="0"/>
        <w:rPr>
          <w:color w:val="000000" w:themeColor="text1"/>
          <w:szCs w:val="26"/>
        </w:rPr>
      </w:pPr>
    </w:p>
    <w:p w:rsidRPr="00FF2A79" w:rsidR="00C20211" w:rsidP="00C20211" w:rsidRDefault="00C20211" w14:paraId="05EC9CC1" w14:textId="77777777">
      <w:pPr>
        <w:pStyle w:val="ListParagraph"/>
        <w:spacing w:after="120" w:line="240" w:lineRule="auto"/>
        <w:ind w:firstLine="0"/>
        <w:contextualSpacing w:val="0"/>
        <w:rPr>
          <w:color w:val="000000" w:themeColor="text1"/>
          <w:szCs w:val="26"/>
        </w:rPr>
      </w:pPr>
      <w:r w:rsidRPr="00FF2A79">
        <w:rPr>
          <w:color w:val="000000" w:themeColor="text1"/>
          <w:szCs w:val="26"/>
        </w:rPr>
        <w:t>(ii) An incorporated nonprofit organization as described in Section 501 (c)(3) of the Internal Revenue Code (26 U.S.C. Sec. 501(c)(3)) that is exempt from taxation under Section 501 (a) of that code (16 U.S.C. Sec. 501(a)) and that has received public funding to subsidize the construction or maintenance of housing occupied by residents whose annual income qualifies as “low” or “very low” income according to federal poverty guidelines.</w:t>
      </w:r>
    </w:p>
    <w:p w:rsidRPr="00FF2A79" w:rsidR="00C20211" w:rsidP="00C20211" w:rsidRDefault="00C20211" w14:paraId="6146491D" w14:textId="77777777">
      <w:pPr>
        <w:pStyle w:val="ListParagraph"/>
        <w:spacing w:line="240" w:lineRule="auto"/>
        <w:ind w:left="0" w:firstLine="0"/>
        <w:rPr>
          <w:color w:val="000000" w:themeColor="text1"/>
          <w:szCs w:val="26"/>
        </w:rPr>
      </w:pPr>
      <w:r w:rsidRPr="00FF2A79">
        <w:rPr>
          <w:color w:val="000000" w:themeColor="text1"/>
          <w:szCs w:val="26"/>
        </w:rPr>
        <w:t xml:space="preserve">A “minimum point of entry” (MPOE) is either the closest practicable point to where the wiring crosses a property line or the closest practicable point to where the wiring enters a multiunit building or buildings.   </w:t>
      </w:r>
    </w:p>
    <w:p w:rsidRPr="00FF2A79" w:rsidR="00C20211" w:rsidP="00C20211" w:rsidRDefault="00C20211" w14:paraId="606FD5CB" w14:textId="77777777">
      <w:pPr>
        <w:pStyle w:val="ListParagraph"/>
        <w:spacing w:line="240" w:lineRule="auto"/>
        <w:ind w:left="0" w:firstLine="0"/>
        <w:rPr>
          <w:color w:val="000000" w:themeColor="text1"/>
          <w:szCs w:val="26"/>
        </w:rPr>
      </w:pPr>
    </w:p>
    <w:p w:rsidRPr="00FF2A79" w:rsidR="00C20211" w:rsidP="00C20211" w:rsidRDefault="00C20211" w14:paraId="3D69BB0B" w14:textId="77777777">
      <w:pPr>
        <w:pStyle w:val="ListParagraph"/>
        <w:spacing w:line="240" w:lineRule="auto"/>
        <w:ind w:left="0" w:firstLine="0"/>
        <w:rPr>
          <w:color w:val="000000" w:themeColor="text1"/>
          <w:szCs w:val="26"/>
        </w:rPr>
      </w:pPr>
      <w:r w:rsidRPr="7139016B">
        <w:rPr>
          <w:color w:val="000000" w:themeColor="text1"/>
        </w:rPr>
        <w:t>An “unserved” housing development is a housing development where at least one housing unit within the housing development is not offered broadband Internet service.</w:t>
      </w:r>
      <w:r w:rsidRPr="7139016B">
        <w:rPr>
          <w:rStyle w:val="FootnoteReference"/>
          <w:color w:val="000000" w:themeColor="text1"/>
        </w:rPr>
        <w:t xml:space="preserve"> </w:t>
      </w:r>
      <w:r w:rsidRPr="7139016B">
        <w:rPr>
          <w:rStyle w:val="FootnoteReference"/>
          <w:color w:val="000000" w:themeColor="text1"/>
        </w:rPr>
        <w:footnoteReference w:id="74"/>
      </w:r>
      <w:r w:rsidRPr="7139016B">
        <w:rPr>
          <w:color w:val="000000" w:themeColor="text1"/>
        </w:rPr>
        <w:t xml:space="preserve">  </w:t>
      </w:r>
      <w:r w:rsidRPr="7139016B">
        <w:rPr>
          <w:strike/>
          <w:color w:val="000000" w:themeColor="text1"/>
        </w:rPr>
        <w:t>A housing unit “is not offered broadband Internet service” if an ISP already provides access to all units on the property in question</w:t>
      </w:r>
      <w:r w:rsidRPr="7139016B">
        <w:rPr>
          <w:color w:val="000000" w:themeColor="text1"/>
        </w:rPr>
        <w:t xml:space="preserve"> </w:t>
      </w:r>
      <w:r w:rsidRPr="7139016B">
        <w:rPr>
          <w:color w:val="FF0000"/>
        </w:rPr>
        <w:t xml:space="preserve">All units </w:t>
      </w:r>
      <w:r w:rsidRPr="7139016B">
        <w:rPr>
          <w:color w:val="FF0000"/>
        </w:rPr>
        <w:lastRenderedPageBreak/>
        <w:t>within a housing development are offered broadband internet service if an ISP already provides access to all units.</w:t>
      </w:r>
      <w:r w:rsidRPr="7139016B">
        <w:rPr>
          <w:rStyle w:val="FootnoteReference"/>
          <w:color w:val="FF0000"/>
        </w:rPr>
        <w:footnoteReference w:id="75"/>
      </w:r>
      <w:r w:rsidRPr="7139016B">
        <w:rPr>
          <w:color w:val="FF0000"/>
        </w:rPr>
        <w:t xml:space="preserve">  </w:t>
      </w:r>
    </w:p>
    <w:p w:rsidRPr="00FF2A79" w:rsidR="00C20211" w:rsidP="00C20211" w:rsidRDefault="00C20211" w14:paraId="1C3956DC" w14:textId="77777777">
      <w:pPr>
        <w:pStyle w:val="ListParagraph"/>
        <w:spacing w:line="240" w:lineRule="auto"/>
        <w:ind w:left="0" w:firstLine="0"/>
        <w:rPr>
          <w:color w:val="000000" w:themeColor="text1"/>
          <w:szCs w:val="26"/>
        </w:rPr>
      </w:pPr>
    </w:p>
    <w:p w:rsidRPr="00FF2A79" w:rsidR="00C20211" w:rsidP="00BB504D" w:rsidRDefault="00C20211" w14:paraId="5EC602CC" w14:textId="77777777">
      <w:pPr>
        <w:pStyle w:val="Heading2"/>
        <w:widowControl w:val="0"/>
        <w:numPr>
          <w:ilvl w:val="0"/>
          <w:numId w:val="8"/>
        </w:numPr>
        <w:rPr>
          <w:rFonts w:ascii="Book Antiqua" w:hAnsi="Book Antiqua"/>
        </w:rPr>
      </w:pPr>
      <w:bookmarkStart w:name="_Toc43713781" w:id="73"/>
      <w:bookmarkStart w:name="_Toc43713940" w:id="74"/>
      <w:bookmarkStart w:name="_Toc43722414" w:id="75"/>
      <w:bookmarkStart w:name="_Toc43744784" w:id="76"/>
      <w:r w:rsidRPr="00FF2A79">
        <w:rPr>
          <w:rFonts w:ascii="Book Antiqua" w:hAnsi="Book Antiqua"/>
        </w:rPr>
        <w:t>Eligible Applicants</w:t>
      </w:r>
      <w:bookmarkEnd w:id="73"/>
      <w:bookmarkEnd w:id="74"/>
      <w:bookmarkEnd w:id="75"/>
      <w:bookmarkEnd w:id="76"/>
    </w:p>
    <w:p w:rsidRPr="00FF2A79" w:rsidR="00C20211" w:rsidP="00C20211" w:rsidRDefault="00C20211" w14:paraId="6D6633E2" w14:textId="77777777">
      <w:pPr>
        <w:pStyle w:val="ListParagraph"/>
        <w:widowControl w:val="0"/>
        <w:spacing w:line="240" w:lineRule="auto"/>
        <w:ind w:left="0" w:firstLine="0"/>
        <w:rPr>
          <w:color w:val="000000" w:themeColor="text1"/>
          <w:szCs w:val="26"/>
        </w:rPr>
      </w:pPr>
      <w:r w:rsidRPr="00FF2A79">
        <w:rPr>
          <w:color w:val="000000" w:themeColor="text1"/>
          <w:szCs w:val="26"/>
        </w:rPr>
        <w:t>CASF Broadband Public Housing Account funding is limited to an eligible publicly supported community (PSCs) owned by either of the following two entities:</w:t>
      </w:r>
    </w:p>
    <w:p w:rsidRPr="00FF2A79" w:rsidR="00C20211" w:rsidP="00BB504D" w:rsidRDefault="00C20211" w14:paraId="04E154E6" w14:textId="77777777">
      <w:pPr>
        <w:pStyle w:val="ListParagraph"/>
        <w:widowControl w:val="0"/>
        <w:numPr>
          <w:ilvl w:val="0"/>
          <w:numId w:val="9"/>
        </w:numPr>
        <w:spacing w:line="240" w:lineRule="auto"/>
        <w:ind w:left="720"/>
        <w:rPr>
          <w:color w:val="000000" w:themeColor="text1"/>
          <w:szCs w:val="26"/>
        </w:rPr>
      </w:pPr>
      <w:r w:rsidRPr="00FF2A79">
        <w:rPr>
          <w:color w:val="000000" w:themeColor="text1"/>
          <w:szCs w:val="26"/>
        </w:rPr>
        <w:t>A public housing agency that has been chartered by the State, or by city or by county in the State, and has been determined to be an eligible public housing agency by the United States Department of Housing and Urban Development.</w:t>
      </w:r>
    </w:p>
    <w:p w:rsidRPr="00FF2A79" w:rsidR="00C20211" w:rsidP="00BB504D" w:rsidRDefault="00C20211" w14:paraId="5382AF54" w14:textId="77777777">
      <w:pPr>
        <w:pStyle w:val="ListParagraph"/>
        <w:widowControl w:val="0"/>
        <w:numPr>
          <w:ilvl w:val="0"/>
          <w:numId w:val="9"/>
        </w:numPr>
        <w:spacing w:line="240" w:lineRule="auto"/>
        <w:ind w:left="720"/>
        <w:rPr>
          <w:color w:val="000000" w:themeColor="text1"/>
          <w:szCs w:val="26"/>
        </w:rPr>
      </w:pPr>
      <w:r w:rsidRPr="00FF2A79">
        <w:rPr>
          <w:color w:val="000000" w:themeColor="text1"/>
          <w:szCs w:val="26"/>
        </w:rPr>
        <w:t>An incorporated nonprofit organization as described in Section 501 (c)(3) of the Internal Revenue Code (26 U.S.C. Sec. 501(c)(3)) that is exempt from taxation under Section 501 (a) of that code (16 U.S.C. Sec. 501(a)) and that has received public funding to subsidize the construction or maintenance of housing occupied by residents whose annual income qualifies as “low”</w:t>
      </w:r>
      <w:r w:rsidRPr="00FF2A79">
        <w:rPr>
          <w:color w:val="000000" w:themeColor="text1"/>
          <w:szCs w:val="26"/>
        </w:rPr>
        <w:noBreakHyphen/>
        <w:t xml:space="preserve">or “very low” income according to federal poverty guidelines. </w:t>
      </w:r>
    </w:p>
    <w:p w:rsidRPr="00FF2A79" w:rsidR="00C20211" w:rsidP="00C20211" w:rsidRDefault="00C20211" w14:paraId="578D170F" w14:textId="77777777">
      <w:pPr>
        <w:pStyle w:val="ListParagraph"/>
        <w:spacing w:line="240" w:lineRule="auto"/>
        <w:rPr>
          <w:color w:val="000000" w:themeColor="text1"/>
          <w:szCs w:val="26"/>
        </w:rPr>
      </w:pPr>
    </w:p>
    <w:p w:rsidRPr="00FF2A79" w:rsidR="00C20211" w:rsidP="00C20211" w:rsidRDefault="00C20211" w14:paraId="5ABA89B7" w14:textId="77777777">
      <w:pPr>
        <w:pStyle w:val="ListParagraph"/>
        <w:spacing w:line="240" w:lineRule="auto"/>
        <w:ind w:left="0" w:firstLine="0"/>
        <w:rPr>
          <w:color w:val="000000" w:themeColor="text1"/>
          <w:szCs w:val="26"/>
        </w:rPr>
      </w:pPr>
      <w:r w:rsidRPr="00FF2A79">
        <w:rPr>
          <w:color w:val="000000" w:themeColor="text1"/>
          <w:szCs w:val="26"/>
        </w:rPr>
        <w:t>Non-profit housing developers involved in limited partnerships with for-profit entities participating may also be eligible since the IRS considers an exempt organization's participation as a general partner in a limited partnership with for-profit limited partners as consistent with the organization's exempt status under Internal Revenue Code Section 501(c)(3).</w:t>
      </w:r>
    </w:p>
    <w:p w:rsidRPr="00FF2A79" w:rsidR="00C20211" w:rsidP="00C20211" w:rsidRDefault="00C20211" w14:paraId="41422791" w14:textId="77777777">
      <w:pPr>
        <w:pStyle w:val="ListParagraph"/>
        <w:spacing w:line="240" w:lineRule="auto"/>
        <w:ind w:left="360" w:firstLine="0"/>
        <w:rPr>
          <w:color w:val="000000" w:themeColor="text1"/>
          <w:szCs w:val="26"/>
        </w:rPr>
      </w:pPr>
    </w:p>
    <w:p w:rsidRPr="00FF2A79" w:rsidR="00C20211" w:rsidP="00C20211" w:rsidRDefault="00C20211" w14:paraId="21F4C9B5" w14:textId="77777777">
      <w:pPr>
        <w:spacing w:line="240" w:lineRule="auto"/>
        <w:ind w:firstLine="0"/>
        <w:rPr>
          <w:color w:val="000000" w:themeColor="text1"/>
          <w:szCs w:val="26"/>
        </w:rPr>
      </w:pPr>
      <w:r w:rsidRPr="7139016B">
        <w:rPr>
          <w:color w:val="000000" w:themeColor="text1"/>
        </w:rPr>
        <w:t>For PSCs applying for infrastructure funds, a PSC may be eligible for funding only if the PSC can verify to the Commission that the PSC has not denied a right of access to any broadband provider that is willing to connect to a broadband network to the facility for which the grant or loan is sought</w:t>
      </w:r>
      <w:r w:rsidRPr="7139016B">
        <w:rPr>
          <w:rStyle w:val="FootnoteReference"/>
          <w:color w:val="000000" w:themeColor="text1"/>
        </w:rPr>
        <w:footnoteReference w:id="76"/>
      </w:r>
      <w:r w:rsidRPr="7139016B">
        <w:rPr>
          <w:color w:val="000000" w:themeColor="text1"/>
        </w:rPr>
        <w:t xml:space="preserve"> and the publicly supported community is unserved as defined in Section III.  </w:t>
      </w:r>
    </w:p>
    <w:p w:rsidRPr="00FF2A79" w:rsidR="00C20211" w:rsidP="00C20211" w:rsidRDefault="00C20211" w14:paraId="46EAEB09" w14:textId="77777777">
      <w:pPr>
        <w:rPr>
          <w:szCs w:val="26"/>
        </w:rPr>
      </w:pPr>
      <w:r w:rsidRPr="00FF2A79">
        <w:rPr>
          <w:rFonts w:eastAsia="Book Antiqua" w:cs="Book Antiqua"/>
          <w:color w:val="000000" w:themeColor="text1"/>
          <w:szCs w:val="26"/>
        </w:rPr>
        <w:t xml:space="preserve"> </w:t>
      </w:r>
    </w:p>
    <w:p w:rsidRPr="00FF2A79" w:rsidR="00C20211" w:rsidP="00BB504D" w:rsidRDefault="00C20211" w14:paraId="3D47A0A5" w14:textId="77777777">
      <w:pPr>
        <w:pStyle w:val="Heading2"/>
        <w:widowControl w:val="0"/>
        <w:numPr>
          <w:ilvl w:val="0"/>
          <w:numId w:val="8"/>
        </w:numPr>
        <w:rPr>
          <w:rFonts w:ascii="Book Antiqua" w:hAnsi="Book Antiqua"/>
        </w:rPr>
      </w:pPr>
      <w:bookmarkStart w:name="_Toc43713782" w:id="77"/>
      <w:bookmarkStart w:name="_Toc43713941" w:id="78"/>
      <w:bookmarkStart w:name="_Toc43722415" w:id="79"/>
      <w:bookmarkStart w:name="_Toc43744785" w:id="80"/>
      <w:r w:rsidRPr="00FF2A79">
        <w:rPr>
          <w:rFonts w:ascii="Book Antiqua" w:hAnsi="Book Antiqua" w:eastAsia="Book Antiqua" w:cs="Book Antiqua"/>
        </w:rPr>
        <w:lastRenderedPageBreak/>
        <w:t>Information Required from Applicants</w:t>
      </w:r>
      <w:bookmarkEnd w:id="77"/>
      <w:bookmarkEnd w:id="78"/>
      <w:bookmarkEnd w:id="79"/>
      <w:bookmarkEnd w:id="80"/>
    </w:p>
    <w:p w:rsidRPr="00FF2A79" w:rsidR="00C20211" w:rsidP="00C20211" w:rsidRDefault="00C20211" w14:paraId="7FEAB4C0" w14:textId="77777777">
      <w:pPr>
        <w:spacing w:line="240" w:lineRule="auto"/>
        <w:ind w:firstLine="0"/>
        <w:rPr>
          <w:color w:val="000000" w:themeColor="text1"/>
          <w:szCs w:val="26"/>
        </w:rPr>
      </w:pPr>
      <w:proofErr w:type="gramStart"/>
      <w:r w:rsidRPr="00FF2A79">
        <w:rPr>
          <w:rFonts w:eastAsia="Book Antiqua" w:cs="Book Antiqua"/>
          <w:color w:val="000000" w:themeColor="text1"/>
          <w:szCs w:val="26"/>
        </w:rPr>
        <w:t>In order to</w:t>
      </w:r>
      <w:proofErr w:type="gramEnd"/>
      <w:r w:rsidRPr="00FF2A79">
        <w:rPr>
          <w:rFonts w:eastAsia="Book Antiqua" w:cs="Book Antiqua"/>
          <w:color w:val="000000" w:themeColor="text1"/>
          <w:szCs w:val="26"/>
        </w:rPr>
        <w:t xml:space="preserve"> be reviewed, Applicants must submit the following information to the Commission for each proposed project. Application forms can be found on the CASF BPHA webpage.  Applications and supporting material must be submitted online with a hard copy mailed to the CASF Housing Account Coordinator and one sent to the Office of Ratepayer Advocates.  Staff will post a list of applications submitted by the deadline on the CASF webpage.</w:t>
      </w:r>
    </w:p>
    <w:p w:rsidRPr="00FF2A79" w:rsidR="00C20211" w:rsidP="00C20211" w:rsidRDefault="00C20211" w14:paraId="6A252FA5" w14:textId="77777777">
      <w:pPr>
        <w:spacing w:line="240" w:lineRule="auto"/>
        <w:rPr>
          <w:szCs w:val="26"/>
        </w:rPr>
      </w:pPr>
    </w:p>
    <w:p w:rsidRPr="00FF2A79" w:rsidR="00C20211" w:rsidP="00BB504D" w:rsidRDefault="00C20211" w14:paraId="2FA1BD8F" w14:textId="77777777">
      <w:pPr>
        <w:pStyle w:val="ListParagraph"/>
        <w:numPr>
          <w:ilvl w:val="1"/>
          <w:numId w:val="14"/>
        </w:numPr>
        <w:spacing w:after="120" w:line="240" w:lineRule="auto"/>
        <w:ind w:left="360"/>
        <w:rPr>
          <w:b/>
          <w:bCs/>
          <w:szCs w:val="26"/>
        </w:rPr>
      </w:pPr>
      <w:r w:rsidRPr="00FF2A79">
        <w:rPr>
          <w:b/>
          <w:bCs/>
          <w:szCs w:val="26"/>
        </w:rPr>
        <w:t xml:space="preserve">Infrastructure Project Application  </w:t>
      </w:r>
    </w:p>
    <w:p w:rsidRPr="00FF2A79" w:rsidR="00C20211" w:rsidP="00C20211" w:rsidRDefault="00C20211" w14:paraId="6AF1F103" w14:textId="77777777">
      <w:pPr>
        <w:pStyle w:val="content"/>
        <w:spacing w:before="0" w:beforeAutospacing="0" w:after="0" w:afterAutospacing="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 xml:space="preserve">Applicants must complete and submit a project application form. </w:t>
      </w:r>
      <w:r w:rsidRPr="00FF2A79">
        <w:rPr>
          <w:rFonts w:ascii="Book Antiqua" w:hAnsi="Book Antiqua" w:eastAsia="Book Antiqua"/>
          <w:color w:val="000000" w:themeColor="text1"/>
          <w:sz w:val="26"/>
          <w:szCs w:val="26"/>
          <w:lang w:val="en-US"/>
        </w:rPr>
        <w:t xml:space="preserve"> Staff</w:t>
      </w:r>
      <w:r w:rsidRPr="00FF2A79">
        <w:rPr>
          <w:rFonts w:ascii="Book Antiqua" w:hAnsi="Book Antiqua" w:eastAsia="Book Antiqua"/>
          <w:color w:val="000000" w:themeColor="text1"/>
          <w:sz w:val="26"/>
          <w:szCs w:val="26"/>
        </w:rPr>
        <w:t xml:space="preserve"> will post </w:t>
      </w:r>
      <w:r w:rsidRPr="00FF2A79">
        <w:rPr>
          <w:rFonts w:ascii="Book Antiqua" w:hAnsi="Book Antiqua" w:eastAsia="Book Antiqua"/>
          <w:color w:val="000000" w:themeColor="text1"/>
          <w:sz w:val="26"/>
          <w:szCs w:val="26"/>
          <w:lang w:val="en-US"/>
        </w:rPr>
        <w:t>all project summaries on its website after the date of application submission and will notify the CASF Distribution List</w:t>
      </w:r>
      <w:r w:rsidRPr="00FF2A79">
        <w:rPr>
          <w:rStyle w:val="FootnoteReference"/>
          <w:rFonts w:ascii="Book Antiqua" w:hAnsi="Book Antiqua"/>
          <w:color w:val="000000" w:themeColor="text1"/>
          <w:sz w:val="26"/>
          <w:szCs w:val="26"/>
          <w:lang w:val="en-US"/>
        </w:rPr>
        <w:footnoteReference w:id="77"/>
      </w:r>
      <w:r w:rsidRPr="00FF2A79">
        <w:rPr>
          <w:rFonts w:ascii="Book Antiqua" w:hAnsi="Book Antiqua" w:eastAsia="Book Antiqua"/>
          <w:color w:val="000000" w:themeColor="text1"/>
          <w:sz w:val="26"/>
          <w:szCs w:val="26"/>
          <w:lang w:val="en-US"/>
        </w:rPr>
        <w:t xml:space="preserve"> of the submiss</w:t>
      </w:r>
      <w:r w:rsidRPr="00FF2A79">
        <w:rPr>
          <w:rFonts w:ascii="Book Antiqua" w:hAnsi="Book Antiqua" w:eastAsia="Book Antiqua" w:cs="Book Antiqua"/>
          <w:color w:val="000000" w:themeColor="text1"/>
          <w:sz w:val="26"/>
          <w:szCs w:val="26"/>
        </w:rPr>
        <w:t>ion(s)</w:t>
      </w:r>
      <w:r w:rsidRPr="00FF2A79">
        <w:rPr>
          <w:rFonts w:ascii="Book Antiqua" w:hAnsi="Book Antiqua"/>
          <w:color w:val="000000" w:themeColor="text1"/>
          <w:sz w:val="26"/>
          <w:szCs w:val="26"/>
        </w:rPr>
        <w:t xml:space="preserve">, allowing ISPs three weeks from the date of posting the application to challenge an application as discussed in Section VIII.  </w:t>
      </w:r>
    </w:p>
    <w:p w:rsidRPr="00FF2A79" w:rsidR="00C20211" w:rsidP="00C20211" w:rsidRDefault="00C20211" w14:paraId="5EB7E6AA" w14:textId="77777777">
      <w:pPr>
        <w:pStyle w:val="content"/>
        <w:spacing w:before="0" w:beforeAutospacing="0" w:after="0" w:afterAutospacing="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 xml:space="preserve">A </w:t>
      </w:r>
      <w:r w:rsidRPr="00FF2A79">
        <w:rPr>
          <w:rFonts w:ascii="Book Antiqua" w:hAnsi="Book Antiqua"/>
          <w:color w:val="000000" w:themeColor="text1"/>
          <w:sz w:val="26"/>
          <w:szCs w:val="26"/>
        </w:rPr>
        <w:t xml:space="preserve">public housing agency applying for BPHA funds must include in its submission the Annual HUD Contributions Contract and HA Code, allowing staff to verify its certification along with its most recent HUD Public Housing Assessment System (PHAS) score. </w:t>
      </w:r>
    </w:p>
    <w:p w:rsidRPr="00FF2A79" w:rsidR="00C20211" w:rsidP="00C20211" w:rsidRDefault="00C20211" w14:paraId="5018FB39" w14:textId="77777777">
      <w:pPr>
        <w:pStyle w:val="content"/>
        <w:spacing w:before="0" w:beforeAutospacing="0" w:after="0" w:afterAutospacing="0"/>
        <w:rPr>
          <w:rFonts w:ascii="Book Antiqua" w:hAnsi="Book Antiqua"/>
          <w:color w:val="000000" w:themeColor="text1"/>
          <w:sz w:val="26"/>
          <w:szCs w:val="26"/>
        </w:rPr>
      </w:pPr>
    </w:p>
    <w:p w:rsidRPr="00FF2A79" w:rsidR="00C20211" w:rsidP="00C20211" w:rsidRDefault="00C20211" w14:paraId="696A9006" w14:textId="77777777">
      <w:pPr>
        <w:pStyle w:val="content"/>
        <w:spacing w:before="0" w:beforeAutospacing="0" w:after="0" w:afterAutospacing="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Non-profi</w:t>
      </w:r>
      <w:r w:rsidRPr="00FF2A79">
        <w:rPr>
          <w:rFonts w:ascii="Book Antiqua" w:hAnsi="Book Antiqua"/>
          <w:color w:val="000000" w:themeColor="text1"/>
          <w:sz w:val="26"/>
          <w:szCs w:val="26"/>
        </w:rPr>
        <w:t>t applicants must submit an IRS letter approving the applicant’s status as a 501(c)(3) entity incorporated for the purposes of providing affordable housing, which must include the applicant’s Tax Identification Number, along with an award letter from a public agency such as the California Tax Credit Allocation Committee (TCAC), proving its receipt of public funding for affordable housing purposes.</w:t>
      </w:r>
    </w:p>
    <w:p w:rsidRPr="00FF2A79" w:rsidR="00C20211" w:rsidP="00C20211" w:rsidRDefault="00C20211" w14:paraId="3824199C" w14:textId="77777777">
      <w:pPr>
        <w:pStyle w:val="content"/>
        <w:spacing w:before="0" w:beforeAutospacing="0" w:after="0" w:afterAutospacing="0"/>
        <w:rPr>
          <w:rFonts w:ascii="Book Antiqua" w:hAnsi="Book Antiqua"/>
          <w:color w:val="000000" w:themeColor="text1"/>
          <w:sz w:val="26"/>
          <w:szCs w:val="26"/>
        </w:rPr>
      </w:pPr>
    </w:p>
    <w:p w:rsidRPr="00FF2A79" w:rsidR="00C20211" w:rsidP="00C20211" w:rsidRDefault="00C20211" w14:paraId="5BF750EF" w14:textId="77777777">
      <w:pPr>
        <w:pStyle w:val="ListParagraph"/>
        <w:spacing w:line="240" w:lineRule="auto"/>
        <w:ind w:left="0" w:firstLine="0"/>
        <w:rPr>
          <w:szCs w:val="26"/>
        </w:rPr>
      </w:pPr>
      <w:r w:rsidRPr="00FF2A79">
        <w:rPr>
          <w:rFonts w:eastAsia="Book Antiqua" w:cs="Book Antiqua"/>
          <w:szCs w:val="26"/>
        </w:rPr>
        <w:t xml:space="preserve">For PSCs applying for infrastructure funds, the Commission shall award grants only to housing developments that are unserved as defined in Section III.  </w:t>
      </w:r>
    </w:p>
    <w:p w:rsidRPr="00FF2A79" w:rsidR="00C20211" w:rsidP="00C20211" w:rsidRDefault="00C20211" w14:paraId="39E8C3CE" w14:textId="77777777">
      <w:pPr>
        <w:pStyle w:val="content"/>
        <w:spacing w:before="0" w:beforeAutospacing="0" w:after="0" w:afterAutospacing="0"/>
        <w:rPr>
          <w:rFonts w:ascii="Book Antiqua" w:hAnsi="Book Antiqua"/>
          <w:color w:val="000000" w:themeColor="text1"/>
          <w:sz w:val="26"/>
          <w:szCs w:val="26"/>
        </w:rPr>
      </w:pPr>
    </w:p>
    <w:p w:rsidRPr="00FF2A79" w:rsidR="00C20211" w:rsidP="00C20211" w:rsidRDefault="00C20211" w14:paraId="31AC8DA7" w14:textId="77777777">
      <w:pPr>
        <w:pStyle w:val="content"/>
        <w:spacing w:before="0" w:beforeAutospacing="0" w:after="0" w:afterAutospacing="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Applications must c</w:t>
      </w:r>
      <w:r w:rsidRPr="00FF2A79">
        <w:rPr>
          <w:rFonts w:ascii="Book Antiqua" w:hAnsi="Book Antiqua"/>
          <w:color w:val="000000" w:themeColor="text1"/>
          <w:sz w:val="26"/>
          <w:szCs w:val="26"/>
        </w:rPr>
        <w:t>ontain the following information.</w:t>
      </w:r>
    </w:p>
    <w:p w:rsidRPr="00FF2A79" w:rsidR="00C20211" w:rsidP="00C20211" w:rsidRDefault="00C20211" w14:paraId="43C31503" w14:textId="77777777">
      <w:pPr>
        <w:spacing w:line="240" w:lineRule="auto"/>
        <w:ind w:right="-14"/>
        <w:rPr>
          <w:b/>
          <w:color w:val="000000" w:themeColor="text1"/>
          <w:szCs w:val="26"/>
        </w:rPr>
      </w:pPr>
    </w:p>
    <w:p w:rsidRPr="00FF2A79" w:rsidR="00C20211" w:rsidP="00BB504D" w:rsidRDefault="00C20211" w14:paraId="2E09E9A9" w14:textId="77777777">
      <w:pPr>
        <w:pStyle w:val="ListParagraph"/>
        <w:numPr>
          <w:ilvl w:val="2"/>
          <w:numId w:val="16"/>
        </w:numPr>
        <w:spacing w:line="240" w:lineRule="auto"/>
        <w:ind w:left="720" w:hanging="360"/>
        <w:rPr>
          <w:color w:val="000000" w:themeColor="text1"/>
          <w:szCs w:val="26"/>
        </w:rPr>
      </w:pPr>
      <w:r w:rsidRPr="00FF2A79">
        <w:rPr>
          <w:b/>
          <w:iCs/>
          <w:color w:val="000000" w:themeColor="text1"/>
          <w:szCs w:val="26"/>
        </w:rPr>
        <w:t>Funds Requested</w:t>
      </w:r>
      <w:r w:rsidRPr="00FF2A79">
        <w:rPr>
          <w:b/>
          <w:color w:val="000000" w:themeColor="text1"/>
          <w:szCs w:val="26"/>
        </w:rPr>
        <w:t xml:space="preserve">  </w:t>
      </w:r>
    </w:p>
    <w:p w:rsidRPr="00FF2A79" w:rsidR="00C20211" w:rsidP="00C20211" w:rsidRDefault="00C20211" w14:paraId="4D55BC81"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The applicant must indicate t</w:t>
      </w:r>
      <w:r w:rsidRPr="00FF2A79">
        <w:rPr>
          <w:rFonts w:ascii="Book Antiqua" w:hAnsi="Book Antiqua" w:eastAsia="Book Antiqua" w:cs="Book Antiqua"/>
          <w:color w:val="000000" w:themeColor="text1"/>
          <w:sz w:val="26"/>
          <w:szCs w:val="26"/>
          <w:lang w:val=""/>
        </w:rPr>
        <w:t xml:space="preserve">he amount of funding requested. </w:t>
      </w:r>
    </w:p>
    <w:p w:rsidRPr="00FF2A79" w:rsidR="00C20211" w:rsidP="00C20211" w:rsidRDefault="00C20211" w14:paraId="6D2D7EF9" w14:textId="77777777">
      <w:pPr>
        <w:spacing w:line="240" w:lineRule="auto"/>
        <w:ind w:left="720" w:right="-14"/>
        <w:rPr>
          <w:b/>
          <w:color w:val="000000" w:themeColor="text1"/>
          <w:szCs w:val="26"/>
        </w:rPr>
      </w:pPr>
    </w:p>
    <w:p w:rsidRPr="00FF2A79" w:rsidR="00C20211" w:rsidP="00BB504D" w:rsidRDefault="00C20211" w14:paraId="056CF5B2"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Project Location</w:t>
      </w:r>
    </w:p>
    <w:p w:rsidRPr="00FF2A79" w:rsidR="00C20211" w:rsidP="00C20211" w:rsidRDefault="00C20211" w14:paraId="401A5C0C"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 xml:space="preserve">The applicant must include </w:t>
      </w:r>
      <w:r w:rsidRPr="00FF2A79">
        <w:rPr>
          <w:rFonts w:ascii="Book Antiqua" w:hAnsi="Book Antiqua"/>
          <w:color w:val="000000" w:themeColor="text1"/>
          <w:sz w:val="26"/>
          <w:szCs w:val="26"/>
        </w:rPr>
        <w:t xml:space="preserve">a physical address for each project location along with an image of the location on the map.  The Commission will accept a screenshot image from online maps or similar images. </w:t>
      </w:r>
    </w:p>
    <w:p w:rsidRPr="00FF2A79" w:rsidR="00C20211" w:rsidP="00C20211" w:rsidRDefault="00C20211" w14:paraId="4E49FC8B" w14:textId="77777777">
      <w:pPr>
        <w:pStyle w:val="content"/>
        <w:spacing w:before="0" w:beforeAutospacing="0" w:after="0" w:afterAutospacing="0"/>
        <w:ind w:left="1440"/>
        <w:rPr>
          <w:rFonts w:ascii="Book Antiqua" w:hAnsi="Book Antiqua"/>
          <w:color w:val="000000" w:themeColor="text1"/>
          <w:sz w:val="26"/>
          <w:szCs w:val="26"/>
        </w:rPr>
      </w:pPr>
    </w:p>
    <w:p w:rsidRPr="00FF2A79" w:rsidR="00C20211" w:rsidP="00BB504D" w:rsidRDefault="00C20211" w14:paraId="076A4594"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 xml:space="preserve">Key Contact Information </w:t>
      </w:r>
    </w:p>
    <w:p w:rsidRPr="00FF2A79" w:rsidR="00C20211" w:rsidP="00BB504D" w:rsidRDefault="00C20211" w14:paraId="12FBF385" w14:textId="77777777">
      <w:pPr>
        <w:numPr>
          <w:ilvl w:val="0"/>
          <w:numId w:val="12"/>
        </w:numPr>
        <w:tabs>
          <w:tab w:val="clear" w:pos="0"/>
        </w:tabs>
        <w:suppressAutoHyphens/>
        <w:spacing w:line="240" w:lineRule="auto"/>
        <w:ind w:left="1080" w:right="-14"/>
        <w:rPr>
          <w:color w:val="000000" w:themeColor="text1"/>
          <w:szCs w:val="26"/>
        </w:rPr>
      </w:pPr>
      <w:r w:rsidRPr="00FF2A79">
        <w:rPr>
          <w:color w:val="000000" w:themeColor="text1"/>
          <w:szCs w:val="26"/>
        </w:rPr>
        <w:t>First name</w:t>
      </w:r>
    </w:p>
    <w:p w:rsidRPr="00FF2A79" w:rsidR="00C20211" w:rsidP="00BB504D" w:rsidRDefault="00C20211" w14:paraId="66B9E3FF"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 xml:space="preserve">Last name </w:t>
      </w:r>
    </w:p>
    <w:p w:rsidRPr="00FF2A79" w:rsidR="00C20211" w:rsidP="00BB504D" w:rsidRDefault="00C20211" w14:paraId="046C8DB3"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 xml:space="preserve">Physical mailing address </w:t>
      </w:r>
    </w:p>
    <w:p w:rsidRPr="00FF2A79" w:rsidR="00C20211" w:rsidP="00BB504D" w:rsidRDefault="00C20211" w14:paraId="5384BA42"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Email ID</w:t>
      </w:r>
    </w:p>
    <w:p w:rsidRPr="00FF2A79" w:rsidR="00C20211" w:rsidP="00BB504D" w:rsidRDefault="00C20211" w14:paraId="25EA5297" w14:textId="77777777">
      <w:pPr>
        <w:numPr>
          <w:ilvl w:val="0"/>
          <w:numId w:val="12"/>
        </w:numPr>
        <w:tabs>
          <w:tab w:val="clear" w:pos="0"/>
        </w:tabs>
        <w:suppressAutoHyphens/>
        <w:spacing w:line="240" w:lineRule="auto"/>
        <w:ind w:left="1080" w:right="-14"/>
        <w:rPr>
          <w:b/>
          <w:color w:val="000000" w:themeColor="text1"/>
          <w:szCs w:val="26"/>
        </w:rPr>
      </w:pPr>
      <w:r w:rsidRPr="00FF2A79">
        <w:rPr>
          <w:rFonts w:eastAsia="Book Antiqua" w:cs="Book Antiqua"/>
          <w:color w:val="000000" w:themeColor="text1"/>
          <w:szCs w:val="26"/>
        </w:rPr>
        <w:t>Phone number(s)</w:t>
      </w:r>
    </w:p>
    <w:p w:rsidRPr="00FF2A79" w:rsidR="00C20211" w:rsidP="00C20211" w:rsidRDefault="00C20211" w14:paraId="296F31D0" w14:textId="77777777">
      <w:pPr>
        <w:spacing w:line="240" w:lineRule="auto"/>
        <w:ind w:right="-14"/>
        <w:rPr>
          <w:b/>
          <w:color w:val="000000" w:themeColor="text1"/>
          <w:szCs w:val="26"/>
        </w:rPr>
      </w:pPr>
    </w:p>
    <w:p w:rsidRPr="00FF2A79" w:rsidR="00C20211" w:rsidP="00BB504D" w:rsidRDefault="00C20211" w14:paraId="29D6D2ED"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 xml:space="preserve">Key PSC Management </w:t>
      </w:r>
    </w:p>
    <w:p w:rsidRPr="00FF2A79" w:rsidR="00C20211" w:rsidP="00BB504D" w:rsidRDefault="00C20211" w14:paraId="3166AA30" w14:textId="77777777">
      <w:pPr>
        <w:numPr>
          <w:ilvl w:val="0"/>
          <w:numId w:val="12"/>
        </w:numPr>
        <w:tabs>
          <w:tab w:val="clear" w:pos="0"/>
        </w:tabs>
        <w:suppressAutoHyphens/>
        <w:spacing w:line="240" w:lineRule="auto"/>
        <w:ind w:left="1080" w:right="-14"/>
        <w:rPr>
          <w:color w:val="000000" w:themeColor="text1"/>
          <w:szCs w:val="26"/>
        </w:rPr>
      </w:pPr>
      <w:r w:rsidRPr="00FF2A79">
        <w:rPr>
          <w:color w:val="000000" w:themeColor="text1"/>
          <w:szCs w:val="26"/>
        </w:rPr>
        <w:t xml:space="preserve">Position title </w:t>
      </w:r>
    </w:p>
    <w:p w:rsidRPr="00FF2A79" w:rsidR="00C20211" w:rsidP="00BB504D" w:rsidRDefault="00C20211" w14:paraId="4A9BAFFB" w14:textId="77777777">
      <w:pPr>
        <w:numPr>
          <w:ilvl w:val="0"/>
          <w:numId w:val="12"/>
        </w:numPr>
        <w:tabs>
          <w:tab w:val="clear" w:pos="0"/>
          <w:tab w:val="left" w:pos="2610"/>
        </w:tabs>
        <w:suppressAutoHyphens/>
        <w:spacing w:line="240" w:lineRule="auto"/>
        <w:ind w:left="1080" w:right="-14"/>
        <w:rPr>
          <w:color w:val="000000" w:themeColor="text1"/>
          <w:szCs w:val="26"/>
        </w:rPr>
      </w:pPr>
      <w:r w:rsidRPr="00FF2A79">
        <w:rPr>
          <w:rFonts w:eastAsia="Book Antiqua" w:cs="Book Antiqua"/>
          <w:color w:val="000000" w:themeColor="text1"/>
          <w:szCs w:val="26"/>
        </w:rPr>
        <w:t xml:space="preserve">First name </w:t>
      </w:r>
    </w:p>
    <w:p w:rsidRPr="00FF2A79" w:rsidR="00C20211" w:rsidP="00BB504D" w:rsidRDefault="00C20211" w14:paraId="51BB0108"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 xml:space="preserve">Last name </w:t>
      </w:r>
    </w:p>
    <w:p w:rsidRPr="00FF2A79" w:rsidR="00C20211" w:rsidP="00BB504D" w:rsidRDefault="00C20211" w14:paraId="0E236960"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Email ID</w:t>
      </w:r>
    </w:p>
    <w:p w:rsidRPr="00FF2A79" w:rsidR="00C20211" w:rsidP="00BB504D" w:rsidRDefault="00C20211" w14:paraId="7F8E36B4" w14:textId="77777777">
      <w:pPr>
        <w:numPr>
          <w:ilvl w:val="0"/>
          <w:numId w:val="12"/>
        </w:numPr>
        <w:tabs>
          <w:tab w:val="clear" w:pos="0"/>
        </w:tabs>
        <w:suppressAutoHyphens/>
        <w:spacing w:line="240" w:lineRule="auto"/>
        <w:ind w:left="1080" w:right="-14"/>
        <w:rPr>
          <w:color w:val="000000" w:themeColor="text1"/>
          <w:szCs w:val="26"/>
        </w:rPr>
      </w:pPr>
      <w:r w:rsidRPr="00FF2A79">
        <w:rPr>
          <w:rFonts w:eastAsia="Book Antiqua" w:cs="Book Antiqua"/>
          <w:color w:val="000000" w:themeColor="text1"/>
          <w:szCs w:val="26"/>
        </w:rPr>
        <w:t>Phone number(s)</w:t>
      </w:r>
    </w:p>
    <w:p w:rsidRPr="00FF2A79" w:rsidR="00C20211" w:rsidP="00BB504D" w:rsidRDefault="00C20211" w14:paraId="0DD58564" w14:textId="77777777">
      <w:pPr>
        <w:pStyle w:val="ListParagraph"/>
        <w:widowControl w:val="0"/>
        <w:numPr>
          <w:ilvl w:val="2"/>
          <w:numId w:val="16"/>
        </w:numPr>
        <w:spacing w:line="240" w:lineRule="auto"/>
        <w:ind w:left="720" w:hanging="360"/>
        <w:rPr>
          <w:b/>
          <w:iCs/>
          <w:color w:val="000000" w:themeColor="text1"/>
          <w:szCs w:val="26"/>
        </w:rPr>
      </w:pPr>
      <w:r w:rsidRPr="00FF2A79">
        <w:rPr>
          <w:b/>
          <w:iCs/>
          <w:color w:val="000000" w:themeColor="text1"/>
          <w:szCs w:val="26"/>
        </w:rPr>
        <w:t>Key Vendor Contact Information (if the applicant already has identified its vendor)</w:t>
      </w:r>
    </w:p>
    <w:p w:rsidRPr="00FF2A79" w:rsidR="00C20211" w:rsidP="00BB504D" w:rsidRDefault="00C20211" w14:paraId="536AF351" w14:textId="77777777">
      <w:pPr>
        <w:widowControl w:val="0"/>
        <w:numPr>
          <w:ilvl w:val="0"/>
          <w:numId w:val="11"/>
        </w:numPr>
        <w:tabs>
          <w:tab w:val="clear" w:pos="0"/>
        </w:tabs>
        <w:suppressAutoHyphens/>
        <w:spacing w:line="240" w:lineRule="auto"/>
        <w:ind w:left="1080" w:right="-14"/>
        <w:rPr>
          <w:color w:val="000000" w:themeColor="text1"/>
          <w:szCs w:val="26"/>
        </w:rPr>
      </w:pPr>
      <w:r w:rsidRPr="00FF2A79">
        <w:rPr>
          <w:color w:val="000000" w:themeColor="text1"/>
          <w:szCs w:val="26"/>
        </w:rPr>
        <w:t xml:space="preserve">First name </w:t>
      </w:r>
    </w:p>
    <w:p w:rsidRPr="00FF2A79" w:rsidR="00C20211" w:rsidP="00BB504D" w:rsidRDefault="00C20211" w14:paraId="490547C9" w14:textId="77777777">
      <w:pPr>
        <w:widowControl w:val="0"/>
        <w:numPr>
          <w:ilvl w:val="0"/>
          <w:numId w:val="11"/>
        </w:numPr>
        <w:tabs>
          <w:tab w:val="clear" w:pos="0"/>
          <w:tab w:val="num" w:pos="1080"/>
        </w:tabs>
        <w:suppressAutoHyphens/>
        <w:spacing w:line="240" w:lineRule="auto"/>
        <w:ind w:left="1080" w:right="-14"/>
        <w:rPr>
          <w:color w:val="000000" w:themeColor="text1"/>
          <w:szCs w:val="26"/>
        </w:rPr>
      </w:pPr>
      <w:r w:rsidRPr="00FF2A79">
        <w:rPr>
          <w:rFonts w:eastAsia="Book Antiqua" w:cs="Book Antiqua"/>
          <w:color w:val="000000" w:themeColor="text1"/>
          <w:szCs w:val="26"/>
        </w:rPr>
        <w:t>Last name</w:t>
      </w:r>
    </w:p>
    <w:p w:rsidRPr="00FF2A79" w:rsidR="00C20211" w:rsidP="00BB504D" w:rsidRDefault="00C20211" w14:paraId="6A9FD04B" w14:textId="77777777">
      <w:pPr>
        <w:widowControl w:val="0"/>
        <w:numPr>
          <w:ilvl w:val="0"/>
          <w:numId w:val="11"/>
        </w:numPr>
        <w:tabs>
          <w:tab w:val="clear" w:pos="0"/>
          <w:tab w:val="num" w:pos="1080"/>
        </w:tabs>
        <w:suppressAutoHyphens/>
        <w:spacing w:line="240" w:lineRule="auto"/>
        <w:ind w:left="1080" w:right="-14"/>
        <w:rPr>
          <w:color w:val="000000" w:themeColor="text1"/>
          <w:szCs w:val="26"/>
        </w:rPr>
      </w:pPr>
      <w:r w:rsidRPr="00FF2A79">
        <w:rPr>
          <w:rFonts w:eastAsia="Book Antiqua" w:cs="Book Antiqua"/>
          <w:color w:val="000000" w:themeColor="text1"/>
          <w:szCs w:val="26"/>
        </w:rPr>
        <w:t>Company name</w:t>
      </w:r>
    </w:p>
    <w:p w:rsidRPr="00FF2A79" w:rsidR="00C20211" w:rsidP="00BB504D" w:rsidRDefault="00C20211" w14:paraId="1006CB21" w14:textId="77777777">
      <w:pPr>
        <w:widowControl w:val="0"/>
        <w:numPr>
          <w:ilvl w:val="0"/>
          <w:numId w:val="11"/>
        </w:numPr>
        <w:tabs>
          <w:tab w:val="clear" w:pos="0"/>
          <w:tab w:val="num" w:pos="1080"/>
        </w:tabs>
        <w:suppressAutoHyphens/>
        <w:spacing w:line="240" w:lineRule="auto"/>
        <w:ind w:left="1080" w:right="-14"/>
        <w:rPr>
          <w:color w:val="000000" w:themeColor="text1"/>
          <w:szCs w:val="26"/>
        </w:rPr>
      </w:pPr>
      <w:r w:rsidRPr="00FF2A79">
        <w:rPr>
          <w:rFonts w:eastAsia="Book Antiqua" w:cs="Book Antiqua"/>
          <w:color w:val="000000" w:themeColor="text1"/>
          <w:szCs w:val="26"/>
        </w:rPr>
        <w:t xml:space="preserve">Physical mailing address </w:t>
      </w:r>
    </w:p>
    <w:p w:rsidRPr="00FF2A79" w:rsidR="00C20211" w:rsidP="00BB504D" w:rsidRDefault="00C20211" w14:paraId="6FAB6A75" w14:textId="77777777">
      <w:pPr>
        <w:widowControl w:val="0"/>
        <w:numPr>
          <w:ilvl w:val="0"/>
          <w:numId w:val="11"/>
        </w:numPr>
        <w:tabs>
          <w:tab w:val="clear" w:pos="0"/>
          <w:tab w:val="num" w:pos="1080"/>
        </w:tabs>
        <w:suppressAutoHyphens/>
        <w:spacing w:line="240" w:lineRule="auto"/>
        <w:ind w:left="1080" w:right="-14"/>
        <w:rPr>
          <w:color w:val="000000" w:themeColor="text1"/>
          <w:szCs w:val="26"/>
        </w:rPr>
      </w:pPr>
      <w:r w:rsidRPr="00FF2A79">
        <w:rPr>
          <w:rFonts w:eastAsia="Book Antiqua" w:cs="Book Antiqua"/>
          <w:color w:val="000000" w:themeColor="text1"/>
          <w:szCs w:val="26"/>
        </w:rPr>
        <w:t>Email ID</w:t>
      </w:r>
    </w:p>
    <w:p w:rsidRPr="00FF2A79" w:rsidR="00C20211" w:rsidP="00BB504D" w:rsidRDefault="00C20211" w14:paraId="1E1FF08F" w14:textId="77777777">
      <w:pPr>
        <w:widowControl w:val="0"/>
        <w:numPr>
          <w:ilvl w:val="0"/>
          <w:numId w:val="11"/>
        </w:numPr>
        <w:tabs>
          <w:tab w:val="clear" w:pos="0"/>
          <w:tab w:val="num" w:pos="1080"/>
        </w:tabs>
        <w:suppressAutoHyphens/>
        <w:spacing w:line="240" w:lineRule="auto"/>
        <w:ind w:left="1080" w:right="-14"/>
        <w:rPr>
          <w:b/>
          <w:color w:val="000000" w:themeColor="text1"/>
          <w:szCs w:val="26"/>
        </w:rPr>
      </w:pPr>
      <w:r w:rsidRPr="00FF2A79">
        <w:rPr>
          <w:rFonts w:eastAsia="Book Antiqua" w:cs="Book Antiqua"/>
          <w:color w:val="000000" w:themeColor="text1"/>
          <w:szCs w:val="26"/>
        </w:rPr>
        <w:t>Phone number(s)</w:t>
      </w:r>
    </w:p>
    <w:p w:rsidRPr="00FF2A79" w:rsidR="00C20211" w:rsidP="00C20211" w:rsidRDefault="00C20211" w14:paraId="4A5C60B6" w14:textId="77777777">
      <w:pPr>
        <w:widowControl w:val="0"/>
        <w:suppressAutoHyphens/>
        <w:spacing w:line="240" w:lineRule="auto"/>
        <w:ind w:left="1080" w:right="-14" w:firstLine="0"/>
        <w:rPr>
          <w:b/>
          <w:color w:val="000000" w:themeColor="text1"/>
          <w:szCs w:val="26"/>
        </w:rPr>
      </w:pPr>
    </w:p>
    <w:p w:rsidRPr="00FF2A79" w:rsidR="00C20211" w:rsidP="00BB504D" w:rsidRDefault="00C20211" w14:paraId="54F6F9E3"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Assertion of Unserved</w:t>
      </w:r>
    </w:p>
    <w:p w:rsidRPr="00FF2A79" w:rsidR="00C20211" w:rsidP="00C20211" w:rsidRDefault="00C20211" w14:paraId="21DD5627"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The applicant must attest to whether or</w:t>
      </w:r>
      <w:r w:rsidRPr="00FF2A79">
        <w:rPr>
          <w:rFonts w:ascii="Book Antiqua" w:hAnsi="Book Antiqua" w:eastAsia="Book Antiqua" w:cs="Book Antiqua"/>
          <w:color w:val="000000" w:themeColor="text1"/>
          <w:sz w:val="26"/>
          <w:szCs w:val="26"/>
          <w:lang w:val=""/>
        </w:rPr>
        <w:t xml:space="preserve"> not the </w:t>
      </w:r>
      <w:r w:rsidRPr="00FF2A79">
        <w:rPr>
          <w:rFonts w:ascii="Book Antiqua" w:hAnsi="Book Antiqua"/>
          <w:color w:val="000000" w:themeColor="text1"/>
          <w:sz w:val="26"/>
          <w:szCs w:val="26"/>
        </w:rPr>
        <w:t xml:space="preserve">housing development that will be connected through the proposed project is unserved, as defined in Section III.  The applicant also must verify that it has not denied an ISP access to its property in order to provide broadband service to any unit.  An applicant's previous denial of access for cause (e.g., the ISP's service cost to the resident or the applicant were unreasonably high) does not constitute a denial of a right of access. </w:t>
      </w:r>
    </w:p>
    <w:p w:rsidRPr="00FF2A79" w:rsidR="00C20211" w:rsidP="00C20211" w:rsidRDefault="00C20211" w14:paraId="433EE418" w14:textId="77777777">
      <w:pPr>
        <w:pStyle w:val="content"/>
        <w:spacing w:before="0" w:beforeAutospacing="0" w:after="0" w:afterAutospacing="0"/>
        <w:ind w:left="720"/>
        <w:rPr>
          <w:rFonts w:ascii="Book Antiqua" w:hAnsi="Book Antiqua"/>
          <w:color w:val="000000" w:themeColor="text1"/>
          <w:sz w:val="26"/>
          <w:szCs w:val="26"/>
        </w:rPr>
      </w:pPr>
    </w:p>
    <w:p w:rsidRPr="00FF2A79" w:rsidR="00C20211" w:rsidP="00BB504D" w:rsidRDefault="00C20211" w14:paraId="5EC142F6"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lastRenderedPageBreak/>
        <w:t xml:space="preserve">Proposed Project Description </w:t>
      </w:r>
    </w:p>
    <w:p w:rsidRPr="00FF2A79" w:rsidR="00C20211" w:rsidP="00C20211" w:rsidRDefault="00C20211" w14:paraId="3732B3D4" w14:textId="77777777">
      <w:pPr>
        <w:spacing w:line="240" w:lineRule="auto"/>
        <w:ind w:left="720" w:right="-14" w:firstLine="0"/>
        <w:rPr>
          <w:color w:val="000000" w:themeColor="text1"/>
          <w:szCs w:val="26"/>
        </w:rPr>
      </w:pPr>
      <w:r w:rsidRPr="00FF2A79">
        <w:rPr>
          <w:rFonts w:eastAsia="Book Antiqua" w:cs="Book Antiqua"/>
          <w:color w:val="000000" w:themeColor="text1"/>
          <w:szCs w:val="26"/>
        </w:rPr>
        <w:t xml:space="preserve">An applicant must provide a detailed description of the broadband project that will be funded under the CASF BPHA program, including but not limited to the elements listed below. </w:t>
      </w:r>
    </w:p>
    <w:p w:rsidRPr="00FF2A79" w:rsidR="00C20211" w:rsidP="00C20211" w:rsidRDefault="00C20211" w14:paraId="2F29AB67" w14:textId="77777777">
      <w:pPr>
        <w:spacing w:line="240" w:lineRule="auto"/>
        <w:ind w:left="720" w:right="-14"/>
        <w:rPr>
          <w:color w:val="000000" w:themeColor="text1"/>
          <w:szCs w:val="26"/>
        </w:rPr>
      </w:pPr>
    </w:p>
    <w:p w:rsidRPr="00FF2A79" w:rsidR="00C20211" w:rsidP="00C20211" w:rsidRDefault="00C20211" w14:paraId="6CA14AA8" w14:textId="77777777">
      <w:pPr>
        <w:spacing w:line="240" w:lineRule="auto"/>
        <w:ind w:left="720" w:right="-14" w:firstLine="0"/>
        <w:rPr>
          <w:color w:val="000000" w:themeColor="text1"/>
          <w:szCs w:val="26"/>
        </w:rPr>
      </w:pPr>
      <w:r w:rsidRPr="00FF2A79">
        <w:rPr>
          <w:rFonts w:eastAsia="Book Antiqua" w:cs="Book Antiqua"/>
          <w:color w:val="000000" w:themeColor="text1"/>
          <w:szCs w:val="26"/>
        </w:rPr>
        <w:t>Detailed broadband project plan proposal that includes:</w:t>
      </w:r>
    </w:p>
    <w:p w:rsidRPr="00FF2A79" w:rsidR="00C20211" w:rsidP="00BB504D" w:rsidRDefault="00C20211" w14:paraId="02BA10BC" w14:textId="77777777">
      <w:pPr>
        <w:pStyle w:val="ListParagraph"/>
        <w:numPr>
          <w:ilvl w:val="0"/>
          <w:numId w:val="9"/>
        </w:numPr>
        <w:spacing w:line="240" w:lineRule="auto"/>
        <w:ind w:left="1080"/>
        <w:rPr>
          <w:color w:val="000000" w:themeColor="text1"/>
          <w:szCs w:val="26"/>
        </w:rPr>
      </w:pPr>
      <w:r w:rsidRPr="00FF2A79">
        <w:rPr>
          <w:color w:val="000000" w:themeColor="text1"/>
          <w:szCs w:val="26"/>
        </w:rPr>
        <w:t>The type of technology that will be used on the project with all technical specifications, network topology, schematic diagram, engineering, and design documentation.</w:t>
      </w:r>
    </w:p>
    <w:p w:rsidRPr="00FF2A79" w:rsidR="00C20211" w:rsidP="00BB504D" w:rsidRDefault="00C20211" w14:paraId="3720BFF5" w14:textId="77777777">
      <w:pPr>
        <w:pStyle w:val="ListParagraph"/>
        <w:numPr>
          <w:ilvl w:val="0"/>
          <w:numId w:val="9"/>
        </w:numPr>
        <w:spacing w:line="240" w:lineRule="auto"/>
        <w:ind w:left="1080"/>
        <w:rPr>
          <w:color w:val="000000" w:themeColor="text1"/>
          <w:szCs w:val="26"/>
        </w:rPr>
      </w:pPr>
      <w:r w:rsidRPr="00FF2A79">
        <w:rPr>
          <w:rFonts w:eastAsia="Book Antiqua" w:cs="Book Antiqua"/>
          <w:color w:val="000000" w:themeColor="text1"/>
          <w:szCs w:val="26"/>
        </w:rPr>
        <w:t xml:space="preserve">Project plan showing the number of residential units in the PSC to be connected. </w:t>
      </w:r>
    </w:p>
    <w:p w:rsidRPr="00FF2A79" w:rsidR="00C20211" w:rsidP="00BB504D" w:rsidRDefault="00C20211" w14:paraId="7E70F4AA" w14:textId="77777777">
      <w:pPr>
        <w:pStyle w:val="ListParagraph"/>
        <w:numPr>
          <w:ilvl w:val="0"/>
          <w:numId w:val="9"/>
        </w:numPr>
        <w:spacing w:line="240" w:lineRule="auto"/>
        <w:ind w:left="1080"/>
        <w:rPr>
          <w:color w:val="000000" w:themeColor="text1"/>
          <w:szCs w:val="26"/>
        </w:rPr>
      </w:pPr>
      <w:r w:rsidRPr="00FF2A79">
        <w:rPr>
          <w:rFonts w:eastAsia="Book Antiqua" w:cs="Book Antiqua"/>
          <w:color w:val="000000" w:themeColor="text1"/>
          <w:szCs w:val="26"/>
        </w:rPr>
        <w:t>Entities that will provide broadband Internet service on the project site (E.g., The type of Internet service and the bandwidth offered by a named ISP)</w:t>
      </w:r>
    </w:p>
    <w:p w:rsidRPr="00FF2A79" w:rsidR="00C20211" w:rsidP="00BB504D" w:rsidRDefault="00C20211" w14:paraId="4E672CB8" w14:textId="77777777">
      <w:pPr>
        <w:pStyle w:val="ListParagraph"/>
        <w:numPr>
          <w:ilvl w:val="0"/>
          <w:numId w:val="9"/>
        </w:numPr>
        <w:spacing w:line="240" w:lineRule="auto"/>
        <w:ind w:left="1080"/>
        <w:rPr>
          <w:color w:val="000000" w:themeColor="text1"/>
          <w:szCs w:val="26"/>
        </w:rPr>
      </w:pPr>
      <w:r w:rsidRPr="00FF2A79">
        <w:rPr>
          <w:rFonts w:eastAsia="Book Antiqua" w:cs="Book Antiqua"/>
          <w:color w:val="000000" w:themeColor="text1"/>
          <w:szCs w:val="26"/>
        </w:rPr>
        <w:t>Download and upload data rate/speed capabilities for an average user within the property at a given time of peak and off-peak hours must meet at least 6 Mbps downstream and 1 Mbps upstream.</w:t>
      </w:r>
    </w:p>
    <w:p w:rsidRPr="00FF2A79" w:rsidR="00C20211" w:rsidP="00BB504D" w:rsidRDefault="00C20211" w14:paraId="672B7E8F" w14:textId="77777777">
      <w:pPr>
        <w:pStyle w:val="ListParagraph"/>
        <w:numPr>
          <w:ilvl w:val="0"/>
          <w:numId w:val="9"/>
        </w:numPr>
        <w:spacing w:line="240" w:lineRule="auto"/>
        <w:ind w:left="1080"/>
        <w:rPr>
          <w:color w:val="000000" w:themeColor="text1"/>
          <w:szCs w:val="26"/>
        </w:rPr>
      </w:pPr>
      <w:r w:rsidRPr="00FF2A79">
        <w:rPr>
          <w:rFonts w:eastAsia="Book Antiqua" w:cs="Book Antiqua"/>
          <w:color w:val="000000" w:themeColor="text1"/>
          <w:szCs w:val="26"/>
        </w:rPr>
        <w:t xml:space="preserve">Project budget outlining all the budget costs, both actual line items and the matching funds.  </w:t>
      </w:r>
    </w:p>
    <w:p w:rsidRPr="00FF2A79" w:rsidR="00C20211" w:rsidP="00C20211" w:rsidRDefault="00C20211" w14:paraId="0AA32D7D" w14:textId="77777777">
      <w:pPr>
        <w:spacing w:line="240" w:lineRule="auto"/>
        <w:ind w:left="720" w:firstLine="0"/>
        <w:rPr>
          <w:color w:val="000000" w:themeColor="text1"/>
          <w:szCs w:val="26"/>
        </w:rPr>
      </w:pPr>
    </w:p>
    <w:p w:rsidRPr="00FF2A79" w:rsidR="00C20211" w:rsidP="00C20211" w:rsidRDefault="00C20211" w14:paraId="3114B95A" w14:textId="77777777">
      <w:pPr>
        <w:suppressAutoHyphens/>
        <w:spacing w:line="240" w:lineRule="auto"/>
        <w:ind w:left="720" w:right="-14" w:firstLine="0"/>
        <w:rPr>
          <w:color w:val="000000" w:themeColor="text1"/>
          <w:szCs w:val="26"/>
        </w:rPr>
      </w:pPr>
      <w:r w:rsidRPr="00FF2A79">
        <w:rPr>
          <w:rFonts w:eastAsia="Book Antiqua" w:cs="Book Antiqua"/>
          <w:color w:val="000000" w:themeColor="text1"/>
          <w:szCs w:val="26"/>
        </w:rPr>
        <w:t>Actual budget cost line items funded by the grant that includes:</w:t>
      </w:r>
    </w:p>
    <w:p w:rsidRPr="00FF2A79" w:rsidR="00C20211" w:rsidP="00BB504D" w:rsidRDefault="00C20211" w14:paraId="03177A3B" w14:textId="77777777">
      <w:pPr>
        <w:numPr>
          <w:ilvl w:val="0"/>
          <w:numId w:val="11"/>
        </w:numPr>
        <w:tabs>
          <w:tab w:val="clear" w:pos="0"/>
        </w:tabs>
        <w:suppressAutoHyphens/>
        <w:spacing w:line="240" w:lineRule="auto"/>
        <w:ind w:left="1440" w:right="-14"/>
        <w:rPr>
          <w:color w:val="000000" w:themeColor="text1"/>
          <w:szCs w:val="26"/>
        </w:rPr>
      </w:pPr>
      <w:r w:rsidRPr="00FF2A79">
        <w:rPr>
          <w:color w:val="000000" w:themeColor="text1"/>
          <w:szCs w:val="26"/>
        </w:rPr>
        <w:t>The cost for all eligible equipment as listed in Section II.</w:t>
      </w:r>
    </w:p>
    <w:p w:rsidRPr="00FF2A79" w:rsidR="00C20211" w:rsidP="00BB504D" w:rsidRDefault="00C20211" w14:paraId="36B8D651" w14:textId="77777777">
      <w:pPr>
        <w:numPr>
          <w:ilvl w:val="3"/>
          <w:numId w:val="10"/>
        </w:numPr>
        <w:suppressAutoHyphens/>
        <w:spacing w:line="240" w:lineRule="auto"/>
        <w:ind w:left="1440" w:right="-14"/>
        <w:rPr>
          <w:color w:val="000000" w:themeColor="text1"/>
          <w:szCs w:val="26"/>
        </w:rPr>
      </w:pPr>
      <w:r w:rsidRPr="00FF2A79">
        <w:rPr>
          <w:color w:val="000000" w:themeColor="text1"/>
          <w:szCs w:val="26"/>
        </w:rPr>
        <w:t xml:space="preserve">The cost for low voltage contracting work as described in Section II.  </w:t>
      </w:r>
    </w:p>
    <w:p w:rsidRPr="00FF2A79" w:rsidR="00C20211" w:rsidP="00BB504D" w:rsidRDefault="00C20211" w14:paraId="6C02B3B2" w14:textId="77777777">
      <w:pPr>
        <w:numPr>
          <w:ilvl w:val="3"/>
          <w:numId w:val="10"/>
        </w:numPr>
        <w:suppressAutoHyphens/>
        <w:spacing w:line="240" w:lineRule="auto"/>
        <w:ind w:left="1440" w:right="-14"/>
        <w:rPr>
          <w:color w:val="000000" w:themeColor="text1"/>
          <w:szCs w:val="26"/>
        </w:rPr>
      </w:pPr>
      <w:r w:rsidRPr="00FF2A79">
        <w:rPr>
          <w:rFonts w:eastAsia="Book Antiqua" w:cs="Book Antiqua"/>
          <w:color w:val="000000" w:themeColor="text1"/>
          <w:szCs w:val="26"/>
        </w:rPr>
        <w:t>Broadband network engineering and designing cost with required supporting documentation.</w:t>
      </w:r>
    </w:p>
    <w:p w:rsidRPr="00FF2A79" w:rsidR="00C20211" w:rsidP="00BB504D" w:rsidRDefault="00C20211" w14:paraId="3EB4B571" w14:textId="77777777">
      <w:pPr>
        <w:numPr>
          <w:ilvl w:val="3"/>
          <w:numId w:val="10"/>
        </w:numPr>
        <w:suppressAutoHyphens/>
        <w:spacing w:line="240" w:lineRule="auto"/>
        <w:ind w:left="1440" w:right="-14"/>
        <w:rPr>
          <w:color w:val="000000" w:themeColor="text1"/>
          <w:szCs w:val="26"/>
        </w:rPr>
      </w:pPr>
      <w:r w:rsidRPr="00FF2A79">
        <w:rPr>
          <w:rFonts w:eastAsia="Book Antiqua" w:cs="Book Antiqua"/>
          <w:color w:val="000000" w:themeColor="text1"/>
          <w:szCs w:val="26"/>
        </w:rPr>
        <w:t>The cost of any required hardware warranty of broadband network equipment.</w:t>
      </w:r>
    </w:p>
    <w:p w:rsidRPr="00FF2A79" w:rsidR="00C20211" w:rsidP="00BB504D" w:rsidRDefault="00C20211" w14:paraId="35A17A9B" w14:textId="77777777">
      <w:pPr>
        <w:numPr>
          <w:ilvl w:val="3"/>
          <w:numId w:val="10"/>
        </w:numPr>
        <w:suppressAutoHyphens/>
        <w:spacing w:line="240" w:lineRule="auto"/>
        <w:ind w:left="1440" w:right="-14"/>
        <w:rPr>
          <w:color w:val="000000" w:themeColor="text1"/>
          <w:szCs w:val="26"/>
        </w:rPr>
      </w:pPr>
      <w:r w:rsidRPr="00FF2A79">
        <w:rPr>
          <w:rFonts w:eastAsia="Book Antiqua" w:cs="Book Antiqua"/>
          <w:color w:val="000000" w:themeColor="text1"/>
          <w:szCs w:val="26"/>
        </w:rPr>
        <w:t>The cost of installation, provisioning, and configuration labor as described in Section II.</w:t>
      </w:r>
    </w:p>
    <w:p w:rsidRPr="00FF2A79" w:rsidR="00C20211" w:rsidP="00BB504D" w:rsidRDefault="00C20211" w14:paraId="0EE95BE3" w14:textId="77777777">
      <w:pPr>
        <w:numPr>
          <w:ilvl w:val="3"/>
          <w:numId w:val="10"/>
        </w:numPr>
        <w:suppressAutoHyphens/>
        <w:spacing w:line="240" w:lineRule="auto"/>
        <w:ind w:left="1440" w:right="-14"/>
        <w:rPr>
          <w:color w:val="000000" w:themeColor="text1"/>
          <w:szCs w:val="26"/>
        </w:rPr>
      </w:pPr>
      <w:r w:rsidRPr="00FF2A79">
        <w:rPr>
          <w:rFonts w:eastAsia="Book Antiqua" w:cs="Book Antiqua"/>
          <w:color w:val="000000" w:themeColor="text1"/>
          <w:szCs w:val="26"/>
        </w:rPr>
        <w:t>Any applicable taxes, shipping, and insurance costs that are directly related to broadband network equipment deployed under the BPHA.</w:t>
      </w:r>
    </w:p>
    <w:p w:rsidRPr="00FF2A79" w:rsidR="00C20211" w:rsidP="00C20211" w:rsidRDefault="00C20211" w14:paraId="2976C332" w14:textId="77777777">
      <w:pPr>
        <w:suppressAutoHyphens/>
        <w:spacing w:line="240" w:lineRule="auto"/>
        <w:ind w:left="1080" w:right="-14" w:firstLine="0"/>
        <w:rPr>
          <w:color w:val="000000" w:themeColor="text1"/>
          <w:szCs w:val="26"/>
        </w:rPr>
      </w:pPr>
    </w:p>
    <w:p w:rsidRPr="00FF2A79" w:rsidR="00C20211" w:rsidP="00C20211" w:rsidRDefault="00C20211" w14:paraId="4C2B23B0" w14:textId="77777777">
      <w:pPr>
        <w:suppressAutoHyphens/>
        <w:ind w:left="720" w:right="-14"/>
        <w:rPr>
          <w:color w:val="000000" w:themeColor="text1"/>
          <w:szCs w:val="26"/>
        </w:rPr>
      </w:pPr>
      <w:r w:rsidRPr="00FF2A79">
        <w:rPr>
          <w:rFonts w:eastAsia="Book Antiqua" w:cs="Book Antiqua"/>
          <w:color w:val="000000" w:themeColor="text1"/>
          <w:szCs w:val="26"/>
        </w:rPr>
        <w:t>Matching funds to be provided by the applicant that includes:</w:t>
      </w:r>
    </w:p>
    <w:p w:rsidRPr="00FF2A79" w:rsidR="00C20211" w:rsidP="00BB504D" w:rsidRDefault="00C20211" w14:paraId="2E04FE91" w14:textId="77777777">
      <w:pPr>
        <w:numPr>
          <w:ilvl w:val="3"/>
          <w:numId w:val="10"/>
        </w:numPr>
        <w:suppressAutoHyphens/>
        <w:spacing w:line="240" w:lineRule="auto"/>
        <w:ind w:left="1440" w:right="-14"/>
        <w:rPr>
          <w:color w:val="000000" w:themeColor="text1"/>
          <w:szCs w:val="26"/>
        </w:rPr>
      </w:pPr>
      <w:r w:rsidRPr="00FF2A79">
        <w:rPr>
          <w:color w:val="000000" w:themeColor="text1"/>
          <w:szCs w:val="26"/>
        </w:rPr>
        <w:t>Monthly recurring Internet bandwidth cost for the five-year project period, post-project completion.</w:t>
      </w:r>
    </w:p>
    <w:p w:rsidRPr="00FF2A79" w:rsidR="00C20211" w:rsidP="00BB504D" w:rsidRDefault="00C20211" w14:paraId="10A6BC2C" w14:textId="77777777">
      <w:pPr>
        <w:numPr>
          <w:ilvl w:val="3"/>
          <w:numId w:val="10"/>
        </w:numPr>
        <w:suppressAutoHyphens/>
        <w:spacing w:line="240" w:lineRule="auto"/>
        <w:ind w:left="1440" w:right="-14"/>
        <w:rPr>
          <w:color w:val="000000" w:themeColor="text1"/>
          <w:szCs w:val="26"/>
        </w:rPr>
      </w:pPr>
      <w:r w:rsidRPr="00FF2A79">
        <w:rPr>
          <w:rFonts w:eastAsia="Book Antiqua" w:cs="Book Antiqua"/>
          <w:color w:val="000000" w:themeColor="text1"/>
          <w:szCs w:val="26"/>
        </w:rPr>
        <w:lastRenderedPageBreak/>
        <w:t>Operations and Maintenance (O&amp;M) cost to ensure the network and broadband services are operational for at least five years post completion of the project.</w:t>
      </w:r>
    </w:p>
    <w:p w:rsidRPr="00FF2A79" w:rsidR="00C20211" w:rsidP="00C20211" w:rsidRDefault="00C20211" w14:paraId="678DA000" w14:textId="77777777">
      <w:pPr>
        <w:suppressAutoHyphens/>
        <w:spacing w:line="240" w:lineRule="auto"/>
        <w:ind w:left="1080" w:right="-14"/>
        <w:rPr>
          <w:color w:val="000000" w:themeColor="text1"/>
          <w:szCs w:val="26"/>
        </w:rPr>
      </w:pPr>
    </w:p>
    <w:p w:rsidRPr="00FF2A79" w:rsidR="00C20211" w:rsidP="00C20211" w:rsidRDefault="00C20211" w14:paraId="3F400CCC" w14:textId="77777777">
      <w:pPr>
        <w:spacing w:line="240" w:lineRule="auto"/>
        <w:ind w:left="720" w:firstLine="0"/>
        <w:rPr>
          <w:color w:val="000000" w:themeColor="text1"/>
          <w:szCs w:val="26"/>
        </w:rPr>
      </w:pPr>
      <w:r w:rsidRPr="00FF2A79">
        <w:rPr>
          <w:rFonts w:eastAsia="Book Antiqua" w:cs="Book Antiqua"/>
          <w:color w:val="000000" w:themeColor="text1"/>
          <w:szCs w:val="26"/>
        </w:rPr>
        <w:t>Project milestones with a delineated deployment schedule that includes:</w:t>
      </w:r>
    </w:p>
    <w:p w:rsidRPr="00FF2A79" w:rsidR="00C20211" w:rsidP="00BB504D" w:rsidRDefault="00C20211" w14:paraId="1737BE10" w14:textId="77777777">
      <w:pPr>
        <w:pStyle w:val="ListParagraph"/>
        <w:numPr>
          <w:ilvl w:val="0"/>
          <w:numId w:val="15"/>
        </w:numPr>
        <w:spacing w:line="240" w:lineRule="auto"/>
        <w:ind w:left="1440"/>
        <w:rPr>
          <w:color w:val="000000" w:themeColor="text1"/>
          <w:szCs w:val="26"/>
        </w:rPr>
      </w:pPr>
      <w:r w:rsidRPr="00FF2A79">
        <w:rPr>
          <w:color w:val="000000" w:themeColor="text1"/>
          <w:szCs w:val="26"/>
        </w:rPr>
        <w:t xml:space="preserve">A commitment timeline to complete the project within 12 months of Commission approval of the application.  </w:t>
      </w:r>
    </w:p>
    <w:p w:rsidRPr="00FF2A79" w:rsidR="00C20211" w:rsidP="00BB504D" w:rsidRDefault="00C20211" w14:paraId="50831805" w14:textId="77777777">
      <w:pPr>
        <w:pStyle w:val="ListParagraph"/>
        <w:numPr>
          <w:ilvl w:val="0"/>
          <w:numId w:val="15"/>
        </w:numPr>
        <w:spacing w:line="240" w:lineRule="auto"/>
        <w:ind w:left="1440"/>
        <w:rPr>
          <w:color w:val="000000" w:themeColor="text1"/>
          <w:szCs w:val="26"/>
        </w:rPr>
      </w:pPr>
      <w:r w:rsidRPr="00FF2A79">
        <w:rPr>
          <w:rFonts w:eastAsia="Book Antiqua" w:cs="Book Antiqua"/>
          <w:color w:val="000000" w:themeColor="text1"/>
          <w:szCs w:val="26"/>
        </w:rPr>
        <w:t xml:space="preserve">The schedule identifying major prerequisites such as a detailed project plan with a timeline including low voltage construction, network installation, provisioning and configuration, testing, submission of closeout package with project completion report, and any other milestones that can be verified by the Commission staff.  </w:t>
      </w:r>
    </w:p>
    <w:p w:rsidRPr="00FF2A79" w:rsidR="00C20211" w:rsidP="00BB504D" w:rsidRDefault="00C20211" w14:paraId="503D5819" w14:textId="77777777">
      <w:pPr>
        <w:pStyle w:val="content"/>
        <w:numPr>
          <w:ilvl w:val="0"/>
          <w:numId w:val="13"/>
        </w:numPr>
        <w:suppressAutoHyphens/>
        <w:spacing w:before="0" w:beforeAutospacing="0" w:after="0" w:afterAutospacing="0"/>
        <w:ind w:left="1440"/>
        <w:rPr>
          <w:rFonts w:ascii="Book Antiqua" w:hAnsi="Book Antiqua"/>
          <w:color w:val="000000" w:themeColor="text1"/>
          <w:sz w:val="26"/>
          <w:szCs w:val="26"/>
        </w:rPr>
      </w:pPr>
      <w:r w:rsidRPr="00FF2A79">
        <w:rPr>
          <w:rFonts w:ascii="Book Antiqua" w:hAnsi="Book Antiqua" w:eastAsia="Book Antiqua" w:cs="Book Antiqua"/>
          <w:color w:val="000000" w:themeColor="text1"/>
          <w:sz w:val="26"/>
          <w:szCs w:val="26"/>
          <w:lang w:val="en-US" w:eastAsia="en-US"/>
        </w:rPr>
        <w:t>While developing</w:t>
      </w:r>
      <w:r w:rsidRPr="00FF2A79">
        <w:rPr>
          <w:rFonts w:ascii="Book Antiqua" w:hAnsi="Book Antiqua"/>
          <w:color w:val="000000" w:themeColor="text1"/>
          <w:sz w:val="26"/>
          <w:szCs w:val="26"/>
        </w:rPr>
        <w:t xml:space="preserve"> the schedule, the applicant must include the timeline required for California Environmental Quality Act (CEQA) or other relevant government agency permit review, if needed.</w:t>
      </w:r>
    </w:p>
    <w:p w:rsidRPr="00FF2A79" w:rsidR="00C20211" w:rsidP="00C20211" w:rsidRDefault="00C20211" w14:paraId="5C69A094" w14:textId="77777777">
      <w:pPr>
        <w:spacing w:line="240" w:lineRule="auto"/>
        <w:ind w:left="720" w:right="-14"/>
        <w:rPr>
          <w:b/>
          <w:color w:val="000000" w:themeColor="text1"/>
          <w:szCs w:val="26"/>
        </w:rPr>
      </w:pPr>
    </w:p>
    <w:p w:rsidRPr="00FF2A79" w:rsidR="00C20211" w:rsidP="00BB504D" w:rsidRDefault="00C20211" w14:paraId="5B424460"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Organizational Chart and Background</w:t>
      </w:r>
    </w:p>
    <w:p w:rsidRPr="00FF2A79" w:rsidR="00C20211" w:rsidP="00C20211" w:rsidRDefault="00C20211" w14:paraId="18460552"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The</w:t>
      </w:r>
      <w:r w:rsidRPr="00FF2A79">
        <w:rPr>
          <w:rFonts w:ascii="Book Antiqua" w:hAnsi="Book Antiqua" w:eastAsia="Book Antiqua" w:cs="Book Antiqua"/>
          <w:color w:val="000000" w:themeColor="text1"/>
          <w:sz w:val="26"/>
          <w:szCs w:val="26"/>
          <w:lang w:val=""/>
        </w:rPr>
        <w:t xml:space="preserve"> applicant must submit an organizational chart showin</w:t>
      </w:r>
      <w:r w:rsidRPr="00FF2A79">
        <w:rPr>
          <w:rFonts w:ascii="Book Antiqua" w:hAnsi="Book Antiqua"/>
          <w:color w:val="000000" w:themeColor="text1"/>
          <w:sz w:val="26"/>
          <w:szCs w:val="26"/>
        </w:rPr>
        <w:t>g the parent organization, subsidiaries, and affiliates.</w:t>
      </w:r>
    </w:p>
    <w:p w:rsidRPr="00FF2A79" w:rsidR="00C20211" w:rsidP="00C20211" w:rsidRDefault="00C20211" w14:paraId="5146EA96" w14:textId="77777777">
      <w:pPr>
        <w:pStyle w:val="content"/>
        <w:spacing w:before="0" w:beforeAutospacing="0" w:after="0" w:afterAutospacing="0"/>
        <w:ind w:left="720"/>
        <w:rPr>
          <w:rFonts w:ascii="Book Antiqua" w:hAnsi="Book Antiqua"/>
          <w:color w:val="000000" w:themeColor="text1"/>
          <w:sz w:val="26"/>
          <w:szCs w:val="26"/>
        </w:rPr>
      </w:pPr>
    </w:p>
    <w:p w:rsidRPr="00FF2A79" w:rsidR="00C20211" w:rsidP="00BB504D" w:rsidRDefault="00C20211" w14:paraId="28A2677E"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Economic Useful Life of Assets to be Funded</w:t>
      </w:r>
    </w:p>
    <w:p w:rsidRPr="00FF2A79" w:rsidR="00C20211" w:rsidP="00C20211" w:rsidRDefault="00C20211" w14:paraId="79690EEF" w14:textId="77777777">
      <w:pPr>
        <w:spacing w:line="240" w:lineRule="auto"/>
        <w:ind w:left="720" w:right="-14" w:firstLine="0"/>
        <w:rPr>
          <w:color w:val="000000" w:themeColor="text1"/>
          <w:szCs w:val="26"/>
        </w:rPr>
      </w:pPr>
      <w:r w:rsidRPr="00FF2A79">
        <w:rPr>
          <w:rFonts w:eastAsia="Book Antiqua" w:cs="Book Antiqua"/>
          <w:color w:val="000000" w:themeColor="text1"/>
          <w:szCs w:val="26"/>
        </w:rPr>
        <w:t>The applicant must identify the expected economic useful life of the assets funded by the BPHA grant.</w:t>
      </w:r>
    </w:p>
    <w:p w:rsidRPr="00FF2A79" w:rsidR="00C20211" w:rsidP="00C20211" w:rsidRDefault="00C20211" w14:paraId="4E6ECF93" w14:textId="77777777">
      <w:pPr>
        <w:pStyle w:val="content"/>
        <w:spacing w:before="0" w:beforeAutospacing="0" w:after="0" w:afterAutospacing="0"/>
        <w:rPr>
          <w:rFonts w:ascii="Book Antiqua" w:hAnsi="Book Antiqua"/>
          <w:color w:val="000000" w:themeColor="text1"/>
          <w:sz w:val="26"/>
          <w:szCs w:val="26"/>
        </w:rPr>
      </w:pPr>
    </w:p>
    <w:p w:rsidRPr="00FF2A79" w:rsidR="00C20211" w:rsidP="00BB504D" w:rsidRDefault="00C20211" w14:paraId="0C1E11D9"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Proposed Billing</w:t>
      </w:r>
    </w:p>
    <w:p w:rsidRPr="00FF2A79" w:rsidR="00C20211" w:rsidP="00C20211" w:rsidRDefault="00C20211" w14:paraId="789F6455"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An appl</w:t>
      </w:r>
      <w:r w:rsidRPr="00FF2A79">
        <w:rPr>
          <w:rFonts w:ascii="Book Antiqua" w:hAnsi="Book Antiqua" w:eastAsia="Book Antiqua" w:cs="Book Antiqua"/>
          <w:color w:val="000000" w:themeColor="text1"/>
          <w:sz w:val="26"/>
          <w:szCs w:val="26"/>
          <w:lang w:val=""/>
        </w:rPr>
        <w:t xml:space="preserve">icant must commit to </w:t>
      </w:r>
      <w:r w:rsidRPr="00FF2A79">
        <w:rPr>
          <w:rFonts w:ascii="Book Antiqua" w:hAnsi="Book Antiqua"/>
          <w:color w:val="000000" w:themeColor="text1"/>
          <w:sz w:val="26"/>
          <w:szCs w:val="26"/>
        </w:rPr>
        <w:t>charging residents no more than $20 per month per residential unit for broadband Internet service.</w:t>
      </w:r>
    </w:p>
    <w:p w:rsidRPr="00FF2A79" w:rsidR="00C20211" w:rsidP="00C20211" w:rsidRDefault="00C20211" w14:paraId="15D8FB0E" w14:textId="77777777">
      <w:pPr>
        <w:pStyle w:val="content"/>
        <w:spacing w:before="0" w:beforeAutospacing="0" w:after="0" w:afterAutospacing="0"/>
        <w:ind w:left="720"/>
        <w:rPr>
          <w:rFonts w:ascii="Book Antiqua" w:hAnsi="Book Antiqua"/>
          <w:color w:val="000000" w:themeColor="text1"/>
          <w:sz w:val="26"/>
          <w:szCs w:val="26"/>
        </w:rPr>
      </w:pPr>
    </w:p>
    <w:p w:rsidRPr="00FF2A79" w:rsidR="00C20211" w:rsidP="00BB504D" w:rsidRDefault="00C20211" w14:paraId="40240A66"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Financials</w:t>
      </w:r>
    </w:p>
    <w:p w:rsidRPr="00FF2A79" w:rsidR="00C20211" w:rsidP="00C20211" w:rsidRDefault="00C20211" w14:paraId="41AFBB61"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rPr>
        <w:t>Applicants must submit the most recent</w:t>
      </w:r>
      <w:r w:rsidRPr="00FF2A79">
        <w:rPr>
          <w:rFonts w:ascii="Book Antiqua" w:hAnsi="Book Antiqua"/>
          <w:color w:val="000000" w:themeColor="text1"/>
          <w:sz w:val="26"/>
          <w:szCs w:val="26"/>
        </w:rPr>
        <w:t>ly prepared annual reports and audits that it submitted to the HUD, in the case of chartered public housing authorities, or another government entity, in the case of non-profits submitted to the HUD, California Tax Credit Allocation Committee, etc.</w:t>
      </w:r>
    </w:p>
    <w:p w:rsidRPr="00FF2A79" w:rsidR="00C20211" w:rsidP="00C20211" w:rsidRDefault="00C20211" w14:paraId="0DB4474B" w14:textId="77777777">
      <w:pPr>
        <w:pStyle w:val="content"/>
        <w:spacing w:before="0" w:beforeAutospacing="0" w:after="0" w:afterAutospacing="0"/>
        <w:ind w:left="720"/>
        <w:rPr>
          <w:rFonts w:ascii="Book Antiqua" w:hAnsi="Book Antiqua"/>
          <w:color w:val="000000" w:themeColor="text1"/>
          <w:sz w:val="26"/>
          <w:szCs w:val="26"/>
        </w:rPr>
      </w:pPr>
    </w:p>
    <w:p w:rsidRPr="00FF2A79" w:rsidR="00C20211" w:rsidP="00BB504D" w:rsidRDefault="00C20211" w14:paraId="581FAD8F"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Permitting Compliance</w:t>
      </w:r>
    </w:p>
    <w:p w:rsidRPr="00FF2A79" w:rsidR="00C20211" w:rsidP="00C20211" w:rsidRDefault="00C20211" w14:paraId="52523252" w14:textId="77777777">
      <w:pPr>
        <w:pStyle w:val="content"/>
        <w:spacing w:before="0" w:beforeAutospacing="0" w:after="0" w:afterAutospacing="0"/>
        <w:ind w:left="720"/>
        <w:rPr>
          <w:rFonts w:ascii="Book Antiqua" w:hAnsi="Book Antiqua"/>
          <w:color w:val="000000" w:themeColor="text1"/>
          <w:sz w:val="26"/>
          <w:szCs w:val="26"/>
        </w:rPr>
      </w:pPr>
      <w:r w:rsidRPr="00FF2A79">
        <w:rPr>
          <w:rFonts w:ascii="Book Antiqua" w:hAnsi="Book Antiqua" w:eastAsia="Book Antiqua"/>
          <w:color w:val="000000" w:themeColor="text1"/>
          <w:sz w:val="26"/>
          <w:szCs w:val="26"/>
          <w:lang w:val="en-US"/>
        </w:rPr>
        <w:t>The applicant</w:t>
      </w:r>
      <w:r w:rsidRPr="00FF2A79">
        <w:rPr>
          <w:rFonts w:ascii="Book Antiqua" w:hAnsi="Book Antiqua"/>
          <w:color w:val="000000" w:themeColor="text1"/>
          <w:sz w:val="26"/>
          <w:szCs w:val="26"/>
        </w:rPr>
        <w:t xml:space="preserve"> should state whether the project is statutorily or categorically exempt from CEQA requirements and cite the relevant </w:t>
      </w:r>
      <w:r w:rsidRPr="00FF2A79">
        <w:rPr>
          <w:rFonts w:ascii="Book Antiqua" w:hAnsi="Book Antiqua"/>
          <w:color w:val="000000" w:themeColor="text1"/>
          <w:sz w:val="26"/>
          <w:szCs w:val="26"/>
        </w:rPr>
        <w:lastRenderedPageBreak/>
        <w:t xml:space="preserve">authority, as applicable.  If a project does require review under CEQA, the grantee must provide the Proponent’s Environmental Assessment (PEA) prior to the first 25 percent payment.  The PEA submission should include information on any land crossing sites requiring discretionary or mandatory permits or environmental review pursuant to CEQA (include the type of permit required, the name of the permitting agency/agencies and the Lead Agency if an environmental review is required).  Additionally, applicants must include any applicable permit review timeline in its construction schedule, with a reference to the government agencies that will issue the permits.  Grantees must provide staff with proof of permit approvals before seeking reimbursement.  </w:t>
      </w:r>
    </w:p>
    <w:p w:rsidRPr="00FF2A79" w:rsidR="00C20211" w:rsidP="00C20211" w:rsidRDefault="00C20211" w14:paraId="366158CB" w14:textId="77777777">
      <w:pPr>
        <w:pStyle w:val="content"/>
        <w:spacing w:before="0" w:beforeAutospacing="0" w:after="0" w:afterAutospacing="0"/>
        <w:ind w:left="720"/>
        <w:rPr>
          <w:rFonts w:ascii="Book Antiqua" w:hAnsi="Book Antiqua"/>
          <w:b/>
          <w:color w:val="000000" w:themeColor="text1"/>
          <w:sz w:val="26"/>
          <w:szCs w:val="26"/>
        </w:rPr>
      </w:pPr>
    </w:p>
    <w:p w:rsidRPr="00FF2A79" w:rsidR="00C20211" w:rsidP="00BB504D" w:rsidRDefault="00C20211" w14:paraId="4F9837E4" w14:textId="77777777">
      <w:pPr>
        <w:pStyle w:val="ListParagraph"/>
        <w:numPr>
          <w:ilvl w:val="2"/>
          <w:numId w:val="16"/>
        </w:numPr>
        <w:spacing w:line="240" w:lineRule="auto"/>
        <w:ind w:left="720" w:hanging="360"/>
        <w:rPr>
          <w:b/>
          <w:iCs/>
          <w:color w:val="000000" w:themeColor="text1"/>
          <w:szCs w:val="26"/>
        </w:rPr>
      </w:pPr>
      <w:r w:rsidRPr="00FF2A79">
        <w:rPr>
          <w:b/>
          <w:iCs/>
          <w:color w:val="000000" w:themeColor="text1"/>
          <w:szCs w:val="26"/>
        </w:rPr>
        <w:t xml:space="preserve">Affidavit </w:t>
      </w:r>
    </w:p>
    <w:p w:rsidRPr="00FF2A79" w:rsidR="00C20211" w:rsidP="00C20211" w:rsidRDefault="00C20211" w14:paraId="1DA4FEFF" w14:textId="77777777">
      <w:pPr>
        <w:spacing w:line="240" w:lineRule="auto"/>
        <w:ind w:left="720" w:right="-14" w:firstLine="0"/>
        <w:rPr>
          <w:color w:val="000000" w:themeColor="text1"/>
          <w:szCs w:val="26"/>
        </w:rPr>
      </w:pPr>
      <w:r w:rsidRPr="00FF2A79">
        <w:rPr>
          <w:rFonts w:eastAsia="Book Antiqua" w:cs="Book Antiqua"/>
          <w:color w:val="000000" w:themeColor="text1"/>
          <w:szCs w:val="26"/>
        </w:rPr>
        <w:t xml:space="preserve">An applicant must submit an affidavit, under penalty of perjury, that to the best of their knowledge all the statements and representations made in the application information submitted is true and correct (Attachment A).  Additionally, an applicant must also agree to abide by the CASF program rules established by the Commission, Commission’s Rules of Practice and Procedure and statues, be subject to Public Utilities Code sections 2108 and 2111 and to submit quarterly reports and annual recertification or audit documents. </w:t>
      </w:r>
    </w:p>
    <w:p w:rsidRPr="00FF2A79" w:rsidR="00C20211" w:rsidP="00C20211" w:rsidRDefault="00C20211" w14:paraId="5DD735F5" w14:textId="77777777">
      <w:pPr>
        <w:pStyle w:val="content"/>
        <w:spacing w:before="0" w:beforeAutospacing="0" w:after="0" w:afterAutospacing="0"/>
        <w:rPr>
          <w:rFonts w:ascii="Book Antiqua" w:hAnsi="Book Antiqua"/>
          <w:color w:val="000000" w:themeColor="text1"/>
          <w:sz w:val="26"/>
          <w:szCs w:val="26"/>
        </w:rPr>
      </w:pPr>
    </w:p>
    <w:p w:rsidRPr="00FF2A79" w:rsidR="00C20211" w:rsidP="00BB504D" w:rsidRDefault="00C20211" w14:paraId="243DD01F" w14:textId="77777777">
      <w:pPr>
        <w:pStyle w:val="ListParagraph"/>
        <w:numPr>
          <w:ilvl w:val="1"/>
          <w:numId w:val="14"/>
        </w:numPr>
        <w:spacing w:after="120" w:line="240" w:lineRule="auto"/>
        <w:ind w:left="360"/>
        <w:contextualSpacing w:val="0"/>
        <w:rPr>
          <w:b/>
          <w:bCs/>
          <w:szCs w:val="26"/>
        </w:rPr>
      </w:pPr>
      <w:r w:rsidRPr="00FF2A79">
        <w:rPr>
          <w:b/>
          <w:bCs/>
          <w:szCs w:val="26"/>
        </w:rPr>
        <w:t xml:space="preserve">Adoption Project Application  </w:t>
      </w:r>
    </w:p>
    <w:p w:rsidRPr="00FF2A79" w:rsidR="00C20211" w:rsidP="00C20211" w:rsidRDefault="00C20211" w14:paraId="7266001D" w14:textId="77777777">
      <w:pPr>
        <w:pStyle w:val="ListParagraph"/>
        <w:spacing w:line="240" w:lineRule="auto"/>
        <w:ind w:left="-86" w:firstLine="0"/>
        <w:rPr>
          <w:color w:val="000000" w:themeColor="text1"/>
          <w:szCs w:val="26"/>
        </w:rPr>
      </w:pPr>
      <w:r w:rsidRPr="00FF2A79">
        <w:rPr>
          <w:color w:val="000000" w:themeColor="text1"/>
          <w:szCs w:val="26"/>
        </w:rPr>
        <w:t xml:space="preserve">To date, the $5 million allocated for grants for PSCs has been fully committed.  Therefore, the Commission can no longer accept applications for these projects unless the statutory cap is raised.  However, eligible PSCs can apply for funds for broadband adoption projects from the Broadband Adoption Account. </w:t>
      </w:r>
    </w:p>
    <w:p w:rsidRPr="00FF2A79" w:rsidR="00C20211" w:rsidP="00C20211" w:rsidRDefault="00C20211" w14:paraId="4E1F43FB" w14:textId="77777777">
      <w:pPr>
        <w:pStyle w:val="ListParagraph"/>
        <w:ind w:left="-90"/>
        <w:rPr>
          <w:color w:val="000000" w:themeColor="text1"/>
          <w:szCs w:val="26"/>
        </w:rPr>
      </w:pPr>
      <w:r w:rsidRPr="00FF2A79">
        <w:rPr>
          <w:color w:val="000000" w:themeColor="text1"/>
          <w:szCs w:val="26"/>
        </w:rPr>
        <w:t xml:space="preserve"> </w:t>
      </w:r>
    </w:p>
    <w:p w:rsidRPr="00FF2A79" w:rsidR="00C20211" w:rsidP="00C20211" w:rsidRDefault="00C20211" w14:paraId="207FE04F" w14:textId="77777777">
      <w:pPr>
        <w:rPr>
          <w:szCs w:val="26"/>
        </w:rPr>
      </w:pPr>
      <w:r w:rsidRPr="00FF2A79">
        <w:rPr>
          <w:rFonts w:eastAsia="Book Antiqua" w:cs="Book Antiqua"/>
          <w:color w:val="000000" w:themeColor="text1"/>
          <w:szCs w:val="26"/>
        </w:rPr>
        <w:t xml:space="preserve"> </w:t>
      </w:r>
    </w:p>
    <w:p w:rsidRPr="00FF2A79" w:rsidR="00C20211" w:rsidP="00C20211" w:rsidRDefault="00C20211" w14:paraId="64CCEE4B" w14:textId="77777777">
      <w:pPr>
        <w:pStyle w:val="Heading2"/>
        <w:widowControl w:val="0"/>
        <w:tabs>
          <w:tab w:val="clear" w:pos="1080"/>
        </w:tabs>
        <w:ind w:left="0" w:firstLine="0"/>
        <w:rPr>
          <w:rFonts w:ascii="Book Antiqua" w:hAnsi="Book Antiqua"/>
        </w:rPr>
      </w:pPr>
      <w:bookmarkStart w:name="_Toc43713783" w:id="81"/>
      <w:bookmarkStart w:name="_Toc43713942" w:id="82"/>
      <w:bookmarkStart w:name="_Toc43722416" w:id="83"/>
      <w:bookmarkStart w:name="_Toc43744786" w:id="84"/>
      <w:r w:rsidRPr="00FF2A79">
        <w:rPr>
          <w:rFonts w:ascii="Book Antiqua" w:hAnsi="Book Antiqua" w:eastAsia="Book Antiqua" w:cs="Book Antiqua"/>
        </w:rPr>
        <w:lastRenderedPageBreak/>
        <w:t>VI.</w:t>
      </w:r>
      <w:r w:rsidRPr="00FF2A79">
        <w:rPr>
          <w:rFonts w:ascii="Book Antiqua" w:hAnsi="Book Antiqua" w:eastAsia="Times New Roman" w:cs="Times New Roman"/>
          <w:b w:val="0"/>
        </w:rPr>
        <w:t xml:space="preserve">            </w:t>
      </w:r>
      <w:r w:rsidRPr="00FF2A79">
        <w:rPr>
          <w:rFonts w:ascii="Book Antiqua" w:hAnsi="Book Antiqua"/>
        </w:rPr>
        <w:t>Submission and Timelines</w:t>
      </w:r>
      <w:bookmarkEnd w:id="81"/>
      <w:bookmarkEnd w:id="82"/>
      <w:bookmarkEnd w:id="83"/>
      <w:bookmarkEnd w:id="84"/>
    </w:p>
    <w:p w:rsidRPr="00FF2A79" w:rsidR="00C20211" w:rsidP="00C20211" w:rsidRDefault="00C20211" w14:paraId="24DEAAE9" w14:textId="77777777">
      <w:pPr>
        <w:keepNext/>
        <w:spacing w:line="240" w:lineRule="auto"/>
        <w:ind w:right="-14" w:firstLine="0"/>
        <w:rPr>
          <w:color w:val="000000" w:themeColor="text1"/>
          <w:szCs w:val="26"/>
        </w:rPr>
      </w:pPr>
      <w:r w:rsidRPr="00FF2A79">
        <w:rPr>
          <w:color w:val="000000" w:themeColor="text1"/>
          <w:szCs w:val="26"/>
        </w:rPr>
        <w:t>Applicants must electronically file their completed applications using the Commission’s FTP file server (</w:t>
      </w:r>
      <w:hyperlink w:history="1" r:id="rId32">
        <w:r w:rsidRPr="00FF2A79">
          <w:rPr>
            <w:rStyle w:val="Hyperlink"/>
            <w:szCs w:val="26"/>
          </w:rPr>
          <w:t>https://kwftp.cpuc.ca.gov</w:t>
        </w:r>
      </w:hyperlink>
      <w:r w:rsidRPr="00FF2A79">
        <w:rPr>
          <w:color w:val="000000" w:themeColor="text1"/>
          <w:szCs w:val="26"/>
        </w:rPr>
        <w:t>) and mail hard copies to:</w:t>
      </w:r>
    </w:p>
    <w:p w:rsidRPr="00FF2A79" w:rsidR="00C20211" w:rsidP="00BB504D" w:rsidRDefault="00C20211" w14:paraId="0D4F6332" w14:textId="77777777">
      <w:pPr>
        <w:pStyle w:val="ListParagraph"/>
        <w:keepNext/>
        <w:numPr>
          <w:ilvl w:val="1"/>
          <w:numId w:val="17"/>
        </w:numPr>
        <w:spacing w:line="240" w:lineRule="auto"/>
        <w:ind w:left="0" w:right="-14"/>
        <w:rPr>
          <w:color w:val="000000" w:themeColor="text1"/>
          <w:szCs w:val="26"/>
          <w:lang w:val="en"/>
        </w:rPr>
      </w:pPr>
      <w:r w:rsidRPr="00FF2A79">
        <w:rPr>
          <w:color w:val="000000" w:themeColor="text1"/>
          <w:szCs w:val="26"/>
        </w:rPr>
        <w:t>California Public Utilities Commission</w:t>
      </w:r>
    </w:p>
    <w:p w:rsidRPr="00FF2A79" w:rsidR="00C20211" w:rsidP="00C20211" w:rsidRDefault="00C20211" w14:paraId="399D31A2" w14:textId="77777777">
      <w:pPr>
        <w:pStyle w:val="ListParagraph"/>
        <w:keepNext/>
        <w:spacing w:line="240" w:lineRule="auto"/>
        <w:ind w:left="0" w:right="-14"/>
        <w:rPr>
          <w:color w:val="000000" w:themeColor="text1"/>
          <w:szCs w:val="26"/>
        </w:rPr>
      </w:pPr>
      <w:r w:rsidRPr="00FF2A79">
        <w:rPr>
          <w:color w:val="000000" w:themeColor="text1"/>
          <w:szCs w:val="26"/>
        </w:rPr>
        <w:t>Communications Division</w:t>
      </w:r>
    </w:p>
    <w:p w:rsidRPr="00FF2A79" w:rsidR="00C20211" w:rsidP="00C20211" w:rsidRDefault="00C20211" w14:paraId="5E85DDBB" w14:textId="77777777">
      <w:pPr>
        <w:pStyle w:val="ListParagraph"/>
        <w:keepNext/>
        <w:spacing w:line="240" w:lineRule="auto"/>
        <w:ind w:left="0" w:right="-14"/>
        <w:rPr>
          <w:color w:val="000000" w:themeColor="text1"/>
          <w:szCs w:val="26"/>
        </w:rPr>
      </w:pPr>
      <w:r w:rsidRPr="00FF2A79">
        <w:rPr>
          <w:color w:val="000000" w:themeColor="text1"/>
          <w:szCs w:val="26"/>
          <w:u w:val="single"/>
        </w:rPr>
        <w:t>Attn</w:t>
      </w:r>
      <w:r w:rsidRPr="00FF2A79">
        <w:rPr>
          <w:color w:val="000000" w:themeColor="text1"/>
          <w:szCs w:val="26"/>
        </w:rPr>
        <w:t>: California Advanced Services Fund, Housing Coordinator</w:t>
      </w:r>
    </w:p>
    <w:p w:rsidRPr="00FF2A79" w:rsidR="00C20211" w:rsidP="00BB504D" w:rsidRDefault="00C20211" w14:paraId="50982C85" w14:textId="77777777">
      <w:pPr>
        <w:pStyle w:val="ListParagraph"/>
        <w:keepNext/>
        <w:numPr>
          <w:ilvl w:val="1"/>
          <w:numId w:val="17"/>
        </w:numPr>
        <w:spacing w:line="240" w:lineRule="auto"/>
        <w:ind w:left="0" w:right="-14"/>
        <w:rPr>
          <w:color w:val="000000" w:themeColor="text1"/>
          <w:szCs w:val="26"/>
          <w:lang w:val="en"/>
        </w:rPr>
      </w:pPr>
      <w:r w:rsidRPr="00FF2A79">
        <w:rPr>
          <w:color w:val="000000" w:themeColor="text1"/>
          <w:szCs w:val="26"/>
        </w:rPr>
        <w:t>California Public Utilities Commission</w:t>
      </w:r>
    </w:p>
    <w:p w:rsidRPr="00FF2A79" w:rsidR="00C20211" w:rsidP="00C20211" w:rsidRDefault="00C20211" w14:paraId="78F0BF22" w14:textId="77777777">
      <w:pPr>
        <w:pStyle w:val="ListParagraph"/>
        <w:keepNext/>
        <w:spacing w:line="240" w:lineRule="auto"/>
        <w:ind w:left="0" w:right="-14"/>
        <w:rPr>
          <w:color w:val="000000" w:themeColor="text1"/>
          <w:szCs w:val="26"/>
        </w:rPr>
      </w:pPr>
      <w:r w:rsidRPr="00FF2A79">
        <w:rPr>
          <w:color w:val="000000" w:themeColor="text1"/>
          <w:szCs w:val="26"/>
        </w:rPr>
        <w:t>Office of Ratepayers Advocates</w:t>
      </w:r>
    </w:p>
    <w:p w:rsidRPr="00FF2A79" w:rsidR="00C20211" w:rsidP="00C20211" w:rsidRDefault="00C20211" w14:paraId="46E16CDE" w14:textId="77777777">
      <w:pPr>
        <w:pStyle w:val="ListParagraph"/>
        <w:keepNext/>
        <w:spacing w:line="240" w:lineRule="auto"/>
        <w:ind w:left="0" w:right="-14"/>
        <w:rPr>
          <w:color w:val="000000" w:themeColor="text1"/>
          <w:szCs w:val="26"/>
          <w:lang w:val="en"/>
        </w:rPr>
      </w:pPr>
      <w:r w:rsidRPr="00FF2A79">
        <w:rPr>
          <w:color w:val="000000" w:themeColor="text1"/>
          <w:szCs w:val="26"/>
          <w:u w:val="single"/>
        </w:rPr>
        <w:t>Re</w:t>
      </w:r>
      <w:r w:rsidRPr="00FF2A79">
        <w:rPr>
          <w:color w:val="000000" w:themeColor="text1"/>
          <w:szCs w:val="26"/>
        </w:rPr>
        <w:t>: California Advanced Services Fund</w:t>
      </w:r>
    </w:p>
    <w:p w:rsidRPr="00FF2A79" w:rsidR="00C20211" w:rsidP="00C20211" w:rsidRDefault="00C20211" w14:paraId="511A61AE" w14:textId="77777777">
      <w:pPr>
        <w:keepNext/>
        <w:spacing w:line="240" w:lineRule="auto"/>
        <w:ind w:right="-14"/>
        <w:rPr>
          <w:color w:val="000000" w:themeColor="text1"/>
          <w:szCs w:val="26"/>
        </w:rPr>
      </w:pPr>
    </w:p>
    <w:p w:rsidRPr="00FF2A79" w:rsidR="00C20211" w:rsidP="00C20211" w:rsidRDefault="00C20211" w14:paraId="7C2232AA" w14:textId="77777777">
      <w:pPr>
        <w:keepNext/>
        <w:spacing w:line="240" w:lineRule="auto"/>
        <w:ind w:right="-14" w:firstLine="0"/>
        <w:rPr>
          <w:color w:val="000000" w:themeColor="text1"/>
          <w:szCs w:val="26"/>
          <w:lang w:val="en"/>
        </w:rPr>
      </w:pPr>
      <w:r w:rsidRPr="00FF2A79">
        <w:rPr>
          <w:rFonts w:eastAsia="Book Antiqua" w:cs="Book Antiqua"/>
          <w:color w:val="000000" w:themeColor="text1"/>
          <w:szCs w:val="26"/>
        </w:rPr>
        <w:t>Since applications are not filed with the Commission’s Docket Office, they will not be assigned proceeding number(s).</w:t>
      </w:r>
    </w:p>
    <w:p w:rsidRPr="00FF2A79" w:rsidR="00C20211" w:rsidP="00C20211" w:rsidRDefault="00C20211" w14:paraId="46FE9786" w14:textId="77777777">
      <w:pPr>
        <w:keepNext/>
        <w:spacing w:line="240" w:lineRule="auto"/>
        <w:ind w:right="-14" w:firstLine="0"/>
        <w:rPr>
          <w:color w:val="000000" w:themeColor="text1"/>
          <w:szCs w:val="26"/>
        </w:rPr>
      </w:pPr>
    </w:p>
    <w:p w:rsidRPr="00FF2A79" w:rsidR="00C20211" w:rsidP="00C20211" w:rsidRDefault="00C20211" w14:paraId="3007BB95" w14:textId="77777777">
      <w:pPr>
        <w:keepNext/>
        <w:spacing w:line="240" w:lineRule="auto"/>
        <w:ind w:right="-14" w:firstLine="0"/>
        <w:rPr>
          <w:color w:val="000000" w:themeColor="text1"/>
          <w:szCs w:val="26"/>
        </w:rPr>
      </w:pPr>
      <w:r w:rsidRPr="00FF2A79">
        <w:rPr>
          <w:rFonts w:eastAsia="Book Antiqua" w:cs="Book Antiqua"/>
          <w:color w:val="000000" w:themeColor="text1"/>
          <w:szCs w:val="26"/>
        </w:rPr>
        <w:t xml:space="preserve">Applications may be submitted at any time until all funds available for BPHA infrastructure projects have been awarded.  However, staff will consider applications submitted on or before each deadline listed below as a batch.  </w:t>
      </w:r>
    </w:p>
    <w:p w:rsidRPr="00FF2A79" w:rsidR="00C20211" w:rsidP="00C20211" w:rsidRDefault="00C20211" w14:paraId="33B41D0B" w14:textId="77777777">
      <w:pPr>
        <w:keepNext/>
        <w:spacing w:line="240" w:lineRule="auto"/>
        <w:ind w:right="-14" w:firstLine="0"/>
        <w:rPr>
          <w:bCs/>
          <w:color w:val="000000" w:themeColor="text1"/>
          <w:szCs w:val="26"/>
        </w:rPr>
      </w:pPr>
    </w:p>
    <w:p w:rsidRPr="00FF2A79" w:rsidR="00C20211" w:rsidP="00C20211" w:rsidRDefault="00C20211" w14:paraId="1FCB07A3" w14:textId="77777777">
      <w:pPr>
        <w:pStyle w:val="ListParagraph"/>
        <w:spacing w:line="240" w:lineRule="auto"/>
        <w:ind w:left="0" w:firstLine="0"/>
        <w:rPr>
          <w:bCs/>
          <w:color w:val="000000" w:themeColor="text1"/>
          <w:szCs w:val="26"/>
        </w:rPr>
      </w:pPr>
      <w:r w:rsidRPr="00FF2A79">
        <w:rPr>
          <w:rFonts w:eastAsia="Book Antiqua" w:cs="Book Antiqua"/>
          <w:color w:val="000000" w:themeColor="text1"/>
          <w:szCs w:val="26"/>
        </w:rPr>
        <w:t xml:space="preserve">Staff shall notify an applicant by a letter specifying reasons for rejection should an application fails to meet the BPHA eligibility criteria. </w:t>
      </w:r>
    </w:p>
    <w:p w:rsidRPr="00FF2A79" w:rsidR="00C20211" w:rsidP="00C20211" w:rsidRDefault="00C20211" w14:paraId="4AF0CD7C" w14:textId="77777777">
      <w:pPr>
        <w:keepNext/>
        <w:spacing w:line="240" w:lineRule="auto"/>
        <w:ind w:right="-14"/>
        <w:rPr>
          <w:b/>
          <w:color w:val="000000" w:themeColor="text1"/>
          <w:szCs w:val="26"/>
        </w:rPr>
      </w:pPr>
    </w:p>
    <w:p w:rsidRPr="00FF2A79" w:rsidR="00C20211" w:rsidP="00C20211" w:rsidRDefault="00C20211" w14:paraId="1307DCA6" w14:textId="77777777">
      <w:pPr>
        <w:keepNext/>
        <w:spacing w:line="240" w:lineRule="auto"/>
        <w:ind w:right="-14" w:firstLine="0"/>
        <w:rPr>
          <w:color w:val="000000" w:themeColor="text1"/>
          <w:szCs w:val="26"/>
        </w:rPr>
      </w:pPr>
      <w:r w:rsidRPr="00FF2A79">
        <w:rPr>
          <w:rFonts w:eastAsia="Book Antiqua" w:cs="Book Antiqua"/>
          <w:color w:val="000000" w:themeColor="text1"/>
          <w:szCs w:val="26"/>
        </w:rPr>
        <w:t>Deadlines:</w:t>
      </w:r>
    </w:p>
    <w:p w:rsidRPr="009444C9" w:rsidR="009444C9" w:rsidP="00DF6D43" w:rsidRDefault="009444C9" w14:paraId="19CFAE20" w14:textId="7465CD70">
      <w:pPr>
        <w:pStyle w:val="ListParagraph"/>
        <w:numPr>
          <w:ilvl w:val="0"/>
          <w:numId w:val="9"/>
        </w:numPr>
        <w:spacing w:line="240" w:lineRule="auto"/>
        <w:ind w:left="450"/>
        <w:rPr>
          <w:color w:val="000000" w:themeColor="text1"/>
        </w:rPr>
      </w:pPr>
      <w:r w:rsidRPr="00DF6D43">
        <w:rPr>
          <w:color w:val="000000" w:themeColor="text1"/>
        </w:rPr>
        <w:t>July 1, 2020</w:t>
      </w:r>
    </w:p>
    <w:p w:rsidRPr="00FF2A79" w:rsidR="00C20211" w:rsidP="00BB504D" w:rsidRDefault="00C20211" w14:paraId="2FA89489" w14:textId="66EFD51D">
      <w:pPr>
        <w:pStyle w:val="ListParagraph"/>
        <w:numPr>
          <w:ilvl w:val="0"/>
          <w:numId w:val="9"/>
        </w:numPr>
        <w:spacing w:line="240" w:lineRule="auto"/>
        <w:ind w:left="450"/>
        <w:rPr>
          <w:color w:val="000000" w:themeColor="text1"/>
          <w:szCs w:val="26"/>
        </w:rPr>
      </w:pPr>
      <w:r w:rsidRPr="00FF2A79">
        <w:rPr>
          <w:strike/>
          <w:color w:val="000000" w:themeColor="text1"/>
          <w:szCs w:val="26"/>
        </w:rPr>
        <w:t>July</w:t>
      </w:r>
      <w:r w:rsidRPr="00FF2A79">
        <w:rPr>
          <w:color w:val="000000" w:themeColor="text1"/>
          <w:szCs w:val="26"/>
        </w:rPr>
        <w:t xml:space="preserve"> </w:t>
      </w:r>
      <w:r w:rsidRPr="00FF2A79">
        <w:rPr>
          <w:color w:val="FF0000"/>
          <w:szCs w:val="26"/>
        </w:rPr>
        <w:t>September</w:t>
      </w:r>
      <w:r w:rsidRPr="00FF2A79">
        <w:rPr>
          <w:color w:val="000000" w:themeColor="text1"/>
          <w:szCs w:val="26"/>
        </w:rPr>
        <w:t xml:space="preserve"> 1, 2020</w:t>
      </w:r>
    </w:p>
    <w:p w:rsidRPr="00FF2A79" w:rsidR="00C20211" w:rsidP="00BB504D" w:rsidRDefault="00C20211" w14:paraId="71572981" w14:textId="77777777">
      <w:pPr>
        <w:pStyle w:val="ListParagraph"/>
        <w:numPr>
          <w:ilvl w:val="0"/>
          <w:numId w:val="9"/>
        </w:numPr>
        <w:spacing w:line="240" w:lineRule="auto"/>
        <w:ind w:left="450"/>
        <w:rPr>
          <w:color w:val="000000" w:themeColor="text1"/>
          <w:szCs w:val="26"/>
        </w:rPr>
      </w:pPr>
      <w:r w:rsidRPr="00FF2A79">
        <w:rPr>
          <w:rFonts w:eastAsia="Book Antiqua" w:cs="Book Antiqua"/>
          <w:color w:val="000000" w:themeColor="text1"/>
          <w:szCs w:val="26"/>
        </w:rPr>
        <w:t>October 1, 2020</w:t>
      </w:r>
    </w:p>
    <w:p w:rsidRPr="00FF2A79" w:rsidR="00C20211" w:rsidP="00C20211" w:rsidRDefault="00C20211" w14:paraId="37E01C9F" w14:textId="77777777">
      <w:pPr>
        <w:keepNext/>
        <w:spacing w:line="240" w:lineRule="auto"/>
        <w:ind w:right="-14"/>
        <w:rPr>
          <w:color w:val="000000" w:themeColor="text1"/>
          <w:szCs w:val="26"/>
        </w:rPr>
      </w:pPr>
    </w:p>
    <w:p w:rsidRPr="00FF2A79" w:rsidR="00C20211" w:rsidP="00C20211" w:rsidRDefault="00C20211" w14:paraId="2BB6C2D3" w14:textId="77777777">
      <w:pPr>
        <w:widowControl w:val="0"/>
        <w:spacing w:line="240" w:lineRule="auto"/>
        <w:ind w:right="-14" w:firstLine="0"/>
        <w:rPr>
          <w:color w:val="000000" w:themeColor="text1"/>
          <w:szCs w:val="26"/>
        </w:rPr>
      </w:pPr>
      <w:r w:rsidRPr="00FF2A79">
        <w:rPr>
          <w:rFonts w:eastAsia="Book Antiqua" w:cs="Book Antiqua"/>
          <w:color w:val="000000" w:themeColor="text1"/>
          <w:szCs w:val="26"/>
        </w:rPr>
        <w:t xml:space="preserve">Any deadline falling on a holiday or a weekend will be extended to the following business day.  Staff will notify the CASF Distribution List when all funds available for BPHA infrastructure projects have been awarded, and an eligible PSC may </w:t>
      </w:r>
      <w:proofErr w:type="gramStart"/>
      <w:r w:rsidRPr="00FF2A79">
        <w:rPr>
          <w:rFonts w:eastAsia="Book Antiqua" w:cs="Book Antiqua"/>
          <w:color w:val="000000" w:themeColor="text1"/>
          <w:szCs w:val="26"/>
        </w:rPr>
        <w:t>submit an application</w:t>
      </w:r>
      <w:proofErr w:type="gramEnd"/>
      <w:r w:rsidRPr="00FF2A79">
        <w:rPr>
          <w:rFonts w:eastAsia="Book Antiqua" w:cs="Book Antiqua"/>
          <w:color w:val="000000" w:themeColor="text1"/>
          <w:szCs w:val="26"/>
        </w:rPr>
        <w:t xml:space="preserve"> for funding from the Infrastructure account using the same criteria set forth here.  </w:t>
      </w:r>
    </w:p>
    <w:p w:rsidRPr="00FF2A79" w:rsidR="00C20211" w:rsidP="00C20211" w:rsidRDefault="00C20211" w14:paraId="1D5CE1EF" w14:textId="77777777">
      <w:pPr>
        <w:widowControl w:val="0"/>
        <w:spacing w:line="240" w:lineRule="auto"/>
        <w:ind w:right="-14" w:firstLine="0"/>
        <w:rPr>
          <w:color w:val="000000" w:themeColor="text1"/>
          <w:szCs w:val="26"/>
        </w:rPr>
      </w:pPr>
    </w:p>
    <w:p w:rsidRPr="00FF2A79" w:rsidR="00C20211" w:rsidP="00C20211" w:rsidRDefault="00C20211" w14:paraId="0F545A08" w14:textId="77777777">
      <w:pPr>
        <w:widowControl w:val="0"/>
        <w:spacing w:line="240" w:lineRule="auto"/>
        <w:ind w:right="-14" w:firstLine="0"/>
        <w:rPr>
          <w:rFonts w:eastAsia="Book Antiqua" w:cs="Book Antiqua"/>
          <w:color w:val="000000" w:themeColor="text1"/>
          <w:szCs w:val="26"/>
        </w:rPr>
      </w:pPr>
      <w:r w:rsidRPr="00FF2A79">
        <w:rPr>
          <w:rFonts w:eastAsia="Book Antiqua" w:cs="Book Antiqua"/>
          <w:color w:val="000000" w:themeColor="text1"/>
          <w:szCs w:val="26"/>
        </w:rPr>
        <w:t>Additionally, after each deadline, staff will post all applications on its website to give ISPs three weeks from the date of posting to challenge the application (See Section VIII).</w:t>
      </w:r>
    </w:p>
    <w:p w:rsidRPr="00FF2A79" w:rsidR="00C20211" w:rsidP="00C20211" w:rsidRDefault="00C20211" w14:paraId="320E8DF8" w14:textId="77777777">
      <w:pPr>
        <w:widowControl w:val="0"/>
        <w:spacing w:line="240" w:lineRule="auto"/>
        <w:ind w:right="-14" w:firstLine="0"/>
        <w:rPr>
          <w:rFonts w:eastAsia="Book Antiqua" w:cs="Book Antiqua"/>
          <w:color w:val="000000" w:themeColor="text1"/>
          <w:szCs w:val="26"/>
        </w:rPr>
      </w:pPr>
    </w:p>
    <w:p w:rsidRPr="00FF2A79" w:rsidR="00C20211" w:rsidP="00C20211" w:rsidRDefault="00C20211" w14:paraId="73692B3F" w14:textId="77777777">
      <w:pPr>
        <w:pStyle w:val="Heading2"/>
        <w:widowControl w:val="0"/>
        <w:tabs>
          <w:tab w:val="clear" w:pos="1080"/>
        </w:tabs>
        <w:ind w:left="0" w:firstLine="0"/>
        <w:rPr>
          <w:rFonts w:ascii="Book Antiqua" w:hAnsi="Book Antiqua"/>
        </w:rPr>
      </w:pPr>
      <w:bookmarkStart w:name="_Toc43713784" w:id="85"/>
      <w:bookmarkStart w:name="_Toc43713943" w:id="86"/>
      <w:bookmarkStart w:name="_Toc43722417" w:id="87"/>
      <w:bookmarkStart w:name="_Toc43744787" w:id="88"/>
      <w:r w:rsidRPr="00FF2A79">
        <w:rPr>
          <w:rFonts w:ascii="Book Antiqua" w:hAnsi="Book Antiqua" w:eastAsia="Book Antiqua" w:cs="Book Antiqua"/>
        </w:rPr>
        <w:lastRenderedPageBreak/>
        <w:t>VII</w:t>
      </w:r>
      <w:r w:rsidRPr="00FF2A79">
        <w:rPr>
          <w:rFonts w:ascii="Book Antiqua" w:hAnsi="Book Antiqua"/>
        </w:rPr>
        <w:t xml:space="preserve"> Expedited Review</w:t>
      </w:r>
      <w:bookmarkEnd w:id="85"/>
      <w:bookmarkEnd w:id="86"/>
      <w:bookmarkEnd w:id="87"/>
      <w:bookmarkEnd w:id="88"/>
    </w:p>
    <w:p w:rsidRPr="00FF2A79" w:rsidR="00C20211" w:rsidP="00C20211" w:rsidRDefault="00C20211" w14:paraId="24AD0D05" w14:textId="77777777">
      <w:pPr>
        <w:tabs>
          <w:tab w:val="left" w:pos="1260"/>
        </w:tabs>
        <w:spacing w:line="240" w:lineRule="auto"/>
        <w:ind w:left="-86" w:right="-14" w:firstLine="0"/>
        <w:rPr>
          <w:color w:val="000000" w:themeColor="text1"/>
          <w:szCs w:val="26"/>
        </w:rPr>
      </w:pPr>
      <w:r w:rsidRPr="00FF2A79">
        <w:rPr>
          <w:color w:val="000000" w:themeColor="text1"/>
          <w:szCs w:val="26"/>
        </w:rPr>
        <w:t xml:space="preserve">The Commission assigns staff the task of approving applications that meet </w:t>
      </w:r>
      <w:proofErr w:type="gramStart"/>
      <w:r w:rsidRPr="00FF2A79">
        <w:rPr>
          <w:color w:val="000000" w:themeColor="text1"/>
          <w:szCs w:val="26"/>
        </w:rPr>
        <w:t>all of</w:t>
      </w:r>
      <w:proofErr w:type="gramEnd"/>
      <w:r w:rsidRPr="00FF2A79">
        <w:rPr>
          <w:color w:val="000000" w:themeColor="text1"/>
          <w:szCs w:val="26"/>
        </w:rPr>
        <w:t xml:space="preserve"> the following criteria:</w:t>
      </w:r>
    </w:p>
    <w:p w:rsidRPr="00FF2A79" w:rsidR="00C20211" w:rsidP="00C20211" w:rsidRDefault="00C20211" w14:paraId="1DD9397B" w14:textId="77777777">
      <w:pPr>
        <w:tabs>
          <w:tab w:val="left" w:pos="1260"/>
        </w:tabs>
        <w:spacing w:line="240" w:lineRule="auto"/>
        <w:ind w:right="-14" w:firstLine="0"/>
        <w:rPr>
          <w:color w:val="000000" w:themeColor="text1"/>
          <w:szCs w:val="26"/>
        </w:rPr>
      </w:pPr>
    </w:p>
    <w:p w:rsidRPr="00FF2A79" w:rsidR="00C20211" w:rsidP="00C20211" w:rsidRDefault="00C20211" w14:paraId="317EF428" w14:textId="77777777">
      <w:pPr>
        <w:spacing w:line="240" w:lineRule="auto"/>
        <w:ind w:right="-14" w:firstLine="0"/>
        <w:rPr>
          <w:rFonts w:cs="Garamond"/>
          <w:szCs w:val="26"/>
        </w:rPr>
      </w:pPr>
      <w:r w:rsidRPr="00FF2A79">
        <w:rPr>
          <w:rFonts w:cs="Garamond"/>
          <w:szCs w:val="26"/>
          <w:u w:val="single"/>
        </w:rPr>
        <w:t>Infrastructure Projects</w:t>
      </w:r>
    </w:p>
    <w:p w:rsidRPr="00FF2A79" w:rsidR="00C20211" w:rsidP="00BB504D" w:rsidRDefault="00C20211" w14:paraId="6E697F84" w14:textId="77777777">
      <w:pPr>
        <w:numPr>
          <w:ilvl w:val="0"/>
          <w:numId w:val="18"/>
        </w:numPr>
        <w:tabs>
          <w:tab w:val="left" w:pos="810"/>
          <w:tab w:val="left" w:pos="1260"/>
        </w:tabs>
        <w:suppressAutoHyphens/>
        <w:spacing w:line="240" w:lineRule="auto"/>
        <w:ind w:left="720"/>
        <w:rPr>
          <w:color w:val="000000" w:themeColor="text1"/>
          <w:szCs w:val="26"/>
        </w:rPr>
      </w:pPr>
      <w:r w:rsidRPr="00FF2A79">
        <w:rPr>
          <w:color w:val="000000" w:themeColor="text1"/>
          <w:szCs w:val="26"/>
        </w:rPr>
        <w:t xml:space="preserve">Applicant meets the eligibility requirements under Pub. Util. Code, § 281(i)(1), § 281(i)(2) and (i)(3). </w:t>
      </w:r>
    </w:p>
    <w:p w:rsidRPr="00FF2A79" w:rsidR="00C20211" w:rsidP="00BB504D" w:rsidRDefault="00C20211" w14:paraId="604DD4C0" w14:textId="77777777">
      <w:pPr>
        <w:pStyle w:val="ListParagraph"/>
        <w:numPr>
          <w:ilvl w:val="0"/>
          <w:numId w:val="18"/>
        </w:numPr>
        <w:tabs>
          <w:tab w:val="left" w:pos="810"/>
          <w:tab w:val="left" w:pos="1260"/>
        </w:tabs>
        <w:spacing w:line="240" w:lineRule="auto"/>
        <w:ind w:left="720"/>
        <w:rPr>
          <w:color w:val="000000" w:themeColor="text1"/>
        </w:rPr>
      </w:pPr>
      <w:r w:rsidRPr="7139016B">
        <w:rPr>
          <w:color w:val="000000" w:themeColor="text1"/>
        </w:rPr>
        <w:t>Applicant attests that the housing development is “unserved” as defined in Section III, which is a housing development where at least one housing unit within the housing development is not offered broadband Internet service.</w:t>
      </w:r>
      <w:r w:rsidRPr="7139016B">
        <w:rPr>
          <w:rStyle w:val="FootnoteReference"/>
          <w:color w:val="000000" w:themeColor="text1"/>
        </w:rPr>
        <w:footnoteReference w:id="78"/>
      </w:r>
      <w:r w:rsidRPr="7139016B">
        <w:rPr>
          <w:color w:val="000000" w:themeColor="text1"/>
        </w:rPr>
        <w:t xml:space="preserve">  </w:t>
      </w:r>
    </w:p>
    <w:p w:rsidRPr="00FF2A79" w:rsidR="00C20211" w:rsidP="00BB504D" w:rsidRDefault="00C20211" w14:paraId="24E7B5E0" w14:textId="77777777">
      <w:pPr>
        <w:numPr>
          <w:ilvl w:val="0"/>
          <w:numId w:val="18"/>
        </w:numPr>
        <w:tabs>
          <w:tab w:val="left" w:pos="810"/>
          <w:tab w:val="left" w:pos="1260"/>
        </w:tabs>
        <w:suppressAutoHyphens/>
        <w:spacing w:line="240" w:lineRule="auto"/>
        <w:ind w:left="720"/>
        <w:rPr>
          <w:color w:val="000000" w:themeColor="text1"/>
          <w:szCs w:val="26"/>
        </w:rPr>
      </w:pPr>
      <w:r w:rsidRPr="00FF2A79">
        <w:rPr>
          <w:color w:val="000000" w:themeColor="text1"/>
          <w:szCs w:val="26"/>
        </w:rPr>
        <w:t>Applicant declares that it has not denied an ISP access to its property to provide broadband Internet service and no ISP challenged this statement.</w:t>
      </w:r>
    </w:p>
    <w:p w:rsidRPr="00FF2A79" w:rsidR="00C20211" w:rsidP="00BB504D" w:rsidRDefault="00C20211" w14:paraId="683909F8" w14:textId="77777777">
      <w:pPr>
        <w:numPr>
          <w:ilvl w:val="0"/>
          <w:numId w:val="18"/>
        </w:numPr>
        <w:tabs>
          <w:tab w:val="left" w:pos="810"/>
          <w:tab w:val="left" w:pos="1260"/>
        </w:tabs>
        <w:suppressAutoHyphens/>
        <w:spacing w:line="240" w:lineRule="auto"/>
        <w:ind w:left="720"/>
        <w:rPr>
          <w:color w:val="000000" w:themeColor="text1"/>
          <w:szCs w:val="26"/>
        </w:rPr>
      </w:pPr>
      <w:r w:rsidRPr="00FF2A79">
        <w:rPr>
          <w:color w:val="000000" w:themeColor="text1"/>
          <w:szCs w:val="26"/>
        </w:rPr>
        <w:t xml:space="preserve">The application is not challenged. </w:t>
      </w:r>
    </w:p>
    <w:p w:rsidRPr="00FF2A79" w:rsidR="00C20211" w:rsidP="00BB504D" w:rsidRDefault="00C20211" w14:paraId="6F4066C0" w14:textId="77777777">
      <w:pPr>
        <w:numPr>
          <w:ilvl w:val="0"/>
          <w:numId w:val="18"/>
        </w:numPr>
        <w:tabs>
          <w:tab w:val="left" w:pos="810"/>
          <w:tab w:val="left" w:pos="1260"/>
        </w:tabs>
        <w:suppressAutoHyphens/>
        <w:spacing w:line="240" w:lineRule="auto"/>
        <w:ind w:left="720"/>
        <w:rPr>
          <w:color w:val="000000" w:themeColor="text1"/>
          <w:szCs w:val="26"/>
        </w:rPr>
      </w:pPr>
      <w:r w:rsidRPr="00FF2A79">
        <w:rPr>
          <w:color w:val="000000" w:themeColor="text1"/>
          <w:szCs w:val="26"/>
        </w:rPr>
        <w:t xml:space="preserve">Applicant requests a grant of less than $75,000 in BPHA infrastructure grant funds per project. </w:t>
      </w:r>
    </w:p>
    <w:p w:rsidRPr="00FF2A79" w:rsidR="00C20211" w:rsidP="00BB504D" w:rsidRDefault="00C20211" w14:paraId="14B2D707" w14:textId="77777777">
      <w:pPr>
        <w:numPr>
          <w:ilvl w:val="0"/>
          <w:numId w:val="18"/>
        </w:numPr>
        <w:suppressAutoHyphens/>
        <w:spacing w:line="240" w:lineRule="auto"/>
        <w:ind w:left="720"/>
        <w:rPr>
          <w:color w:val="000000" w:themeColor="text1"/>
          <w:szCs w:val="26"/>
        </w:rPr>
      </w:pPr>
      <w:r w:rsidRPr="00FF2A79">
        <w:rPr>
          <w:color w:val="000000" w:themeColor="text1"/>
          <w:szCs w:val="26"/>
        </w:rPr>
        <w:t>For projects connecting 50 PSC units or less, the proposed project costs $600 per unit or less.</w:t>
      </w:r>
    </w:p>
    <w:p w:rsidRPr="00FF2A79" w:rsidR="00C20211" w:rsidP="00BB504D" w:rsidRDefault="00C20211" w14:paraId="2BEFE403" w14:textId="77777777">
      <w:pPr>
        <w:numPr>
          <w:ilvl w:val="0"/>
          <w:numId w:val="18"/>
        </w:numPr>
        <w:suppressAutoHyphens/>
        <w:spacing w:line="240" w:lineRule="auto"/>
        <w:ind w:left="720"/>
        <w:rPr>
          <w:color w:val="000000" w:themeColor="text1"/>
          <w:szCs w:val="26"/>
        </w:rPr>
      </w:pPr>
      <w:r w:rsidRPr="00FF2A79">
        <w:rPr>
          <w:color w:val="000000" w:themeColor="text1"/>
          <w:szCs w:val="26"/>
        </w:rPr>
        <w:t>For projects connecting 51</w:t>
      </w:r>
      <w:r w:rsidRPr="00FF2A79">
        <w:rPr>
          <w:color w:val="000000" w:themeColor="text1"/>
          <w:szCs w:val="26"/>
        </w:rPr>
        <w:noBreakHyphen/>
        <w:t>100 PSC units, the proposed project costs $450 per unit or less.</w:t>
      </w:r>
    </w:p>
    <w:p w:rsidRPr="00FF2A79" w:rsidR="00C20211" w:rsidP="00BB504D" w:rsidRDefault="00C20211" w14:paraId="2D0B10F8"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 xml:space="preserve">For projects connecting 101 PSC units or more, the proposed project costs $300 per unit or less. </w:t>
      </w:r>
    </w:p>
    <w:p w:rsidRPr="00FF2A79" w:rsidR="00C20211" w:rsidP="00BB504D" w:rsidRDefault="00C20211" w14:paraId="1C96D7AF"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The buildings included in the application meet standards for acceptable basic living conditions as determined under HUD’s Uniform Physical Condition Standards or similar guidelines provided by other housing funding agencies in the State.</w:t>
      </w:r>
    </w:p>
    <w:p w:rsidRPr="00FF2A79" w:rsidR="00C20211" w:rsidP="00BB504D" w:rsidRDefault="00C20211" w14:paraId="61DD0307"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 xml:space="preserve">Applicant must attest that it expects the property to be in residential use as public housing for at least the next 10 years. </w:t>
      </w:r>
    </w:p>
    <w:p w:rsidRPr="00FF2A79" w:rsidR="00C20211" w:rsidP="00BB504D" w:rsidRDefault="00C20211" w14:paraId="76CA150E"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The property qualifies for an exemption pursuant to CEQA Guidelines.</w:t>
      </w:r>
    </w:p>
    <w:p w:rsidRPr="00FF2A79" w:rsidR="00C20211" w:rsidDel="00070FA4" w:rsidP="00BB504D" w:rsidRDefault="00C20211" w14:paraId="4196C168" w14:textId="77777777">
      <w:pPr>
        <w:numPr>
          <w:ilvl w:val="0"/>
          <w:numId w:val="18"/>
        </w:numPr>
        <w:tabs>
          <w:tab w:val="left" w:pos="810"/>
        </w:tabs>
        <w:suppressAutoHyphens/>
        <w:spacing w:line="240" w:lineRule="auto"/>
        <w:ind w:left="720"/>
        <w:rPr>
          <w:color w:val="000000" w:themeColor="text1"/>
          <w:szCs w:val="26"/>
        </w:rPr>
      </w:pPr>
      <w:r w:rsidRPr="00FF2A79" w:rsidDel="00070FA4">
        <w:rPr>
          <w:color w:val="000000" w:themeColor="text1"/>
          <w:szCs w:val="26"/>
        </w:rPr>
        <w:t>For wireless networking projects</w:t>
      </w:r>
      <w:r w:rsidRPr="00FF2A79">
        <w:rPr>
          <w:color w:val="000000" w:themeColor="text1"/>
          <w:szCs w:val="26"/>
        </w:rPr>
        <w:t>, the</w:t>
      </w:r>
      <w:r w:rsidRPr="00FF2A79" w:rsidDel="00070FA4">
        <w:rPr>
          <w:color w:val="000000" w:themeColor="text1"/>
          <w:szCs w:val="26"/>
        </w:rPr>
        <w:t xml:space="preserve"> equipment must meet at least 802.11n standard.</w:t>
      </w:r>
    </w:p>
    <w:p w:rsidRPr="00FF2A79" w:rsidR="00C20211" w:rsidDel="00070FA4" w:rsidP="00BB504D" w:rsidRDefault="00C20211" w14:paraId="4F868E6B" w14:textId="77777777">
      <w:pPr>
        <w:numPr>
          <w:ilvl w:val="0"/>
          <w:numId w:val="18"/>
        </w:numPr>
        <w:tabs>
          <w:tab w:val="left" w:pos="810"/>
        </w:tabs>
        <w:suppressAutoHyphens/>
        <w:spacing w:line="240" w:lineRule="auto"/>
        <w:ind w:left="720"/>
        <w:rPr>
          <w:color w:val="000000" w:themeColor="text1"/>
          <w:szCs w:val="26"/>
        </w:rPr>
      </w:pPr>
      <w:r w:rsidRPr="00FF2A79" w:rsidDel="00070FA4">
        <w:rPr>
          <w:color w:val="000000" w:themeColor="text1"/>
          <w:szCs w:val="26"/>
        </w:rPr>
        <w:t>For wireline networking projects</w:t>
      </w:r>
      <w:r w:rsidRPr="00FF2A79">
        <w:rPr>
          <w:color w:val="000000" w:themeColor="text1"/>
          <w:szCs w:val="26"/>
        </w:rPr>
        <w:t>, the</w:t>
      </w:r>
      <w:r w:rsidRPr="00FF2A79" w:rsidDel="00070FA4">
        <w:rPr>
          <w:color w:val="000000" w:themeColor="text1"/>
          <w:szCs w:val="26"/>
        </w:rPr>
        <w:t xml:space="preserve"> equipment must meet at least ADSL2+ or 10BASE-X standard.  </w:t>
      </w:r>
    </w:p>
    <w:p w:rsidRPr="00FF2A79" w:rsidR="00C20211" w:rsidP="00BB504D" w:rsidRDefault="00C20211" w14:paraId="78127E54"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 xml:space="preserve">Applicant attests it will operate and maintain project equipment, broadband technology, and internet services for at least five years after </w:t>
      </w:r>
      <w:r w:rsidRPr="00FF2A79">
        <w:rPr>
          <w:color w:val="000000" w:themeColor="text1"/>
          <w:szCs w:val="26"/>
        </w:rPr>
        <w:lastRenderedPageBreak/>
        <w:t xml:space="preserve">successful completion of the project and that it has sufficient funds to do so.  In addition, the Applicant attests that it will acquire the necessary hardware warranty and service agreement to support the operation of the proposed network for the five-year period.  </w:t>
      </w:r>
    </w:p>
    <w:p w:rsidRPr="00FF2A79" w:rsidR="00C20211" w:rsidDel="00070FA4" w:rsidP="00BB504D" w:rsidRDefault="00C20211" w14:paraId="78854616"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The p</w:t>
      </w:r>
      <w:r w:rsidRPr="00FF2A79" w:rsidDel="00070FA4">
        <w:rPr>
          <w:color w:val="000000" w:themeColor="text1"/>
          <w:szCs w:val="26"/>
        </w:rPr>
        <w:t xml:space="preserve">roposed project network </w:t>
      </w:r>
      <w:proofErr w:type="gramStart"/>
      <w:r w:rsidRPr="00FF2A79" w:rsidDel="00070FA4">
        <w:rPr>
          <w:color w:val="000000" w:themeColor="text1"/>
          <w:szCs w:val="26"/>
        </w:rPr>
        <w:t xml:space="preserve">is capable of </w:t>
      </w:r>
      <w:r w:rsidRPr="00FF2A79">
        <w:rPr>
          <w:color w:val="000000" w:themeColor="text1"/>
          <w:szCs w:val="26"/>
        </w:rPr>
        <w:t>providing</w:t>
      </w:r>
      <w:proofErr w:type="gramEnd"/>
      <w:r w:rsidRPr="00FF2A79" w:rsidDel="00070FA4">
        <w:rPr>
          <w:color w:val="000000" w:themeColor="text1"/>
          <w:szCs w:val="26"/>
        </w:rPr>
        <w:t xml:space="preserve"> broadband internet service speeds of at least 6 Mbps downstream and 1 Mbps upstream</w:t>
      </w:r>
      <w:r w:rsidRPr="00FF2A79">
        <w:rPr>
          <w:color w:val="000000" w:themeColor="text1"/>
          <w:szCs w:val="26"/>
        </w:rPr>
        <w:t xml:space="preserve"> (supported by submitted documentation).  </w:t>
      </w:r>
    </w:p>
    <w:p w:rsidRPr="00FF2A79" w:rsidR="00C20211" w:rsidP="00BB504D" w:rsidRDefault="00C20211" w14:paraId="2BDEB7A6" w14:textId="77777777">
      <w:pPr>
        <w:pStyle w:val="ListParagraph"/>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Applicant will charge residents no more than $20 per month per residential unit for broadband internet services.</w:t>
      </w:r>
    </w:p>
    <w:p w:rsidRPr="00FF2A79" w:rsidR="00C20211" w:rsidP="00BB504D" w:rsidRDefault="00C20211" w14:paraId="1A38264F"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 xml:space="preserve">Applicant has signed an affidavit agreeing that the statements and representations made in the application are true and correct, to abide by the CASF program rules established by the Commission, Commission rules of practice and procedure and statutes, and Pub. Util. Codes, §§ 2111 and 2108. </w:t>
      </w:r>
    </w:p>
    <w:p w:rsidRPr="00FF2A79" w:rsidR="00C20211" w:rsidP="00BB504D" w:rsidRDefault="00C20211" w14:paraId="772277B7"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Applicant agrees to complete the project within 12 months from the date of the Commission approval.</w:t>
      </w:r>
    </w:p>
    <w:p w:rsidRPr="00FF2A79" w:rsidR="00C20211" w:rsidP="00BB504D" w:rsidRDefault="00C20211" w14:paraId="0057B194" w14:textId="77777777">
      <w:pPr>
        <w:numPr>
          <w:ilvl w:val="0"/>
          <w:numId w:val="18"/>
        </w:numPr>
        <w:tabs>
          <w:tab w:val="left" w:pos="810"/>
        </w:tabs>
        <w:suppressAutoHyphens/>
        <w:spacing w:line="240" w:lineRule="auto"/>
        <w:ind w:left="720"/>
        <w:rPr>
          <w:color w:val="000000" w:themeColor="text1"/>
          <w:szCs w:val="26"/>
        </w:rPr>
      </w:pPr>
      <w:r w:rsidRPr="00FF2A79">
        <w:rPr>
          <w:color w:val="000000" w:themeColor="text1"/>
          <w:szCs w:val="26"/>
        </w:rPr>
        <w:t>Applicant has an identified ISP source and its required internet bandwidth capacity at the MPOE (Minimum Point of Entry).</w:t>
      </w:r>
    </w:p>
    <w:p w:rsidRPr="00FF2A79" w:rsidR="00C20211" w:rsidP="00BB504D" w:rsidRDefault="00C20211" w14:paraId="3F442540" w14:textId="77777777">
      <w:pPr>
        <w:numPr>
          <w:ilvl w:val="0"/>
          <w:numId w:val="18"/>
        </w:numPr>
        <w:tabs>
          <w:tab w:val="left" w:pos="810"/>
        </w:tabs>
        <w:suppressAutoHyphens/>
        <w:spacing w:after="120" w:line="240" w:lineRule="auto"/>
        <w:ind w:left="720"/>
        <w:rPr>
          <w:color w:val="000000" w:themeColor="text1"/>
          <w:szCs w:val="26"/>
        </w:rPr>
      </w:pPr>
      <w:r w:rsidRPr="00FF2A79">
        <w:rPr>
          <w:color w:val="000000" w:themeColor="text1"/>
          <w:szCs w:val="26"/>
        </w:rPr>
        <w:t>Applicant agrees to secure project funded hardware to prevent theft and vandalism.</w:t>
      </w:r>
    </w:p>
    <w:p w:rsidRPr="00FF2A79" w:rsidR="00C20211" w:rsidP="00C20211" w:rsidRDefault="00C20211" w14:paraId="3455E1B8" w14:textId="77777777">
      <w:pPr>
        <w:tabs>
          <w:tab w:val="left" w:pos="810"/>
          <w:tab w:val="left" w:pos="1080"/>
          <w:tab w:val="left" w:pos="1440"/>
        </w:tabs>
        <w:suppressAutoHyphens/>
        <w:spacing w:line="240" w:lineRule="auto"/>
        <w:ind w:firstLine="0"/>
        <w:rPr>
          <w:color w:val="000000" w:themeColor="text1"/>
          <w:szCs w:val="26"/>
        </w:rPr>
      </w:pPr>
      <w:r w:rsidRPr="00FF2A79">
        <w:rPr>
          <w:color w:val="000000" w:themeColor="text1"/>
          <w:szCs w:val="26"/>
        </w:rPr>
        <w:t>Applications not meeting the above expedited review criteria may only be approved by the Commission via Resolution.  All applications shall be approved, denied, or marked for further review by the Commission through a Resolution.</w:t>
      </w:r>
    </w:p>
    <w:p w:rsidRPr="00FF2A79" w:rsidR="00C20211" w:rsidP="00C20211" w:rsidRDefault="00C20211" w14:paraId="5DC10D0F" w14:textId="77777777">
      <w:pPr>
        <w:pStyle w:val="Heading2"/>
        <w:rPr>
          <w:rFonts w:ascii="Book Antiqua" w:hAnsi="Book Antiqua" w:eastAsiaTheme="minorEastAsia"/>
          <w:color w:val="000000" w:themeColor="text1"/>
        </w:rPr>
      </w:pPr>
    </w:p>
    <w:p w:rsidRPr="00FF2A79" w:rsidR="00C20211" w:rsidP="00C20211" w:rsidRDefault="00C20211" w14:paraId="521EE1A6" w14:textId="77777777">
      <w:pPr>
        <w:pStyle w:val="Heading2"/>
        <w:widowControl w:val="0"/>
        <w:tabs>
          <w:tab w:val="clear" w:pos="1080"/>
        </w:tabs>
        <w:ind w:left="0" w:firstLine="0"/>
        <w:rPr>
          <w:rFonts w:ascii="Book Antiqua" w:hAnsi="Book Antiqua"/>
        </w:rPr>
      </w:pPr>
      <w:bookmarkStart w:name="_Toc43713785" w:id="89"/>
      <w:bookmarkStart w:name="_Toc43713944" w:id="90"/>
      <w:bookmarkStart w:name="_Toc43722418" w:id="91"/>
      <w:bookmarkStart w:name="_Toc43744788" w:id="92"/>
      <w:r w:rsidRPr="00FF2A79">
        <w:rPr>
          <w:rFonts w:ascii="Book Antiqua" w:hAnsi="Book Antiqua" w:eastAsia="Book Antiqua" w:cs="Book Antiqua"/>
        </w:rPr>
        <w:t>VIII.</w:t>
      </w:r>
      <w:r w:rsidRPr="00FF2A79">
        <w:rPr>
          <w:rFonts w:ascii="Book Antiqua" w:hAnsi="Book Antiqua" w:eastAsia="Times New Roman" w:cs="Times New Roman"/>
          <w:b w:val="0"/>
        </w:rPr>
        <w:t xml:space="preserve">     </w:t>
      </w:r>
      <w:r w:rsidRPr="00FF2A79">
        <w:rPr>
          <w:rFonts w:ascii="Book Antiqua" w:hAnsi="Book Antiqua"/>
        </w:rPr>
        <w:t>Challenge Process</w:t>
      </w:r>
      <w:bookmarkEnd w:id="89"/>
      <w:bookmarkEnd w:id="90"/>
      <w:bookmarkEnd w:id="91"/>
      <w:bookmarkEnd w:id="92"/>
    </w:p>
    <w:p w:rsidRPr="00FF2A79" w:rsidR="00C20211" w:rsidP="00C20211" w:rsidRDefault="00C20211" w14:paraId="05C3780C" w14:textId="77777777">
      <w:pPr>
        <w:pStyle w:val="content"/>
        <w:spacing w:before="0" w:beforeAutospacing="0" w:after="0" w:afterAutospacing="0"/>
        <w:rPr>
          <w:rFonts w:ascii="Book Antiqua" w:hAnsi="Book Antiqua"/>
          <w:color w:val="auto"/>
          <w:sz w:val="26"/>
          <w:szCs w:val="26"/>
          <w:lang w:val="en-US"/>
        </w:rPr>
      </w:pPr>
      <w:r w:rsidRPr="00FF2A79">
        <w:rPr>
          <w:rFonts w:ascii="Book Antiqua" w:hAnsi="Book Antiqua"/>
          <w:color w:val="000000" w:themeColor="text1"/>
          <w:sz w:val="26"/>
          <w:szCs w:val="26"/>
        </w:rPr>
        <w:t>ISP</w:t>
      </w:r>
      <w:r w:rsidRPr="00FF2A79">
        <w:rPr>
          <w:rFonts w:ascii="Book Antiqua" w:hAnsi="Book Antiqua"/>
          <w:color w:val="000000" w:themeColor="text1"/>
          <w:sz w:val="26"/>
          <w:szCs w:val="26"/>
          <w:lang w:val="en-US"/>
        </w:rPr>
        <w:t>s have</w:t>
      </w:r>
      <w:r w:rsidRPr="00FF2A79">
        <w:rPr>
          <w:rFonts w:ascii="Book Antiqua" w:hAnsi="Book Antiqua"/>
          <w:color w:val="000000" w:themeColor="text1"/>
          <w:sz w:val="26"/>
          <w:szCs w:val="26"/>
        </w:rPr>
        <w:t xml:space="preserve"> t</w:t>
      </w:r>
      <w:r w:rsidRPr="00FF2A79">
        <w:rPr>
          <w:rFonts w:ascii="Book Antiqua" w:hAnsi="Book Antiqua"/>
          <w:color w:val="000000" w:themeColor="text1"/>
          <w:sz w:val="26"/>
          <w:szCs w:val="26"/>
          <w:lang w:val="en-US"/>
        </w:rPr>
        <w:t>hree</w:t>
      </w:r>
      <w:r w:rsidRPr="00FF2A79">
        <w:rPr>
          <w:rFonts w:ascii="Book Antiqua" w:hAnsi="Book Antiqua"/>
          <w:color w:val="000000" w:themeColor="text1"/>
          <w:sz w:val="26"/>
          <w:szCs w:val="26"/>
        </w:rPr>
        <w:t xml:space="preserve"> weeks </w:t>
      </w:r>
      <w:r w:rsidRPr="00FF2A79">
        <w:rPr>
          <w:rFonts w:ascii="Book Antiqua" w:hAnsi="Book Antiqua"/>
          <w:color w:val="000000" w:themeColor="text1"/>
          <w:sz w:val="26"/>
          <w:szCs w:val="26"/>
          <w:lang w:val="en-US"/>
        </w:rPr>
        <w:t xml:space="preserve">from the date of the posting the application to the BPHA website </w:t>
      </w:r>
      <w:r w:rsidRPr="00FF2A79">
        <w:rPr>
          <w:rFonts w:ascii="Book Antiqua" w:hAnsi="Book Antiqua"/>
          <w:color w:val="000000" w:themeColor="text1"/>
          <w:sz w:val="26"/>
          <w:szCs w:val="26"/>
        </w:rPr>
        <w:t xml:space="preserve">to challenge </w:t>
      </w:r>
      <w:r w:rsidRPr="00FF2A79">
        <w:rPr>
          <w:rFonts w:ascii="Book Antiqua" w:hAnsi="Book Antiqua"/>
          <w:color w:val="000000" w:themeColor="text1"/>
          <w:sz w:val="26"/>
          <w:szCs w:val="26"/>
          <w:lang w:val="en-US"/>
        </w:rPr>
        <w:t>the</w:t>
      </w:r>
      <w:r w:rsidRPr="00FF2A79">
        <w:rPr>
          <w:rFonts w:ascii="Book Antiqua" w:hAnsi="Book Antiqua"/>
          <w:color w:val="000000" w:themeColor="text1"/>
          <w:sz w:val="26"/>
          <w:szCs w:val="26"/>
        </w:rPr>
        <w:t xml:space="preserve"> application. </w:t>
      </w:r>
      <w:r w:rsidRPr="00FF2A79">
        <w:rPr>
          <w:rFonts w:ascii="Book Antiqua" w:hAnsi="Book Antiqua"/>
          <w:color w:val="000000" w:themeColor="text1"/>
          <w:sz w:val="26"/>
          <w:szCs w:val="26"/>
          <w:lang w:val="en-US"/>
        </w:rPr>
        <w:t xml:space="preserve"> An </w:t>
      </w:r>
      <w:r w:rsidRPr="00FF2A79">
        <w:rPr>
          <w:rFonts w:ascii="Book Antiqua" w:hAnsi="Book Antiqua"/>
          <w:color w:val="000000" w:themeColor="text1"/>
          <w:sz w:val="26"/>
          <w:szCs w:val="26"/>
        </w:rPr>
        <w:t>ISP who challenge</w:t>
      </w:r>
      <w:r w:rsidRPr="00FF2A79">
        <w:rPr>
          <w:rFonts w:ascii="Book Antiqua" w:hAnsi="Book Antiqua"/>
          <w:color w:val="000000" w:themeColor="text1"/>
          <w:sz w:val="26"/>
          <w:szCs w:val="26"/>
          <w:lang w:val="en-US"/>
        </w:rPr>
        <w:t>s</w:t>
      </w:r>
      <w:r w:rsidRPr="00FF2A79">
        <w:rPr>
          <w:rFonts w:ascii="Book Antiqua" w:hAnsi="Book Antiqua"/>
          <w:color w:val="000000" w:themeColor="text1"/>
          <w:sz w:val="26"/>
          <w:szCs w:val="26"/>
        </w:rPr>
        <w:t xml:space="preserve"> an application on the grounds that it already provides broadband internet </w:t>
      </w:r>
      <w:r w:rsidRPr="00FF2A79">
        <w:rPr>
          <w:rFonts w:ascii="Book Antiqua" w:hAnsi="Book Antiqua"/>
          <w:strike/>
          <w:color w:val="000000" w:themeColor="text1"/>
          <w:sz w:val="26"/>
          <w:szCs w:val="26"/>
        </w:rPr>
        <w:t>service</w:t>
      </w:r>
      <w:r w:rsidRPr="00FF2A79">
        <w:rPr>
          <w:rFonts w:ascii="Book Antiqua" w:hAnsi="Book Antiqua"/>
          <w:color w:val="000000" w:themeColor="text1"/>
          <w:sz w:val="26"/>
          <w:szCs w:val="26"/>
          <w:lang w:val="en-US"/>
        </w:rPr>
        <w:t xml:space="preserve"> </w:t>
      </w:r>
      <w:r w:rsidRPr="00FF2A79">
        <w:rPr>
          <w:rFonts w:ascii="Book Antiqua" w:hAnsi="Book Antiqua"/>
          <w:color w:val="FF0000"/>
          <w:sz w:val="26"/>
          <w:szCs w:val="26"/>
          <w:lang w:val="en-US"/>
        </w:rPr>
        <w:t>access</w:t>
      </w:r>
      <w:r w:rsidRPr="00FF2A79">
        <w:rPr>
          <w:rFonts w:ascii="Book Antiqua" w:hAnsi="Book Antiqua"/>
          <w:color w:val="000000" w:themeColor="text1"/>
          <w:sz w:val="26"/>
          <w:szCs w:val="26"/>
          <w:lang w:val="en-US"/>
        </w:rPr>
        <w:t xml:space="preserve"> to 100 percent of the residents</w:t>
      </w:r>
      <w:r w:rsidRPr="00FF2A79">
        <w:rPr>
          <w:rFonts w:ascii="Book Antiqua" w:hAnsi="Book Antiqua"/>
          <w:color w:val="000000" w:themeColor="text1"/>
          <w:sz w:val="26"/>
          <w:szCs w:val="26"/>
        </w:rPr>
        <w:t xml:space="preserve"> at the property</w:t>
      </w:r>
      <w:r w:rsidRPr="00FF2A79">
        <w:rPr>
          <w:rFonts w:ascii="Book Antiqua" w:hAnsi="Book Antiqua"/>
          <w:color w:val="000000" w:themeColor="text1"/>
          <w:sz w:val="26"/>
          <w:szCs w:val="26"/>
          <w:lang w:val="en-US"/>
        </w:rPr>
        <w:t xml:space="preserve"> or it was denied a right of access</w:t>
      </w:r>
      <w:r w:rsidRPr="00FF2A79">
        <w:rPr>
          <w:rFonts w:ascii="Book Antiqua" w:hAnsi="Book Antiqua"/>
          <w:color w:val="000000" w:themeColor="text1"/>
          <w:sz w:val="26"/>
          <w:szCs w:val="26"/>
        </w:rPr>
        <w:t xml:space="preserve"> in question must </w:t>
      </w:r>
      <w:r w:rsidRPr="00FF2A79">
        <w:rPr>
          <w:rFonts w:ascii="Book Antiqua" w:hAnsi="Book Antiqua"/>
          <w:color w:val="000000" w:themeColor="text1"/>
          <w:sz w:val="26"/>
          <w:szCs w:val="26"/>
          <w:lang w:val="en-US"/>
        </w:rPr>
        <w:t>submit</w:t>
      </w:r>
      <w:r w:rsidRPr="00FF2A79">
        <w:rPr>
          <w:rFonts w:ascii="Book Antiqua" w:hAnsi="Book Antiqua"/>
          <w:color w:val="000000" w:themeColor="text1"/>
          <w:sz w:val="26"/>
          <w:szCs w:val="26"/>
        </w:rPr>
        <w:t xml:space="preserve"> </w:t>
      </w:r>
      <w:r w:rsidRPr="00FF2A79">
        <w:rPr>
          <w:rFonts w:ascii="Book Antiqua" w:hAnsi="Book Antiqua"/>
          <w:color w:val="auto"/>
          <w:sz w:val="26"/>
          <w:szCs w:val="26"/>
        </w:rPr>
        <w:t xml:space="preserve">documentation evidence </w:t>
      </w:r>
      <w:r w:rsidRPr="00FF2A79">
        <w:rPr>
          <w:rFonts w:ascii="Book Antiqua" w:hAnsi="Book Antiqua"/>
          <w:color w:val="auto"/>
          <w:sz w:val="26"/>
          <w:szCs w:val="26"/>
          <w:lang w:val="en-US"/>
        </w:rPr>
        <w:t>no later than three weeks from posting of the application</w:t>
      </w:r>
      <w:r w:rsidRPr="00FF2A79">
        <w:rPr>
          <w:rFonts w:ascii="Book Antiqua" w:hAnsi="Book Antiqua"/>
          <w:color w:val="auto"/>
          <w:sz w:val="26"/>
          <w:szCs w:val="26"/>
        </w:rPr>
        <w:t>. To the extent that any information submitted is claimed to be confidential, the submitter must provide a public redacted version, in addition to the confidential version, and comply with the confidentiality requirements in G.O. 66-D</w:t>
      </w:r>
      <w:r w:rsidRPr="00FF2A79">
        <w:rPr>
          <w:rFonts w:ascii="Book Antiqua" w:hAnsi="Book Antiqua"/>
          <w:color w:val="auto"/>
          <w:sz w:val="26"/>
          <w:szCs w:val="26"/>
          <w:lang w:val="en-US"/>
        </w:rPr>
        <w:t xml:space="preserve"> </w:t>
      </w:r>
      <w:r w:rsidRPr="00FF2A79">
        <w:rPr>
          <w:rFonts w:ascii="Book Antiqua" w:hAnsi="Book Antiqua"/>
          <w:color w:val="auto"/>
          <w:sz w:val="26"/>
          <w:szCs w:val="26"/>
        </w:rPr>
        <w:t xml:space="preserve">including providing the requisite confidentiality declaration to </w:t>
      </w:r>
      <w:r w:rsidRPr="00FF2A79">
        <w:rPr>
          <w:rFonts w:ascii="Book Antiqua" w:hAnsi="Book Antiqua"/>
          <w:color w:val="auto"/>
          <w:sz w:val="26"/>
          <w:szCs w:val="26"/>
          <w:lang w:val="en-US"/>
        </w:rPr>
        <w:t>the Communication Division (</w:t>
      </w:r>
      <w:r w:rsidRPr="00FF2A79">
        <w:rPr>
          <w:rFonts w:ascii="Book Antiqua" w:hAnsi="Book Antiqua"/>
          <w:color w:val="auto"/>
          <w:sz w:val="26"/>
          <w:szCs w:val="26"/>
        </w:rPr>
        <w:t>CD</w:t>
      </w:r>
      <w:r w:rsidRPr="00FF2A79">
        <w:rPr>
          <w:rFonts w:ascii="Book Antiqua" w:hAnsi="Book Antiqua"/>
          <w:color w:val="auto"/>
          <w:sz w:val="26"/>
          <w:szCs w:val="26"/>
          <w:lang w:val="en-US"/>
        </w:rPr>
        <w:t>)</w:t>
      </w:r>
      <w:r w:rsidRPr="00FF2A79">
        <w:rPr>
          <w:rFonts w:ascii="Book Antiqua" w:hAnsi="Book Antiqua"/>
          <w:color w:val="auto"/>
          <w:sz w:val="26"/>
          <w:szCs w:val="26"/>
        </w:rPr>
        <w:t xml:space="preserve">.  </w:t>
      </w:r>
      <w:r w:rsidRPr="00FF2A79">
        <w:rPr>
          <w:rFonts w:ascii="Book Antiqua" w:hAnsi="Book Antiqua"/>
          <w:color w:val="auto"/>
          <w:sz w:val="26"/>
          <w:szCs w:val="26"/>
          <w:lang w:val="en-US"/>
        </w:rPr>
        <w:t>The challenger must also provide public notice of the challenge to the CASF Distribution list.</w:t>
      </w:r>
      <w:r w:rsidRPr="00FF2A79">
        <w:rPr>
          <w:rFonts w:ascii="Book Antiqua" w:hAnsi="Book Antiqua"/>
          <w:color w:val="auto"/>
          <w:sz w:val="26"/>
          <w:szCs w:val="26"/>
        </w:rPr>
        <w:t xml:space="preserve"> </w:t>
      </w:r>
      <w:r w:rsidRPr="00FF2A79">
        <w:rPr>
          <w:rFonts w:ascii="Book Antiqua" w:hAnsi="Book Antiqua"/>
          <w:color w:val="auto"/>
          <w:sz w:val="26"/>
          <w:szCs w:val="26"/>
          <w:lang w:val="en-US"/>
        </w:rPr>
        <w:t xml:space="preserve"> </w:t>
      </w:r>
    </w:p>
    <w:p w:rsidRPr="00FF2A79" w:rsidR="00C20211" w:rsidP="00C20211" w:rsidRDefault="00C20211" w14:paraId="36E11690" w14:textId="77777777">
      <w:pPr>
        <w:pStyle w:val="content"/>
        <w:spacing w:before="0" w:beforeAutospacing="0" w:after="0" w:afterAutospacing="0"/>
        <w:rPr>
          <w:rFonts w:ascii="Book Antiqua" w:hAnsi="Book Antiqua"/>
          <w:color w:val="auto"/>
          <w:sz w:val="26"/>
          <w:szCs w:val="26"/>
          <w:lang w:val="en-US"/>
        </w:rPr>
      </w:pPr>
    </w:p>
    <w:p w:rsidRPr="00FF2A79" w:rsidR="00C20211" w:rsidP="00C20211" w:rsidRDefault="00C20211" w14:paraId="742B609C" w14:textId="77777777">
      <w:pPr>
        <w:pStyle w:val="content"/>
        <w:spacing w:before="0" w:beforeAutospacing="0" w:after="0" w:afterAutospacing="0"/>
        <w:rPr>
          <w:rFonts w:ascii="Book Antiqua" w:hAnsi="Book Antiqua"/>
          <w:color w:val="auto"/>
          <w:sz w:val="26"/>
          <w:szCs w:val="26"/>
        </w:rPr>
      </w:pPr>
      <w:r w:rsidRPr="00FF2A79">
        <w:rPr>
          <w:rFonts w:ascii="Book Antiqua" w:hAnsi="Book Antiqua" w:eastAsia="Book Antiqua"/>
          <w:color w:val="auto"/>
          <w:sz w:val="26"/>
          <w:szCs w:val="26"/>
          <w:lang w:val="en-US"/>
        </w:rPr>
        <w:t xml:space="preserve">The </w:t>
      </w:r>
      <w:r w:rsidRPr="00FF2A79">
        <w:rPr>
          <w:rFonts w:ascii="Book Antiqua" w:hAnsi="Book Antiqua"/>
          <w:color w:val="auto"/>
          <w:sz w:val="26"/>
          <w:szCs w:val="26"/>
        </w:rPr>
        <w:t>ISP must provide the following information to justify their challenge:</w:t>
      </w:r>
    </w:p>
    <w:p w:rsidRPr="00FF2A79" w:rsidR="00C20211" w:rsidP="00C20211" w:rsidRDefault="00C20211" w14:paraId="3F2639C2" w14:textId="77777777">
      <w:pPr>
        <w:pStyle w:val="content"/>
        <w:spacing w:before="0" w:beforeAutospacing="0" w:after="0" w:afterAutospacing="0"/>
        <w:rPr>
          <w:rFonts w:ascii="Book Antiqua" w:hAnsi="Book Antiqua"/>
          <w:color w:val="000000" w:themeColor="text1"/>
          <w:sz w:val="26"/>
          <w:szCs w:val="26"/>
          <w:u w:val="single"/>
        </w:rPr>
      </w:pPr>
      <w:r w:rsidRPr="00FF2A79">
        <w:rPr>
          <w:rFonts w:ascii="Book Antiqua" w:hAnsi="Book Antiqua"/>
          <w:color w:val="auto"/>
          <w:sz w:val="26"/>
          <w:szCs w:val="26"/>
        </w:rPr>
        <w:tab/>
      </w:r>
      <w:r w:rsidRPr="00FF2A79">
        <w:rPr>
          <w:rFonts w:ascii="Book Antiqua" w:hAnsi="Book Antiqua" w:eastAsia="Book Antiqua"/>
          <w:color w:val="auto"/>
          <w:sz w:val="26"/>
          <w:szCs w:val="26"/>
          <w:u w:val="single"/>
          <w:lang w:val="en-US"/>
        </w:rPr>
        <w:t>For 10</w:t>
      </w:r>
      <w:r w:rsidRPr="00FF2A79">
        <w:rPr>
          <w:rFonts w:ascii="Book Antiqua" w:hAnsi="Book Antiqua"/>
          <w:color w:val="auto"/>
          <w:sz w:val="26"/>
          <w:szCs w:val="26"/>
          <w:u w:val="single"/>
          <w:lang w:val="en-US"/>
        </w:rPr>
        <w:t>0 percent residents already served</w:t>
      </w:r>
    </w:p>
    <w:p w:rsidRPr="00FF2A79" w:rsidR="00C20211" w:rsidP="00BB504D" w:rsidRDefault="00C20211" w14:paraId="38828F55" w14:textId="77777777">
      <w:pPr>
        <w:pStyle w:val="ListParagraph"/>
        <w:keepNext/>
        <w:numPr>
          <w:ilvl w:val="0"/>
          <w:numId w:val="19"/>
        </w:numPr>
        <w:spacing w:line="240" w:lineRule="auto"/>
        <w:ind w:left="720" w:right="-14"/>
        <w:rPr>
          <w:color w:val="000000" w:themeColor="text1"/>
          <w:szCs w:val="26"/>
        </w:rPr>
      </w:pPr>
      <w:r w:rsidRPr="00FF2A79">
        <w:rPr>
          <w:color w:val="000000" w:themeColor="text1"/>
          <w:szCs w:val="26"/>
        </w:rPr>
        <w:t xml:space="preserve">The number of customers living on the property that subscribed to its service, billing documents and speed tests to prove that it provides broadband Internet service at speeds of at least 6 Mbps downstream and 1 Mbps upstream to each residential unit.  </w:t>
      </w:r>
    </w:p>
    <w:p w:rsidRPr="00FF2A79" w:rsidR="00C20211" w:rsidP="00BB504D" w:rsidRDefault="00C20211" w14:paraId="03C19124" w14:textId="77777777">
      <w:pPr>
        <w:pStyle w:val="ListParagraph"/>
        <w:keepNext/>
        <w:numPr>
          <w:ilvl w:val="0"/>
          <w:numId w:val="19"/>
        </w:numPr>
        <w:spacing w:line="240" w:lineRule="auto"/>
        <w:ind w:left="720" w:right="-14"/>
        <w:rPr>
          <w:color w:val="000000" w:themeColor="text1"/>
        </w:rPr>
      </w:pPr>
      <w:r w:rsidRPr="7139016B">
        <w:rPr>
          <w:rFonts w:eastAsia="Book Antiqua" w:cs="Book Antiqua"/>
          <w:color w:val="000000" w:themeColor="text1"/>
        </w:rPr>
        <w:t>A backhaul capacity test report(s</w:t>
      </w:r>
      <w:r w:rsidRPr="7139016B">
        <w:rPr>
          <w:color w:val="000000" w:themeColor="text1"/>
        </w:rPr>
        <w:t>)</w:t>
      </w:r>
      <w:r w:rsidRPr="7139016B">
        <w:rPr>
          <w:rStyle w:val="FootnoteReference"/>
          <w:color w:val="000000" w:themeColor="text1"/>
        </w:rPr>
        <w:footnoteReference w:id="79"/>
      </w:r>
      <w:r w:rsidRPr="7139016B">
        <w:rPr>
          <w:rFonts w:eastAsia="Book Antiqua" w:cs="Book Antiqua"/>
          <w:color w:val="000000" w:themeColor="text1"/>
        </w:rPr>
        <w:t xml:space="preserve"> proving that it has an adequate capacity to serve all the residents with broadband internet service with a minimum speed of 6 Mbps downstream and 1 Mbps of upstream to all residential units. </w:t>
      </w:r>
    </w:p>
    <w:p w:rsidRPr="00FF2A79" w:rsidR="00C20211" w:rsidP="00C20211" w:rsidRDefault="00C20211" w14:paraId="33E9BCB7" w14:textId="77777777">
      <w:pPr>
        <w:keepNext/>
        <w:spacing w:line="240" w:lineRule="auto"/>
        <w:ind w:left="720" w:right="-14" w:firstLine="0"/>
        <w:rPr>
          <w:color w:val="000000" w:themeColor="text1"/>
          <w:szCs w:val="26"/>
          <w:u w:val="single"/>
        </w:rPr>
      </w:pPr>
      <w:r w:rsidRPr="00FF2A79">
        <w:rPr>
          <w:rFonts w:eastAsia="Book Antiqua" w:cs="Book Antiqua"/>
          <w:color w:val="000000" w:themeColor="text1"/>
          <w:szCs w:val="26"/>
          <w:u w:val="single"/>
        </w:rPr>
        <w:t>For denial of right of access</w:t>
      </w:r>
    </w:p>
    <w:p w:rsidRPr="00FF2A79" w:rsidR="00C20211" w:rsidP="00BB504D" w:rsidRDefault="00C20211" w14:paraId="28F97985" w14:textId="09376818">
      <w:pPr>
        <w:pStyle w:val="ListParagraph"/>
        <w:keepNext/>
        <w:numPr>
          <w:ilvl w:val="0"/>
          <w:numId w:val="19"/>
        </w:numPr>
        <w:spacing w:line="240" w:lineRule="auto"/>
        <w:ind w:left="720" w:right="-14"/>
        <w:rPr>
          <w:color w:val="000000" w:themeColor="text1"/>
          <w:szCs w:val="26"/>
        </w:rPr>
      </w:pPr>
      <w:r w:rsidRPr="00FF2A79">
        <w:rPr>
          <w:color w:val="000000" w:themeColor="text1"/>
          <w:szCs w:val="26"/>
        </w:rPr>
        <w:t>Written documentation showing who made the denial, the date of the denial, and the reason for the denial.  i.e</w:t>
      </w:r>
      <w:r w:rsidR="006E38A2">
        <w:rPr>
          <w:color w:val="000000" w:themeColor="text1"/>
          <w:szCs w:val="26"/>
        </w:rPr>
        <w:t>.</w:t>
      </w:r>
      <w:r w:rsidRPr="00FF2A79">
        <w:rPr>
          <w:color w:val="000000" w:themeColor="text1"/>
          <w:szCs w:val="26"/>
        </w:rPr>
        <w:t xml:space="preserve">, </w:t>
      </w:r>
      <w:r w:rsidR="006E38A2">
        <w:rPr>
          <w:color w:val="000000" w:themeColor="text1"/>
          <w:szCs w:val="26"/>
        </w:rPr>
        <w:t>l</w:t>
      </w:r>
      <w:r w:rsidRPr="00FF2A79" w:rsidR="006E38A2">
        <w:rPr>
          <w:color w:val="000000" w:themeColor="text1"/>
          <w:szCs w:val="26"/>
        </w:rPr>
        <w:t>etters</w:t>
      </w:r>
      <w:r w:rsidRPr="00FF2A79">
        <w:rPr>
          <w:color w:val="000000" w:themeColor="text1"/>
          <w:szCs w:val="26"/>
        </w:rPr>
        <w:t xml:space="preserve">, </w:t>
      </w:r>
      <w:proofErr w:type="gramStart"/>
      <w:r w:rsidRPr="00FF2A79">
        <w:rPr>
          <w:color w:val="000000" w:themeColor="text1"/>
          <w:szCs w:val="26"/>
        </w:rPr>
        <w:t>e-mails</w:t>
      </w:r>
      <w:proofErr w:type="gramEnd"/>
      <w:r w:rsidRPr="00FF2A79">
        <w:rPr>
          <w:color w:val="000000" w:themeColor="text1"/>
          <w:szCs w:val="26"/>
        </w:rPr>
        <w:t xml:space="preserve"> or other written documentation.</w:t>
      </w:r>
    </w:p>
    <w:p w:rsidRPr="00FF2A79" w:rsidR="00C20211" w:rsidP="00C20211" w:rsidRDefault="00C20211" w14:paraId="05B7B046" w14:textId="77777777">
      <w:pPr>
        <w:pStyle w:val="ListParagraph"/>
        <w:keepNext/>
        <w:spacing w:line="240" w:lineRule="auto"/>
        <w:ind w:right="-14"/>
        <w:rPr>
          <w:color w:val="000000" w:themeColor="text1"/>
          <w:szCs w:val="26"/>
        </w:rPr>
      </w:pPr>
    </w:p>
    <w:p w:rsidRPr="00FF2A79" w:rsidR="00C20211" w:rsidP="00C20211" w:rsidRDefault="00C20211" w14:paraId="72F20F72" w14:textId="77777777">
      <w:pPr>
        <w:keepNext/>
        <w:tabs>
          <w:tab w:val="left" w:pos="720"/>
          <w:tab w:val="left" w:pos="1260"/>
        </w:tabs>
        <w:spacing w:line="240" w:lineRule="auto"/>
        <w:ind w:right="-14" w:firstLine="0"/>
        <w:rPr>
          <w:color w:val="000000" w:themeColor="text1"/>
          <w:szCs w:val="26"/>
        </w:rPr>
      </w:pPr>
      <w:r w:rsidRPr="00FF2A79">
        <w:rPr>
          <w:color w:val="000000" w:themeColor="text1"/>
          <w:szCs w:val="26"/>
        </w:rPr>
        <w:t xml:space="preserve">CD will investigate all submitted challenges. Incomplete challenges or challenges submitted after the deadline will be deemed denied.  CD will inform the applicant of the challenges submitted on its application and provide the challenger’s name and information submitted.  Applicants may rebut the challenge by providing sufficient documentation showing that services are not available to 100 percent of the residents.  CD will base its decision on the material submitted.  </w:t>
      </w:r>
      <w:r w:rsidRPr="00FF2A79">
        <w:rPr>
          <w:szCs w:val="26"/>
        </w:rPr>
        <w:t xml:space="preserve">If it is found that the ISP who is challenging the application cannot prove it can serve 100 percent of the residents, then the challenge will be rejected, and the application may be considered by resolution.  If it is found that the ISP can serve 100 percent of the residents, then the application will be denied.  CD </w:t>
      </w:r>
      <w:r w:rsidRPr="00FF2A79">
        <w:rPr>
          <w:color w:val="000000" w:themeColor="text1"/>
          <w:szCs w:val="26"/>
        </w:rPr>
        <w:t>will inform the applicant and the challenger of the outcome of its decision.</w:t>
      </w:r>
    </w:p>
    <w:p w:rsidRPr="00FF2A79" w:rsidR="00C20211" w:rsidP="00C20211" w:rsidRDefault="00C20211" w14:paraId="4B477416" w14:textId="77777777">
      <w:pPr>
        <w:keepNext/>
        <w:tabs>
          <w:tab w:val="left" w:pos="720"/>
          <w:tab w:val="left" w:pos="1260"/>
        </w:tabs>
        <w:spacing w:line="240" w:lineRule="auto"/>
        <w:ind w:right="-14" w:firstLine="0"/>
        <w:rPr>
          <w:b/>
          <w:color w:val="000000" w:themeColor="text1"/>
          <w:szCs w:val="26"/>
        </w:rPr>
      </w:pPr>
    </w:p>
    <w:p w:rsidRPr="00FF2A79" w:rsidR="00C20211" w:rsidP="00C20211" w:rsidRDefault="00C20211" w14:paraId="0F3D4A95" w14:textId="77777777">
      <w:pPr>
        <w:pStyle w:val="Heading2"/>
        <w:tabs>
          <w:tab w:val="clear" w:pos="1080"/>
          <w:tab w:val="num" w:pos="900"/>
        </w:tabs>
        <w:ind w:left="720"/>
        <w:rPr>
          <w:rFonts w:ascii="Book Antiqua" w:hAnsi="Book Antiqua"/>
        </w:rPr>
      </w:pPr>
      <w:bookmarkStart w:name="_Toc43713786" w:id="93"/>
      <w:bookmarkStart w:name="_Toc43713945" w:id="94"/>
      <w:bookmarkStart w:name="_Toc43722419" w:id="95"/>
      <w:bookmarkStart w:name="_Toc43744789" w:id="96"/>
      <w:r w:rsidRPr="00FF2A79">
        <w:rPr>
          <w:rFonts w:ascii="Book Antiqua" w:hAnsi="Book Antiqua" w:eastAsia="Book Antiqua" w:cs="Book Antiqua"/>
        </w:rPr>
        <w:t>IX.</w:t>
      </w:r>
      <w:r w:rsidRPr="00FF2A79">
        <w:rPr>
          <w:rFonts w:ascii="Book Antiqua" w:hAnsi="Book Antiqua" w:eastAsia="Times New Roman" w:cs="Times New Roman"/>
          <w:b w:val="0"/>
        </w:rPr>
        <w:t xml:space="preserve">             </w:t>
      </w:r>
      <w:r w:rsidRPr="00FF2A79">
        <w:rPr>
          <w:rFonts w:ascii="Book Antiqua" w:hAnsi="Book Antiqua" w:eastAsia="Book Antiqua" w:cs="Book Antiqua"/>
        </w:rPr>
        <w:t>Project Status and Reporting</w:t>
      </w:r>
      <w:bookmarkEnd w:id="93"/>
      <w:bookmarkEnd w:id="94"/>
      <w:bookmarkEnd w:id="95"/>
      <w:bookmarkEnd w:id="96"/>
    </w:p>
    <w:p w:rsidRPr="00FF2A79" w:rsidR="00C20211" w:rsidP="00C20211" w:rsidRDefault="00C20211" w14:paraId="3D6300C2" w14:textId="77777777">
      <w:pPr>
        <w:spacing w:line="240" w:lineRule="auto"/>
        <w:ind w:firstLine="0"/>
        <w:rPr>
          <w:color w:val="000000" w:themeColor="text1"/>
          <w:szCs w:val="26"/>
        </w:rPr>
      </w:pPr>
      <w:r w:rsidRPr="00FF2A79">
        <w:rPr>
          <w:color w:val="000000" w:themeColor="text1"/>
          <w:szCs w:val="26"/>
        </w:rPr>
        <w:t>Infrastructure project grantees are required to submit a project status report within six months of the project award date if the project has not been completed, irrespective of whether the grantee requests reimbursement or payment.  The project status report must include the following:</w:t>
      </w:r>
    </w:p>
    <w:p w:rsidRPr="00FF2A79" w:rsidR="00C20211" w:rsidP="00BB504D" w:rsidRDefault="00C20211" w14:paraId="1A20E905" w14:textId="77777777">
      <w:pPr>
        <w:pStyle w:val="ListParagraph"/>
        <w:numPr>
          <w:ilvl w:val="0"/>
          <w:numId w:val="20"/>
        </w:numPr>
        <w:spacing w:line="240" w:lineRule="auto"/>
        <w:ind w:left="720"/>
        <w:rPr>
          <w:color w:val="000000" w:themeColor="text1"/>
          <w:szCs w:val="26"/>
        </w:rPr>
      </w:pPr>
      <w:r w:rsidRPr="00FF2A79">
        <w:rPr>
          <w:color w:val="000000" w:themeColor="text1"/>
          <w:szCs w:val="26"/>
        </w:rPr>
        <w:lastRenderedPageBreak/>
        <w:t>Project Plan and deployment schedule showing major milestones with planned and actual completion dates.</w:t>
      </w:r>
    </w:p>
    <w:p w:rsidRPr="00FF2A79" w:rsidR="00C20211" w:rsidP="00BB504D" w:rsidRDefault="00C20211" w14:paraId="7B9836C9" w14:textId="77777777">
      <w:pPr>
        <w:pStyle w:val="ListParagraph"/>
        <w:numPr>
          <w:ilvl w:val="0"/>
          <w:numId w:val="20"/>
        </w:numPr>
        <w:spacing w:line="240" w:lineRule="auto"/>
        <w:ind w:left="720"/>
        <w:rPr>
          <w:color w:val="000000" w:themeColor="text1"/>
          <w:szCs w:val="26"/>
        </w:rPr>
      </w:pPr>
      <w:r w:rsidRPr="00FF2A79">
        <w:rPr>
          <w:color w:val="000000" w:themeColor="text1"/>
          <w:szCs w:val="26"/>
        </w:rPr>
        <w:t>Any variance between planned and actual dates need to support with proper reasoning.</w:t>
      </w:r>
    </w:p>
    <w:p w:rsidRPr="00FF2A79" w:rsidR="00C20211" w:rsidP="00BB504D" w:rsidRDefault="00C20211" w14:paraId="197AB249" w14:textId="77777777">
      <w:pPr>
        <w:pStyle w:val="ListParagraph"/>
        <w:numPr>
          <w:ilvl w:val="0"/>
          <w:numId w:val="20"/>
        </w:numPr>
        <w:spacing w:line="240" w:lineRule="auto"/>
        <w:ind w:left="720"/>
        <w:rPr>
          <w:color w:val="000000" w:themeColor="text1"/>
        </w:rPr>
      </w:pPr>
      <w:r w:rsidRPr="7139016B">
        <w:rPr>
          <w:color w:val="000000" w:themeColor="text1"/>
        </w:rPr>
        <w:t>Project Risk Mitigation plan.</w:t>
      </w:r>
      <w:r w:rsidRPr="7139016B">
        <w:rPr>
          <w:rStyle w:val="FootnoteReference"/>
          <w:color w:val="000000" w:themeColor="text1"/>
        </w:rPr>
        <w:t xml:space="preserve"> </w:t>
      </w:r>
      <w:r w:rsidRPr="7139016B">
        <w:rPr>
          <w:rStyle w:val="FootnoteReference"/>
          <w:color w:val="000000" w:themeColor="text1"/>
        </w:rPr>
        <w:footnoteReference w:id="80"/>
      </w:r>
      <w:r w:rsidRPr="7139016B">
        <w:rPr>
          <w:color w:val="000000" w:themeColor="text1"/>
        </w:rPr>
        <w:t xml:space="preserve">  </w:t>
      </w:r>
    </w:p>
    <w:p w:rsidRPr="00FF2A79" w:rsidR="00C20211" w:rsidP="00BB504D" w:rsidRDefault="00C20211" w14:paraId="13165857" w14:textId="77777777">
      <w:pPr>
        <w:pStyle w:val="ListParagraph"/>
        <w:numPr>
          <w:ilvl w:val="0"/>
          <w:numId w:val="20"/>
        </w:numPr>
        <w:spacing w:after="120" w:line="240" w:lineRule="auto"/>
        <w:ind w:left="720"/>
        <w:rPr>
          <w:color w:val="000000" w:themeColor="text1"/>
          <w:szCs w:val="26"/>
        </w:rPr>
      </w:pPr>
      <w:r w:rsidRPr="00FF2A79">
        <w:rPr>
          <w:color w:val="000000" w:themeColor="text1"/>
          <w:szCs w:val="26"/>
        </w:rPr>
        <w:t>Budget Plan with a cost line item matched with the application.</w:t>
      </w:r>
    </w:p>
    <w:p w:rsidRPr="00FF2A79" w:rsidR="00C20211" w:rsidP="00C20211" w:rsidRDefault="00C20211" w14:paraId="5B47AF76" w14:textId="77777777">
      <w:pPr>
        <w:spacing w:line="240" w:lineRule="auto"/>
        <w:ind w:firstLine="0"/>
        <w:rPr>
          <w:strike/>
          <w:color w:val="000000" w:themeColor="text1"/>
          <w:szCs w:val="26"/>
        </w:rPr>
      </w:pPr>
      <w:r w:rsidRPr="00FF2A79">
        <w:rPr>
          <w:color w:val="000000" w:themeColor="text1"/>
          <w:szCs w:val="26"/>
        </w:rPr>
        <w:t xml:space="preserve">Grantees must certify that each project status report submitted is true and correct under penalty of perjury.  </w:t>
      </w:r>
    </w:p>
    <w:p w:rsidRPr="00FF2A79" w:rsidR="00C20211" w:rsidP="00C20211" w:rsidRDefault="00C20211" w14:paraId="68232200" w14:textId="77777777">
      <w:pPr>
        <w:pStyle w:val="ListParagraph"/>
        <w:spacing w:line="240" w:lineRule="auto"/>
        <w:ind w:left="0" w:firstLine="0"/>
        <w:rPr>
          <w:strike/>
          <w:color w:val="000000" w:themeColor="text1"/>
          <w:szCs w:val="26"/>
        </w:rPr>
      </w:pPr>
    </w:p>
    <w:p w:rsidRPr="00FF2A79" w:rsidR="00C20211" w:rsidP="00C20211" w:rsidRDefault="00C20211" w14:paraId="26DC3590" w14:textId="77777777">
      <w:pPr>
        <w:spacing w:line="240" w:lineRule="auto"/>
        <w:ind w:firstLine="0"/>
        <w:rPr>
          <w:color w:val="000000" w:themeColor="text1"/>
          <w:szCs w:val="26"/>
        </w:rPr>
      </w:pPr>
      <w:r w:rsidRPr="7139016B">
        <w:rPr>
          <w:color w:val="000000" w:themeColor="text1"/>
        </w:rPr>
        <w:t xml:space="preserve">Infrastructure project grantees must submit a project completion report with all required supporting documentation </w:t>
      </w:r>
      <w:proofErr w:type="gramStart"/>
      <w:r w:rsidRPr="7139016B">
        <w:rPr>
          <w:color w:val="000000" w:themeColor="text1"/>
        </w:rPr>
        <w:t>in order to</w:t>
      </w:r>
      <w:proofErr w:type="gramEnd"/>
      <w:r w:rsidRPr="7139016B">
        <w:rPr>
          <w:color w:val="000000" w:themeColor="text1"/>
        </w:rPr>
        <w:t xml:space="preserve"> receive final payment.  The project completion report contains, total project cost, project cost summary breakdown, project milestone deployment details, </w:t>
      </w:r>
      <w:proofErr w:type="spellStart"/>
      <w:r w:rsidRPr="7139016B">
        <w:rPr>
          <w:color w:val="000000" w:themeColor="text1"/>
        </w:rPr>
        <w:t>CalSPEED</w:t>
      </w:r>
      <w:proofErr w:type="spellEnd"/>
      <w:r w:rsidRPr="7139016B">
        <w:rPr>
          <w:rStyle w:val="FootnoteReference"/>
          <w:color w:val="000000" w:themeColor="text1"/>
        </w:rPr>
        <w:footnoteReference w:id="81"/>
      </w:r>
      <w:r w:rsidRPr="7139016B">
        <w:rPr>
          <w:color w:val="000000" w:themeColor="text1"/>
        </w:rPr>
        <w:t xml:space="preserve"> test results, bill of materials (BOM), invoices supporting BOM, network and low-voltage engineering and design documentation, installation and commissioning checklist, provisioning and configuration files, as-built documentation with pictures showing labels and annotations, and project expenses summary.  The project completion report template can be found on the BPHA website.</w:t>
      </w:r>
    </w:p>
    <w:p w:rsidRPr="00FF2A79" w:rsidR="00C20211" w:rsidP="00C20211" w:rsidRDefault="00C20211" w14:paraId="68FFADCD" w14:textId="77777777">
      <w:pPr>
        <w:spacing w:line="240" w:lineRule="auto"/>
        <w:ind w:firstLine="0"/>
        <w:rPr>
          <w:color w:val="000000" w:themeColor="text1"/>
          <w:szCs w:val="26"/>
        </w:rPr>
      </w:pPr>
    </w:p>
    <w:p w:rsidRPr="00FF2A79" w:rsidR="00C20211" w:rsidP="00C20211" w:rsidRDefault="00C20211" w14:paraId="33BB7F2B" w14:textId="77777777">
      <w:pPr>
        <w:pStyle w:val="ListParagraph"/>
        <w:spacing w:line="240" w:lineRule="auto"/>
        <w:ind w:left="0" w:firstLine="0"/>
        <w:rPr>
          <w:color w:val="000000" w:themeColor="text1"/>
          <w:szCs w:val="26"/>
        </w:rPr>
      </w:pPr>
      <w:r w:rsidRPr="7139016B">
        <w:rPr>
          <w:color w:val="000000" w:themeColor="text1"/>
        </w:rPr>
        <w:t>Infrastructure project grantees are required to maintain the broadband network for a period of five years after the network is installed and internet services turned on for residential use.  From the date broadband network and internet services are turned on the grantees are required to submit a KPI (Key Performance Indicator) report</w:t>
      </w:r>
      <w:r w:rsidRPr="7139016B">
        <w:rPr>
          <w:rStyle w:val="FootnoteReference"/>
          <w:color w:val="000000" w:themeColor="text1"/>
        </w:rPr>
        <w:footnoteReference w:id="82"/>
      </w:r>
      <w:r w:rsidRPr="7139016B">
        <w:rPr>
          <w:color w:val="000000" w:themeColor="text1"/>
        </w:rPr>
        <w:t xml:space="preserve"> every quarter for a period of five years.  The KPI report and its supporting system data can be submitted through an online portal that can be found on the Commission website under the CASF BPHA hyperlink.  </w:t>
      </w:r>
    </w:p>
    <w:p w:rsidRPr="00FF2A79" w:rsidR="00C20211" w:rsidP="00C20211" w:rsidRDefault="00C20211" w14:paraId="3B0A6B77" w14:textId="77777777">
      <w:pPr>
        <w:pStyle w:val="ListParagraph"/>
        <w:spacing w:line="240" w:lineRule="auto"/>
        <w:ind w:left="360"/>
        <w:rPr>
          <w:color w:val="000000" w:themeColor="text1"/>
          <w:szCs w:val="26"/>
        </w:rPr>
      </w:pPr>
    </w:p>
    <w:p w:rsidRPr="00FF2A79" w:rsidR="00C20211" w:rsidP="00C20211" w:rsidRDefault="00C20211" w14:paraId="19C97BB7" w14:textId="77777777">
      <w:pPr>
        <w:pStyle w:val="ListParagraph"/>
        <w:spacing w:line="240" w:lineRule="auto"/>
        <w:ind w:left="0" w:firstLine="0"/>
        <w:rPr>
          <w:color w:val="000000" w:themeColor="text1"/>
          <w:szCs w:val="26"/>
        </w:rPr>
      </w:pPr>
      <w:r w:rsidRPr="00FF2A79">
        <w:rPr>
          <w:color w:val="000000" w:themeColor="text1"/>
          <w:szCs w:val="26"/>
        </w:rPr>
        <w:t>The KPI report includes the following:</w:t>
      </w:r>
    </w:p>
    <w:p w:rsidRPr="00FF2A79" w:rsidR="00C20211" w:rsidP="00BB504D" w:rsidRDefault="00C20211" w14:paraId="619BD9E5" w14:textId="77777777">
      <w:pPr>
        <w:pStyle w:val="ListParagraph"/>
        <w:numPr>
          <w:ilvl w:val="0"/>
          <w:numId w:val="21"/>
        </w:numPr>
        <w:spacing w:line="240" w:lineRule="auto"/>
        <w:ind w:left="360"/>
        <w:rPr>
          <w:color w:val="000000" w:themeColor="text1"/>
          <w:szCs w:val="26"/>
        </w:rPr>
      </w:pPr>
      <w:r w:rsidRPr="00FF2A79">
        <w:rPr>
          <w:color w:val="000000" w:themeColor="text1"/>
          <w:szCs w:val="26"/>
        </w:rPr>
        <w:lastRenderedPageBreak/>
        <w:t>Monthly Percentage Uptime of network and internet services</w:t>
      </w:r>
    </w:p>
    <w:p w:rsidRPr="00FF2A79" w:rsidR="00C20211" w:rsidP="00BB504D" w:rsidRDefault="00C20211" w14:paraId="33030BCC" w14:textId="77777777">
      <w:pPr>
        <w:pStyle w:val="ListParagraph"/>
        <w:numPr>
          <w:ilvl w:val="0"/>
          <w:numId w:val="21"/>
        </w:numPr>
        <w:spacing w:line="240" w:lineRule="auto"/>
        <w:ind w:left="360"/>
        <w:rPr>
          <w:color w:val="000000" w:themeColor="text1"/>
          <w:szCs w:val="26"/>
        </w:rPr>
      </w:pPr>
      <w:r w:rsidRPr="00FF2A79">
        <w:rPr>
          <w:color w:val="000000" w:themeColor="text1"/>
          <w:szCs w:val="26"/>
        </w:rPr>
        <w:t>Monthly Bandwidth Utilization by the residents (the amount of internet data transferred or the usage in gigabytes on the network)</w:t>
      </w:r>
    </w:p>
    <w:p w:rsidRPr="00FF2A79" w:rsidR="00C20211" w:rsidP="00BB504D" w:rsidRDefault="00C20211" w14:paraId="16E85047" w14:textId="77777777">
      <w:pPr>
        <w:pStyle w:val="ListParagraph"/>
        <w:numPr>
          <w:ilvl w:val="0"/>
          <w:numId w:val="21"/>
        </w:numPr>
        <w:spacing w:line="240" w:lineRule="auto"/>
        <w:ind w:left="360"/>
        <w:rPr>
          <w:color w:val="000000" w:themeColor="text1"/>
          <w:szCs w:val="26"/>
        </w:rPr>
      </w:pPr>
      <w:r w:rsidRPr="00FF2A79">
        <w:rPr>
          <w:color w:val="000000" w:themeColor="text1"/>
          <w:szCs w:val="26"/>
        </w:rPr>
        <w:t>Monthly Number of Unique User Devices Logged-in by the residents to access the broadband network for internet services</w:t>
      </w:r>
    </w:p>
    <w:p w:rsidRPr="00FF2A79" w:rsidR="00C20211" w:rsidP="00C20211" w:rsidRDefault="00C20211" w14:paraId="695C6BFD" w14:textId="77777777">
      <w:pPr>
        <w:pStyle w:val="ListParagraph"/>
        <w:spacing w:line="240" w:lineRule="auto"/>
        <w:ind w:left="0"/>
        <w:rPr>
          <w:color w:val="000000" w:themeColor="text1"/>
          <w:szCs w:val="26"/>
        </w:rPr>
      </w:pPr>
    </w:p>
    <w:p w:rsidRPr="00FF2A79" w:rsidR="00C20211" w:rsidP="00FF2A79" w:rsidRDefault="00C20211" w14:paraId="506EA229" w14:textId="2CB9BE9B">
      <w:pPr>
        <w:pStyle w:val="ListParagraph"/>
        <w:spacing w:line="240" w:lineRule="auto"/>
        <w:ind w:left="0" w:firstLine="0"/>
        <w:rPr>
          <w:color w:val="000000" w:themeColor="text1"/>
          <w:szCs w:val="26"/>
        </w:rPr>
      </w:pPr>
      <w:r w:rsidRPr="00FF2A79">
        <w:rPr>
          <w:color w:val="000000" w:themeColor="text1"/>
          <w:szCs w:val="26"/>
        </w:rPr>
        <w:t xml:space="preserve">To support the above KPI report information, the grantee must submit the system data obtained from the network.  </w:t>
      </w:r>
    </w:p>
    <w:p w:rsidRPr="00FF2A79" w:rsidR="00C20211" w:rsidP="00C20211" w:rsidRDefault="00C20211" w14:paraId="3F4FE4B9" w14:textId="77777777">
      <w:pPr>
        <w:rPr>
          <w:szCs w:val="26"/>
        </w:rPr>
      </w:pPr>
      <w:r w:rsidRPr="00FF2A79">
        <w:rPr>
          <w:rFonts w:eastAsia="Book Antiqua" w:cs="Book Antiqua"/>
          <w:color w:val="000000" w:themeColor="text1"/>
          <w:szCs w:val="26"/>
        </w:rPr>
        <w:t xml:space="preserve"> </w:t>
      </w:r>
    </w:p>
    <w:p w:rsidRPr="00FF2A79" w:rsidR="00C20211" w:rsidP="00C20211" w:rsidRDefault="00C20211" w14:paraId="77066146" w14:textId="77777777">
      <w:pPr>
        <w:pStyle w:val="Heading2"/>
        <w:tabs>
          <w:tab w:val="clear" w:pos="1080"/>
          <w:tab w:val="num" w:pos="810"/>
        </w:tabs>
        <w:ind w:left="720"/>
        <w:rPr>
          <w:rFonts w:ascii="Book Antiqua" w:hAnsi="Book Antiqua"/>
        </w:rPr>
      </w:pPr>
      <w:bookmarkStart w:name="_Toc43713787" w:id="97"/>
      <w:bookmarkStart w:name="_Toc43713946" w:id="98"/>
      <w:bookmarkStart w:name="_Toc43722420" w:id="99"/>
      <w:bookmarkStart w:name="_Toc43744790" w:id="100"/>
      <w:r w:rsidRPr="00FF2A79">
        <w:rPr>
          <w:rFonts w:ascii="Book Antiqua" w:hAnsi="Book Antiqua" w:eastAsia="Book Antiqua" w:cs="Book Antiqua"/>
        </w:rPr>
        <w:t>X.</w:t>
      </w:r>
      <w:r w:rsidRPr="00FF2A79">
        <w:rPr>
          <w:rFonts w:ascii="Book Antiqua" w:hAnsi="Book Antiqua" w:eastAsia="Times New Roman" w:cs="Times New Roman"/>
          <w:b w:val="0"/>
        </w:rPr>
        <w:t xml:space="preserve">                </w:t>
      </w:r>
      <w:r w:rsidRPr="00FF2A79">
        <w:rPr>
          <w:rFonts w:ascii="Book Antiqua" w:hAnsi="Book Antiqua" w:eastAsia="Book Antiqua" w:cs="Book Antiqua"/>
        </w:rPr>
        <w:t>Sale or Transfer of Assets</w:t>
      </w:r>
      <w:bookmarkEnd w:id="97"/>
      <w:bookmarkEnd w:id="98"/>
      <w:bookmarkEnd w:id="99"/>
      <w:bookmarkEnd w:id="100"/>
      <w:r w:rsidRPr="00FF2A79">
        <w:rPr>
          <w:rFonts w:ascii="Book Antiqua" w:hAnsi="Book Antiqua" w:eastAsia="Book Antiqua" w:cs="Book Antiqua"/>
        </w:rPr>
        <w:t xml:space="preserve"> </w:t>
      </w:r>
    </w:p>
    <w:p w:rsidRPr="00FF2A79" w:rsidR="00C20211" w:rsidP="00C20211" w:rsidRDefault="00C20211" w14:paraId="4ACEB2FD" w14:textId="77777777">
      <w:pPr>
        <w:keepLines/>
        <w:widowControl w:val="0"/>
        <w:overflowPunct w:val="0"/>
        <w:autoSpaceDE w:val="0"/>
        <w:autoSpaceDN w:val="0"/>
        <w:adjustRightInd w:val="0"/>
        <w:spacing w:line="240" w:lineRule="auto"/>
        <w:ind w:firstLine="0"/>
        <w:textAlignment w:val="baseline"/>
        <w:rPr>
          <w:color w:val="000000" w:themeColor="text1"/>
          <w:szCs w:val="26"/>
        </w:rPr>
      </w:pPr>
      <w:r w:rsidRPr="00FF2A79">
        <w:rPr>
          <w:rFonts w:eastAsia="Book Antiqua" w:cs="Book Antiqua"/>
          <w:color w:val="000000" w:themeColor="text1"/>
          <w:szCs w:val="26"/>
        </w:rPr>
        <w:t xml:space="preserve">Infrastructure project grantees must notify the Commission about any proposed sale or transfer of ownership of the project property that occurs prior to the completion of the five-year requirement.  The grantee must require the new owner to assume grant obligations of operating and maintaining the broadband internet services for the remaining period of the five years term.  The grantee shall notify the Director of the Communication's Division in writing of its intent to sell or transfer its assets within five days of becoming aware of these plans.  The grantee shall also provide documentation, including an affidavit, stating that the new entity or owner will take full responsibility and ownership to comply with the terms of the CASF grant award.  The new entity shall agree in writing to such.  </w:t>
      </w:r>
    </w:p>
    <w:p w:rsidRPr="00FF2A79" w:rsidR="00C20211" w:rsidP="00C20211" w:rsidRDefault="00C20211" w14:paraId="76B577C9" w14:textId="77777777">
      <w:pPr>
        <w:rPr>
          <w:szCs w:val="26"/>
        </w:rPr>
      </w:pPr>
      <w:r w:rsidRPr="00FF2A79">
        <w:rPr>
          <w:rFonts w:eastAsia="Book Antiqua" w:cs="Book Antiqua"/>
          <w:color w:val="000000" w:themeColor="text1"/>
          <w:szCs w:val="26"/>
        </w:rPr>
        <w:t xml:space="preserve"> </w:t>
      </w:r>
    </w:p>
    <w:p w:rsidRPr="00FF2A79" w:rsidR="00C20211" w:rsidP="00C20211" w:rsidRDefault="00C20211" w14:paraId="2AC15F18" w14:textId="77777777">
      <w:pPr>
        <w:pStyle w:val="Heading2"/>
        <w:tabs>
          <w:tab w:val="clear" w:pos="1080"/>
          <w:tab w:val="left" w:pos="630"/>
          <w:tab w:val="num" w:pos="900"/>
        </w:tabs>
        <w:ind w:left="720"/>
        <w:rPr>
          <w:rFonts w:ascii="Book Antiqua" w:hAnsi="Book Antiqua"/>
        </w:rPr>
      </w:pPr>
      <w:bookmarkStart w:name="_Toc43713788" w:id="101"/>
      <w:bookmarkStart w:name="_Toc43713947" w:id="102"/>
      <w:bookmarkStart w:name="_Toc43722421" w:id="103"/>
      <w:bookmarkStart w:name="_Toc43744791" w:id="104"/>
      <w:r w:rsidRPr="00FF2A79">
        <w:rPr>
          <w:rFonts w:ascii="Book Antiqua" w:hAnsi="Book Antiqua" w:eastAsia="Book Antiqua" w:cs="Book Antiqua"/>
        </w:rPr>
        <w:t>XI.</w:t>
      </w:r>
      <w:r w:rsidRPr="00FF2A79">
        <w:rPr>
          <w:rFonts w:ascii="Book Antiqua" w:hAnsi="Book Antiqua" w:eastAsia="Times New Roman" w:cs="Times New Roman"/>
          <w:b w:val="0"/>
        </w:rPr>
        <w:t xml:space="preserve">             </w:t>
      </w:r>
      <w:r w:rsidRPr="00FF2A79">
        <w:rPr>
          <w:rFonts w:ascii="Book Antiqua" w:hAnsi="Book Antiqua" w:eastAsia="Book Antiqua" w:cs="Book Antiqua"/>
        </w:rPr>
        <w:t>Payment Terms</w:t>
      </w:r>
      <w:bookmarkEnd w:id="101"/>
      <w:bookmarkEnd w:id="102"/>
      <w:bookmarkEnd w:id="103"/>
      <w:bookmarkEnd w:id="104"/>
    </w:p>
    <w:p w:rsidRPr="00FF2A79" w:rsidR="00C20211" w:rsidP="00C20211" w:rsidRDefault="00C20211" w14:paraId="5769E5F9" w14:textId="77777777">
      <w:pPr>
        <w:spacing w:line="240" w:lineRule="auto"/>
        <w:ind w:firstLine="0"/>
        <w:rPr>
          <w:color w:val="000000" w:themeColor="text1"/>
          <w:szCs w:val="26"/>
        </w:rPr>
      </w:pPr>
      <w:r w:rsidRPr="00FF2A79">
        <w:rPr>
          <w:color w:val="000000" w:themeColor="text1"/>
          <w:szCs w:val="26"/>
        </w:rPr>
        <w:t>Infrastructure project grantees are eligible to request the payment for the expenditures incurred during the first six months if the grantee submits a six</w:t>
      </w:r>
      <w:r w:rsidRPr="00FF2A79">
        <w:rPr>
          <w:rStyle w:val="CommentReference"/>
          <w:sz w:val="26"/>
          <w:szCs w:val="26"/>
        </w:rPr>
        <w:t>-</w:t>
      </w:r>
      <w:r w:rsidRPr="00FF2A79">
        <w:rPr>
          <w:color w:val="000000" w:themeColor="text1"/>
          <w:szCs w:val="26"/>
        </w:rPr>
        <w:t xml:space="preserve">month project status report and certifies that the status report is true and correct under penalty of perjury. </w:t>
      </w:r>
    </w:p>
    <w:p w:rsidRPr="00FF2A79" w:rsidR="00C20211" w:rsidP="00C20211" w:rsidRDefault="00C20211" w14:paraId="14A85B86" w14:textId="77777777">
      <w:pPr>
        <w:spacing w:line="240" w:lineRule="auto"/>
        <w:ind w:firstLine="0"/>
        <w:rPr>
          <w:color w:val="000000" w:themeColor="text1"/>
          <w:szCs w:val="26"/>
        </w:rPr>
      </w:pPr>
    </w:p>
    <w:p w:rsidRPr="00FF2A79" w:rsidR="00C20211" w:rsidP="00C20211" w:rsidRDefault="00C20211" w14:paraId="19CBE3E5" w14:textId="77777777">
      <w:pPr>
        <w:spacing w:line="240" w:lineRule="auto"/>
        <w:ind w:firstLine="0"/>
        <w:rPr>
          <w:color w:val="000000" w:themeColor="text1"/>
          <w:szCs w:val="26"/>
        </w:rPr>
      </w:pPr>
      <w:r w:rsidRPr="00FF2A79">
        <w:rPr>
          <w:color w:val="000000" w:themeColor="text1"/>
          <w:szCs w:val="26"/>
        </w:rPr>
        <w:t>Grantees shall submit final requests for payment no later than 90 days after completion of the project.  If the grantee cannot complete the project within the 12-month timeline, the grantee must notify the Commission or Director of Communications Division as soon as they become aware that they may not meet the project timeline.  In the event the grantee fails to notify the Commission or Director of Communications Division, the Commission may withhold or reduce payment.</w:t>
      </w:r>
    </w:p>
    <w:p w:rsidRPr="00FF2A79" w:rsidR="00C20211" w:rsidP="00C20211" w:rsidRDefault="00C20211" w14:paraId="3DF29538" w14:textId="77777777">
      <w:pPr>
        <w:spacing w:line="240" w:lineRule="auto"/>
        <w:ind w:firstLine="0"/>
        <w:rPr>
          <w:color w:val="000000" w:themeColor="text1"/>
          <w:szCs w:val="26"/>
        </w:rPr>
      </w:pPr>
    </w:p>
    <w:p w:rsidRPr="00FF2A79" w:rsidR="00C20211" w:rsidP="00C20211" w:rsidRDefault="00C20211" w14:paraId="1E5354B2" w14:textId="77777777">
      <w:pPr>
        <w:spacing w:line="240" w:lineRule="auto"/>
        <w:ind w:firstLine="0"/>
        <w:rPr>
          <w:color w:val="000000" w:themeColor="text1"/>
          <w:szCs w:val="26"/>
        </w:rPr>
      </w:pPr>
      <w:r w:rsidRPr="00FF2A79">
        <w:rPr>
          <w:color w:val="000000" w:themeColor="text1"/>
          <w:szCs w:val="26"/>
        </w:rPr>
        <w:lastRenderedPageBreak/>
        <w:t xml:space="preserve">Grantees must submit the project status and completion reports with all required supporting documentation for the staff to review </w:t>
      </w:r>
      <w:proofErr w:type="gramStart"/>
      <w:r w:rsidRPr="00FF2A79">
        <w:rPr>
          <w:color w:val="000000" w:themeColor="text1"/>
          <w:szCs w:val="26"/>
        </w:rPr>
        <w:t>in order to</w:t>
      </w:r>
      <w:proofErr w:type="gramEnd"/>
      <w:r w:rsidRPr="00FF2A79">
        <w:rPr>
          <w:color w:val="000000" w:themeColor="text1"/>
          <w:szCs w:val="26"/>
        </w:rPr>
        <w:t xml:space="preserve"> receive payment.</w:t>
      </w:r>
      <w:r w:rsidRPr="00FF2A79">
        <w:rPr>
          <w:color w:val="000000" w:themeColor="text1"/>
          <w:szCs w:val="26"/>
          <w:highlight w:val="yellow"/>
        </w:rPr>
        <w:t xml:space="preserve"> </w:t>
      </w:r>
    </w:p>
    <w:p w:rsidRPr="00FF2A79" w:rsidR="00C20211" w:rsidP="00C20211" w:rsidRDefault="00C20211" w14:paraId="7DE4F1D9" w14:textId="77777777">
      <w:pPr>
        <w:spacing w:line="240" w:lineRule="auto"/>
        <w:ind w:firstLine="0"/>
        <w:rPr>
          <w:color w:val="000000" w:themeColor="text1"/>
          <w:szCs w:val="26"/>
        </w:rPr>
      </w:pPr>
    </w:p>
    <w:p w:rsidRPr="00FF2A79" w:rsidR="00C20211" w:rsidP="00C20211" w:rsidRDefault="00C20211" w14:paraId="531F1315" w14:textId="77777777">
      <w:pPr>
        <w:spacing w:line="240" w:lineRule="auto"/>
        <w:ind w:firstLine="0"/>
        <w:rPr>
          <w:color w:val="000000" w:themeColor="text1"/>
          <w:szCs w:val="26"/>
        </w:rPr>
      </w:pPr>
      <w:r w:rsidRPr="00FF2A79">
        <w:rPr>
          <w:color w:val="000000" w:themeColor="text1"/>
          <w:szCs w:val="26"/>
        </w:rPr>
        <w:t>Payments are based on submitted receipts, invoices and other supporting documentation showing expenditures incurred and work done on the project in accordance with the approved CASF funding budget included in the grantee’s application.</w:t>
      </w:r>
    </w:p>
    <w:p w:rsidRPr="00FF2A79" w:rsidR="00C20211" w:rsidP="00C20211" w:rsidRDefault="00C20211" w14:paraId="6A2BF334" w14:textId="77777777">
      <w:pPr>
        <w:spacing w:line="240" w:lineRule="auto"/>
        <w:rPr>
          <w:strike/>
          <w:color w:val="000000" w:themeColor="text1"/>
          <w:szCs w:val="26"/>
        </w:rPr>
      </w:pPr>
    </w:p>
    <w:p w:rsidRPr="00FF2A79" w:rsidR="00C20211" w:rsidP="00C20211" w:rsidRDefault="00C20211" w14:paraId="331E0548" w14:textId="77777777">
      <w:pPr>
        <w:spacing w:line="240" w:lineRule="auto"/>
        <w:ind w:firstLine="0"/>
        <w:rPr>
          <w:color w:val="000000" w:themeColor="text1"/>
          <w:szCs w:val="26"/>
        </w:rPr>
      </w:pPr>
      <w:r w:rsidRPr="00FF2A79">
        <w:rPr>
          <w:color w:val="000000" w:themeColor="text1"/>
          <w:szCs w:val="26"/>
        </w:rPr>
        <w:t xml:space="preserve">Payment in full can be made for the entire project upon review of the submitted project completion report and supporting documentation and after staff approvals. </w:t>
      </w:r>
    </w:p>
    <w:p w:rsidRPr="00FF2A79" w:rsidR="00C20211" w:rsidP="00FF2A79" w:rsidRDefault="00C20211" w14:paraId="21BD6A82" w14:textId="77777777">
      <w:pPr>
        <w:spacing w:line="240" w:lineRule="auto"/>
        <w:rPr>
          <w:color w:val="000000" w:themeColor="text1"/>
          <w:szCs w:val="26"/>
        </w:rPr>
      </w:pPr>
    </w:p>
    <w:p w:rsidRPr="00FF2A79" w:rsidR="00C20211" w:rsidP="00C20211" w:rsidRDefault="00C20211" w14:paraId="7AABBE69" w14:textId="77777777">
      <w:pPr>
        <w:spacing w:line="240" w:lineRule="auto"/>
        <w:ind w:firstLine="0"/>
        <w:rPr>
          <w:color w:val="000000" w:themeColor="text1"/>
          <w:szCs w:val="26"/>
        </w:rPr>
      </w:pPr>
      <w:r w:rsidRPr="00FF2A79">
        <w:rPr>
          <w:color w:val="000000" w:themeColor="text1"/>
          <w:szCs w:val="26"/>
        </w:rPr>
        <w:t>The payments will be made in accordance with, and within the time specified in California Government Code § 927 et seq.</w:t>
      </w:r>
    </w:p>
    <w:p w:rsidRPr="00FF2A79" w:rsidR="00C20211" w:rsidP="00C20211" w:rsidRDefault="00C20211" w14:paraId="29B4C366" w14:textId="77777777">
      <w:pPr>
        <w:spacing w:line="240" w:lineRule="auto"/>
        <w:ind w:firstLine="0"/>
        <w:rPr>
          <w:color w:val="000000" w:themeColor="text1"/>
          <w:szCs w:val="26"/>
        </w:rPr>
      </w:pPr>
    </w:p>
    <w:p w:rsidRPr="00FF2A79" w:rsidR="00C20211" w:rsidP="00C20211" w:rsidRDefault="00C20211" w14:paraId="16B8E045" w14:textId="77777777">
      <w:pPr>
        <w:spacing w:line="240" w:lineRule="auto"/>
        <w:ind w:firstLine="0"/>
        <w:rPr>
          <w:color w:val="000000" w:themeColor="text1"/>
          <w:szCs w:val="26"/>
        </w:rPr>
      </w:pPr>
      <w:r w:rsidRPr="00FF2A79" w:rsidDel="00082410">
        <w:rPr>
          <w:color w:val="000000" w:themeColor="text1"/>
          <w:szCs w:val="26"/>
        </w:rPr>
        <w:t xml:space="preserve">Grantees are required to maintain </w:t>
      </w:r>
      <w:r w:rsidRPr="00FF2A79">
        <w:rPr>
          <w:color w:val="000000" w:themeColor="text1"/>
          <w:szCs w:val="26"/>
        </w:rPr>
        <w:t xml:space="preserve">records such as </w:t>
      </w:r>
      <w:r w:rsidRPr="00FF2A79" w:rsidDel="00082410">
        <w:rPr>
          <w:color w:val="000000" w:themeColor="text1"/>
          <w:szCs w:val="26"/>
        </w:rPr>
        <w:t>files, invoices, and other related documentation for three years after final payment.</w:t>
      </w:r>
      <w:r w:rsidRPr="00FF2A79">
        <w:rPr>
          <w:color w:val="000000" w:themeColor="text1"/>
          <w:szCs w:val="26"/>
        </w:rPr>
        <w:t xml:space="preserve">  </w:t>
      </w:r>
      <w:r w:rsidRPr="00FF2A79" w:rsidDel="00082410">
        <w:rPr>
          <w:color w:val="000000" w:themeColor="text1"/>
          <w:szCs w:val="26"/>
        </w:rPr>
        <w:t xml:space="preserve">Grantee shall make these records </w:t>
      </w:r>
      <w:r w:rsidRPr="00FF2A79">
        <w:rPr>
          <w:color w:val="000000" w:themeColor="text1"/>
          <w:szCs w:val="26"/>
        </w:rPr>
        <w:t xml:space="preserve">and invoices </w:t>
      </w:r>
      <w:r w:rsidRPr="00FF2A79" w:rsidDel="00082410">
        <w:rPr>
          <w:color w:val="000000" w:themeColor="text1"/>
          <w:szCs w:val="26"/>
        </w:rPr>
        <w:t xml:space="preserve">available to the Commission upon request and agrees that these records are subject to a financial audit by the Commission at any time within three years after the </w:t>
      </w:r>
      <w:r w:rsidRPr="00FF2A79">
        <w:rPr>
          <w:color w:val="000000" w:themeColor="text1"/>
          <w:szCs w:val="26"/>
        </w:rPr>
        <w:t xml:space="preserve">final payment made to the </w:t>
      </w:r>
      <w:r w:rsidRPr="00FF2A79" w:rsidDel="00082410">
        <w:rPr>
          <w:color w:val="000000" w:themeColor="text1"/>
          <w:szCs w:val="26"/>
        </w:rPr>
        <w:t>Grantee</w:t>
      </w:r>
      <w:r w:rsidRPr="00FF2A79">
        <w:rPr>
          <w:color w:val="000000" w:themeColor="text1"/>
          <w:szCs w:val="26"/>
        </w:rPr>
        <w:t>.</w:t>
      </w:r>
    </w:p>
    <w:p w:rsidRPr="00FF2A79" w:rsidR="00C20211" w:rsidP="00C20211" w:rsidRDefault="00C20211" w14:paraId="4D808418" w14:textId="77777777">
      <w:pPr>
        <w:spacing w:line="240" w:lineRule="auto"/>
        <w:ind w:firstLine="0"/>
        <w:rPr>
          <w:color w:val="000000" w:themeColor="text1"/>
          <w:szCs w:val="26"/>
        </w:rPr>
      </w:pPr>
    </w:p>
    <w:p w:rsidRPr="00FF2A79" w:rsidR="00C20211" w:rsidP="00C20211" w:rsidRDefault="00C20211" w14:paraId="56585C11" w14:textId="77777777">
      <w:pPr>
        <w:spacing w:line="240" w:lineRule="auto"/>
        <w:ind w:firstLine="0"/>
        <w:rPr>
          <w:color w:val="000000" w:themeColor="text1"/>
          <w:szCs w:val="26"/>
        </w:rPr>
      </w:pPr>
      <w:r w:rsidRPr="00FF2A79">
        <w:rPr>
          <w:color w:val="000000" w:themeColor="text1"/>
          <w:szCs w:val="26"/>
        </w:rPr>
        <w:t>The Commission has the right to conduct any necessary audit, quality check, verification, and discovery during project implementation and post-project completion to ensure that CASF funds are spent in accordance with the terms of approval granted by the Commission.  Invoices submitted will be subject to financial audit by the Commission at any time within 5 years of the release of the final payment.</w:t>
      </w:r>
    </w:p>
    <w:p w:rsidRPr="00FF2A79" w:rsidR="00C20211" w:rsidP="00C20211" w:rsidRDefault="00C20211" w14:paraId="16D0DFBB" w14:textId="77777777">
      <w:pPr>
        <w:spacing w:line="240" w:lineRule="auto"/>
        <w:ind w:firstLine="0"/>
        <w:rPr>
          <w:color w:val="000000" w:themeColor="text1"/>
          <w:szCs w:val="26"/>
        </w:rPr>
      </w:pPr>
    </w:p>
    <w:p w:rsidRPr="00FF2A79" w:rsidR="00C20211" w:rsidP="00C20211" w:rsidRDefault="00C20211" w14:paraId="6623BD75" w14:textId="77777777">
      <w:pPr>
        <w:spacing w:line="240" w:lineRule="auto"/>
        <w:ind w:firstLine="0"/>
        <w:rPr>
          <w:color w:val="000000" w:themeColor="text1"/>
          <w:szCs w:val="26"/>
        </w:rPr>
      </w:pPr>
      <w:r w:rsidRPr="00FF2A79">
        <w:rPr>
          <w:color w:val="000000" w:themeColor="text1"/>
          <w:szCs w:val="26"/>
        </w:rPr>
        <w:t xml:space="preserve">If any portion of reimbursement is found to be out of compliance, grantees will be responsible for refunding any disallowed amount along with appropriate interest rates determined in accordance with applicable Commission decisions. </w:t>
      </w:r>
    </w:p>
    <w:p w:rsidRPr="00FF2A79" w:rsidR="00C20211" w:rsidP="00C20211" w:rsidRDefault="00C20211" w14:paraId="04281803" w14:textId="77777777">
      <w:pPr>
        <w:rPr>
          <w:szCs w:val="26"/>
        </w:rPr>
      </w:pPr>
      <w:r w:rsidRPr="00FF2A79">
        <w:rPr>
          <w:rFonts w:eastAsia="Book Antiqua" w:cs="Book Antiqua"/>
          <w:color w:val="000000" w:themeColor="text1"/>
          <w:szCs w:val="26"/>
        </w:rPr>
        <w:t xml:space="preserve"> </w:t>
      </w:r>
    </w:p>
    <w:p w:rsidRPr="00FF2A79" w:rsidR="00C20211" w:rsidP="00C20211" w:rsidRDefault="00C20211" w14:paraId="112DCACA" w14:textId="77777777">
      <w:pPr>
        <w:pStyle w:val="Heading2"/>
        <w:tabs>
          <w:tab w:val="clear" w:pos="1080"/>
          <w:tab w:val="num" w:pos="450"/>
        </w:tabs>
        <w:ind w:left="720"/>
        <w:rPr>
          <w:rFonts w:ascii="Book Antiqua" w:hAnsi="Book Antiqua"/>
        </w:rPr>
      </w:pPr>
      <w:bookmarkStart w:name="_Toc43713789" w:id="105"/>
      <w:bookmarkStart w:name="_Toc43713948" w:id="106"/>
      <w:bookmarkStart w:name="_Toc43722422" w:id="107"/>
      <w:bookmarkStart w:name="_Toc43744792" w:id="108"/>
      <w:r w:rsidRPr="00FF2A79">
        <w:rPr>
          <w:rFonts w:ascii="Book Antiqua" w:hAnsi="Book Antiqua" w:eastAsia="Book Antiqua" w:cs="Book Antiqua"/>
        </w:rPr>
        <w:lastRenderedPageBreak/>
        <w:t>XII.</w:t>
      </w:r>
      <w:r w:rsidRPr="00FF2A79">
        <w:rPr>
          <w:rFonts w:ascii="Book Antiqua" w:hAnsi="Book Antiqua" w:eastAsia="Times New Roman" w:cs="Times New Roman"/>
          <w:b w:val="0"/>
        </w:rPr>
        <w:t xml:space="preserve">          </w:t>
      </w:r>
      <w:r w:rsidRPr="00FF2A79">
        <w:rPr>
          <w:rFonts w:ascii="Book Antiqua" w:hAnsi="Book Antiqua" w:eastAsia="Book Antiqua" w:cs="Book Antiqua"/>
        </w:rPr>
        <w:t>Execution and Performance</w:t>
      </w:r>
      <w:bookmarkEnd w:id="105"/>
      <w:bookmarkEnd w:id="106"/>
      <w:bookmarkEnd w:id="107"/>
      <w:bookmarkEnd w:id="108"/>
    </w:p>
    <w:p w:rsidRPr="00FF2A79" w:rsidR="00C20211" w:rsidP="00C20211" w:rsidRDefault="00C20211" w14:paraId="24C9547E" w14:textId="77777777">
      <w:pPr>
        <w:keepLines/>
        <w:widowControl w:val="0"/>
        <w:overflowPunct w:val="0"/>
        <w:autoSpaceDE w:val="0"/>
        <w:autoSpaceDN w:val="0"/>
        <w:adjustRightInd w:val="0"/>
        <w:spacing w:line="240" w:lineRule="auto"/>
        <w:ind w:firstLine="0"/>
        <w:textAlignment w:val="baseline"/>
        <w:rPr>
          <w:color w:val="000000" w:themeColor="text1"/>
          <w:szCs w:val="26"/>
        </w:rPr>
      </w:pPr>
      <w:r w:rsidRPr="00FF2A79">
        <w:rPr>
          <w:rFonts w:eastAsia="Book Antiqua" w:cs="Book Antiqua"/>
          <w:color w:val="000000" w:themeColor="text1"/>
          <w:szCs w:val="26"/>
        </w:rPr>
        <w:t>The infrastructure project grantee shall start the project within 30 days upon grant approval and complete the project execution within a 12-month timeframe.  Should the grantee or Contractor fail to commence work within 30 days of grant approval, the Commission or Director of Communications Division, upon five (5) days written notice to the CASF recipient, reserves the right to terminate the award.  If the grantee is unable to complete the proposed project within the required 12-month timeframe, it must notify the Commission as soon as it becomes aware of this prospect.  The Commission reserves the right to reduce or withhold payment failure to satisfy this requirement.  Grantees must operate and maintain the network for a minimum of five years after it has been installed.</w:t>
      </w:r>
    </w:p>
    <w:p w:rsidRPr="00FF2A79" w:rsidR="00C20211" w:rsidP="00C20211" w:rsidRDefault="00C20211" w14:paraId="5ABB2696" w14:textId="77777777">
      <w:pPr>
        <w:keepLines/>
        <w:widowControl w:val="0"/>
        <w:overflowPunct w:val="0"/>
        <w:autoSpaceDE w:val="0"/>
        <w:autoSpaceDN w:val="0"/>
        <w:adjustRightInd w:val="0"/>
        <w:spacing w:line="240" w:lineRule="auto"/>
        <w:textAlignment w:val="baseline"/>
        <w:rPr>
          <w:color w:val="000000" w:themeColor="text1"/>
          <w:szCs w:val="26"/>
        </w:rPr>
      </w:pPr>
    </w:p>
    <w:p w:rsidRPr="00FF2A79" w:rsidR="00C20211" w:rsidP="00C20211" w:rsidRDefault="00C20211" w14:paraId="58C426E7" w14:textId="77777777">
      <w:pPr>
        <w:widowControl w:val="0"/>
        <w:overflowPunct w:val="0"/>
        <w:autoSpaceDE w:val="0"/>
        <w:autoSpaceDN w:val="0"/>
        <w:adjustRightInd w:val="0"/>
        <w:spacing w:line="240" w:lineRule="auto"/>
        <w:ind w:firstLine="0"/>
        <w:textAlignment w:val="baseline"/>
        <w:rPr>
          <w:color w:val="000000" w:themeColor="text1"/>
          <w:szCs w:val="26"/>
        </w:rPr>
      </w:pPr>
      <w:r w:rsidRPr="00FF2A79">
        <w:rPr>
          <w:rFonts w:eastAsia="Book Antiqua" w:cs="Book Antiqua"/>
          <w:color w:val="000000" w:themeColor="text1"/>
          <w:szCs w:val="26"/>
        </w:rPr>
        <w:t xml:space="preserve">The grantee must complete all the performance on the project before the termination date in accordance with the terms of approval granted by the Commission.  In the event that the grantee fails to complete the project or subsequently operate and maintain the network service in accordance with the terms of approval granted by the Commission and compliance with CASF program guidelines, the grantee must reimburse some or all of the CASF BPHA funds that it has received. </w:t>
      </w:r>
    </w:p>
    <w:p w:rsidRPr="00FF2A79" w:rsidR="00C20211" w:rsidP="00C20211" w:rsidRDefault="00C20211" w14:paraId="781540A9" w14:textId="77777777">
      <w:pPr>
        <w:widowControl w:val="0"/>
        <w:overflowPunct w:val="0"/>
        <w:autoSpaceDE w:val="0"/>
        <w:autoSpaceDN w:val="0"/>
        <w:adjustRightInd w:val="0"/>
        <w:spacing w:line="240" w:lineRule="auto"/>
        <w:ind w:left="360" w:firstLine="0"/>
        <w:textAlignment w:val="baseline"/>
        <w:rPr>
          <w:color w:val="000000" w:themeColor="text1"/>
          <w:szCs w:val="26"/>
        </w:rPr>
      </w:pPr>
    </w:p>
    <w:p w:rsidRPr="00FF2A79" w:rsidR="00C20211" w:rsidP="00C20211" w:rsidRDefault="00C20211" w14:paraId="625E7DF1" w14:textId="77777777">
      <w:pPr>
        <w:widowControl w:val="0"/>
        <w:overflowPunct w:val="0"/>
        <w:autoSpaceDE w:val="0"/>
        <w:autoSpaceDN w:val="0"/>
        <w:adjustRightInd w:val="0"/>
        <w:spacing w:line="240" w:lineRule="auto"/>
        <w:ind w:firstLine="0"/>
        <w:textAlignment w:val="baseline"/>
        <w:rPr>
          <w:color w:val="000000" w:themeColor="text1"/>
          <w:szCs w:val="26"/>
        </w:rPr>
      </w:pPr>
      <w:r w:rsidRPr="7139016B">
        <w:rPr>
          <w:color w:val="000000" w:themeColor="text1"/>
        </w:rPr>
        <w:t>Material changes in the entries for this application, such as discontinuing operation or bankruptcy, or change of name (DBA</w:t>
      </w:r>
      <w:r w:rsidRPr="7139016B">
        <w:rPr>
          <w:rStyle w:val="FootnoteReference"/>
          <w:color w:val="000000" w:themeColor="text1"/>
        </w:rPr>
        <w:footnoteReference w:id="83"/>
      </w:r>
      <w:r w:rsidRPr="7139016B">
        <w:rPr>
          <w:color w:val="000000" w:themeColor="text1"/>
        </w:rPr>
        <w:t xml:space="preserve">), change of address, telephone, fax number or email address must be reported immediately by a letter to the CPUC, Director of the Communications Division, 505 Van Ness Avenue, San Francisco, CA  94102. </w:t>
      </w:r>
    </w:p>
    <w:p w:rsidRPr="00FF2A79" w:rsidR="00C20211" w:rsidP="00C20211" w:rsidRDefault="00C20211" w14:paraId="5E126BC7" w14:textId="77777777">
      <w:pPr>
        <w:rPr>
          <w:szCs w:val="26"/>
        </w:rPr>
      </w:pPr>
      <w:r w:rsidRPr="00FF2A79">
        <w:rPr>
          <w:rFonts w:eastAsia="Book Antiqua" w:cs="Book Antiqua"/>
          <w:color w:val="000000" w:themeColor="text1"/>
          <w:szCs w:val="26"/>
        </w:rPr>
        <w:t xml:space="preserve"> </w:t>
      </w:r>
    </w:p>
    <w:p w:rsidRPr="00FF2A79" w:rsidR="00C20211" w:rsidP="00BB504D" w:rsidRDefault="00C20211" w14:paraId="03BD9A59" w14:textId="5C0FB1F8">
      <w:pPr>
        <w:pStyle w:val="ListParagraph"/>
        <w:keepNext/>
        <w:keepLines/>
        <w:numPr>
          <w:ilvl w:val="0"/>
          <w:numId w:val="22"/>
        </w:numPr>
        <w:overflowPunct w:val="0"/>
        <w:autoSpaceDE w:val="0"/>
        <w:autoSpaceDN w:val="0"/>
        <w:adjustRightInd w:val="0"/>
        <w:spacing w:after="120" w:line="240" w:lineRule="auto"/>
        <w:ind w:left="720" w:hanging="720"/>
        <w:textAlignment w:val="baseline"/>
        <w:rPr>
          <w:b/>
          <w:color w:val="000000" w:themeColor="text1"/>
          <w:szCs w:val="26"/>
        </w:rPr>
      </w:pPr>
      <w:r w:rsidRPr="00FF2A79">
        <w:rPr>
          <w:b/>
          <w:color w:val="000000" w:themeColor="text1"/>
          <w:szCs w:val="26"/>
        </w:rPr>
        <w:t xml:space="preserve">Consent form or Compliance Changes </w:t>
      </w:r>
      <w:r w:rsidR="00EA1D3A">
        <w:rPr>
          <w:b/>
          <w:color w:val="000000" w:themeColor="text1"/>
          <w:szCs w:val="26"/>
        </w:rPr>
        <w:br/>
      </w:r>
      <w:r w:rsidRPr="00FF2A79">
        <w:rPr>
          <w:b/>
          <w:color w:val="000000" w:themeColor="text1"/>
          <w:szCs w:val="26"/>
        </w:rPr>
        <w:t>Pursuant to CASF Performance Audit</w:t>
      </w:r>
    </w:p>
    <w:p w:rsidRPr="00FF2A79" w:rsidR="00C20211" w:rsidP="00EA1D3A" w:rsidRDefault="00C20211" w14:paraId="1BD6EEC6" w14:textId="77777777">
      <w:pPr>
        <w:keepNext/>
        <w:keepLines/>
        <w:overflowPunct w:val="0"/>
        <w:autoSpaceDE w:val="0"/>
        <w:autoSpaceDN w:val="0"/>
        <w:adjustRightInd w:val="0"/>
        <w:spacing w:line="240" w:lineRule="auto"/>
        <w:ind w:firstLine="0"/>
        <w:textAlignment w:val="baseline"/>
        <w:rPr>
          <w:color w:val="000000" w:themeColor="text1"/>
          <w:szCs w:val="26"/>
        </w:rPr>
      </w:pPr>
      <w:r w:rsidRPr="00FF2A79">
        <w:rPr>
          <w:color w:val="000000" w:themeColor="text1"/>
          <w:szCs w:val="26"/>
        </w:rPr>
        <w:t xml:space="preserve">All grantees are required to sign a consent form agreeing to the terms stated in the resolution or award letter authorizing the CASF award.  The agreement will provide the name of the grantee, names of officers, and must be signed by the grantee.  The proposed wording of the consent form is in Attachment B to this document. </w:t>
      </w:r>
    </w:p>
    <w:p w:rsidRPr="00EA1D3A" w:rsidR="00C20211" w:rsidP="00C20211" w:rsidRDefault="00C20211" w14:paraId="1F92DC60" w14:textId="77777777">
      <w:pPr>
        <w:rPr>
          <w:sz w:val="12"/>
          <w:szCs w:val="12"/>
        </w:rPr>
      </w:pPr>
      <w:r w:rsidRPr="00EA1D3A">
        <w:rPr>
          <w:rFonts w:eastAsia="Book Antiqua" w:cs="Book Antiqua"/>
          <w:color w:val="000000" w:themeColor="text1"/>
          <w:sz w:val="12"/>
          <w:szCs w:val="12"/>
        </w:rPr>
        <w:t xml:space="preserve"> </w:t>
      </w:r>
    </w:p>
    <w:p w:rsidRPr="00FF2A79" w:rsidR="00C20211" w:rsidP="00BB504D" w:rsidRDefault="00C20211" w14:paraId="601D1C6D" w14:textId="77777777">
      <w:pPr>
        <w:pStyle w:val="ListParagraph"/>
        <w:keepLines/>
        <w:widowControl w:val="0"/>
        <w:numPr>
          <w:ilvl w:val="0"/>
          <w:numId w:val="23"/>
        </w:numPr>
        <w:overflowPunct w:val="0"/>
        <w:autoSpaceDE w:val="0"/>
        <w:autoSpaceDN w:val="0"/>
        <w:adjustRightInd w:val="0"/>
        <w:spacing w:after="120" w:line="240" w:lineRule="auto"/>
        <w:textAlignment w:val="baseline"/>
        <w:rPr>
          <w:b/>
          <w:bCs/>
          <w:color w:val="000000" w:themeColor="text1"/>
          <w:szCs w:val="26"/>
        </w:rPr>
      </w:pPr>
      <w:r w:rsidRPr="00FF2A79">
        <w:rPr>
          <w:b/>
          <w:bCs/>
          <w:color w:val="000000" w:themeColor="text1"/>
          <w:szCs w:val="26"/>
        </w:rPr>
        <w:lastRenderedPageBreak/>
        <w:t>Penalties</w:t>
      </w:r>
    </w:p>
    <w:p w:rsidRPr="00FF2A79" w:rsidR="00C20211" w:rsidP="00C20211" w:rsidRDefault="00C20211" w14:paraId="57D85B5C" w14:textId="77777777">
      <w:pPr>
        <w:keepLines/>
        <w:widowControl w:val="0"/>
        <w:overflowPunct w:val="0"/>
        <w:autoSpaceDE w:val="0"/>
        <w:autoSpaceDN w:val="0"/>
        <w:adjustRightInd w:val="0"/>
        <w:spacing w:line="240" w:lineRule="auto"/>
        <w:ind w:firstLine="0"/>
        <w:textAlignment w:val="baseline"/>
        <w:rPr>
          <w:color w:val="000000" w:themeColor="text1"/>
          <w:szCs w:val="26"/>
        </w:rPr>
      </w:pPr>
      <w:r w:rsidRPr="00FF2A79">
        <w:rPr>
          <w:rFonts w:eastAsia="Book Antiqua" w:cs="Book Antiqua"/>
          <w:color w:val="000000" w:themeColor="text1"/>
          <w:szCs w:val="26"/>
        </w:rPr>
        <w:t xml:space="preserve">Grantees must agree to the following language in the affidavit found in Attachment A to this Decision. </w:t>
      </w:r>
    </w:p>
    <w:p w:rsidRPr="00FF2A79" w:rsidR="00C20211" w:rsidP="00C20211" w:rsidRDefault="00C20211" w14:paraId="2235C97E" w14:textId="77777777">
      <w:pPr>
        <w:spacing w:line="240" w:lineRule="auto"/>
        <w:ind w:firstLine="0"/>
        <w:rPr>
          <w:szCs w:val="26"/>
        </w:rPr>
      </w:pPr>
      <w:r w:rsidRPr="00FF2A79">
        <w:rPr>
          <w:rFonts w:eastAsia="Book Antiqua" w:cs="Book Antiqua"/>
          <w:color w:val="000000" w:themeColor="text1"/>
          <w:szCs w:val="26"/>
        </w:rPr>
        <w:t xml:space="preserve"> </w:t>
      </w:r>
    </w:p>
    <w:p w:rsidRPr="00FF2A79" w:rsidR="00C20211" w:rsidP="00C20211" w:rsidRDefault="00C20211" w14:paraId="047F9DED" w14:textId="77777777">
      <w:pPr>
        <w:keepLines/>
        <w:widowControl w:val="0"/>
        <w:overflowPunct w:val="0"/>
        <w:autoSpaceDE w:val="0"/>
        <w:autoSpaceDN w:val="0"/>
        <w:adjustRightInd w:val="0"/>
        <w:spacing w:line="240" w:lineRule="auto"/>
        <w:ind w:firstLine="0"/>
        <w:textAlignment w:val="baseline"/>
        <w:rPr>
          <w:i/>
          <w:color w:val="000000" w:themeColor="text1"/>
          <w:szCs w:val="26"/>
        </w:rPr>
      </w:pPr>
      <w:r w:rsidRPr="00FF2A79">
        <w:rPr>
          <w:rFonts w:eastAsia="Book Antiqua" w:cs="Book Antiqua"/>
          <w:i/>
          <w:color w:val="000000" w:themeColor="text1"/>
          <w:szCs w:val="26"/>
        </w:rPr>
        <w:t>If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FF2A79" w:rsidR="00C20211" w:rsidP="00C20211" w:rsidRDefault="00C20211" w14:paraId="2EDA3496" w14:textId="77777777">
      <w:pPr>
        <w:keepLines/>
        <w:widowControl w:val="0"/>
        <w:overflowPunct w:val="0"/>
        <w:autoSpaceDE w:val="0"/>
        <w:autoSpaceDN w:val="0"/>
        <w:adjustRightInd w:val="0"/>
        <w:spacing w:line="240" w:lineRule="auto"/>
        <w:ind w:left="360"/>
        <w:textAlignment w:val="baseline"/>
        <w:rPr>
          <w:color w:val="000000" w:themeColor="text1"/>
          <w:szCs w:val="26"/>
        </w:rPr>
      </w:pPr>
    </w:p>
    <w:p w:rsidRPr="00FF2A79" w:rsidR="00C20211" w:rsidP="00C20211" w:rsidRDefault="00C20211" w14:paraId="04202DC5"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color w:val="000000" w:themeColor="text1"/>
          <w:szCs w:val="26"/>
        </w:rPr>
        <w:t xml:space="preserve">Submit completed applications online at </w:t>
      </w:r>
      <w:hyperlink w:history="1" r:id="rId33">
        <w:r w:rsidRPr="00FF2A79">
          <w:rPr>
            <w:rStyle w:val="Hyperlink"/>
            <w:color w:val="000000" w:themeColor="text1"/>
            <w:szCs w:val="26"/>
          </w:rPr>
          <w:t>https://kwftp.cpuc.ca.gov</w:t>
        </w:r>
      </w:hyperlink>
      <w:r w:rsidRPr="00FF2A79">
        <w:rPr>
          <w:color w:val="000000" w:themeColor="text1"/>
          <w:szCs w:val="26"/>
        </w:rPr>
        <w:t xml:space="preserve"> with hard copies mailed separately to:</w:t>
      </w:r>
    </w:p>
    <w:p w:rsidRPr="00FF2A79" w:rsidR="00C20211" w:rsidP="00C20211" w:rsidRDefault="00C20211" w14:paraId="618898C9"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p>
    <w:p w:rsidRPr="00FF2A79" w:rsidR="00C20211" w:rsidP="00C20211" w:rsidRDefault="00C20211" w14:paraId="505A3607"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Communications Division</w:t>
      </w:r>
    </w:p>
    <w:p w:rsidRPr="00FF2A79" w:rsidR="00C20211" w:rsidP="00C20211" w:rsidRDefault="00C20211" w14:paraId="2FD790AC"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Attn:  California Advanced Services Fund</w:t>
      </w:r>
    </w:p>
    <w:p w:rsidRPr="00FF2A79" w:rsidR="00C20211" w:rsidP="00C20211" w:rsidRDefault="00C20211" w14:paraId="7BD5E010"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California Public Utilities Commission</w:t>
      </w:r>
    </w:p>
    <w:p w:rsidRPr="00FF2A79" w:rsidR="00C20211" w:rsidP="00C20211" w:rsidRDefault="00C20211" w14:paraId="5701ADE3"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505 Van Ness Ave.</w:t>
      </w:r>
    </w:p>
    <w:p w:rsidRPr="00FF2A79" w:rsidR="00C20211" w:rsidP="00C20211" w:rsidRDefault="00C20211" w14:paraId="7678C2D7" w14:textId="77777777">
      <w:pPr>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San Francisco, CA   94102</w:t>
      </w:r>
    </w:p>
    <w:p w:rsidRPr="00FF2A79" w:rsidR="00C20211" w:rsidP="00C20211" w:rsidRDefault="00C20211" w14:paraId="11D7A918" w14:textId="77777777">
      <w:pPr>
        <w:keepNext/>
        <w:widowControl w:val="0"/>
        <w:overflowPunct w:val="0"/>
        <w:autoSpaceDE w:val="0"/>
        <w:autoSpaceDN w:val="0"/>
        <w:adjustRightInd w:val="0"/>
        <w:spacing w:line="240" w:lineRule="auto"/>
        <w:ind w:left="360"/>
        <w:jc w:val="center"/>
        <w:textAlignment w:val="baseline"/>
        <w:rPr>
          <w:color w:val="000000" w:themeColor="text1"/>
          <w:szCs w:val="26"/>
        </w:rPr>
      </w:pPr>
    </w:p>
    <w:p w:rsidRPr="00FF2A79" w:rsidR="00C20211" w:rsidP="00C20211" w:rsidRDefault="00C20211" w14:paraId="197EC248"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Office of Ratepayer Advocates</w:t>
      </w:r>
    </w:p>
    <w:p w:rsidRPr="00FF2A79" w:rsidR="00C20211" w:rsidP="00C20211" w:rsidRDefault="00C20211" w14:paraId="2EEFFF5A"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Re:  California Advanced Services Fund</w:t>
      </w:r>
    </w:p>
    <w:p w:rsidRPr="00FF2A79" w:rsidR="00C20211" w:rsidP="00C20211" w:rsidRDefault="00C20211" w14:paraId="4823E634"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California Public Utilities Commission</w:t>
      </w:r>
    </w:p>
    <w:p w:rsidRPr="00FF2A79" w:rsidR="00C20211" w:rsidP="00C20211" w:rsidRDefault="00C20211" w14:paraId="24432FCF" w14:textId="77777777">
      <w:pPr>
        <w:keepLines/>
        <w:widowControl w:val="0"/>
        <w:overflowPunct w:val="0"/>
        <w:autoSpaceDE w:val="0"/>
        <w:autoSpaceDN w:val="0"/>
        <w:adjustRightInd w:val="0"/>
        <w:spacing w:line="240" w:lineRule="auto"/>
        <w:ind w:left="360"/>
        <w:jc w:val="center"/>
        <w:textAlignment w:val="baseline"/>
        <w:rPr>
          <w:color w:val="000000" w:themeColor="text1"/>
          <w:szCs w:val="26"/>
        </w:rPr>
      </w:pPr>
      <w:r w:rsidRPr="00FF2A79">
        <w:rPr>
          <w:rFonts w:eastAsia="Book Antiqua" w:cs="Book Antiqua"/>
          <w:color w:val="000000" w:themeColor="text1"/>
          <w:szCs w:val="26"/>
        </w:rPr>
        <w:t>505 Van Ness Ave.</w:t>
      </w:r>
    </w:p>
    <w:p w:rsidR="00EF645D" w:rsidP="00C20211" w:rsidRDefault="00C20211" w14:paraId="1BB36F87" w14:textId="77777777">
      <w:pPr>
        <w:keepLines/>
        <w:widowControl w:val="0"/>
        <w:overflowPunct w:val="0"/>
        <w:autoSpaceDE w:val="0"/>
        <w:autoSpaceDN w:val="0"/>
        <w:adjustRightInd w:val="0"/>
        <w:spacing w:line="240" w:lineRule="auto"/>
        <w:ind w:left="360"/>
        <w:jc w:val="center"/>
        <w:textAlignment w:val="baseline"/>
        <w:rPr>
          <w:rFonts w:eastAsia="Book Antiqua" w:cs="Book Antiqua"/>
          <w:color w:val="000000" w:themeColor="text1"/>
          <w:szCs w:val="26"/>
        </w:rPr>
        <w:sectPr w:rsidR="00EF645D" w:rsidSect="00EF645D">
          <w:headerReference w:type="default" r:id="rId34"/>
          <w:footerReference w:type="default" r:id="rId35"/>
          <w:headerReference w:type="first" r:id="rId36"/>
          <w:footerReference w:type="first" r:id="rId37"/>
          <w:footnotePr>
            <w:numRestart w:val="eachSect"/>
          </w:footnotePr>
          <w:pgSz w:w="12240" w:h="15840"/>
          <w:pgMar w:top="1020" w:right="1560" w:bottom="280" w:left="1340" w:header="771" w:footer="1113" w:gutter="0"/>
          <w:pgNumType w:start="1"/>
          <w:cols w:space="720"/>
          <w:titlePg/>
          <w:docGrid w:linePitch="354"/>
        </w:sectPr>
      </w:pPr>
      <w:r w:rsidRPr="00FF2A79">
        <w:rPr>
          <w:rFonts w:eastAsia="Book Antiqua" w:cs="Book Antiqua"/>
          <w:color w:val="000000" w:themeColor="text1"/>
          <w:szCs w:val="26"/>
        </w:rPr>
        <w:t>San Francisco, CA   94102</w:t>
      </w:r>
    </w:p>
    <w:p w:rsidRPr="00C20211" w:rsidR="00C20211" w:rsidP="00C20211" w:rsidRDefault="00C20211" w14:paraId="1EA01959" w14:textId="77777777">
      <w:pPr>
        <w:keepNext/>
        <w:keepLines/>
        <w:ind w:firstLine="0"/>
      </w:pPr>
    </w:p>
    <w:p w:rsidR="00C20211" w:rsidP="00C20211" w:rsidRDefault="00C20211" w14:paraId="7EF926F9" w14:textId="625899D9">
      <w:pPr>
        <w:keepNext/>
        <w:keepLines/>
        <w:ind w:hanging="90"/>
        <w:jc w:val="center"/>
        <w:rPr>
          <w:b/>
          <w:bCs/>
          <w:sz w:val="64"/>
          <w:szCs w:val="64"/>
        </w:rPr>
      </w:pPr>
    </w:p>
    <w:p w:rsidR="002D17EE" w:rsidP="00C20211" w:rsidRDefault="002D17EE" w14:paraId="7C12FAB6" w14:textId="7F2912FF">
      <w:pPr>
        <w:keepNext/>
        <w:keepLines/>
        <w:ind w:hanging="90"/>
        <w:jc w:val="center"/>
        <w:rPr>
          <w:b/>
          <w:bCs/>
          <w:sz w:val="64"/>
          <w:szCs w:val="64"/>
        </w:rPr>
      </w:pPr>
    </w:p>
    <w:p w:rsidRPr="00C20211" w:rsidR="002D17EE" w:rsidP="00C20211" w:rsidRDefault="002D17EE" w14:paraId="65CABCA4" w14:textId="77777777">
      <w:pPr>
        <w:keepNext/>
        <w:keepLines/>
        <w:ind w:hanging="90"/>
        <w:jc w:val="center"/>
        <w:rPr>
          <w:b/>
          <w:bCs/>
          <w:sz w:val="64"/>
          <w:szCs w:val="64"/>
        </w:rPr>
      </w:pPr>
    </w:p>
    <w:p w:rsidRPr="00C20211" w:rsidR="00C20211" w:rsidP="00C20211" w:rsidRDefault="00C20211" w14:paraId="37590EC7" w14:textId="77777777">
      <w:pPr>
        <w:keepNext/>
        <w:keepLines/>
        <w:ind w:firstLine="0"/>
      </w:pPr>
    </w:p>
    <w:p w:rsidR="00577056" w:rsidP="00C20211" w:rsidRDefault="00C20211" w14:paraId="42C9DC65" w14:textId="77777777">
      <w:pPr>
        <w:keepNext/>
        <w:keepLines/>
        <w:ind w:firstLine="0"/>
        <w:jc w:val="center"/>
        <w:rPr>
          <w:b/>
          <w:sz w:val="64"/>
          <w:szCs w:val="64"/>
        </w:rPr>
        <w:sectPr w:rsidR="00577056" w:rsidSect="00EF645D">
          <w:headerReference w:type="default" r:id="rId38"/>
          <w:footerReference w:type="default" r:id="rId39"/>
          <w:headerReference w:type="first" r:id="rId40"/>
          <w:footerReference w:type="first" r:id="rId41"/>
          <w:pgSz w:w="12240" w:h="15840"/>
          <w:pgMar w:top="1020" w:right="1560" w:bottom="280" w:left="1340" w:header="771" w:footer="1113" w:gutter="0"/>
          <w:pgNumType w:start="1"/>
          <w:cols w:space="720"/>
          <w:titlePg/>
          <w:docGrid w:linePitch="354"/>
        </w:sectPr>
      </w:pPr>
      <w:r w:rsidRPr="00C20211">
        <w:rPr>
          <w:b/>
          <w:sz w:val="64"/>
          <w:szCs w:val="64"/>
        </w:rPr>
        <w:t>Attachment A</w:t>
      </w:r>
    </w:p>
    <w:p w:rsidRPr="00FF2A79" w:rsidR="00C20211" w:rsidP="00577056" w:rsidRDefault="00C20211" w14:paraId="6F3DDBF4" w14:textId="77777777">
      <w:pPr>
        <w:spacing w:after="120" w:line="240" w:lineRule="auto"/>
        <w:ind w:right="-14"/>
        <w:jc w:val="center"/>
        <w:rPr>
          <w:b/>
          <w:color w:val="000000" w:themeColor="text1"/>
          <w:szCs w:val="26"/>
        </w:rPr>
      </w:pPr>
      <w:r w:rsidRPr="00FF2A79">
        <w:rPr>
          <w:b/>
          <w:color w:val="000000" w:themeColor="text1"/>
          <w:szCs w:val="26"/>
        </w:rPr>
        <w:lastRenderedPageBreak/>
        <w:t>ATTACHMENT A</w:t>
      </w:r>
    </w:p>
    <w:p w:rsidRPr="00FF2A79" w:rsidR="00C20211" w:rsidP="00C20211" w:rsidRDefault="00C20211" w14:paraId="332C0B77" w14:textId="77777777">
      <w:pPr>
        <w:ind w:right="-18"/>
        <w:jc w:val="center"/>
        <w:rPr>
          <w:b/>
          <w:color w:val="000000" w:themeColor="text1"/>
          <w:szCs w:val="26"/>
        </w:rPr>
      </w:pPr>
      <w:r w:rsidRPr="00FF2A79">
        <w:rPr>
          <w:b/>
          <w:color w:val="000000" w:themeColor="text1"/>
          <w:szCs w:val="26"/>
        </w:rPr>
        <w:t>NOTARIZED AFFIDAVIT</w:t>
      </w:r>
    </w:p>
    <w:p w:rsidRPr="00FF2A79" w:rsidR="00C20211" w:rsidP="00C20211" w:rsidRDefault="00C20211" w14:paraId="3BC09665" w14:textId="77777777">
      <w:pPr>
        <w:spacing w:line="240" w:lineRule="auto"/>
        <w:ind w:right="-18" w:firstLine="0"/>
        <w:rPr>
          <w:color w:val="000000" w:themeColor="text1"/>
          <w:szCs w:val="26"/>
        </w:rPr>
      </w:pPr>
      <w:r w:rsidRPr="00FF2A79">
        <w:rPr>
          <w:color w:val="000000" w:themeColor="text1"/>
          <w:szCs w:val="26"/>
        </w:rPr>
        <w:t>Name of Publicly Supported Community (PSC)____________________________________</w:t>
      </w:r>
    </w:p>
    <w:p w:rsidRPr="00FF2A79" w:rsidR="00C20211" w:rsidP="00C20211" w:rsidRDefault="00C20211" w14:paraId="66566313" w14:textId="77777777">
      <w:pPr>
        <w:spacing w:line="240" w:lineRule="auto"/>
        <w:ind w:right="-18" w:firstLine="0"/>
        <w:rPr>
          <w:color w:val="000000" w:themeColor="text1"/>
          <w:szCs w:val="26"/>
        </w:rPr>
      </w:pPr>
    </w:p>
    <w:p w:rsidRPr="00FF2A79" w:rsidR="00C20211" w:rsidP="00C20211" w:rsidRDefault="00C20211" w14:paraId="1B23CD8F" w14:textId="77777777">
      <w:pPr>
        <w:spacing w:line="240" w:lineRule="auto"/>
        <w:ind w:right="-18" w:firstLine="0"/>
        <w:rPr>
          <w:color w:val="000000" w:themeColor="text1"/>
          <w:szCs w:val="26"/>
        </w:rPr>
      </w:pPr>
      <w:r w:rsidRPr="00FF2A79">
        <w:rPr>
          <w:color w:val="000000" w:themeColor="text1"/>
          <w:szCs w:val="26"/>
        </w:rPr>
        <w:t>My name is ____________________________.  I am ___________________ [Title] of __________________________ [PSC].  My personal knowledge of the facts stated herein has been derived from my employment with ____________________________ [Company]</w:t>
      </w:r>
    </w:p>
    <w:p w:rsidRPr="00FF2A79" w:rsidR="00C20211" w:rsidP="00C20211" w:rsidRDefault="00C20211" w14:paraId="4791B1E1" w14:textId="77777777">
      <w:pPr>
        <w:spacing w:line="240" w:lineRule="auto"/>
        <w:ind w:right="-18" w:firstLine="0"/>
        <w:rPr>
          <w:color w:val="000000" w:themeColor="text1"/>
          <w:szCs w:val="26"/>
        </w:rPr>
      </w:pPr>
    </w:p>
    <w:p w:rsidRPr="00FF2A79" w:rsidR="00C20211" w:rsidP="00C20211" w:rsidRDefault="00C20211" w14:paraId="3B61D0CB" w14:textId="77777777">
      <w:pPr>
        <w:spacing w:line="240" w:lineRule="auto"/>
        <w:ind w:right="-18" w:firstLine="0"/>
        <w:rPr>
          <w:color w:val="000000" w:themeColor="text1"/>
          <w:szCs w:val="26"/>
        </w:rPr>
      </w:pPr>
      <w:r w:rsidRPr="00FF2A79">
        <w:rPr>
          <w:color w:val="000000" w:themeColor="text1"/>
          <w:szCs w:val="26"/>
        </w:rPr>
        <w:t xml:space="preserve">I swear or affirm that I have personal knowledge of the facts stated in this Application for the California Advanced Services Fund (CASF), I am competent to testify to them, and I have the authority to make this Application on behalf of and to bind the Company. </w:t>
      </w:r>
    </w:p>
    <w:p w:rsidRPr="00FF2A79" w:rsidR="00C20211" w:rsidP="00C20211" w:rsidRDefault="00C20211" w14:paraId="3293BD3C" w14:textId="77777777">
      <w:pPr>
        <w:spacing w:line="240" w:lineRule="auto"/>
        <w:ind w:right="-18" w:firstLine="0"/>
        <w:rPr>
          <w:color w:val="000000" w:themeColor="text1"/>
          <w:szCs w:val="26"/>
        </w:rPr>
      </w:pPr>
    </w:p>
    <w:p w:rsidRPr="00FF2A79" w:rsidR="00C20211" w:rsidP="00C20211" w:rsidRDefault="00C20211" w14:paraId="68CF7731" w14:textId="77777777">
      <w:pPr>
        <w:spacing w:line="240" w:lineRule="auto"/>
        <w:ind w:right="-18" w:firstLine="0"/>
        <w:rPr>
          <w:color w:val="000000" w:themeColor="text1"/>
          <w:szCs w:val="26"/>
        </w:rPr>
      </w:pPr>
      <w:r w:rsidRPr="00FF2A79">
        <w:rPr>
          <w:color w:val="000000" w:themeColor="text1"/>
          <w:szCs w:val="26"/>
        </w:rPr>
        <w:t xml:space="preserve">I further swear or affirm that ________________________ [Grantee Name] agrees to comply with all federal and state statutes, rules, and regulations, covering broadband services and state contractual rules and regulations, if granted funding from the California Advanced Services Fund. </w:t>
      </w:r>
    </w:p>
    <w:p w:rsidRPr="00FF2A79" w:rsidR="00C20211" w:rsidP="00C20211" w:rsidRDefault="00C20211" w14:paraId="7A1C8F2E" w14:textId="77777777">
      <w:pPr>
        <w:spacing w:line="240" w:lineRule="auto"/>
        <w:ind w:right="-18" w:firstLine="0"/>
        <w:rPr>
          <w:color w:val="000000" w:themeColor="text1"/>
          <w:szCs w:val="26"/>
        </w:rPr>
      </w:pPr>
    </w:p>
    <w:p w:rsidRPr="00FF2A79" w:rsidR="00C20211" w:rsidP="00C20211" w:rsidRDefault="00C20211" w14:paraId="34ADC5A2" w14:textId="77777777">
      <w:pPr>
        <w:spacing w:line="240" w:lineRule="auto"/>
        <w:ind w:right="-18" w:firstLine="0"/>
        <w:rPr>
          <w:color w:val="000000" w:themeColor="text1"/>
          <w:szCs w:val="26"/>
        </w:rPr>
      </w:pPr>
      <w:r w:rsidRPr="00FF2A79">
        <w:rPr>
          <w:color w:val="000000" w:themeColor="text1"/>
          <w:szCs w:val="26"/>
        </w:rPr>
        <w:t>I swear or affirm that I agree to comply with Rules 1.11 and 2.2 of the California Public Utilities Commission’s Rules of Practice and Procedure and CASF program requirements.</w:t>
      </w:r>
    </w:p>
    <w:p w:rsidRPr="00FF2A79" w:rsidR="00C20211" w:rsidP="00C20211" w:rsidRDefault="00C20211" w14:paraId="09839D50" w14:textId="77777777">
      <w:pPr>
        <w:spacing w:line="240" w:lineRule="auto"/>
        <w:ind w:right="-18" w:firstLine="0"/>
        <w:rPr>
          <w:color w:val="000000" w:themeColor="text1"/>
          <w:szCs w:val="26"/>
        </w:rPr>
      </w:pPr>
    </w:p>
    <w:p w:rsidRPr="00FF2A79" w:rsidR="00C20211" w:rsidP="00C20211" w:rsidRDefault="00C20211" w14:paraId="1936C827" w14:textId="77777777">
      <w:pPr>
        <w:spacing w:line="240" w:lineRule="auto"/>
        <w:ind w:right="-18" w:firstLine="0"/>
        <w:rPr>
          <w:color w:val="000000" w:themeColor="text1"/>
          <w:szCs w:val="26"/>
        </w:rPr>
      </w:pPr>
      <w:r w:rsidRPr="00FF2A79">
        <w:rPr>
          <w:color w:val="000000" w:themeColor="text1"/>
          <w:szCs w:val="26"/>
        </w:rPr>
        <w:t>I swear or affirm that by receiving a CASF grant, [Grantee Name] agrees to comply with the terms, conditions, and requirements of the grant and thus submits to the jurisdiction of the Commission with respect to the disbursement and administration of the grant.</w:t>
      </w:r>
    </w:p>
    <w:p w:rsidRPr="00FF2A79" w:rsidR="00C20211" w:rsidP="00C20211" w:rsidRDefault="00C20211" w14:paraId="65A93B96" w14:textId="77777777">
      <w:pPr>
        <w:spacing w:line="240" w:lineRule="auto"/>
        <w:ind w:right="-18" w:firstLine="0"/>
        <w:rPr>
          <w:color w:val="000000" w:themeColor="text1"/>
          <w:szCs w:val="26"/>
        </w:rPr>
      </w:pPr>
      <w:r w:rsidRPr="00FF2A79">
        <w:rPr>
          <w:color w:val="000000" w:themeColor="text1"/>
          <w:szCs w:val="26"/>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FF2A79" w:rsidR="00C20211" w:rsidP="00C20211" w:rsidRDefault="00C20211" w14:paraId="285FC4E8" w14:textId="77777777">
      <w:pPr>
        <w:spacing w:line="240" w:lineRule="auto"/>
        <w:ind w:right="-18" w:firstLine="0"/>
        <w:rPr>
          <w:color w:val="000000" w:themeColor="text1"/>
          <w:szCs w:val="26"/>
        </w:rPr>
      </w:pPr>
    </w:p>
    <w:p w:rsidRPr="00FF2A79" w:rsidR="00C20211" w:rsidP="00C20211" w:rsidRDefault="00C20211" w14:paraId="7D11C2D5" w14:textId="77777777">
      <w:pPr>
        <w:spacing w:line="240" w:lineRule="auto"/>
        <w:ind w:right="-18" w:firstLine="0"/>
        <w:rPr>
          <w:color w:val="000000" w:themeColor="text1"/>
          <w:szCs w:val="26"/>
        </w:rPr>
      </w:pPr>
      <w:r w:rsidRPr="00FF2A79">
        <w:rPr>
          <w:color w:val="000000" w:themeColor="text1"/>
          <w:szCs w:val="26"/>
        </w:rPr>
        <w:t xml:space="preserve">If ____________________ [Grantee Name] violates the terms and conditions of a CASF award or other program and project compliance requirements, it shall be subject to Public Utilities Code sections 2108 and 2111. The Commission may impose the maximum penalties allowed under Public Utilities Code sections </w:t>
      </w:r>
      <w:r w:rsidRPr="00FF2A79">
        <w:rPr>
          <w:color w:val="000000" w:themeColor="text1"/>
          <w:szCs w:val="26"/>
        </w:rPr>
        <w:lastRenderedPageBreak/>
        <w:t xml:space="preserve">2108 and 2111 for failure to meet the program and project compliance requirements, as determined by the Commission. </w:t>
      </w:r>
    </w:p>
    <w:p w:rsidRPr="00FF2A79" w:rsidR="00C20211" w:rsidP="00C20211" w:rsidRDefault="00C20211" w14:paraId="2D6C5B51" w14:textId="77777777">
      <w:pPr>
        <w:spacing w:line="240" w:lineRule="auto"/>
        <w:ind w:right="-18" w:firstLine="0"/>
        <w:rPr>
          <w:color w:val="000000" w:themeColor="text1"/>
          <w:szCs w:val="26"/>
        </w:rPr>
      </w:pPr>
    </w:p>
    <w:p w:rsidRPr="00FF2A79" w:rsidR="00C20211" w:rsidP="00C20211" w:rsidRDefault="00C20211" w14:paraId="30F808AB" w14:textId="77777777">
      <w:pPr>
        <w:spacing w:line="240" w:lineRule="auto"/>
        <w:ind w:right="-18" w:firstLine="0"/>
        <w:rPr>
          <w:color w:val="000000" w:themeColor="text1"/>
          <w:szCs w:val="26"/>
        </w:rPr>
      </w:pPr>
      <w:r w:rsidRPr="00FF2A79">
        <w:rPr>
          <w:color w:val="000000" w:themeColor="text1"/>
          <w:szCs w:val="26"/>
        </w:rPr>
        <w:t xml:space="preserve">Adoption project applicants </w:t>
      </w:r>
      <w:r w:rsidRPr="00FF2A79">
        <w:rPr>
          <w:b/>
          <w:color w:val="000000" w:themeColor="text1"/>
          <w:szCs w:val="26"/>
        </w:rPr>
        <w:t>only</w:t>
      </w:r>
      <w:r w:rsidRPr="00FF2A79">
        <w:rPr>
          <w:color w:val="000000" w:themeColor="text1"/>
          <w:szCs w:val="26"/>
        </w:rPr>
        <w:t xml:space="preserve">: I attest that the ________________[PSC] is wired and broadband Internet service is available to all PSC units on the property. </w:t>
      </w:r>
    </w:p>
    <w:p w:rsidRPr="00FF2A79" w:rsidR="00C20211" w:rsidP="00C20211" w:rsidRDefault="00C20211" w14:paraId="36716495" w14:textId="77777777">
      <w:pPr>
        <w:spacing w:line="240" w:lineRule="auto"/>
        <w:ind w:right="-18" w:firstLine="0"/>
        <w:rPr>
          <w:color w:val="000000" w:themeColor="text1"/>
          <w:szCs w:val="26"/>
        </w:rPr>
      </w:pPr>
    </w:p>
    <w:p w:rsidRPr="00FF2A79" w:rsidR="00C20211" w:rsidP="00C20211" w:rsidRDefault="00C20211" w14:paraId="372C8783" w14:textId="77777777">
      <w:pPr>
        <w:spacing w:line="240" w:lineRule="auto"/>
        <w:ind w:right="-18" w:firstLine="0"/>
        <w:rPr>
          <w:color w:val="000000" w:themeColor="text1"/>
          <w:szCs w:val="26"/>
        </w:rPr>
      </w:pPr>
      <w:r w:rsidRPr="00FF2A79">
        <w:rPr>
          <w:color w:val="000000" w:themeColor="text1"/>
          <w:szCs w:val="26"/>
        </w:rPr>
        <w:t>___________________________</w:t>
      </w:r>
    </w:p>
    <w:p w:rsidRPr="00FF2A79" w:rsidR="00C20211" w:rsidP="00C20211" w:rsidRDefault="00C20211" w14:paraId="42578F32" w14:textId="77777777">
      <w:pPr>
        <w:spacing w:line="240" w:lineRule="auto"/>
        <w:ind w:right="-18" w:firstLine="0"/>
        <w:rPr>
          <w:color w:val="000000" w:themeColor="text1"/>
          <w:szCs w:val="26"/>
        </w:rPr>
      </w:pPr>
      <w:r w:rsidRPr="00FF2A79">
        <w:rPr>
          <w:color w:val="000000" w:themeColor="text1"/>
          <w:szCs w:val="26"/>
        </w:rPr>
        <w:t>Signature and title</w:t>
      </w:r>
    </w:p>
    <w:p w:rsidRPr="00FF2A79" w:rsidR="00C20211" w:rsidP="00C20211" w:rsidRDefault="00C20211" w14:paraId="341D4C81" w14:textId="77777777">
      <w:pPr>
        <w:spacing w:line="240" w:lineRule="auto"/>
        <w:ind w:right="-18" w:firstLine="0"/>
        <w:rPr>
          <w:color w:val="000000" w:themeColor="text1"/>
          <w:szCs w:val="26"/>
        </w:rPr>
      </w:pPr>
    </w:p>
    <w:p w:rsidRPr="00FF2A79" w:rsidR="00C20211" w:rsidP="00C20211" w:rsidRDefault="00C20211" w14:paraId="630CB472" w14:textId="77777777">
      <w:pPr>
        <w:spacing w:line="240" w:lineRule="auto"/>
        <w:ind w:right="-18" w:firstLine="0"/>
        <w:rPr>
          <w:color w:val="000000" w:themeColor="text1"/>
          <w:szCs w:val="26"/>
        </w:rPr>
      </w:pPr>
      <w:r w:rsidRPr="00FF2A79">
        <w:rPr>
          <w:color w:val="000000" w:themeColor="text1"/>
          <w:szCs w:val="26"/>
        </w:rPr>
        <w:t>___________________________</w:t>
      </w:r>
    </w:p>
    <w:p w:rsidRPr="00FF2A79" w:rsidR="00C20211" w:rsidP="00C20211" w:rsidRDefault="00C20211" w14:paraId="79737378" w14:textId="77777777">
      <w:pPr>
        <w:spacing w:line="240" w:lineRule="auto"/>
        <w:ind w:right="-18" w:firstLine="0"/>
        <w:rPr>
          <w:color w:val="000000" w:themeColor="text1"/>
          <w:szCs w:val="26"/>
        </w:rPr>
      </w:pPr>
      <w:r w:rsidRPr="00FF2A79">
        <w:rPr>
          <w:color w:val="000000" w:themeColor="text1"/>
          <w:szCs w:val="26"/>
        </w:rPr>
        <w:t>Type or print name and title</w:t>
      </w:r>
    </w:p>
    <w:p w:rsidRPr="00FF2A79" w:rsidR="00C20211" w:rsidP="00C20211" w:rsidRDefault="00C20211" w14:paraId="5D21BEAC" w14:textId="77777777">
      <w:pPr>
        <w:spacing w:line="240" w:lineRule="auto"/>
        <w:ind w:right="-18" w:firstLine="0"/>
        <w:rPr>
          <w:color w:val="000000" w:themeColor="text1"/>
          <w:szCs w:val="26"/>
        </w:rPr>
      </w:pPr>
    </w:p>
    <w:p w:rsidRPr="00FF2A79" w:rsidR="00C20211" w:rsidP="00C20211" w:rsidRDefault="00C20211" w14:paraId="729CC4E4" w14:textId="77777777">
      <w:pPr>
        <w:spacing w:line="240" w:lineRule="auto"/>
        <w:ind w:right="-14" w:firstLine="0"/>
        <w:rPr>
          <w:color w:val="000000" w:themeColor="text1"/>
          <w:szCs w:val="26"/>
        </w:rPr>
      </w:pPr>
      <w:r w:rsidRPr="00FF2A79">
        <w:rPr>
          <w:b/>
          <w:color w:val="000000" w:themeColor="text1"/>
          <w:szCs w:val="26"/>
        </w:rPr>
        <w:t>SUBSCRIBED AND SWORN</w:t>
      </w:r>
      <w:r w:rsidRPr="00FF2A79">
        <w:rPr>
          <w:color w:val="000000" w:themeColor="text1"/>
          <w:szCs w:val="26"/>
        </w:rPr>
        <w:t xml:space="preserve"> to before me on the _____ day of ____, 20____.</w:t>
      </w:r>
    </w:p>
    <w:p w:rsidRPr="00FF2A79" w:rsidR="00C20211" w:rsidP="00C20211" w:rsidRDefault="00C20211" w14:paraId="033A5B10" w14:textId="77777777">
      <w:pPr>
        <w:spacing w:line="240" w:lineRule="auto"/>
        <w:ind w:firstLine="0"/>
        <w:rPr>
          <w:color w:val="000000" w:themeColor="text1"/>
          <w:szCs w:val="26"/>
        </w:rPr>
      </w:pPr>
      <w:r w:rsidRPr="00FF2A79">
        <w:rPr>
          <w:color w:val="000000" w:themeColor="text1"/>
          <w:szCs w:val="26"/>
        </w:rPr>
        <w:t>Notary Public In and For the State of ________________</w:t>
      </w:r>
      <w:r w:rsidRPr="00FF2A79">
        <w:rPr>
          <w:color w:val="000000" w:themeColor="text1"/>
          <w:szCs w:val="26"/>
        </w:rPr>
        <w:br/>
        <w:t>My Commission expires __________________________</w:t>
      </w:r>
    </w:p>
    <w:p w:rsidRPr="00FF2A79" w:rsidR="00C20211" w:rsidP="00C20211" w:rsidRDefault="00C20211" w14:paraId="70C42E94" w14:textId="77777777">
      <w:pPr>
        <w:spacing w:line="240" w:lineRule="auto"/>
        <w:ind w:firstLine="0"/>
        <w:rPr>
          <w:color w:val="000000" w:themeColor="text1"/>
          <w:szCs w:val="26"/>
        </w:rPr>
      </w:pPr>
    </w:p>
    <w:p w:rsidRPr="00FF2A79" w:rsidR="00C20211" w:rsidP="00C20211" w:rsidRDefault="00C20211" w14:paraId="313BE5B2" w14:textId="77777777">
      <w:pPr>
        <w:jc w:val="center"/>
        <w:rPr>
          <w:b/>
          <w:bCs/>
          <w:color w:val="000000" w:themeColor="text1"/>
          <w:szCs w:val="26"/>
        </w:rPr>
      </w:pPr>
      <w:r w:rsidRPr="00FF2A79">
        <w:rPr>
          <w:b/>
          <w:bCs/>
          <w:color w:val="000000" w:themeColor="text1"/>
          <w:szCs w:val="26"/>
        </w:rPr>
        <w:t>(END OF ATTACHMENT A)</w:t>
      </w:r>
    </w:p>
    <w:p w:rsidRPr="00FF2A79" w:rsidR="00C20211" w:rsidP="00C20211" w:rsidRDefault="00C20211" w14:paraId="61E7A6DE" w14:textId="77777777">
      <w:pPr>
        <w:rPr>
          <w:color w:val="000000" w:themeColor="text1"/>
          <w:szCs w:val="26"/>
        </w:rPr>
      </w:pPr>
    </w:p>
    <w:p w:rsidRPr="00C20211" w:rsidR="00C20211" w:rsidP="00C20211" w:rsidRDefault="00C20211" w14:paraId="0EF97E40" w14:textId="77777777">
      <w:pPr>
        <w:rPr>
          <w:color w:val="000000" w:themeColor="text1"/>
          <w:sz w:val="24"/>
          <w:szCs w:val="24"/>
        </w:rPr>
      </w:pPr>
    </w:p>
    <w:p w:rsidRPr="00C20211" w:rsidR="00C20211" w:rsidP="00C20211" w:rsidRDefault="00C20211" w14:paraId="146D0A6F" w14:textId="77777777">
      <w:pPr>
        <w:rPr>
          <w:color w:val="000000" w:themeColor="text1"/>
          <w:sz w:val="24"/>
          <w:szCs w:val="24"/>
        </w:rPr>
        <w:sectPr w:rsidRPr="00C20211" w:rsidR="00C20211" w:rsidSect="00EF645D">
          <w:headerReference w:type="default" r:id="rId42"/>
          <w:footerReference w:type="default" r:id="rId43"/>
          <w:headerReference w:type="first" r:id="rId44"/>
          <w:footerReference w:type="first" r:id="rId45"/>
          <w:pgSz w:w="12240" w:h="15840"/>
          <w:pgMar w:top="1020" w:right="1560" w:bottom="280" w:left="1340" w:header="771" w:footer="1113" w:gutter="0"/>
          <w:pgNumType w:start="1"/>
          <w:cols w:space="720"/>
          <w:titlePg/>
          <w:docGrid w:linePitch="354"/>
        </w:sectPr>
      </w:pPr>
    </w:p>
    <w:p w:rsidR="00C20211" w:rsidP="00C20211" w:rsidRDefault="00C20211" w14:paraId="36360C1B" w14:textId="079FB7D9">
      <w:pPr>
        <w:keepNext/>
        <w:keepLines/>
        <w:jc w:val="center"/>
      </w:pPr>
    </w:p>
    <w:p w:rsidR="00EF645D" w:rsidP="00C20211" w:rsidRDefault="00EF645D" w14:paraId="155CA260" w14:textId="1DCE0C9A">
      <w:pPr>
        <w:keepNext/>
        <w:keepLines/>
        <w:jc w:val="center"/>
      </w:pPr>
    </w:p>
    <w:p w:rsidR="00EF645D" w:rsidP="00C20211" w:rsidRDefault="00EF645D" w14:paraId="04C62D9E" w14:textId="41D0A651">
      <w:pPr>
        <w:keepNext/>
        <w:keepLines/>
        <w:jc w:val="center"/>
      </w:pPr>
    </w:p>
    <w:p w:rsidR="00EF645D" w:rsidP="00C20211" w:rsidRDefault="00EF645D" w14:paraId="7C8959CC" w14:textId="3C46E849">
      <w:pPr>
        <w:keepNext/>
        <w:keepLines/>
        <w:jc w:val="center"/>
      </w:pPr>
    </w:p>
    <w:p w:rsidR="00EF645D" w:rsidP="00C20211" w:rsidRDefault="00EF645D" w14:paraId="074A180F" w14:textId="40899B44">
      <w:pPr>
        <w:keepNext/>
        <w:keepLines/>
        <w:jc w:val="center"/>
      </w:pPr>
    </w:p>
    <w:p w:rsidR="00EF645D" w:rsidP="00C20211" w:rsidRDefault="00EF645D" w14:paraId="7A1652CC" w14:textId="457346CF">
      <w:pPr>
        <w:keepNext/>
        <w:keepLines/>
        <w:jc w:val="center"/>
      </w:pPr>
    </w:p>
    <w:p w:rsidRPr="00C20211" w:rsidR="00EF645D" w:rsidP="00C20211" w:rsidRDefault="00EF645D" w14:paraId="72703FD9" w14:textId="77777777">
      <w:pPr>
        <w:keepNext/>
        <w:keepLines/>
        <w:jc w:val="center"/>
      </w:pPr>
    </w:p>
    <w:p w:rsidR="00EF645D" w:rsidP="00C20211" w:rsidRDefault="00C20211" w14:paraId="69C71340" w14:textId="77777777">
      <w:pPr>
        <w:keepNext/>
        <w:keepLines/>
        <w:jc w:val="center"/>
        <w:rPr>
          <w:b/>
          <w:sz w:val="64"/>
          <w:szCs w:val="72"/>
        </w:rPr>
        <w:sectPr w:rsidR="00EF645D" w:rsidSect="004505CE">
          <w:headerReference w:type="default" r:id="rId46"/>
          <w:footerReference w:type="default" r:id="rId47"/>
          <w:pgSz w:w="12240" w:h="15840"/>
          <w:pgMar w:top="1728" w:right="1440" w:bottom="1440" w:left="1530" w:header="720" w:footer="720" w:gutter="0"/>
          <w:pgNumType w:start="1"/>
          <w:cols w:space="720"/>
          <w:docGrid w:linePitch="360"/>
        </w:sectPr>
      </w:pPr>
      <w:r w:rsidRPr="00C20211">
        <w:rPr>
          <w:b/>
          <w:sz w:val="64"/>
          <w:szCs w:val="72"/>
        </w:rPr>
        <w:t>Attachment B</w:t>
      </w:r>
    </w:p>
    <w:p w:rsidRPr="00C20211" w:rsidR="00C20211" w:rsidP="00AB4DFA" w:rsidRDefault="00C20211" w14:paraId="6693218D" w14:textId="77777777">
      <w:pPr>
        <w:spacing w:line="240" w:lineRule="auto"/>
        <w:ind w:right="-14"/>
        <w:jc w:val="center"/>
        <w:rPr>
          <w:rFonts w:eastAsia="Palatino Linotype" w:cs="Palatino Linotype"/>
          <w:b/>
          <w:sz w:val="24"/>
          <w:szCs w:val="24"/>
        </w:rPr>
      </w:pPr>
      <w:r w:rsidRPr="00C20211">
        <w:rPr>
          <w:rFonts w:eastAsia="Palatino Linotype" w:cs="Palatino Linotype"/>
          <w:b/>
          <w:sz w:val="24"/>
          <w:szCs w:val="24"/>
        </w:rPr>
        <w:lastRenderedPageBreak/>
        <w:t>ATTACHMENT B</w:t>
      </w:r>
    </w:p>
    <w:p w:rsidRPr="00C20211" w:rsidR="00C20211" w:rsidP="00AB4DFA" w:rsidRDefault="00C20211" w14:paraId="357B150F" w14:textId="77777777">
      <w:pPr>
        <w:spacing w:line="240" w:lineRule="auto"/>
        <w:ind w:right="-14"/>
        <w:jc w:val="center"/>
        <w:rPr>
          <w:rFonts w:eastAsia="Palatino Linotype" w:cs="Palatino Linotype"/>
          <w:b/>
          <w:sz w:val="24"/>
          <w:szCs w:val="24"/>
        </w:rPr>
      </w:pPr>
      <w:r w:rsidRPr="00C20211">
        <w:rPr>
          <w:rFonts w:eastAsia="Palatino Linotype" w:cs="Palatino Linotype"/>
          <w:b/>
          <w:sz w:val="24"/>
          <w:szCs w:val="24"/>
        </w:rPr>
        <w:t>Consent Form</w:t>
      </w:r>
    </w:p>
    <w:p w:rsidRPr="00C20211" w:rsidR="00C20211" w:rsidP="00C20211" w:rsidRDefault="00C20211" w14:paraId="4DE3BD6F" w14:textId="77777777">
      <w:pPr>
        <w:spacing w:before="5" w:line="180" w:lineRule="exact"/>
        <w:rPr>
          <w:sz w:val="18"/>
          <w:szCs w:val="18"/>
        </w:rPr>
      </w:pPr>
    </w:p>
    <w:p w:rsidRPr="00C20211" w:rsidR="00C20211" w:rsidP="00C20211" w:rsidRDefault="00C20211" w14:paraId="34E73520" w14:textId="77777777">
      <w:pPr>
        <w:widowControl w:val="0"/>
        <w:spacing w:line="377" w:lineRule="auto"/>
        <w:ind w:left="-90"/>
        <w:rPr>
          <w:rFonts w:eastAsia="Palatino Linotype" w:cs="Palatino Linotype"/>
          <w:bCs/>
          <w:sz w:val="24"/>
          <w:szCs w:val="24"/>
        </w:rPr>
      </w:pPr>
      <w:r w:rsidRPr="00C20211">
        <w:rPr>
          <w:rFonts w:eastAsia="Palatino Linotype" w:cs="Palatino Linotype"/>
          <w:bCs/>
          <w:sz w:val="24"/>
          <w:szCs w:val="24"/>
        </w:rPr>
        <w:t>Name of Grantee: ________________________________________________________</w:t>
      </w:r>
    </w:p>
    <w:p w:rsidRPr="00C20211" w:rsidR="00C20211" w:rsidP="00C20211" w:rsidRDefault="00C20211" w14:paraId="24EDD263" w14:textId="6B7A346A">
      <w:pPr>
        <w:widowControl w:val="0"/>
        <w:spacing w:line="377" w:lineRule="auto"/>
        <w:ind w:left="-90"/>
        <w:rPr>
          <w:rFonts w:eastAsia="Palatino Linotype" w:cs="Palatino Linotype"/>
          <w:bCs/>
          <w:sz w:val="24"/>
          <w:szCs w:val="24"/>
        </w:rPr>
      </w:pPr>
      <w:r w:rsidRPr="00C20211">
        <w:rPr>
          <w:rFonts w:eastAsia="Palatino Linotype" w:cs="Palatino Linotype"/>
          <w:bCs/>
          <w:sz w:val="24"/>
          <w:szCs w:val="24"/>
        </w:rPr>
        <w:t xml:space="preserve">The Grantee identified above hereby acknowledges receipt of the California Public Utilities Commission Resolution T-__________ or Approval Letter </w:t>
      </w:r>
      <w:r w:rsidR="008218FE">
        <w:rPr>
          <w:rFonts w:eastAsia="Palatino Linotype" w:cs="Palatino Linotype"/>
          <w:bCs/>
          <w:sz w:val="24"/>
          <w:szCs w:val="24"/>
        </w:rPr>
        <w:t>d</w:t>
      </w:r>
      <w:r w:rsidRPr="00C20211">
        <w:rPr>
          <w:rFonts w:eastAsia="Palatino Linotype" w:cs="Palatino Linotype"/>
          <w:bCs/>
          <w:sz w:val="24"/>
          <w:szCs w:val="24"/>
        </w:rPr>
        <w:t>ated __________ and agrees to comply with all grant terms, conditions, and requirements set forth in the Resolution or Approval Letter.</w:t>
      </w:r>
    </w:p>
    <w:p w:rsidRPr="00C20211" w:rsidR="00C20211" w:rsidP="00C20211" w:rsidRDefault="00C20211" w14:paraId="52ACD790" w14:textId="77777777">
      <w:pPr>
        <w:widowControl w:val="0"/>
        <w:spacing w:line="377" w:lineRule="auto"/>
        <w:ind w:left="-90"/>
        <w:rPr>
          <w:rFonts w:eastAsia="Palatino Linotype" w:cs="Palatino Linotype"/>
          <w:bCs/>
          <w:sz w:val="24"/>
          <w:szCs w:val="24"/>
        </w:rPr>
      </w:pPr>
    </w:p>
    <w:p w:rsidRPr="00C20211" w:rsidR="00C20211" w:rsidP="00C20211" w:rsidRDefault="00C20211" w14:paraId="4BD6809C" w14:textId="77777777">
      <w:pPr>
        <w:widowControl w:val="0"/>
        <w:spacing w:line="377" w:lineRule="auto"/>
        <w:ind w:left="-90"/>
        <w:rPr>
          <w:bCs/>
          <w:color w:val="000000" w:themeColor="text1"/>
          <w:sz w:val="24"/>
          <w:szCs w:val="24"/>
        </w:rPr>
      </w:pPr>
      <w:r w:rsidRPr="00C20211">
        <w:rPr>
          <w:bCs/>
          <w:color w:val="000000" w:themeColor="text1"/>
          <w:sz w:val="24"/>
          <w:szCs w:val="24"/>
        </w:rPr>
        <w:t>The undersigned representative of _________________________________ (Name of Grantee) is duly authorized to execute this Consent Form on behalf of the Grantee and to bind the Grantee to the terms, conditions, and requirements set forth in California Public Utilities Commission Resolution T-___________ or Approval Letter.</w:t>
      </w:r>
    </w:p>
    <w:p w:rsidRPr="00C20211" w:rsidR="00C20211" w:rsidP="00C20211" w:rsidRDefault="00C20211" w14:paraId="7F10BD94" w14:textId="77777777">
      <w:pPr>
        <w:widowControl w:val="0"/>
        <w:spacing w:line="377" w:lineRule="auto"/>
        <w:ind w:left="-90"/>
        <w:rPr>
          <w:bCs/>
          <w:color w:val="000000" w:themeColor="text1"/>
          <w:sz w:val="24"/>
          <w:szCs w:val="24"/>
        </w:rPr>
      </w:pPr>
    </w:p>
    <w:p w:rsidRPr="00C20211" w:rsidR="00C20211" w:rsidP="00C20211" w:rsidRDefault="00C20211" w14:paraId="4045DFF6" w14:textId="77777777">
      <w:pPr>
        <w:widowControl w:val="0"/>
        <w:spacing w:line="377" w:lineRule="auto"/>
        <w:ind w:left="-90"/>
        <w:rPr>
          <w:bCs/>
          <w:color w:val="000000" w:themeColor="text1"/>
          <w:sz w:val="24"/>
          <w:szCs w:val="24"/>
        </w:rPr>
      </w:pPr>
      <w:r w:rsidRPr="00C20211">
        <w:rPr>
          <w:bCs/>
          <w:color w:val="000000" w:themeColor="text1"/>
          <w:sz w:val="24"/>
          <w:szCs w:val="24"/>
        </w:rPr>
        <w:t>Dated this _____ day of ___________, 20____.</w:t>
      </w:r>
    </w:p>
    <w:p w:rsidRPr="00C20211" w:rsidR="00C20211" w:rsidP="00C20211" w:rsidRDefault="00C20211" w14:paraId="53ADAA52" w14:textId="77777777">
      <w:pPr>
        <w:widowControl w:val="0"/>
        <w:spacing w:line="377" w:lineRule="auto"/>
        <w:ind w:left="-90"/>
        <w:rPr>
          <w:bCs/>
          <w:color w:val="000000" w:themeColor="text1"/>
          <w:sz w:val="24"/>
          <w:szCs w:val="24"/>
        </w:rPr>
      </w:pPr>
    </w:p>
    <w:p w:rsidRPr="00C20211" w:rsidR="00C20211" w:rsidP="00C20211" w:rsidRDefault="00C20211" w14:paraId="486BF058" w14:textId="77777777">
      <w:pPr>
        <w:widowControl w:val="0"/>
        <w:spacing w:line="377" w:lineRule="auto"/>
        <w:ind w:left="-90"/>
        <w:rPr>
          <w:bCs/>
          <w:color w:val="000000" w:themeColor="text1"/>
          <w:sz w:val="24"/>
          <w:szCs w:val="24"/>
        </w:rPr>
      </w:pPr>
      <w:r w:rsidRPr="00C20211">
        <w:rPr>
          <w:bCs/>
          <w:color w:val="000000" w:themeColor="text1"/>
          <w:sz w:val="24"/>
          <w:szCs w:val="24"/>
        </w:rPr>
        <w:t>Signature:</w:t>
      </w:r>
    </w:p>
    <w:p w:rsidRPr="00C20211" w:rsidR="00C20211" w:rsidP="00C20211" w:rsidRDefault="00C20211" w14:paraId="6FF030AA" w14:textId="77777777">
      <w:pPr>
        <w:widowControl w:val="0"/>
        <w:spacing w:line="377" w:lineRule="auto"/>
        <w:ind w:left="-90"/>
        <w:rPr>
          <w:bCs/>
          <w:color w:val="000000" w:themeColor="text1"/>
          <w:sz w:val="24"/>
          <w:szCs w:val="24"/>
        </w:rPr>
      </w:pPr>
      <w:r w:rsidRPr="00C20211">
        <w:rPr>
          <w:bCs/>
          <w:color w:val="000000" w:themeColor="text1"/>
          <w:sz w:val="24"/>
          <w:szCs w:val="24"/>
        </w:rPr>
        <w:t>Printed Name: ________________________________________________</w:t>
      </w:r>
    </w:p>
    <w:p w:rsidRPr="00C20211" w:rsidR="00C20211" w:rsidP="00C20211" w:rsidRDefault="00C20211" w14:paraId="6C87DBA5" w14:textId="77777777">
      <w:pPr>
        <w:widowControl w:val="0"/>
        <w:spacing w:line="377" w:lineRule="auto"/>
        <w:ind w:left="-90"/>
        <w:rPr>
          <w:bCs/>
          <w:color w:val="000000" w:themeColor="text1"/>
          <w:sz w:val="24"/>
          <w:szCs w:val="24"/>
        </w:rPr>
      </w:pPr>
      <w:r w:rsidRPr="00C20211">
        <w:rPr>
          <w:bCs/>
          <w:color w:val="000000" w:themeColor="text1"/>
          <w:sz w:val="24"/>
          <w:szCs w:val="24"/>
        </w:rPr>
        <w:t>Title: _________________________________________________________</w:t>
      </w:r>
    </w:p>
    <w:p w:rsidRPr="00C20211" w:rsidR="00C20211" w:rsidP="00C20211" w:rsidRDefault="00C20211" w14:paraId="33024CBE" w14:textId="77777777">
      <w:pPr>
        <w:widowControl w:val="0"/>
        <w:spacing w:line="377" w:lineRule="auto"/>
        <w:ind w:left="630" w:firstLine="0"/>
        <w:rPr>
          <w:bCs/>
          <w:color w:val="000000" w:themeColor="text1"/>
          <w:sz w:val="24"/>
          <w:szCs w:val="24"/>
        </w:rPr>
      </w:pPr>
      <w:r w:rsidRPr="00C20211">
        <w:rPr>
          <w:bCs/>
          <w:color w:val="000000" w:themeColor="text1"/>
          <w:sz w:val="24"/>
          <w:szCs w:val="24"/>
        </w:rPr>
        <w:t>Name of Organization or Company: ______________________________________________</w:t>
      </w:r>
    </w:p>
    <w:p w:rsidRPr="00C20211" w:rsidR="00C20211" w:rsidP="00C20211" w:rsidRDefault="00C20211" w14:paraId="7A46DBFA" w14:textId="77777777">
      <w:pPr>
        <w:widowControl w:val="0"/>
        <w:spacing w:line="377" w:lineRule="auto"/>
        <w:ind w:left="-90"/>
        <w:rPr>
          <w:bCs/>
          <w:color w:val="000000" w:themeColor="text1"/>
          <w:sz w:val="24"/>
          <w:szCs w:val="24"/>
        </w:rPr>
      </w:pPr>
      <w:r w:rsidRPr="00C20211">
        <w:rPr>
          <w:bCs/>
          <w:color w:val="000000" w:themeColor="text1"/>
          <w:sz w:val="24"/>
          <w:szCs w:val="24"/>
        </w:rPr>
        <w:t xml:space="preserve">Business Address (street address, suite or apt number, city, </w:t>
      </w:r>
      <w:proofErr w:type="gramStart"/>
      <w:r w:rsidRPr="00C20211">
        <w:rPr>
          <w:bCs/>
          <w:color w:val="000000" w:themeColor="text1"/>
          <w:sz w:val="24"/>
          <w:szCs w:val="24"/>
        </w:rPr>
        <w:t>state</w:t>
      </w:r>
      <w:proofErr w:type="gramEnd"/>
      <w:r w:rsidRPr="00C20211">
        <w:rPr>
          <w:bCs/>
          <w:color w:val="000000" w:themeColor="text1"/>
          <w:sz w:val="24"/>
          <w:szCs w:val="24"/>
        </w:rPr>
        <w:t xml:space="preserve"> and zip code)</w:t>
      </w:r>
    </w:p>
    <w:p w:rsidRPr="00C20211" w:rsidR="00C20211" w:rsidP="00C20211" w:rsidRDefault="00C20211" w14:paraId="0B72068D" w14:textId="77777777">
      <w:pPr>
        <w:widowControl w:val="0"/>
        <w:spacing w:line="377" w:lineRule="auto"/>
        <w:ind w:left="-90"/>
        <w:rPr>
          <w:bCs/>
          <w:color w:val="000000" w:themeColor="text1"/>
          <w:sz w:val="24"/>
          <w:szCs w:val="24"/>
        </w:rPr>
      </w:pPr>
      <w:r w:rsidRPr="00C20211">
        <w:rPr>
          <w:bCs/>
          <w:color w:val="000000" w:themeColor="text1"/>
          <w:sz w:val="24"/>
          <w:szCs w:val="24"/>
        </w:rPr>
        <w:t>________________________________________________________________________</w:t>
      </w:r>
    </w:p>
    <w:p w:rsidRPr="00C20211" w:rsidR="00C20211" w:rsidP="00C20211" w:rsidRDefault="00C20211" w14:paraId="30720519" w14:textId="77777777">
      <w:pPr>
        <w:widowControl w:val="0"/>
        <w:spacing w:line="377" w:lineRule="auto"/>
        <w:ind w:left="-90"/>
        <w:rPr>
          <w:bCs/>
          <w:color w:val="000000" w:themeColor="text1"/>
          <w:sz w:val="24"/>
          <w:szCs w:val="24"/>
        </w:rPr>
      </w:pPr>
      <w:r w:rsidRPr="00C20211">
        <w:rPr>
          <w:bCs/>
          <w:color w:val="000000" w:themeColor="text1"/>
          <w:sz w:val="24"/>
          <w:szCs w:val="24"/>
        </w:rPr>
        <w:t>Telephone Number (include area code): _________________________________</w:t>
      </w:r>
    </w:p>
    <w:p w:rsidRPr="00C20211" w:rsidR="00042000" w:rsidP="00EF645D" w:rsidRDefault="00C20211" w14:paraId="11611202" w14:textId="33164AF7">
      <w:pPr>
        <w:widowControl w:val="0"/>
        <w:spacing w:line="377" w:lineRule="auto"/>
        <w:ind w:left="-90"/>
      </w:pPr>
      <w:r w:rsidRPr="00C20211">
        <w:rPr>
          <w:bCs/>
          <w:color w:val="000000" w:themeColor="text1"/>
          <w:sz w:val="24"/>
          <w:szCs w:val="24"/>
        </w:rPr>
        <w:t>Email Address: _______________________________________________________</w:t>
      </w:r>
    </w:p>
    <w:sectPr w:rsidRPr="00C20211" w:rsidR="00042000" w:rsidSect="004505CE">
      <w:headerReference w:type="default" r:id="rId48"/>
      <w:footerReference w:type="default" r:id="rId49"/>
      <w:pgSz w:w="12240" w:h="15840"/>
      <w:pgMar w:top="1728"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1C64E" w14:textId="77777777" w:rsidR="00192102" w:rsidRDefault="00192102" w:rsidP="0098138E">
      <w:pPr>
        <w:spacing w:line="240" w:lineRule="auto"/>
      </w:pPr>
      <w:r>
        <w:separator/>
      </w:r>
    </w:p>
  </w:endnote>
  <w:endnote w:type="continuationSeparator" w:id="0">
    <w:p w14:paraId="4CB2853F" w14:textId="77777777" w:rsidR="00192102" w:rsidRDefault="00192102" w:rsidP="0098138E">
      <w:pPr>
        <w:spacing w:line="240" w:lineRule="auto"/>
      </w:pPr>
      <w:r>
        <w:continuationSeparator/>
      </w:r>
    </w:p>
  </w:endnote>
  <w:endnote w:type="continuationNotice" w:id="1">
    <w:p w14:paraId="021FEEA8" w14:textId="77777777" w:rsidR="00192102" w:rsidRDefault="00192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1EA8" w14:textId="77777777" w:rsidR="007D2BC0" w:rsidRDefault="007D2B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212974"/>
      <w:docPartObj>
        <w:docPartGallery w:val="Page Numbers (Bottom of Page)"/>
        <w:docPartUnique/>
      </w:docPartObj>
    </w:sdtPr>
    <w:sdtEndPr>
      <w:rPr>
        <w:noProof/>
      </w:rPr>
    </w:sdtEndPr>
    <w:sdtContent>
      <w:p w14:paraId="318B9D31" w14:textId="77777777" w:rsidR="00196DE4" w:rsidRDefault="00196DE4" w:rsidP="00200404">
        <w:pPr>
          <w:pStyle w:val="Footer"/>
          <w:jc w:val="center"/>
        </w:pPr>
        <w:r>
          <w:noBreakHyphen/>
          <w:t xml:space="preserve"> </w:t>
        </w:r>
        <w:r>
          <w:rPr>
            <w:noProof/>
          </w:rPr>
          <w:t>15</w:t>
        </w:r>
        <w:r>
          <w:t xml:space="preserve"> </w:t>
        </w:r>
        <w:r>
          <w:noBreakHyphen/>
        </w:r>
      </w:p>
    </w:sdtContent>
  </w:sdt>
  <w:p w14:paraId="541A2463" w14:textId="77777777" w:rsidR="00196DE4" w:rsidRDefault="00196D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5BA7" w14:textId="5E5BAC4B" w:rsidR="00196DE4" w:rsidRPr="009E4A03" w:rsidRDefault="00196DE4" w:rsidP="009E4A0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133906"/>
      <w:docPartObj>
        <w:docPartGallery w:val="Page Numbers (Bottom of Page)"/>
        <w:docPartUnique/>
      </w:docPartObj>
    </w:sdtPr>
    <w:sdtEndPr>
      <w:rPr>
        <w:noProof/>
      </w:rPr>
    </w:sdtEndPr>
    <w:sdtContent>
      <w:p w14:paraId="61781B87" w14:textId="75979852" w:rsidR="00196DE4" w:rsidRDefault="00196DE4">
        <w:pPr>
          <w:pStyle w:val="Footer"/>
          <w:jc w:val="center"/>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rPr>
            <w:noProof/>
          </w:rPr>
          <w:t xml:space="preserve"> -</w:t>
        </w:r>
      </w:p>
    </w:sdtContent>
  </w:sdt>
  <w:p w14:paraId="57C5073F" w14:textId="77777777" w:rsidR="00196DE4" w:rsidRPr="00742AB6" w:rsidRDefault="00196DE4" w:rsidP="002E16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5E5F" w14:textId="23C0C5B3" w:rsidR="00196DE4" w:rsidRPr="00F621A2" w:rsidRDefault="00192102" w:rsidP="009E4A03">
    <w:pPr>
      <w:tabs>
        <w:tab w:val="center" w:pos="4680"/>
      </w:tabs>
      <w:ind w:firstLine="0"/>
      <w:rPr>
        <w:noProof/>
      </w:rPr>
    </w:pPr>
    <w:sdt>
      <w:sdtPr>
        <w:id w:val="1477179830"/>
        <w:docPartObj>
          <w:docPartGallery w:val="Page Numbers (Bottom of Page)"/>
          <w:docPartUnique/>
        </w:docPartObj>
      </w:sdtPr>
      <w:sdtEndPr>
        <w:rPr>
          <w:noProof/>
        </w:rPr>
      </w:sdtEndPr>
      <w:sdtContent>
        <w:r w:rsidR="00196DE4">
          <w:rPr>
            <w:rFonts w:ascii="Arial" w:hAnsi="Arial" w:cs="Arial"/>
            <w:sz w:val="16"/>
            <w:szCs w:val="16"/>
          </w:rPr>
          <w:tab/>
        </w:r>
        <w:r w:rsidR="00196DE4">
          <w:t>- 1</w:t>
        </w:r>
      </w:sdtContent>
    </w:sdt>
    <w:r w:rsidR="00196DE4">
      <w:rPr>
        <w:noProof/>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429825"/>
      <w:docPartObj>
        <w:docPartGallery w:val="Page Numbers (Bottom of Page)"/>
        <w:docPartUnique/>
      </w:docPartObj>
    </w:sdtPr>
    <w:sdtEndPr>
      <w:rPr>
        <w:noProof/>
      </w:rPr>
    </w:sdtEndPr>
    <w:sdtContent>
      <w:p w14:paraId="4F56B4DE" w14:textId="77777777" w:rsidR="00196DE4" w:rsidRDefault="00196DE4">
        <w:pPr>
          <w:pStyle w:val="Footer"/>
          <w:jc w:val="center"/>
        </w:pPr>
        <w:r>
          <w:t xml:space="preserve">- </w:t>
        </w:r>
        <w:r>
          <w:rPr>
            <w:noProof/>
          </w:rPr>
          <w:t>2 -</w:t>
        </w:r>
      </w:p>
    </w:sdtContent>
  </w:sdt>
  <w:p w14:paraId="4C6595BE" w14:textId="77777777" w:rsidR="00196DE4" w:rsidRPr="00742AB6" w:rsidRDefault="00196DE4" w:rsidP="002E164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0342" w14:textId="280B29BD" w:rsidR="00196DE4" w:rsidRPr="00C579EF" w:rsidRDefault="00196DE4" w:rsidP="00C579E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360184"/>
      <w:docPartObj>
        <w:docPartGallery w:val="Page Numbers (Bottom of Page)"/>
        <w:docPartUnique/>
      </w:docPartObj>
    </w:sdtPr>
    <w:sdtEndPr>
      <w:rPr>
        <w:noProof/>
      </w:rPr>
    </w:sdtEndPr>
    <w:sdtContent>
      <w:p w14:paraId="779B117D" w14:textId="77777777" w:rsidR="00196DE4" w:rsidRDefault="00196DE4">
        <w:pPr>
          <w:pStyle w:val="Footer"/>
          <w:jc w:val="center"/>
        </w:pPr>
        <w:r>
          <w:t xml:space="preserve">- </w:t>
        </w:r>
        <w:r>
          <w:rPr>
            <w:noProof/>
          </w:rPr>
          <w:t>2 -</w:t>
        </w:r>
      </w:p>
    </w:sdtContent>
  </w:sdt>
  <w:p w14:paraId="12FAE46B" w14:textId="77777777" w:rsidR="00196DE4" w:rsidRPr="00742AB6" w:rsidRDefault="00196DE4" w:rsidP="002E164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6133" w14:textId="77777777" w:rsidR="00196DE4" w:rsidRPr="00F621A2" w:rsidRDefault="00192102" w:rsidP="009E4A03">
    <w:pPr>
      <w:tabs>
        <w:tab w:val="center" w:pos="4680"/>
      </w:tabs>
      <w:ind w:firstLine="0"/>
      <w:rPr>
        <w:noProof/>
      </w:rPr>
    </w:pPr>
    <w:sdt>
      <w:sdtPr>
        <w:id w:val="-1912695521"/>
        <w:docPartObj>
          <w:docPartGallery w:val="Page Numbers (Bottom of Page)"/>
          <w:docPartUnique/>
        </w:docPartObj>
      </w:sdtPr>
      <w:sdtEndPr>
        <w:rPr>
          <w:noProof/>
        </w:rPr>
      </w:sdtEndPr>
      <w:sdtContent>
        <w:r w:rsidR="00196DE4">
          <w:rPr>
            <w:rFonts w:ascii="Arial" w:hAnsi="Arial" w:cs="Arial"/>
            <w:sz w:val="16"/>
            <w:szCs w:val="16"/>
          </w:rPr>
          <w:tab/>
        </w:r>
        <w:r w:rsidR="00196DE4">
          <w:t>- 1</w:t>
        </w:r>
      </w:sdtContent>
    </w:sdt>
    <w:r w:rsidR="00196DE4">
      <w:rPr>
        <w:noProof/>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587477"/>
      <w:docPartObj>
        <w:docPartGallery w:val="Page Numbers (Bottom of Page)"/>
        <w:docPartUnique/>
      </w:docPartObj>
    </w:sdtPr>
    <w:sdtEndPr>
      <w:rPr>
        <w:noProof/>
      </w:rPr>
    </w:sdtEndPr>
    <w:sdtContent>
      <w:p w14:paraId="211DB660" w14:textId="3F2BD88E" w:rsidR="00196DE4" w:rsidRDefault="00196DE4">
        <w:pPr>
          <w:pStyle w:val="Footer"/>
          <w:jc w:val="center"/>
          <w:rPr>
            <w:noProof/>
          </w:rPr>
        </w:pPr>
      </w:p>
      <w:p w14:paraId="4D3F2A63" w14:textId="42430B85" w:rsidR="00196DE4" w:rsidRDefault="00192102">
        <w:pPr>
          <w:pStyle w:val="Footer"/>
          <w:jc w:val="center"/>
        </w:pPr>
      </w:p>
    </w:sdtContent>
  </w:sdt>
  <w:p w14:paraId="0B49E5E5" w14:textId="77777777" w:rsidR="00196DE4" w:rsidRPr="00742AB6" w:rsidRDefault="00196DE4" w:rsidP="002E164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45CD" w14:textId="51BB64BF" w:rsidR="00196DE4" w:rsidRPr="00384453" w:rsidRDefault="00196DE4" w:rsidP="00384453">
    <w:pPr>
      <w:pStyle w:val="Footer"/>
      <w:ind w:firstLine="0"/>
      <w:jc w:val="center"/>
      <w:rPr>
        <w:b/>
        <w:bCs/>
      </w:rPr>
    </w:pPr>
    <w:r w:rsidRPr="00384453">
      <w:rPr>
        <w:b/>
        <w:bCs/>
      </w:rPr>
      <w:t>(END OF ATTACHMENT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3C0C" w14:textId="77777777" w:rsidR="007D2BC0" w:rsidRDefault="007D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4C0" w14:textId="2C4DEF1C" w:rsidR="00196DE4" w:rsidRDefault="00192102" w:rsidP="007E0FEE">
    <w:pPr>
      <w:tabs>
        <w:tab w:val="center" w:pos="4680"/>
      </w:tabs>
      <w:ind w:firstLine="0"/>
      <w:rPr>
        <w:noProof/>
      </w:rPr>
    </w:pPr>
    <w:sdt>
      <w:sdtPr>
        <w:id w:val="-308951202"/>
        <w:docPartObj>
          <w:docPartGallery w:val="Page Numbers (Bottom of Page)"/>
          <w:docPartUnique/>
        </w:docPartObj>
      </w:sdtPr>
      <w:sdtEndPr>
        <w:rPr>
          <w:noProof/>
        </w:rPr>
      </w:sdtEndPr>
      <w:sdtContent>
        <w:r w:rsidR="00BF4446" w:rsidRPr="00BF4446">
          <w:rPr>
            <w:sz w:val="16"/>
            <w:szCs w:val="16"/>
          </w:rPr>
          <w:t>344855585</w:t>
        </w:r>
        <w:r w:rsidR="00196DE4">
          <w:rPr>
            <w:rFonts w:ascii="Arial" w:hAnsi="Arial" w:cs="Arial"/>
            <w:sz w:val="16"/>
            <w:szCs w:val="16"/>
          </w:rPr>
          <w:tab/>
        </w:r>
        <w:r w:rsidR="00196DE4">
          <w:t xml:space="preserve">- </w:t>
        </w:r>
        <w:r w:rsidR="00196DE4">
          <w:rPr>
            <w:noProof/>
          </w:rPr>
          <w:t>1</w:t>
        </w:r>
      </w:sdtContent>
    </w:sdt>
    <w:r w:rsidR="00196DE4">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EA77" w14:textId="48DC6AA9" w:rsidR="00196DE4" w:rsidRDefault="00196DE4" w:rsidP="007E0FEE">
    <w:pPr>
      <w:ind w:firstLine="0"/>
      <w:jc w:val="center"/>
    </w:pPr>
    <w:r>
      <w:t>-</w:t>
    </w:r>
    <w:sdt>
      <w:sdtPr>
        <w:rPr>
          <w:color w:val="2B579A"/>
          <w:shd w:val="clear" w:color="auto" w:fill="E6E6E6"/>
        </w:rPr>
        <w:id w:val="-1034043401"/>
        <w:docPartObj>
          <w:docPartGallery w:val="Page Numbers (Bottom of Page)"/>
          <w:docPartUnique/>
        </w:docPartObj>
      </w:sdtPr>
      <w:sdtEndPr>
        <w:rPr>
          <w:noProof/>
          <w:color w:val="auto"/>
          <w:shd w:val="clear" w:color="auto" w:fill="auto"/>
        </w:rPr>
      </w:sdtEndPr>
      <w:sdtContent>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rPr>
            <w:noProof/>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7AC6" w14:textId="5B9DAC92" w:rsidR="00196DE4" w:rsidRDefault="00196DE4" w:rsidP="007E0FEE">
    <w:pPr>
      <w:ind w:firstLine="0"/>
      <w:jc w:val="center"/>
    </w:pPr>
    <w:r>
      <w:t>-</w:t>
    </w:r>
    <w:sdt>
      <w:sdtPr>
        <w:rPr>
          <w:color w:val="2B579A"/>
          <w:shd w:val="clear" w:color="auto" w:fill="E6E6E6"/>
        </w:rPr>
        <w:id w:val="69479172"/>
        <w:docPartObj>
          <w:docPartGallery w:val="Page Numbers (Bottom of Page)"/>
          <w:docPartUnique/>
        </w:docPartObj>
      </w:sdtPr>
      <w:sdtEndPr>
        <w:rPr>
          <w:noProof/>
          <w:color w:val="auto"/>
          <w:shd w:val="clear" w:color="auto" w:fill="auto"/>
        </w:rPr>
      </w:sdtEndPr>
      <w:sdtContent>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rPr>
            <w:noProof/>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6886" w14:textId="77777777" w:rsidR="00196DE4" w:rsidRDefault="00196DE4" w:rsidP="007E0FEE">
    <w:pPr>
      <w:ind w:firstLine="0"/>
      <w:jc w:val="center"/>
    </w:pPr>
    <w:r>
      <w:t>-</w:t>
    </w:r>
    <w:sdt>
      <w:sdtPr>
        <w:rPr>
          <w:color w:val="2B579A"/>
          <w:shd w:val="clear" w:color="auto" w:fill="E6E6E6"/>
        </w:rPr>
        <w:id w:val="-561796109"/>
        <w:docPartObj>
          <w:docPartGallery w:val="Page Numbers (Bottom of Page)"/>
          <w:docPartUnique/>
        </w:docPartObj>
      </w:sdtPr>
      <w:sdtEndPr>
        <w:rPr>
          <w:noProof/>
          <w:color w:val="auto"/>
          <w:shd w:val="clear" w:color="auto" w:fill="auto"/>
        </w:rPr>
      </w:sdtEndPr>
      <w:sdtContent>
        <w:r>
          <w:t xml:space="preserve"> </w:t>
        </w:r>
        <w:r>
          <w:rPr>
            <w:noProof/>
          </w:rPr>
          <w:t>2 -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BA4E" w14:textId="006F20EE" w:rsidR="00196DE4" w:rsidRPr="002F4007" w:rsidRDefault="00196DE4" w:rsidP="002F40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A0F3" w14:textId="77777777" w:rsidR="00196DE4" w:rsidRDefault="00196DE4" w:rsidP="007E0FEE">
    <w:pPr>
      <w:ind w:firstLine="0"/>
      <w:jc w:val="center"/>
    </w:pPr>
    <w:r>
      <w:t>-</w:t>
    </w:r>
    <w:sdt>
      <w:sdtPr>
        <w:rPr>
          <w:color w:val="2B579A"/>
          <w:shd w:val="clear" w:color="auto" w:fill="E6E6E6"/>
        </w:rPr>
        <w:id w:val="690647839"/>
        <w:docPartObj>
          <w:docPartGallery w:val="Page Numbers (Bottom of Page)"/>
          <w:docPartUnique/>
        </w:docPartObj>
      </w:sdtPr>
      <w:sdtEndPr>
        <w:rPr>
          <w:noProof/>
          <w:color w:val="auto"/>
          <w:shd w:val="clear" w:color="auto" w:fill="auto"/>
        </w:rPr>
      </w:sdtEndPr>
      <w:sdtContent>
        <w:r>
          <w:t xml:space="preserve"> </w:t>
        </w:r>
        <w:r>
          <w:rPr>
            <w:noProof/>
          </w:rPr>
          <w:t>2 -</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4F5A" w14:textId="25199871" w:rsidR="00196DE4" w:rsidRPr="002F4007" w:rsidRDefault="00196DE4" w:rsidP="00556208">
    <w:pPr>
      <w:pStyle w:val="Footer"/>
      <w:ind w:firstLine="0"/>
      <w:jc w:val="center"/>
    </w:pPr>
    <w:r>
      <w:t xml:space="preserve">- </w:t>
    </w:r>
    <w:r>
      <w:rPr>
        <w:noProof/>
      </w:rPr>
      <w:t>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9AD9" w14:textId="77777777" w:rsidR="00192102" w:rsidRDefault="00192102" w:rsidP="00DF58E7">
      <w:pPr>
        <w:spacing w:line="240" w:lineRule="auto"/>
        <w:ind w:firstLine="0"/>
      </w:pPr>
      <w:r>
        <w:separator/>
      </w:r>
    </w:p>
  </w:footnote>
  <w:footnote w:type="continuationSeparator" w:id="0">
    <w:p w14:paraId="50F82BAA" w14:textId="77777777" w:rsidR="00192102" w:rsidRDefault="00192102" w:rsidP="00DF58E7">
      <w:pPr>
        <w:spacing w:line="240" w:lineRule="auto"/>
        <w:ind w:firstLine="0"/>
      </w:pPr>
      <w:r>
        <w:continuationSeparator/>
      </w:r>
    </w:p>
  </w:footnote>
  <w:footnote w:type="continuationNotice" w:id="1">
    <w:p w14:paraId="0A115134" w14:textId="77777777" w:rsidR="00192102" w:rsidRPr="00DF58E7" w:rsidRDefault="00192102" w:rsidP="00DF58E7">
      <w:pPr>
        <w:spacing w:line="240" w:lineRule="auto"/>
        <w:ind w:firstLine="0"/>
        <w:jc w:val="right"/>
        <w:rPr>
          <w:i/>
          <w:sz w:val="22"/>
        </w:rPr>
      </w:pPr>
    </w:p>
  </w:footnote>
  <w:footnote w:id="2">
    <w:p w14:paraId="75DB5880" w14:textId="15225E3F" w:rsidR="00196DE4" w:rsidRPr="00826271" w:rsidRDefault="00196DE4" w:rsidP="004505CE">
      <w:pPr>
        <w:spacing w:after="120" w:line="240" w:lineRule="auto"/>
        <w:ind w:firstLine="0"/>
      </w:pPr>
      <w:r w:rsidRPr="004505CE">
        <w:rPr>
          <w:rStyle w:val="FootnoteReference"/>
          <w:sz w:val="22"/>
        </w:rPr>
        <w:footnoteRef/>
      </w:r>
      <w:r w:rsidRPr="004505CE">
        <w:rPr>
          <w:rStyle w:val="FootnoteReference"/>
          <w:sz w:val="22"/>
        </w:rPr>
        <w:t xml:space="preserve"> </w:t>
      </w:r>
      <w:r w:rsidRPr="004505CE">
        <w:rPr>
          <w:rFonts w:eastAsia="Segoe UI" w:cs="Segoe UI"/>
          <w:color w:val="000000" w:themeColor="text1"/>
          <w:sz w:val="22"/>
        </w:rPr>
        <w:t xml:space="preserve">Communications </w:t>
      </w:r>
      <w:bookmarkStart w:id="5" w:name="_Hlk46922984"/>
      <w:r w:rsidRPr="004505CE">
        <w:rPr>
          <w:rFonts w:eastAsia="Segoe UI" w:cs="Segoe UI"/>
          <w:color w:val="000000" w:themeColor="text1"/>
          <w:sz w:val="22"/>
        </w:rPr>
        <w:t>technical assistance includes but is not limited to market studies, feasibilities studies, and/or business plans.</w:t>
      </w:r>
      <w:bookmarkEnd w:id="5"/>
    </w:p>
  </w:footnote>
  <w:footnote w:id="3">
    <w:p w14:paraId="159F814D" w14:textId="3E283F27" w:rsidR="00196DE4" w:rsidRPr="00E11AF2" w:rsidRDefault="00196DE4" w:rsidP="004505CE">
      <w:pPr>
        <w:pStyle w:val="FootnoteText"/>
        <w:rPr>
          <w:szCs w:val="22"/>
        </w:rPr>
      </w:pPr>
      <w:r w:rsidRPr="00826271">
        <w:rPr>
          <w:rStyle w:val="FootnoteReference"/>
          <w:szCs w:val="22"/>
        </w:rPr>
        <w:footnoteRef/>
      </w:r>
      <w:r w:rsidRPr="00826271">
        <w:rPr>
          <w:szCs w:val="22"/>
        </w:rPr>
        <w:t xml:space="preserve"> Ch. 851, Stats. 2017.</w:t>
      </w:r>
    </w:p>
  </w:footnote>
  <w:footnote w:id="4">
    <w:p w14:paraId="74F875AA" w14:textId="24D16FF2" w:rsidR="00196DE4" w:rsidRPr="00D476BF" w:rsidRDefault="00196DE4" w:rsidP="004505CE">
      <w:pPr>
        <w:pStyle w:val="FootnoteText"/>
        <w:rPr>
          <w:szCs w:val="22"/>
        </w:rPr>
      </w:pPr>
      <w:r w:rsidRPr="00D476BF">
        <w:rPr>
          <w:rStyle w:val="FootnoteReference"/>
          <w:szCs w:val="22"/>
        </w:rPr>
        <w:footnoteRef/>
      </w:r>
      <w:r w:rsidRPr="00D476BF">
        <w:rPr>
          <w:szCs w:val="22"/>
        </w:rPr>
        <w:t xml:space="preserve"> Pub. Util. Code </w:t>
      </w:r>
      <w:r>
        <w:rPr>
          <w:szCs w:val="22"/>
        </w:rPr>
        <w:t>Sections</w:t>
      </w:r>
      <w:r w:rsidRPr="00D476BF">
        <w:rPr>
          <w:szCs w:val="22"/>
        </w:rPr>
        <w:t xml:space="preserve"> 281, 912.2, and 914.7.</w:t>
      </w:r>
    </w:p>
  </w:footnote>
  <w:footnote w:id="5">
    <w:p w14:paraId="51825C7E" w14:textId="1D9B9A55" w:rsidR="00196DE4" w:rsidRDefault="00196DE4" w:rsidP="00197BAE">
      <w:pPr>
        <w:pStyle w:val="FootnoteText"/>
      </w:pPr>
      <w:r>
        <w:rPr>
          <w:rStyle w:val="FootnoteReference"/>
        </w:rPr>
        <w:footnoteRef/>
      </w:r>
      <w:r>
        <w:t xml:space="preserve"> Pub. Util. Code Section </w:t>
      </w:r>
      <w:r w:rsidRPr="0098601E">
        <w:t>281 (f)(5)(c)</w:t>
      </w:r>
      <w:r>
        <w:t xml:space="preserve"> specifies project eligibility requirements such as a check of areas in the Right of First Refusal filings and areas receiving funding from the CAF II, “…until July 1, 2020, </w:t>
      </w:r>
      <w:r w:rsidRPr="004B117A">
        <w:t xml:space="preserve">the project is not located in a census block where an existing facility-based broadband provider has accepted federal funds for broadband deployment from </w:t>
      </w:r>
      <w:r>
        <w:t>[CAF II]</w:t>
      </w:r>
      <w:r w:rsidRPr="004B117A">
        <w:t>, unless the existing facility-based broadband provider has notified the commission before July 1, 2020, that it has completed its Connect America Fund deployment in the census block.</w:t>
      </w:r>
      <w:r>
        <w:t>”</w:t>
      </w:r>
    </w:p>
  </w:footnote>
  <w:footnote w:id="6">
    <w:p w14:paraId="189F23EB" w14:textId="611372E4" w:rsidR="00196DE4" w:rsidRPr="00E11AF2" w:rsidRDefault="00196DE4" w:rsidP="00576CF4">
      <w:pPr>
        <w:pStyle w:val="FootnoteText"/>
        <w:rPr>
          <w:szCs w:val="22"/>
        </w:rPr>
      </w:pPr>
      <w:r w:rsidRPr="00E11AF2">
        <w:rPr>
          <w:rStyle w:val="FootnoteReference"/>
          <w:szCs w:val="22"/>
        </w:rPr>
        <w:footnoteRef/>
      </w:r>
      <w:r w:rsidRPr="00E11AF2">
        <w:rPr>
          <w:szCs w:val="22"/>
        </w:rPr>
        <w:t xml:space="preserve"> </w:t>
      </w:r>
      <w:hyperlink r:id="rId1" w:history="1">
        <w:r w:rsidRPr="00E11AF2">
          <w:rPr>
            <w:rStyle w:val="Hyperlink"/>
            <w:szCs w:val="22"/>
          </w:rPr>
          <w:t>https://www.cpuc.ca.gov/General.aspx?id=1057</w:t>
        </w:r>
      </w:hyperlink>
      <w:r w:rsidRPr="00E11AF2">
        <w:rPr>
          <w:szCs w:val="22"/>
        </w:rPr>
        <w:t>.</w:t>
      </w:r>
    </w:p>
  </w:footnote>
  <w:footnote w:id="7">
    <w:p w14:paraId="7AD0561D" w14:textId="77777777" w:rsidR="00196DE4" w:rsidRPr="002772B0" w:rsidRDefault="00196DE4" w:rsidP="002401E6">
      <w:pPr>
        <w:pStyle w:val="FootnoteText"/>
        <w:rPr>
          <w:szCs w:val="22"/>
        </w:rPr>
      </w:pPr>
      <w:r w:rsidRPr="00E11AF2">
        <w:rPr>
          <w:rStyle w:val="FootnoteReference"/>
          <w:szCs w:val="22"/>
        </w:rPr>
        <w:footnoteRef/>
      </w:r>
      <w:r w:rsidRPr="00E11AF2">
        <w:rPr>
          <w:szCs w:val="22"/>
        </w:rPr>
        <w:t xml:space="preserve"> This does not include the $5 million for Line Extension.  AB 1665 eliminated the Infrastructure Revolving Loan Account and required the transfer of the remaining unencumbered moneys as of January 1, 2018, and moneys collected into the Infrastructure Accou</w:t>
      </w:r>
      <w:r w:rsidRPr="0000164B">
        <w:rPr>
          <w:szCs w:val="22"/>
        </w:rPr>
        <w:t>nt.</w:t>
      </w:r>
    </w:p>
  </w:footnote>
  <w:footnote w:id="8">
    <w:p w14:paraId="65F31977" w14:textId="316D4519" w:rsidR="00196DE4" w:rsidRPr="00E11AF2" w:rsidRDefault="00196DE4" w:rsidP="004505CE">
      <w:pPr>
        <w:pStyle w:val="FootnoteText"/>
        <w:rPr>
          <w:szCs w:val="22"/>
        </w:rPr>
      </w:pPr>
      <w:r w:rsidRPr="00E11AF2">
        <w:rPr>
          <w:rStyle w:val="FootnoteReference"/>
          <w:szCs w:val="22"/>
        </w:rPr>
        <w:footnoteRef/>
      </w:r>
      <w:r w:rsidRPr="00E11AF2">
        <w:rPr>
          <w:szCs w:val="22"/>
        </w:rPr>
        <w:t xml:space="preserve"> </w:t>
      </w:r>
      <w:r w:rsidRPr="00E103D6">
        <w:rPr>
          <w:i/>
          <w:iCs/>
          <w:szCs w:val="22"/>
        </w:rPr>
        <w:t>See</w:t>
      </w:r>
      <w:r w:rsidRPr="00E11AF2">
        <w:rPr>
          <w:szCs w:val="22"/>
        </w:rPr>
        <w:t>:</w:t>
      </w:r>
      <w:r>
        <w:rPr>
          <w:szCs w:val="22"/>
        </w:rPr>
        <w:t xml:space="preserve"> </w:t>
      </w:r>
      <w:hyperlink r:id="rId2" w:history="1">
        <w:r w:rsidRPr="00BE5D2D">
          <w:rPr>
            <w:rStyle w:val="Hyperlink"/>
            <w:szCs w:val="22"/>
          </w:rPr>
          <w:t>https://www.cpuc.ca.gov/uploadedFiles/CPUC_Public_Website/Content/Utilities_and_Industries/Communications_-_Telecommunications_and_Broadband/Postponement%20of%20CASF%20Deadline%202020.pdf</w:t>
        </w:r>
      </w:hyperlink>
      <w:r w:rsidRPr="00E11AF2">
        <w:rPr>
          <w:szCs w:val="22"/>
        </w:rPr>
        <w:t>.</w:t>
      </w:r>
    </w:p>
  </w:footnote>
  <w:footnote w:id="9">
    <w:p w14:paraId="70E9D2C7" w14:textId="5EA9CA48" w:rsidR="00196DE4" w:rsidRPr="00E11AF2" w:rsidRDefault="00196DE4" w:rsidP="004505CE">
      <w:pPr>
        <w:pStyle w:val="FootnoteText"/>
        <w:rPr>
          <w:szCs w:val="22"/>
        </w:rPr>
      </w:pPr>
      <w:r w:rsidRPr="00E11AF2">
        <w:rPr>
          <w:rStyle w:val="FootnoteReference"/>
          <w:szCs w:val="22"/>
        </w:rPr>
        <w:footnoteRef/>
      </w:r>
      <w:r w:rsidRPr="00E11AF2">
        <w:rPr>
          <w:szCs w:val="22"/>
        </w:rPr>
        <w:t xml:space="preserve"> </w:t>
      </w:r>
      <w:hyperlink r:id="rId3" w:history="1">
        <w:r w:rsidRPr="00BE5D2D">
          <w:rPr>
            <w:rStyle w:val="Hyperlink"/>
            <w:szCs w:val="22"/>
          </w:rPr>
          <w:t>https://www.cpuc.ca.gov/General.aspx?id=1040</w:t>
        </w:r>
      </w:hyperlink>
      <w:r>
        <w:rPr>
          <w:szCs w:val="22"/>
        </w:rPr>
        <w:t xml:space="preserve">. </w:t>
      </w:r>
    </w:p>
  </w:footnote>
  <w:footnote w:id="10">
    <w:p w14:paraId="27B3C15C" w14:textId="5E523C86" w:rsidR="00196DE4" w:rsidRDefault="00196DE4" w:rsidP="004505CE">
      <w:pPr>
        <w:pStyle w:val="FootnoteText"/>
      </w:pPr>
      <w:r>
        <w:rPr>
          <w:rStyle w:val="FootnoteReference"/>
        </w:rPr>
        <w:footnoteRef/>
      </w:r>
      <w:r>
        <w:t xml:space="preserve"> </w:t>
      </w:r>
      <w:r w:rsidRPr="001620EF">
        <w:t>Transforming the 2.5 GHz Band Report and Order WT Docket No. 18-120.</w:t>
      </w:r>
    </w:p>
  </w:footnote>
  <w:footnote w:id="11">
    <w:p w14:paraId="335D106B" w14:textId="76EA53B5" w:rsidR="00196DE4" w:rsidRDefault="00196DE4" w:rsidP="004505CE">
      <w:pPr>
        <w:pStyle w:val="FootnoteText"/>
      </w:pPr>
      <w:r>
        <w:rPr>
          <w:rStyle w:val="FootnoteReference"/>
        </w:rPr>
        <w:footnoteRef/>
      </w:r>
      <w:r>
        <w:t xml:space="preserve"> </w:t>
      </w:r>
      <w:r w:rsidRPr="001620EF">
        <w:t>Assigned Commissioner Ruling Requesting Comments on Broadband Infrastructure Rules and Application Windows [R.12-10-012] March 26, 2020.</w:t>
      </w:r>
    </w:p>
  </w:footnote>
  <w:footnote w:id="12">
    <w:p w14:paraId="1BFD6EF5" w14:textId="77777777" w:rsidR="00196DE4" w:rsidRDefault="00196DE4" w:rsidP="00D317D7">
      <w:pPr>
        <w:pStyle w:val="FootnoteText"/>
      </w:pPr>
      <w:r>
        <w:rPr>
          <w:rStyle w:val="FootnoteReference"/>
        </w:rPr>
        <w:footnoteRef/>
      </w:r>
      <w:r>
        <w:t xml:space="preserve"> </w:t>
      </w:r>
      <w:hyperlink r:id="rId4" w:anchor=":~:text=%E2%80%9CEDA%20CARES%20Act%20Recovery%20Assistance,impacted%20by%20the%20coronavirus%20pandemic.%E2%80%9D&amp;text=Trump%20signed%20the%20%242%20trillion,is%20available%20for%20grant%20making." w:history="1">
        <w:r>
          <w:rPr>
            <w:rStyle w:val="Hyperlink"/>
          </w:rPr>
          <w:t>https://www.commerce.gov/news/press-releases/2020/05/us-department-commerce-announces-availability-15-billion-cares-act#:~:text=%E2%80%9CEDA%20CARES%20Act%20Recovery%20Assistance,impacted%20by%20the%20coronavirus%20pandemic.%E2%80%9D&amp;text=Trump%20signed%20the%20%242%20trillion,is%20available%20for%20grant%20making.</w:t>
        </w:r>
      </w:hyperlink>
    </w:p>
  </w:footnote>
  <w:footnote w:id="13">
    <w:p w14:paraId="39E49C2D" w14:textId="6BC2B8CD" w:rsidR="00196DE4" w:rsidRDefault="00196DE4">
      <w:pPr>
        <w:pStyle w:val="FootnoteText"/>
      </w:pPr>
      <w:r>
        <w:rPr>
          <w:rStyle w:val="FootnoteReference"/>
        </w:rPr>
        <w:footnoteRef/>
      </w:r>
      <w:r>
        <w:t xml:space="preserve"> Some BPHA infrastructure projects were challenged by ISPs on grounds that an ISP already provides services at the Publicly Supported Community; some BPHA infrastructure projects also experienced issues on the purchase of a digital circuit.  </w:t>
      </w:r>
    </w:p>
  </w:footnote>
  <w:footnote w:id="14">
    <w:p w14:paraId="4BA1A73C" w14:textId="63B08C64" w:rsidR="00196DE4" w:rsidRPr="00E11AF2" w:rsidRDefault="00196DE4" w:rsidP="002772B0">
      <w:pPr>
        <w:pStyle w:val="FootnoteText"/>
      </w:pPr>
      <w:r w:rsidRPr="00E11AF2">
        <w:rPr>
          <w:rStyle w:val="FootnoteReference"/>
          <w:szCs w:val="22"/>
        </w:rPr>
        <w:footnoteRef/>
      </w:r>
      <w:r w:rsidRPr="00E11AF2">
        <w:rPr>
          <w:szCs w:val="22"/>
        </w:rPr>
        <w:t xml:space="preserve"> Pub. Util. Code</w:t>
      </w:r>
      <w:r w:rsidRPr="0000164B">
        <w:rPr>
          <w:szCs w:val="22"/>
        </w:rPr>
        <w:t xml:space="preserve"> </w:t>
      </w:r>
      <w:r>
        <w:rPr>
          <w:szCs w:val="22"/>
        </w:rPr>
        <w:t>S</w:t>
      </w:r>
      <w:r w:rsidRPr="0000164B">
        <w:rPr>
          <w:szCs w:val="22"/>
        </w:rPr>
        <w:t>ection 281</w:t>
      </w:r>
      <w:r w:rsidRPr="00E11AF2">
        <w:rPr>
          <w:szCs w:val="22"/>
        </w:rPr>
        <w:t>(</w:t>
      </w:r>
      <w:r w:rsidRPr="00372BF1">
        <w:rPr>
          <w:szCs w:val="22"/>
        </w:rPr>
        <w:t>i)(7).</w:t>
      </w:r>
    </w:p>
  </w:footnote>
  <w:footnote w:id="15">
    <w:p w14:paraId="4CCECE47" w14:textId="77777777" w:rsidR="00196DE4" w:rsidRPr="009F6C18" w:rsidRDefault="00196DE4" w:rsidP="006E42FC">
      <w:pPr>
        <w:pStyle w:val="FootnoteText"/>
        <w:rPr>
          <w:szCs w:val="22"/>
        </w:rPr>
      </w:pPr>
      <w:r w:rsidRPr="009F6C18">
        <w:rPr>
          <w:rStyle w:val="FootnoteReference"/>
          <w:szCs w:val="22"/>
        </w:rPr>
        <w:footnoteRef/>
      </w:r>
      <w:r w:rsidRPr="009F6C18">
        <w:rPr>
          <w:szCs w:val="22"/>
        </w:rPr>
        <w:t xml:space="preserve"> </w:t>
      </w:r>
      <w:bookmarkStart w:id="13" w:name="_Hlk43381929"/>
      <w:r w:rsidRPr="009F6C18">
        <w:rPr>
          <w:szCs w:val="22"/>
        </w:rPr>
        <w:t>Assigned Commissioner Ruling Requesting Comments on Broadband Infrastructure Rules and Application Windows [R.12-10-012] March 26, 2020.</w:t>
      </w:r>
      <w:bookmarkEnd w:id="13"/>
    </w:p>
  </w:footnote>
  <w:footnote w:id="16">
    <w:p w14:paraId="47E7DC42" w14:textId="2E19B513" w:rsidR="00196DE4" w:rsidRPr="002772B0" w:rsidRDefault="00196DE4" w:rsidP="008005C6">
      <w:pPr>
        <w:pStyle w:val="FootnoteText"/>
        <w:rPr>
          <w:szCs w:val="22"/>
        </w:rPr>
      </w:pPr>
      <w:r w:rsidRPr="00E11AF2">
        <w:rPr>
          <w:rStyle w:val="FootnoteReference"/>
          <w:szCs w:val="22"/>
        </w:rPr>
        <w:footnoteRef/>
      </w:r>
      <w:r w:rsidRPr="00E11AF2">
        <w:rPr>
          <w:szCs w:val="22"/>
        </w:rPr>
        <w:t xml:space="preserve"> </w:t>
      </w:r>
      <w:r w:rsidRPr="007169B9">
        <w:rPr>
          <w:i/>
          <w:iCs/>
          <w:szCs w:val="22"/>
        </w:rPr>
        <w:t xml:space="preserve">See </w:t>
      </w:r>
      <w:r w:rsidRPr="00E11AF2">
        <w:rPr>
          <w:szCs w:val="22"/>
        </w:rPr>
        <w:t>ACR,</w:t>
      </w:r>
      <w:r w:rsidRPr="0000164B">
        <w:rPr>
          <w:szCs w:val="22"/>
        </w:rPr>
        <w:t xml:space="preserve"> Question 25.</w:t>
      </w:r>
    </w:p>
  </w:footnote>
  <w:footnote w:id="17">
    <w:p w14:paraId="2C546656" w14:textId="26BD3EAB" w:rsidR="00196DE4" w:rsidRPr="002772B0" w:rsidRDefault="00196DE4">
      <w:pPr>
        <w:pStyle w:val="FootnoteText"/>
        <w:rPr>
          <w:szCs w:val="22"/>
        </w:rPr>
      </w:pPr>
      <w:r w:rsidRPr="00E11AF2">
        <w:rPr>
          <w:rStyle w:val="FootnoteReference"/>
          <w:szCs w:val="22"/>
        </w:rPr>
        <w:footnoteRef/>
      </w:r>
      <w:r w:rsidRPr="00E11AF2">
        <w:rPr>
          <w:szCs w:val="22"/>
        </w:rPr>
        <w:t xml:space="preserve"> Some parties’ comments did not specifically address </w:t>
      </w:r>
      <w:r w:rsidRPr="0000164B">
        <w:rPr>
          <w:szCs w:val="22"/>
        </w:rPr>
        <w:t>every question/issue.</w:t>
      </w:r>
    </w:p>
  </w:footnote>
  <w:footnote w:id="18">
    <w:p w14:paraId="07E510C2" w14:textId="227DD617" w:rsidR="00196DE4" w:rsidRPr="00E11AF2" w:rsidRDefault="00196DE4">
      <w:pPr>
        <w:pStyle w:val="FootnoteText"/>
        <w:rPr>
          <w:szCs w:val="22"/>
        </w:rPr>
      </w:pPr>
      <w:r w:rsidRPr="00E11AF2">
        <w:rPr>
          <w:rStyle w:val="FootnoteReference"/>
          <w:szCs w:val="22"/>
        </w:rPr>
        <w:footnoteRef/>
      </w:r>
      <w:r w:rsidRPr="00E11AF2">
        <w:rPr>
          <w:szCs w:val="22"/>
        </w:rPr>
        <w:t xml:space="preserve"> Some parties’ reply comments did not specifically address every question/issue.</w:t>
      </w:r>
    </w:p>
  </w:footnote>
  <w:footnote w:id="19">
    <w:p w14:paraId="650D84CF" w14:textId="7793B723"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D.18-12-018 at 56.</w:t>
      </w:r>
    </w:p>
  </w:footnote>
  <w:footnote w:id="20">
    <w:p w14:paraId="58097679" w14:textId="11A9EEEF" w:rsidR="00196DE4" w:rsidRPr="009F6C18" w:rsidRDefault="00196DE4" w:rsidP="00567941">
      <w:pPr>
        <w:pStyle w:val="FootnoteText"/>
        <w:rPr>
          <w:szCs w:val="22"/>
        </w:rPr>
      </w:pPr>
      <w:r w:rsidRPr="00E11AF2">
        <w:rPr>
          <w:rStyle w:val="FootnoteReference"/>
          <w:szCs w:val="22"/>
        </w:rPr>
        <w:footnoteRef/>
      </w:r>
      <w:r w:rsidRPr="00E11AF2">
        <w:rPr>
          <w:szCs w:val="22"/>
        </w:rPr>
        <w:t xml:space="preserve"> Question 5 asked</w:t>
      </w:r>
      <w:r w:rsidRPr="009F6C18">
        <w:rPr>
          <w:szCs w:val="22"/>
        </w:rPr>
        <w:t xml:space="preserve">, “How should the CASF Infrastructure Application review timeline in D.18-12-018 be adjusted to accommodate the additional application window? </w:t>
      </w:r>
      <w:r>
        <w:rPr>
          <w:szCs w:val="22"/>
        </w:rPr>
        <w:t xml:space="preserve"> </w:t>
      </w:r>
      <w:r w:rsidRPr="009F6C18">
        <w:rPr>
          <w:szCs w:val="22"/>
        </w:rPr>
        <w:t>At this time, the rules contained “deemed denied” language if applications are not acted upon by October 1st. Should that language be modified, and if so how?”  Question 8 asked, “Should the Commission assign Staff’s authority to specify whether Applications submitted during additional rounds must meet the criteria outlined in the Ministerial Review section of the rules?  If so, how should the Ministerial review process and criteria be revised to ensure the timely processing of CASF Infrastructure Grant applications?  For instance, should any application submitted during additional application windows that receive a complete and timely challenge be automatically denied?”</w:t>
      </w:r>
    </w:p>
  </w:footnote>
  <w:footnote w:id="21">
    <w:p w14:paraId="5C8AB000" w14:textId="058FF848" w:rsidR="00196DE4" w:rsidRDefault="00196DE4">
      <w:pPr>
        <w:pStyle w:val="FootnoteText"/>
      </w:pPr>
      <w:r>
        <w:rPr>
          <w:rStyle w:val="FootnoteReference"/>
        </w:rPr>
        <w:footnoteRef/>
      </w:r>
      <w:r>
        <w:t xml:space="preserve"> </w:t>
      </w:r>
      <w:r w:rsidRPr="00E11AF2">
        <w:rPr>
          <w:szCs w:val="22"/>
        </w:rPr>
        <w:t xml:space="preserve">Opening comments of </w:t>
      </w:r>
      <w:proofErr w:type="spellStart"/>
      <w:r w:rsidRPr="00E11AF2">
        <w:rPr>
          <w:szCs w:val="22"/>
        </w:rPr>
        <w:t>GeoLinks</w:t>
      </w:r>
      <w:proofErr w:type="spellEnd"/>
      <w:r w:rsidRPr="00E11AF2">
        <w:rPr>
          <w:szCs w:val="22"/>
        </w:rPr>
        <w:t xml:space="preserve"> at 3, the CCBC at 4, </w:t>
      </w:r>
      <w:r w:rsidRPr="0000164B">
        <w:rPr>
          <w:szCs w:val="22"/>
        </w:rPr>
        <w:t>LCB at 3</w:t>
      </w:r>
      <w:r w:rsidRPr="002772B0">
        <w:rPr>
          <w:szCs w:val="22"/>
        </w:rPr>
        <w:t xml:space="preserve"> and Race at</w:t>
      </w:r>
      <w:r>
        <w:rPr>
          <w:szCs w:val="22"/>
        </w:rPr>
        <w:t xml:space="preserve"> </w:t>
      </w:r>
      <w:r w:rsidRPr="002772B0">
        <w:rPr>
          <w:szCs w:val="22"/>
        </w:rPr>
        <w:t>3.  Reply comments of TURN at</w:t>
      </w:r>
      <w:r>
        <w:rPr>
          <w:szCs w:val="22"/>
        </w:rPr>
        <w:t xml:space="preserve"> </w:t>
      </w:r>
      <w:r w:rsidRPr="002772B0">
        <w:rPr>
          <w:szCs w:val="22"/>
        </w:rPr>
        <w:t>6.</w:t>
      </w:r>
    </w:p>
  </w:footnote>
  <w:footnote w:id="22">
    <w:p w14:paraId="1A1A0589" w14:textId="360AB2F1"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Opening comments of CCTA at</w:t>
      </w:r>
      <w:r>
        <w:rPr>
          <w:szCs w:val="22"/>
        </w:rPr>
        <w:t xml:space="preserve"> </w:t>
      </w:r>
      <w:r w:rsidRPr="00E11AF2">
        <w:rPr>
          <w:szCs w:val="22"/>
        </w:rPr>
        <w:t>7.</w:t>
      </w:r>
    </w:p>
  </w:footnote>
  <w:footnote w:id="23">
    <w:p w14:paraId="0C4412D2" w14:textId="53E37A31" w:rsidR="00196DE4" w:rsidRPr="009F6C18" w:rsidRDefault="00196DE4" w:rsidP="00826271">
      <w:pPr>
        <w:pStyle w:val="FootnoteText"/>
        <w:rPr>
          <w:szCs w:val="22"/>
        </w:rPr>
      </w:pPr>
      <w:r w:rsidRPr="00E11AF2">
        <w:rPr>
          <w:rStyle w:val="FootnoteReference"/>
          <w:szCs w:val="22"/>
        </w:rPr>
        <w:footnoteRef/>
      </w:r>
      <w:r w:rsidRPr="00E11AF2">
        <w:rPr>
          <w:szCs w:val="22"/>
        </w:rPr>
        <w:t xml:space="preserve"> Opening comments of</w:t>
      </w:r>
      <w:r w:rsidRPr="009F6C18">
        <w:rPr>
          <w:szCs w:val="22"/>
        </w:rPr>
        <w:t xml:space="preserve"> </w:t>
      </w:r>
      <w:proofErr w:type="spellStart"/>
      <w:r w:rsidRPr="009F6C18">
        <w:rPr>
          <w:szCs w:val="22"/>
        </w:rPr>
        <w:t>GeoLinks</w:t>
      </w:r>
      <w:proofErr w:type="spellEnd"/>
      <w:r w:rsidRPr="009F6C18">
        <w:rPr>
          <w:szCs w:val="22"/>
        </w:rPr>
        <w:t xml:space="preserve"> at 4. </w:t>
      </w:r>
    </w:p>
  </w:footnote>
  <w:footnote w:id="24">
    <w:p w14:paraId="162A9E80" w14:textId="6E385B66" w:rsidR="00196DE4" w:rsidRPr="0000164B" w:rsidRDefault="00196DE4" w:rsidP="00826271">
      <w:pPr>
        <w:pStyle w:val="FootnoteText"/>
        <w:rPr>
          <w:szCs w:val="22"/>
        </w:rPr>
      </w:pPr>
      <w:r w:rsidRPr="00E11AF2">
        <w:rPr>
          <w:rStyle w:val="FootnoteReference"/>
          <w:szCs w:val="22"/>
        </w:rPr>
        <w:footnoteRef/>
      </w:r>
      <w:r w:rsidRPr="00E11AF2">
        <w:rPr>
          <w:szCs w:val="22"/>
        </w:rPr>
        <w:t xml:space="preserve"> Opening comments of CETF at p. 6, LCB at 4 and Race at</w:t>
      </w:r>
      <w:r>
        <w:rPr>
          <w:szCs w:val="22"/>
        </w:rPr>
        <w:t xml:space="preserve"> </w:t>
      </w:r>
      <w:r w:rsidRPr="00E11AF2">
        <w:rPr>
          <w:szCs w:val="22"/>
        </w:rPr>
        <w:t>3.</w:t>
      </w:r>
    </w:p>
  </w:footnote>
  <w:footnote w:id="25">
    <w:p w14:paraId="6DFA3A1E" w14:textId="3DD86DFD" w:rsidR="00196DE4" w:rsidRDefault="00196DE4">
      <w:pPr>
        <w:pStyle w:val="FootnoteText"/>
      </w:pPr>
      <w:r>
        <w:rPr>
          <w:rStyle w:val="FootnoteReference"/>
        </w:rPr>
        <w:footnoteRef/>
      </w:r>
      <w:r>
        <w:t xml:space="preserve"> </w:t>
      </w:r>
      <w:r w:rsidRPr="00E11AF2">
        <w:rPr>
          <w:szCs w:val="22"/>
        </w:rPr>
        <w:t xml:space="preserve">Opening comments of </w:t>
      </w:r>
      <w:proofErr w:type="spellStart"/>
      <w:r w:rsidRPr="00E11AF2">
        <w:rPr>
          <w:szCs w:val="22"/>
        </w:rPr>
        <w:t>GeoLinks</w:t>
      </w:r>
      <w:proofErr w:type="spellEnd"/>
      <w:r w:rsidRPr="00E11AF2">
        <w:rPr>
          <w:szCs w:val="22"/>
        </w:rPr>
        <w:t xml:space="preserve"> at 4, CCBC at</w:t>
      </w:r>
      <w:r>
        <w:rPr>
          <w:szCs w:val="22"/>
        </w:rPr>
        <w:t xml:space="preserve"> </w:t>
      </w:r>
      <w:r w:rsidRPr="00E11AF2">
        <w:rPr>
          <w:szCs w:val="22"/>
        </w:rPr>
        <w:t xml:space="preserve">5 and the CETF </w:t>
      </w:r>
      <w:r w:rsidRPr="0000164B">
        <w:rPr>
          <w:szCs w:val="22"/>
        </w:rPr>
        <w:t>at 7.</w:t>
      </w:r>
      <w:r>
        <w:rPr>
          <w:szCs w:val="22"/>
        </w:rPr>
        <w:t xml:space="preserve">  </w:t>
      </w:r>
      <w:r w:rsidRPr="0000164B">
        <w:rPr>
          <w:szCs w:val="22"/>
        </w:rPr>
        <w:t>Reply comments of TURN at 8.</w:t>
      </w:r>
    </w:p>
  </w:footnote>
  <w:footnote w:id="26">
    <w:p w14:paraId="2E730CBA" w14:textId="18C45B8C" w:rsidR="00196DE4" w:rsidRDefault="00196DE4">
      <w:pPr>
        <w:pStyle w:val="FootnoteText"/>
      </w:pPr>
      <w:r>
        <w:rPr>
          <w:rStyle w:val="FootnoteReference"/>
        </w:rPr>
        <w:footnoteRef/>
      </w:r>
      <w:r>
        <w:t xml:space="preserve"> </w:t>
      </w:r>
      <w:r w:rsidRPr="00E11AF2">
        <w:rPr>
          <w:szCs w:val="22"/>
        </w:rPr>
        <w:t>Opening comments LCB at</w:t>
      </w:r>
      <w:r>
        <w:rPr>
          <w:szCs w:val="22"/>
        </w:rPr>
        <w:t xml:space="preserve"> </w:t>
      </w:r>
      <w:r w:rsidRPr="00E11AF2">
        <w:rPr>
          <w:szCs w:val="22"/>
        </w:rPr>
        <w:t>4 and Race at</w:t>
      </w:r>
      <w:r>
        <w:rPr>
          <w:szCs w:val="22"/>
        </w:rPr>
        <w:t xml:space="preserve"> </w:t>
      </w:r>
      <w:r w:rsidRPr="0000164B">
        <w:rPr>
          <w:szCs w:val="22"/>
        </w:rPr>
        <w:t>4.</w:t>
      </w:r>
    </w:p>
  </w:footnote>
  <w:footnote w:id="27">
    <w:p w14:paraId="05E178FE" w14:textId="25DA33C9" w:rsidR="00196DE4" w:rsidRPr="009F6C18" w:rsidRDefault="00196DE4" w:rsidP="00826271">
      <w:pPr>
        <w:pStyle w:val="FootnoteText"/>
        <w:rPr>
          <w:szCs w:val="22"/>
        </w:rPr>
      </w:pPr>
      <w:r w:rsidRPr="00E11AF2">
        <w:rPr>
          <w:rStyle w:val="FootnoteReference"/>
          <w:szCs w:val="22"/>
        </w:rPr>
        <w:footnoteRef/>
      </w:r>
      <w:r w:rsidRPr="00E11AF2">
        <w:rPr>
          <w:szCs w:val="22"/>
        </w:rPr>
        <w:t xml:space="preserve"> Question 4 was, “In addition to the CAF II program, provide comments on other similar federal funding programs, such as the RDOF, that may affect the 2020 CASF application process.  For example, the RDOF Phase I Reverse Auction (Auction 904) of [FCC] is slated to begin October 22, 2020.  </w:t>
      </w:r>
      <w:r w:rsidRPr="0000164B">
        <w:rPr>
          <w:szCs w:val="22"/>
        </w:rPr>
        <w:t xml:space="preserve">Staff estimates the FCC “Short Form” filing deadline for participation in Auction 904 will be set by FCC for approximately August 22, 2020.  If the Commission were to provide financial incentive via CASF grants to bidders </w:t>
      </w:r>
      <w:r w:rsidRPr="002772B0">
        <w:rPr>
          <w:szCs w:val="22"/>
        </w:rPr>
        <w:t>seeking RDOF funding for areas in California, could the Commission inform bidders prior to the Short Form deadline, or by a later date prior to the opening of Auction 904, that winning bidders for California areas will be awarded CASF grants contingent upo</w:t>
      </w:r>
      <w:r w:rsidRPr="00391E77">
        <w:rPr>
          <w:szCs w:val="22"/>
        </w:rPr>
        <w:t xml:space="preserve">n certification by FCC of winning </w:t>
      </w:r>
      <w:r w:rsidRPr="00FE1633">
        <w:rPr>
          <w:szCs w:val="22"/>
        </w:rPr>
        <w:t>bids? How would this proc</w:t>
      </w:r>
      <w:r w:rsidRPr="009D73AD">
        <w:rPr>
          <w:szCs w:val="22"/>
        </w:rPr>
        <w:t xml:space="preserve">ess work?”  Question 9 stated, “Does Pub. Util. Code </w:t>
      </w:r>
      <w:r>
        <w:rPr>
          <w:szCs w:val="22"/>
        </w:rPr>
        <w:t>S</w:t>
      </w:r>
      <w:r w:rsidRPr="009D73AD">
        <w:rPr>
          <w:szCs w:val="22"/>
        </w:rPr>
        <w:t>ection 281 (f)(12) and (f)(5)(A) or any other provision of Pub. Util. Code § 281 prohibit a CASF Infrastructure applicant from receiving both federal (su</w:t>
      </w:r>
      <w:r w:rsidRPr="00077154">
        <w:rPr>
          <w:szCs w:val="22"/>
        </w:rPr>
        <w:t xml:space="preserve">ch as from the RDOF) and state CASF funds for the same project for which the applicant seeks CASF Infrastructure funding?”  </w:t>
      </w:r>
      <w:r w:rsidRPr="00367C8B">
        <w:rPr>
          <w:szCs w:val="22"/>
        </w:rPr>
        <w:t>Question 11 was, “Should the Commission require CASF awardees to bid for RDOF?</w:t>
      </w:r>
      <w:r w:rsidRPr="002828CC">
        <w:rPr>
          <w:szCs w:val="22"/>
        </w:rPr>
        <w:t xml:space="preserve">”  Question 13 stated, “Can and should CASF </w:t>
      </w:r>
      <w:r w:rsidRPr="00785140">
        <w:rPr>
          <w:szCs w:val="22"/>
        </w:rPr>
        <w:t>be used to match other grants including local government grants?”</w:t>
      </w:r>
      <w:r w:rsidRPr="009F6C18">
        <w:rPr>
          <w:szCs w:val="22"/>
        </w:rPr>
        <w:t xml:space="preserve"> </w:t>
      </w:r>
    </w:p>
  </w:footnote>
  <w:footnote w:id="28">
    <w:p w14:paraId="047CDE77" w14:textId="1898E750" w:rsidR="00196DE4" w:rsidRPr="00077154" w:rsidRDefault="00196DE4" w:rsidP="00826271">
      <w:pPr>
        <w:pStyle w:val="FootnoteText"/>
        <w:rPr>
          <w:szCs w:val="22"/>
        </w:rPr>
      </w:pPr>
      <w:r w:rsidRPr="00E11AF2">
        <w:rPr>
          <w:rStyle w:val="FootnoteReference"/>
          <w:szCs w:val="22"/>
        </w:rPr>
        <w:footnoteRef/>
      </w:r>
      <w:r w:rsidRPr="00E11AF2">
        <w:rPr>
          <w:szCs w:val="22"/>
        </w:rPr>
        <w:t xml:space="preserve"> Opening comments of </w:t>
      </w:r>
      <w:proofErr w:type="spellStart"/>
      <w:r w:rsidRPr="00E11AF2">
        <w:rPr>
          <w:szCs w:val="22"/>
        </w:rPr>
        <w:t>GeoLinks</w:t>
      </w:r>
      <w:proofErr w:type="spellEnd"/>
      <w:r w:rsidRPr="00E11AF2">
        <w:rPr>
          <w:szCs w:val="22"/>
        </w:rPr>
        <w:t xml:space="preserve"> at </w:t>
      </w:r>
      <w:r w:rsidRPr="0000164B">
        <w:rPr>
          <w:szCs w:val="22"/>
        </w:rPr>
        <w:t xml:space="preserve">7, CCBC at </w:t>
      </w:r>
      <w:r w:rsidRPr="002772B0">
        <w:rPr>
          <w:szCs w:val="22"/>
        </w:rPr>
        <w:t>6, CETF at 13, RCRC</w:t>
      </w:r>
      <w:r w:rsidRPr="00391E77">
        <w:rPr>
          <w:szCs w:val="22"/>
        </w:rPr>
        <w:t xml:space="preserve"> at 3, </w:t>
      </w:r>
      <w:r w:rsidRPr="00FE1633">
        <w:rPr>
          <w:szCs w:val="22"/>
        </w:rPr>
        <w:t xml:space="preserve">and TURN at </w:t>
      </w:r>
      <w:r w:rsidRPr="009D73AD">
        <w:rPr>
          <w:szCs w:val="22"/>
        </w:rPr>
        <w:t>10 and 14.</w:t>
      </w:r>
    </w:p>
  </w:footnote>
  <w:footnote w:id="29">
    <w:p w14:paraId="07E68791" w14:textId="79CA8834" w:rsidR="00196DE4" w:rsidRPr="002772B0" w:rsidRDefault="00196DE4" w:rsidP="00826271">
      <w:pPr>
        <w:pStyle w:val="FootnoteText"/>
        <w:rPr>
          <w:szCs w:val="22"/>
        </w:rPr>
      </w:pPr>
      <w:r w:rsidRPr="00E11AF2">
        <w:rPr>
          <w:rStyle w:val="FootnoteReference"/>
          <w:szCs w:val="22"/>
        </w:rPr>
        <w:footnoteRef/>
      </w:r>
      <w:r w:rsidRPr="00E11AF2">
        <w:rPr>
          <w:szCs w:val="22"/>
        </w:rPr>
        <w:t xml:space="preserve"> </w:t>
      </w:r>
      <w:bookmarkStart w:id="21" w:name="_Hlk42511394"/>
      <w:r w:rsidRPr="00E11AF2">
        <w:rPr>
          <w:szCs w:val="22"/>
        </w:rPr>
        <w:t xml:space="preserve">Opening comments of </w:t>
      </w:r>
      <w:proofErr w:type="spellStart"/>
      <w:r w:rsidRPr="00E11AF2">
        <w:rPr>
          <w:szCs w:val="22"/>
        </w:rPr>
        <w:t>GeoLinks</w:t>
      </w:r>
      <w:proofErr w:type="spellEnd"/>
      <w:r w:rsidRPr="00E11AF2">
        <w:rPr>
          <w:szCs w:val="22"/>
        </w:rPr>
        <w:t xml:space="preserve"> at 3</w:t>
      </w:r>
      <w:r w:rsidRPr="0000164B">
        <w:rPr>
          <w:szCs w:val="22"/>
        </w:rPr>
        <w:t xml:space="preserve"> and LCB at 3</w:t>
      </w:r>
      <w:bookmarkEnd w:id="21"/>
      <w:r w:rsidRPr="002772B0">
        <w:rPr>
          <w:szCs w:val="22"/>
        </w:rPr>
        <w:t>.</w:t>
      </w:r>
    </w:p>
  </w:footnote>
  <w:footnote w:id="30">
    <w:p w14:paraId="08BBBAAD" w14:textId="4260AD86" w:rsidR="00196DE4" w:rsidRPr="00FE1633" w:rsidRDefault="00196DE4" w:rsidP="00826271">
      <w:pPr>
        <w:pStyle w:val="FootnoteText"/>
        <w:rPr>
          <w:szCs w:val="22"/>
        </w:rPr>
      </w:pPr>
      <w:r w:rsidRPr="00E11AF2">
        <w:rPr>
          <w:rStyle w:val="FootnoteReference"/>
          <w:szCs w:val="22"/>
        </w:rPr>
        <w:footnoteRef/>
      </w:r>
      <w:r w:rsidRPr="00E11AF2">
        <w:rPr>
          <w:szCs w:val="22"/>
        </w:rPr>
        <w:t xml:space="preserve"> Opening comments of </w:t>
      </w:r>
      <w:proofErr w:type="spellStart"/>
      <w:r w:rsidRPr="00E11AF2">
        <w:rPr>
          <w:szCs w:val="22"/>
        </w:rPr>
        <w:t>GeoLinks</w:t>
      </w:r>
      <w:proofErr w:type="spellEnd"/>
      <w:r w:rsidRPr="00E11AF2">
        <w:rPr>
          <w:szCs w:val="22"/>
        </w:rPr>
        <w:t xml:space="preserve"> at</w:t>
      </w:r>
      <w:r>
        <w:rPr>
          <w:szCs w:val="22"/>
        </w:rPr>
        <w:t xml:space="preserve"> </w:t>
      </w:r>
      <w:r w:rsidRPr="00E11AF2">
        <w:rPr>
          <w:szCs w:val="22"/>
        </w:rPr>
        <w:t>3</w:t>
      </w:r>
      <w:r w:rsidRPr="0000164B">
        <w:rPr>
          <w:szCs w:val="22"/>
        </w:rPr>
        <w:t>, CBCC at 7,</w:t>
      </w:r>
      <w:r w:rsidRPr="002772B0">
        <w:rPr>
          <w:szCs w:val="22"/>
        </w:rPr>
        <w:t xml:space="preserve"> and CETF at </w:t>
      </w:r>
      <w:r w:rsidRPr="00391E77">
        <w:rPr>
          <w:szCs w:val="22"/>
        </w:rPr>
        <w:t>4.</w:t>
      </w:r>
    </w:p>
  </w:footnote>
  <w:footnote w:id="31">
    <w:p w14:paraId="5803E760" w14:textId="2D785B37" w:rsidR="00196DE4" w:rsidRDefault="00196DE4">
      <w:pPr>
        <w:pStyle w:val="FootnoteText"/>
      </w:pPr>
      <w:r>
        <w:rPr>
          <w:rStyle w:val="FootnoteReference"/>
        </w:rPr>
        <w:footnoteRef/>
      </w:r>
      <w:r>
        <w:t xml:space="preserve"> </w:t>
      </w:r>
      <w:r>
        <w:rPr>
          <w:szCs w:val="22"/>
        </w:rPr>
        <w:t xml:space="preserve">Opening comments of </w:t>
      </w:r>
      <w:proofErr w:type="spellStart"/>
      <w:r w:rsidRPr="00E11AF2">
        <w:rPr>
          <w:szCs w:val="22"/>
        </w:rPr>
        <w:t>GeoLinks</w:t>
      </w:r>
      <w:proofErr w:type="spellEnd"/>
      <w:r w:rsidRPr="00E11AF2">
        <w:rPr>
          <w:szCs w:val="22"/>
        </w:rPr>
        <w:t xml:space="preserve"> at 3.</w:t>
      </w:r>
    </w:p>
  </w:footnote>
  <w:footnote w:id="32">
    <w:p w14:paraId="7DA3AD4C" w14:textId="77777777"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w:t>
      </w:r>
      <w:r w:rsidRPr="006E5702">
        <w:rPr>
          <w:i/>
          <w:iCs/>
          <w:szCs w:val="22"/>
        </w:rPr>
        <w:t>Id</w:t>
      </w:r>
      <w:r w:rsidRPr="00E11AF2">
        <w:rPr>
          <w:szCs w:val="22"/>
        </w:rPr>
        <w:t>.</w:t>
      </w:r>
    </w:p>
  </w:footnote>
  <w:footnote w:id="33">
    <w:p w14:paraId="0B3C328D" w14:textId="63A92CB4"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w:t>
      </w:r>
      <w:r>
        <w:rPr>
          <w:szCs w:val="22"/>
        </w:rPr>
        <w:t xml:space="preserve">Opening comments of </w:t>
      </w:r>
      <w:r w:rsidRPr="00E11AF2">
        <w:rPr>
          <w:szCs w:val="22"/>
        </w:rPr>
        <w:t>Race at</w:t>
      </w:r>
      <w:r>
        <w:rPr>
          <w:szCs w:val="22"/>
        </w:rPr>
        <w:t xml:space="preserve"> </w:t>
      </w:r>
      <w:r w:rsidRPr="00E11AF2">
        <w:rPr>
          <w:szCs w:val="22"/>
        </w:rPr>
        <w:t>2.</w:t>
      </w:r>
    </w:p>
  </w:footnote>
  <w:footnote w:id="34">
    <w:p w14:paraId="1F6BFB1B" w14:textId="53102811"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w:t>
      </w:r>
      <w:r>
        <w:rPr>
          <w:szCs w:val="22"/>
        </w:rPr>
        <w:t xml:space="preserve">Opening comments of </w:t>
      </w:r>
      <w:r w:rsidRPr="00E11AF2">
        <w:rPr>
          <w:szCs w:val="22"/>
        </w:rPr>
        <w:t>CETF at</w:t>
      </w:r>
      <w:r>
        <w:rPr>
          <w:szCs w:val="22"/>
        </w:rPr>
        <w:t xml:space="preserve"> </w:t>
      </w:r>
      <w:r w:rsidRPr="00E11AF2">
        <w:rPr>
          <w:szCs w:val="22"/>
        </w:rPr>
        <w:t>7.</w:t>
      </w:r>
    </w:p>
  </w:footnote>
  <w:footnote w:id="35">
    <w:p w14:paraId="0C8CF0E9" w14:textId="3EFD121A"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w:t>
      </w:r>
      <w:r>
        <w:rPr>
          <w:szCs w:val="22"/>
        </w:rPr>
        <w:t xml:space="preserve">Reply comments of </w:t>
      </w:r>
      <w:r w:rsidRPr="00E11AF2">
        <w:rPr>
          <w:szCs w:val="22"/>
        </w:rPr>
        <w:t>TURN at</w:t>
      </w:r>
      <w:r>
        <w:rPr>
          <w:szCs w:val="22"/>
        </w:rPr>
        <w:t xml:space="preserve"> </w:t>
      </w:r>
      <w:r w:rsidRPr="00E11AF2">
        <w:rPr>
          <w:szCs w:val="22"/>
        </w:rPr>
        <w:t>10.</w:t>
      </w:r>
    </w:p>
  </w:footnote>
  <w:footnote w:id="36">
    <w:p w14:paraId="459653A7" w14:textId="727000AB"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Rely comments of CETF at</w:t>
      </w:r>
      <w:r>
        <w:rPr>
          <w:szCs w:val="22"/>
        </w:rPr>
        <w:t xml:space="preserve"> </w:t>
      </w:r>
      <w:r w:rsidRPr="00E11AF2">
        <w:rPr>
          <w:szCs w:val="22"/>
        </w:rPr>
        <w:t>11.</w:t>
      </w:r>
    </w:p>
  </w:footnote>
  <w:footnote w:id="37">
    <w:p w14:paraId="7EE263E9" w14:textId="6CAF2CA0" w:rsidR="00196DE4" w:rsidRPr="0000164B" w:rsidRDefault="00196DE4" w:rsidP="00826271">
      <w:pPr>
        <w:pStyle w:val="FootnoteText"/>
        <w:rPr>
          <w:szCs w:val="22"/>
        </w:rPr>
      </w:pPr>
      <w:r w:rsidRPr="00E11AF2">
        <w:rPr>
          <w:rStyle w:val="FootnoteReference"/>
          <w:szCs w:val="22"/>
        </w:rPr>
        <w:footnoteRef/>
      </w:r>
      <w:r w:rsidRPr="00E11AF2">
        <w:rPr>
          <w:szCs w:val="22"/>
        </w:rPr>
        <w:t xml:space="preserve"> </w:t>
      </w:r>
      <w:r>
        <w:rPr>
          <w:szCs w:val="22"/>
        </w:rPr>
        <w:t xml:space="preserve">For example, </w:t>
      </w:r>
      <w:r w:rsidRPr="006B5531">
        <w:rPr>
          <w:i/>
          <w:iCs/>
          <w:szCs w:val="22"/>
        </w:rPr>
        <w:t xml:space="preserve">see </w:t>
      </w:r>
      <w:r>
        <w:rPr>
          <w:szCs w:val="22"/>
        </w:rPr>
        <w:t>o</w:t>
      </w:r>
      <w:r w:rsidRPr="00E11AF2">
        <w:rPr>
          <w:szCs w:val="22"/>
        </w:rPr>
        <w:t>pening comments of RCRC at 3, and TURN reply comments at</w:t>
      </w:r>
      <w:r>
        <w:rPr>
          <w:szCs w:val="22"/>
        </w:rPr>
        <w:t xml:space="preserve"> </w:t>
      </w:r>
      <w:r w:rsidRPr="00E11AF2">
        <w:rPr>
          <w:szCs w:val="22"/>
        </w:rPr>
        <w:t>11</w:t>
      </w:r>
      <w:r>
        <w:rPr>
          <w:szCs w:val="22"/>
        </w:rPr>
        <w:t>.</w:t>
      </w:r>
    </w:p>
  </w:footnote>
  <w:footnote w:id="38">
    <w:p w14:paraId="03A0BFAF" w14:textId="56FF9E35" w:rsidR="00196DE4" w:rsidRPr="0000164B" w:rsidRDefault="00196DE4" w:rsidP="00826271">
      <w:pPr>
        <w:pStyle w:val="FootnoteText"/>
        <w:rPr>
          <w:szCs w:val="22"/>
        </w:rPr>
      </w:pPr>
      <w:r w:rsidRPr="00E11AF2">
        <w:rPr>
          <w:rStyle w:val="FootnoteReference"/>
          <w:szCs w:val="22"/>
        </w:rPr>
        <w:footnoteRef/>
      </w:r>
      <w:r w:rsidRPr="00E11AF2">
        <w:rPr>
          <w:szCs w:val="22"/>
        </w:rPr>
        <w:t xml:space="preserve"> Opening comments of RCRC at</w:t>
      </w:r>
      <w:r>
        <w:rPr>
          <w:szCs w:val="22"/>
        </w:rPr>
        <w:t xml:space="preserve"> </w:t>
      </w:r>
      <w:r w:rsidRPr="00E11AF2">
        <w:rPr>
          <w:szCs w:val="22"/>
        </w:rPr>
        <w:t>3</w:t>
      </w:r>
      <w:r w:rsidRPr="0000164B">
        <w:rPr>
          <w:szCs w:val="22"/>
        </w:rPr>
        <w:t>.</w:t>
      </w:r>
    </w:p>
  </w:footnote>
  <w:footnote w:id="39">
    <w:p w14:paraId="72DBFC47" w14:textId="55D1702F" w:rsidR="00196DE4" w:rsidRPr="00E11AF2" w:rsidRDefault="00196DE4" w:rsidP="00826271">
      <w:pPr>
        <w:pStyle w:val="FootnoteText"/>
        <w:rPr>
          <w:szCs w:val="22"/>
        </w:rPr>
      </w:pPr>
      <w:r w:rsidRPr="00E11AF2">
        <w:rPr>
          <w:rStyle w:val="FootnoteReference"/>
          <w:szCs w:val="22"/>
        </w:rPr>
        <w:footnoteRef/>
      </w:r>
      <w:r w:rsidRPr="00E11AF2">
        <w:rPr>
          <w:szCs w:val="22"/>
        </w:rPr>
        <w:t xml:space="preserve"> Opening comments of </w:t>
      </w:r>
      <w:proofErr w:type="spellStart"/>
      <w:r w:rsidRPr="00E11AF2">
        <w:rPr>
          <w:szCs w:val="22"/>
        </w:rPr>
        <w:t>GeoLinks</w:t>
      </w:r>
      <w:proofErr w:type="spellEnd"/>
      <w:r w:rsidRPr="00E11AF2">
        <w:rPr>
          <w:szCs w:val="22"/>
        </w:rPr>
        <w:t xml:space="preserve"> a</w:t>
      </w:r>
      <w:r>
        <w:rPr>
          <w:szCs w:val="22"/>
        </w:rPr>
        <w:t xml:space="preserve">t </w:t>
      </w:r>
      <w:r w:rsidRPr="00E11AF2">
        <w:rPr>
          <w:szCs w:val="22"/>
        </w:rPr>
        <w:t>7.</w:t>
      </w:r>
    </w:p>
  </w:footnote>
  <w:footnote w:id="40">
    <w:p w14:paraId="6F72293C" w14:textId="4C25AB48" w:rsidR="00196DE4" w:rsidRPr="00E11AF2" w:rsidRDefault="00196DE4">
      <w:pPr>
        <w:pStyle w:val="FootnoteText"/>
        <w:rPr>
          <w:szCs w:val="22"/>
        </w:rPr>
      </w:pPr>
      <w:r w:rsidRPr="00E11AF2">
        <w:rPr>
          <w:rStyle w:val="FootnoteReference"/>
          <w:szCs w:val="22"/>
        </w:rPr>
        <w:footnoteRef/>
      </w:r>
      <w:r w:rsidRPr="00E11AF2">
        <w:rPr>
          <w:szCs w:val="22"/>
        </w:rPr>
        <w:t xml:space="preserve"> Opening comments of CCTA at 10.</w:t>
      </w:r>
    </w:p>
  </w:footnote>
  <w:footnote w:id="41">
    <w:p w14:paraId="030040EA" w14:textId="70325E97" w:rsidR="00196DE4" w:rsidRPr="00785140" w:rsidRDefault="00196DE4">
      <w:pPr>
        <w:pStyle w:val="FootnoteText"/>
        <w:rPr>
          <w:szCs w:val="22"/>
        </w:rPr>
      </w:pPr>
      <w:r w:rsidRPr="00E11AF2">
        <w:rPr>
          <w:rStyle w:val="FootnoteReference"/>
          <w:szCs w:val="22"/>
        </w:rPr>
        <w:footnoteRef/>
      </w:r>
      <w:r w:rsidRPr="00E11AF2">
        <w:rPr>
          <w:szCs w:val="22"/>
        </w:rPr>
        <w:t xml:space="preserve"> On June 5, 2020, CD Director sent a letter to the CASF Distribution and Services Lists, and current and potential infrastructure applican</w:t>
      </w:r>
      <w:r w:rsidRPr="0000164B">
        <w:rPr>
          <w:szCs w:val="22"/>
        </w:rPr>
        <w:t xml:space="preserve">ts regarding the FCC RDOF Option. </w:t>
      </w:r>
      <w:r>
        <w:rPr>
          <w:szCs w:val="22"/>
        </w:rPr>
        <w:t xml:space="preserve"> </w:t>
      </w:r>
      <w:r w:rsidRPr="0000164B">
        <w:rPr>
          <w:szCs w:val="22"/>
        </w:rPr>
        <w:t xml:space="preserve">Note that </w:t>
      </w:r>
      <w:r w:rsidRPr="00B6287A">
        <w:rPr>
          <w:szCs w:val="22"/>
        </w:rPr>
        <w:t xml:space="preserve">Pub. Util. </w:t>
      </w:r>
      <w:r>
        <w:rPr>
          <w:szCs w:val="22"/>
        </w:rPr>
        <w:t>C</w:t>
      </w:r>
      <w:r w:rsidRPr="00B6287A">
        <w:rPr>
          <w:szCs w:val="22"/>
        </w:rPr>
        <w:t>ode §</w:t>
      </w:r>
      <w:r w:rsidRPr="002772B0">
        <w:rPr>
          <w:szCs w:val="22"/>
        </w:rPr>
        <w:t xml:space="preserve"> 281 (f)(14) states in part that</w:t>
      </w:r>
      <w:r w:rsidRPr="00FE1633">
        <w:rPr>
          <w:szCs w:val="22"/>
        </w:rPr>
        <w:t xml:space="preserve"> “</w:t>
      </w:r>
      <w:r w:rsidRPr="009D73AD">
        <w:rPr>
          <w:szCs w:val="22"/>
        </w:rPr>
        <w:t>[t]</w:t>
      </w:r>
      <w:r w:rsidRPr="00077154">
        <w:rPr>
          <w:szCs w:val="22"/>
        </w:rPr>
        <w:t xml:space="preserve">he commission may require each infrastructure grant applicant to indicate </w:t>
      </w:r>
      <w:r w:rsidRPr="00367C8B">
        <w:rPr>
          <w:szCs w:val="22"/>
        </w:rPr>
        <w:t>steps taken to first obtain any available funding from the Connect America Fund program or similar federal public programs that fund broadband infrastructure.</w:t>
      </w:r>
      <w:r w:rsidRPr="002828CC">
        <w:rPr>
          <w:szCs w:val="22"/>
        </w:rPr>
        <w:t>”</w:t>
      </w:r>
    </w:p>
  </w:footnote>
  <w:footnote w:id="42">
    <w:p w14:paraId="1CE71006" w14:textId="271DDB8D" w:rsidR="00196DE4" w:rsidRPr="009F6C18" w:rsidRDefault="00196DE4" w:rsidP="00FB638E">
      <w:pPr>
        <w:pStyle w:val="FootnoteText"/>
        <w:rPr>
          <w:szCs w:val="22"/>
        </w:rPr>
      </w:pPr>
      <w:r w:rsidRPr="00E11AF2">
        <w:rPr>
          <w:rStyle w:val="FootnoteReference"/>
          <w:szCs w:val="22"/>
        </w:rPr>
        <w:footnoteRef/>
      </w:r>
      <w:r w:rsidRPr="00E11AF2">
        <w:rPr>
          <w:szCs w:val="22"/>
        </w:rPr>
        <w:t xml:space="preserve"> Pub. Util. </w:t>
      </w:r>
      <w:r>
        <w:rPr>
          <w:szCs w:val="22"/>
        </w:rPr>
        <w:t>C</w:t>
      </w:r>
      <w:r w:rsidRPr="00E11AF2">
        <w:rPr>
          <w:szCs w:val="22"/>
        </w:rPr>
        <w:t>ode § 281 (b)(1)(A) set</w:t>
      </w:r>
      <w:r w:rsidRPr="009F6C18">
        <w:rPr>
          <w:szCs w:val="22"/>
        </w:rPr>
        <w:t xml:space="preserve"> the goal of the CASF program to reach 98 percent of households in each consortia region by 2022.</w:t>
      </w:r>
    </w:p>
  </w:footnote>
  <w:footnote w:id="43">
    <w:p w14:paraId="7028C4D5" w14:textId="28388151" w:rsidR="00196DE4" w:rsidRDefault="00196DE4">
      <w:pPr>
        <w:pStyle w:val="FootnoteText"/>
      </w:pPr>
      <w:r>
        <w:rPr>
          <w:rStyle w:val="FootnoteReference"/>
        </w:rPr>
        <w:footnoteRef/>
      </w:r>
      <w:r>
        <w:t xml:space="preserve"> Opening comments of CCTA at </w:t>
      </w:r>
      <w:r w:rsidRPr="00D70A7C">
        <w:t>6 and 7.</w:t>
      </w:r>
    </w:p>
  </w:footnote>
  <w:footnote w:id="44">
    <w:p w14:paraId="0E35C047" w14:textId="30C3D1DD" w:rsidR="00196DE4" w:rsidRDefault="00196DE4" w:rsidP="139306E1">
      <w:pPr>
        <w:pStyle w:val="FootnoteText"/>
      </w:pPr>
      <w:r w:rsidRPr="139306E1">
        <w:rPr>
          <w:rStyle w:val="FootnoteReference"/>
        </w:rPr>
        <w:footnoteRef/>
      </w:r>
      <w:r>
        <w:t xml:space="preserve"> Opening comments of CETF at 5 and 6; Opening comments of Frontier at 4. Opening comments of TURN at 10.</w:t>
      </w:r>
    </w:p>
  </w:footnote>
  <w:footnote w:id="45">
    <w:p w14:paraId="5CDD4B70" w14:textId="79ED0C14" w:rsidR="00196DE4" w:rsidRDefault="00196DE4">
      <w:pPr>
        <w:pStyle w:val="FootnoteText"/>
      </w:pPr>
      <w:r>
        <w:rPr>
          <w:rStyle w:val="FootnoteReference"/>
        </w:rPr>
        <w:footnoteRef/>
      </w:r>
      <w:r>
        <w:t xml:space="preserve"> Opening comments of CETF at 5 and 6.</w:t>
      </w:r>
    </w:p>
  </w:footnote>
  <w:footnote w:id="46">
    <w:p w14:paraId="5473C92A" w14:textId="364AA9AE" w:rsidR="00196DE4" w:rsidDel="00A023C6" w:rsidRDefault="00196DE4">
      <w:pPr>
        <w:pStyle w:val="FootnoteText"/>
      </w:pPr>
      <w:r>
        <w:rPr>
          <w:rStyle w:val="FootnoteReference"/>
        </w:rPr>
        <w:footnoteRef/>
      </w:r>
      <w:r>
        <w:t xml:space="preserve">  Opening comments of TURN at 10; Reply comments of CETF on PD at 5-6. </w:t>
      </w:r>
    </w:p>
  </w:footnote>
  <w:footnote w:id="47">
    <w:p w14:paraId="4D3C5247" w14:textId="2DF359E9" w:rsidR="00196DE4" w:rsidRPr="009F6C18" w:rsidRDefault="00196DE4" w:rsidP="001A7956">
      <w:pPr>
        <w:pStyle w:val="FootnoteText"/>
        <w:rPr>
          <w:szCs w:val="22"/>
        </w:rPr>
      </w:pPr>
      <w:r w:rsidRPr="00E11AF2">
        <w:rPr>
          <w:rStyle w:val="FootnoteReference"/>
          <w:szCs w:val="22"/>
        </w:rPr>
        <w:footnoteRef/>
      </w:r>
      <w:r w:rsidRPr="00E11AF2">
        <w:rPr>
          <w:szCs w:val="22"/>
        </w:rPr>
        <w:t xml:space="preserve"> A housing development is unserved when at least one housing unit within the housing development is not offered broadband Internet service.</w:t>
      </w:r>
      <w:r>
        <w:rPr>
          <w:szCs w:val="22"/>
        </w:rPr>
        <w:t xml:space="preserve"> </w:t>
      </w:r>
      <w:r w:rsidRPr="009F6C18">
        <w:rPr>
          <w:szCs w:val="22"/>
        </w:rPr>
        <w:t xml:space="preserve"> (Pub. Util. Code, </w:t>
      </w:r>
      <w:r>
        <w:rPr>
          <w:szCs w:val="22"/>
        </w:rPr>
        <w:t>S</w:t>
      </w:r>
      <w:r w:rsidRPr="009F6C18">
        <w:rPr>
          <w:szCs w:val="22"/>
        </w:rPr>
        <w:t>ection</w:t>
      </w:r>
      <w:r>
        <w:rPr>
          <w:szCs w:val="22"/>
        </w:rPr>
        <w:t> </w:t>
      </w:r>
      <w:r w:rsidRPr="009F6C18">
        <w:rPr>
          <w:szCs w:val="22"/>
        </w:rPr>
        <w:t>281(i)(3)(B)(ii)</w:t>
      </w:r>
      <w:r>
        <w:rPr>
          <w:szCs w:val="22"/>
        </w:rPr>
        <w:t>.</w:t>
      </w:r>
      <w:r w:rsidRPr="009F6C18">
        <w:rPr>
          <w:szCs w:val="22"/>
        </w:rPr>
        <w:t xml:space="preserve">) </w:t>
      </w:r>
    </w:p>
  </w:footnote>
  <w:footnote w:id="48">
    <w:p w14:paraId="0F8FE193" w14:textId="2D7495E4" w:rsidR="00196DE4" w:rsidRDefault="00196DE4">
      <w:pPr>
        <w:pStyle w:val="FootnoteText"/>
      </w:pPr>
      <w:r>
        <w:rPr>
          <w:rStyle w:val="FootnoteReference"/>
        </w:rPr>
        <w:footnoteRef/>
      </w:r>
      <w:r>
        <w:t xml:space="preserve"> </w:t>
      </w:r>
      <w:r w:rsidRPr="00D14379">
        <w:rPr>
          <w:szCs w:val="22"/>
        </w:rPr>
        <w:t xml:space="preserve">D.18-06-032, Appendix 1, </w:t>
      </w:r>
      <w:r>
        <w:rPr>
          <w:szCs w:val="22"/>
        </w:rPr>
        <w:t>at</w:t>
      </w:r>
      <w:r w:rsidRPr="00D14379">
        <w:rPr>
          <w:szCs w:val="22"/>
        </w:rPr>
        <w:t xml:space="preserve"> 3.</w:t>
      </w:r>
    </w:p>
  </w:footnote>
  <w:footnote w:id="49">
    <w:p w14:paraId="46039E2E" w14:textId="542EF720" w:rsidR="00196DE4" w:rsidRPr="00E11AF2" w:rsidRDefault="00196DE4">
      <w:pPr>
        <w:pStyle w:val="FootnoteText"/>
        <w:rPr>
          <w:szCs w:val="22"/>
        </w:rPr>
      </w:pPr>
      <w:r w:rsidRPr="00E11AF2">
        <w:rPr>
          <w:rStyle w:val="FootnoteReference"/>
          <w:szCs w:val="22"/>
        </w:rPr>
        <w:footnoteRef/>
      </w:r>
      <w:r w:rsidRPr="00E11AF2">
        <w:rPr>
          <w:szCs w:val="22"/>
        </w:rPr>
        <w:t xml:space="preserve"> CCTA, TURN and CETF.</w:t>
      </w:r>
    </w:p>
  </w:footnote>
  <w:footnote w:id="50">
    <w:p w14:paraId="7957B05F" w14:textId="63155609" w:rsidR="00196DE4" w:rsidRPr="009F6C18" w:rsidRDefault="00196DE4" w:rsidP="009B2F26">
      <w:pPr>
        <w:ind w:firstLine="0"/>
        <w:rPr>
          <w:sz w:val="22"/>
        </w:rPr>
      </w:pPr>
      <w:r w:rsidRPr="00DA0502">
        <w:rPr>
          <w:sz w:val="22"/>
          <w:vertAlign w:val="superscript"/>
        </w:rPr>
        <w:footnoteRef/>
      </w:r>
      <w:r w:rsidRPr="00DA0502">
        <w:rPr>
          <w:sz w:val="22"/>
          <w:vertAlign w:val="superscript"/>
        </w:rPr>
        <w:t xml:space="preserve"> </w:t>
      </w:r>
      <w:r>
        <w:rPr>
          <w:sz w:val="22"/>
        </w:rPr>
        <w:t xml:space="preserve">Reply comments of </w:t>
      </w:r>
      <w:r w:rsidRPr="009F6C18">
        <w:rPr>
          <w:sz w:val="22"/>
        </w:rPr>
        <w:t>CCTA at</w:t>
      </w:r>
      <w:r>
        <w:rPr>
          <w:sz w:val="22"/>
        </w:rPr>
        <w:t xml:space="preserve"> </w:t>
      </w:r>
      <w:r w:rsidRPr="009F6C18">
        <w:rPr>
          <w:sz w:val="22"/>
        </w:rPr>
        <w:t>9.</w:t>
      </w:r>
    </w:p>
  </w:footnote>
  <w:footnote w:id="51">
    <w:p w14:paraId="3BB2D4EE" w14:textId="4EBB63DC" w:rsidR="00196DE4" w:rsidRPr="009F6C18" w:rsidRDefault="00196DE4" w:rsidP="009B2F26">
      <w:pPr>
        <w:ind w:firstLine="0"/>
        <w:rPr>
          <w:rFonts w:eastAsia="Book Antiqua" w:cs="Book Antiqua"/>
          <w:color w:val="008080"/>
          <w:sz w:val="22"/>
          <w:u w:val="single"/>
        </w:rPr>
      </w:pPr>
      <w:r w:rsidRPr="00DA0502">
        <w:rPr>
          <w:sz w:val="22"/>
          <w:vertAlign w:val="superscript"/>
        </w:rPr>
        <w:footnoteRef/>
      </w:r>
      <w:r w:rsidRPr="009F6C18">
        <w:rPr>
          <w:sz w:val="22"/>
        </w:rPr>
        <w:t xml:space="preserve"> </w:t>
      </w:r>
      <w:r>
        <w:rPr>
          <w:sz w:val="22"/>
        </w:rPr>
        <w:t xml:space="preserve">Reply comments of TURN at 8. </w:t>
      </w:r>
    </w:p>
  </w:footnote>
  <w:footnote w:id="52">
    <w:p w14:paraId="6BF279D6" w14:textId="2021A067" w:rsidR="00196DE4" w:rsidRPr="009F6C18" w:rsidRDefault="00196DE4" w:rsidP="009B2F26">
      <w:pPr>
        <w:ind w:firstLine="0"/>
        <w:rPr>
          <w:rFonts w:eastAsia="Book Antiqua" w:cs="Book Antiqua"/>
          <w:color w:val="008080"/>
          <w:sz w:val="22"/>
          <w:u w:val="single"/>
        </w:rPr>
      </w:pPr>
      <w:r w:rsidRPr="00FF2A79">
        <w:rPr>
          <w:sz w:val="22"/>
          <w:vertAlign w:val="superscript"/>
        </w:rPr>
        <w:footnoteRef/>
      </w:r>
      <w:r w:rsidRPr="009F6C18">
        <w:rPr>
          <w:sz w:val="22"/>
        </w:rPr>
        <w:t xml:space="preserve"> </w:t>
      </w:r>
      <w:r>
        <w:rPr>
          <w:sz w:val="22"/>
        </w:rPr>
        <w:t xml:space="preserve">Opening comments of CCTA at 15. </w:t>
      </w:r>
    </w:p>
  </w:footnote>
  <w:footnote w:id="53">
    <w:p w14:paraId="6564AE21" w14:textId="47E2388B" w:rsidR="00196DE4" w:rsidRPr="009F6C18" w:rsidRDefault="00196DE4" w:rsidP="009B2F26">
      <w:pPr>
        <w:ind w:firstLine="0"/>
        <w:rPr>
          <w:sz w:val="22"/>
        </w:rPr>
      </w:pPr>
      <w:r w:rsidRPr="00FF2A79">
        <w:rPr>
          <w:sz w:val="22"/>
          <w:vertAlign w:val="superscript"/>
        </w:rPr>
        <w:footnoteRef/>
      </w:r>
      <w:r w:rsidRPr="009F6C18">
        <w:rPr>
          <w:sz w:val="22"/>
        </w:rPr>
        <w:t xml:space="preserve"> </w:t>
      </w:r>
      <w:r>
        <w:rPr>
          <w:sz w:val="22"/>
        </w:rPr>
        <w:t xml:space="preserve">Reply comments of CCTA at 10.  </w:t>
      </w:r>
    </w:p>
  </w:footnote>
  <w:footnote w:id="54">
    <w:p w14:paraId="64323BDE" w14:textId="22445C37" w:rsidR="00196DE4" w:rsidRPr="009F6C18" w:rsidRDefault="00196DE4">
      <w:pPr>
        <w:pStyle w:val="FootnoteText"/>
        <w:rPr>
          <w:rFonts w:eastAsia="Book Antiqua" w:cs="Book Antiqua"/>
          <w:color w:val="008080"/>
          <w:szCs w:val="22"/>
          <w:u w:val="single"/>
        </w:rPr>
      </w:pPr>
      <w:r w:rsidRPr="00E11AF2">
        <w:rPr>
          <w:rStyle w:val="FootnoteReference"/>
          <w:szCs w:val="22"/>
        </w:rPr>
        <w:footnoteRef/>
      </w:r>
      <w:r w:rsidRPr="00E11AF2">
        <w:rPr>
          <w:szCs w:val="22"/>
        </w:rPr>
        <w:t xml:space="preserve"> </w:t>
      </w:r>
      <w:r>
        <w:rPr>
          <w:szCs w:val="22"/>
        </w:rPr>
        <w:t xml:space="preserve">Opening comments of CETF at 10. </w:t>
      </w:r>
    </w:p>
  </w:footnote>
  <w:footnote w:id="55">
    <w:p w14:paraId="510BFA6C" w14:textId="53F39387" w:rsidR="00196DE4" w:rsidRPr="009F6C18" w:rsidRDefault="00196DE4" w:rsidP="00012F78">
      <w:pPr>
        <w:ind w:firstLine="0"/>
        <w:rPr>
          <w:sz w:val="22"/>
        </w:rPr>
      </w:pPr>
      <w:r w:rsidRPr="00FF2A79">
        <w:rPr>
          <w:rStyle w:val="FootnoteReference"/>
        </w:rPr>
        <w:footnoteRef/>
      </w:r>
      <w:r w:rsidRPr="00FF2A79">
        <w:rPr>
          <w:rStyle w:val="FootnoteReference"/>
        </w:rPr>
        <w:t xml:space="preserve"> </w:t>
      </w:r>
      <w:r>
        <w:rPr>
          <w:sz w:val="22"/>
        </w:rPr>
        <w:t xml:space="preserve">Reply comments of </w:t>
      </w:r>
      <w:r w:rsidRPr="009F6C18">
        <w:rPr>
          <w:sz w:val="22"/>
        </w:rPr>
        <w:t>CCTA at 9-10.</w:t>
      </w:r>
    </w:p>
  </w:footnote>
  <w:footnote w:id="56">
    <w:p w14:paraId="6E99A28F" w14:textId="54033BE9" w:rsidR="00196DE4" w:rsidRPr="00E11AF2" w:rsidRDefault="00196DE4" w:rsidP="007C5F60">
      <w:pPr>
        <w:pStyle w:val="FootnoteText"/>
        <w:rPr>
          <w:szCs w:val="22"/>
        </w:rPr>
      </w:pPr>
      <w:r w:rsidRPr="00E11AF2">
        <w:rPr>
          <w:rStyle w:val="FootnoteReference"/>
          <w:szCs w:val="22"/>
        </w:rPr>
        <w:footnoteRef/>
      </w:r>
      <w:r w:rsidRPr="00E11AF2">
        <w:rPr>
          <w:szCs w:val="22"/>
        </w:rPr>
        <w:t xml:space="preserve"> </w:t>
      </w:r>
      <w:r>
        <w:rPr>
          <w:szCs w:val="22"/>
        </w:rPr>
        <w:t>Opening comments of CCTA at 15.</w:t>
      </w:r>
    </w:p>
  </w:footnote>
  <w:footnote w:id="57">
    <w:p w14:paraId="10F3723D" w14:textId="4DB91331" w:rsidR="00196DE4" w:rsidRDefault="00196DE4">
      <w:pPr>
        <w:pStyle w:val="FootnoteText"/>
      </w:pPr>
      <w:r>
        <w:rPr>
          <w:rStyle w:val="FootnoteReference"/>
        </w:rPr>
        <w:footnoteRef/>
      </w:r>
      <w:r>
        <w:t xml:space="preserve"> Pub. Util. Code Section 281(i)(B)(i) and (ii).</w:t>
      </w:r>
    </w:p>
  </w:footnote>
  <w:footnote w:id="58">
    <w:p w14:paraId="757A3A1B" w14:textId="387CD037" w:rsidR="00196DE4" w:rsidRDefault="00196DE4">
      <w:pPr>
        <w:pStyle w:val="FootnoteText"/>
      </w:pPr>
      <w:r>
        <w:rPr>
          <w:rStyle w:val="FootnoteReference"/>
        </w:rPr>
        <w:footnoteRef/>
      </w:r>
      <w:r>
        <w:t xml:space="preserve"> CETF Reply Comments on PD at 3. </w:t>
      </w:r>
    </w:p>
  </w:footnote>
  <w:footnote w:id="59">
    <w:p w14:paraId="6A670555" w14:textId="3A633B59" w:rsidR="00196DE4" w:rsidRPr="00022CBE" w:rsidRDefault="00196DE4" w:rsidP="00FE0B53">
      <w:pPr>
        <w:pStyle w:val="FootnoteText"/>
        <w:rPr>
          <w:szCs w:val="22"/>
        </w:rPr>
      </w:pPr>
      <w:r w:rsidRPr="00022CBE">
        <w:rPr>
          <w:rStyle w:val="FootnoteReference"/>
          <w:szCs w:val="22"/>
        </w:rPr>
        <w:footnoteRef/>
      </w:r>
      <w:r w:rsidRPr="00022CBE">
        <w:rPr>
          <w:szCs w:val="22"/>
        </w:rPr>
        <w:t xml:space="preserve"> Frontier Opening Comments on </w:t>
      </w:r>
      <w:r>
        <w:rPr>
          <w:szCs w:val="22"/>
        </w:rPr>
        <w:t>PD</w:t>
      </w:r>
      <w:r w:rsidRPr="00022CBE">
        <w:rPr>
          <w:szCs w:val="22"/>
        </w:rPr>
        <w:t xml:space="preserve"> at 2.</w:t>
      </w:r>
    </w:p>
  </w:footnote>
  <w:footnote w:id="60">
    <w:p w14:paraId="0D4487D4" w14:textId="0BE88B65" w:rsidR="00196DE4" w:rsidRPr="00022CBE" w:rsidRDefault="00196DE4" w:rsidP="00FE0B53">
      <w:pPr>
        <w:pStyle w:val="FootnoteText"/>
        <w:rPr>
          <w:szCs w:val="22"/>
        </w:rPr>
      </w:pPr>
      <w:r w:rsidRPr="00022CBE">
        <w:rPr>
          <w:rStyle w:val="FootnoteReference"/>
          <w:szCs w:val="22"/>
        </w:rPr>
        <w:footnoteRef/>
      </w:r>
      <w:r w:rsidRPr="00022CBE">
        <w:rPr>
          <w:szCs w:val="22"/>
        </w:rPr>
        <w:t xml:space="preserve"> CETF Reply Comments on </w:t>
      </w:r>
      <w:r>
        <w:rPr>
          <w:szCs w:val="22"/>
        </w:rPr>
        <w:t>PD</w:t>
      </w:r>
      <w:r w:rsidRPr="00022CBE">
        <w:rPr>
          <w:szCs w:val="22"/>
        </w:rPr>
        <w:t xml:space="preserve"> at </w:t>
      </w:r>
      <w:r>
        <w:rPr>
          <w:szCs w:val="22"/>
        </w:rPr>
        <w:t>4</w:t>
      </w:r>
      <w:r w:rsidRPr="00022CBE">
        <w:rPr>
          <w:szCs w:val="22"/>
        </w:rPr>
        <w:t>.</w:t>
      </w:r>
    </w:p>
  </w:footnote>
  <w:footnote w:id="61">
    <w:p w14:paraId="503FA28E" w14:textId="73384ECC" w:rsidR="00196DE4" w:rsidRDefault="00196DE4" w:rsidP="00FE0B53">
      <w:pPr>
        <w:pStyle w:val="FootnoteText"/>
      </w:pPr>
      <w:r>
        <w:rPr>
          <w:rStyle w:val="FootnoteReference"/>
        </w:rPr>
        <w:footnoteRef/>
      </w:r>
      <w:r>
        <w:t xml:space="preserve"> </w:t>
      </w:r>
      <w:r w:rsidRPr="000A03C7">
        <w:t xml:space="preserve">Frontier Opening Comments on </w:t>
      </w:r>
      <w:r>
        <w:t>PD</w:t>
      </w:r>
      <w:r w:rsidRPr="000A03C7">
        <w:t xml:space="preserve"> at 2-3.</w:t>
      </w:r>
    </w:p>
  </w:footnote>
  <w:footnote w:id="62">
    <w:p w14:paraId="344C0C23" w14:textId="5233CF49" w:rsidR="00196DE4" w:rsidRDefault="00196DE4" w:rsidP="00FE0B53">
      <w:pPr>
        <w:pStyle w:val="FootnoteText"/>
      </w:pPr>
      <w:r>
        <w:rPr>
          <w:rStyle w:val="FootnoteReference"/>
        </w:rPr>
        <w:footnoteRef/>
      </w:r>
      <w:r>
        <w:t xml:space="preserve"> </w:t>
      </w:r>
      <w:r w:rsidRPr="000A03C7">
        <w:t xml:space="preserve">CCTA Reply Comments on </w:t>
      </w:r>
      <w:r>
        <w:t>PD</w:t>
      </w:r>
      <w:r w:rsidRPr="000A03C7">
        <w:t xml:space="preserve"> at 3.</w:t>
      </w:r>
    </w:p>
  </w:footnote>
  <w:footnote w:id="63">
    <w:p w14:paraId="647A596E" w14:textId="28A40201" w:rsidR="00196DE4" w:rsidRDefault="00196DE4" w:rsidP="00FE0B53">
      <w:pPr>
        <w:pStyle w:val="FootnoteText"/>
      </w:pPr>
      <w:r>
        <w:rPr>
          <w:rStyle w:val="FootnoteReference"/>
        </w:rPr>
        <w:footnoteRef/>
      </w:r>
      <w:r>
        <w:t xml:space="preserve"> </w:t>
      </w:r>
      <w:r w:rsidRPr="00473180">
        <w:t xml:space="preserve">Frontier Opening Comments on </w:t>
      </w:r>
      <w:r>
        <w:t>PD</w:t>
      </w:r>
      <w:r w:rsidRPr="00473180">
        <w:t xml:space="preserve"> at 2.</w:t>
      </w:r>
    </w:p>
  </w:footnote>
  <w:footnote w:id="64">
    <w:p w14:paraId="1E95F534" w14:textId="36EDBC14" w:rsidR="00196DE4" w:rsidRPr="00506107" w:rsidRDefault="00196DE4" w:rsidP="00CA08C6">
      <w:pPr>
        <w:ind w:firstLine="0"/>
        <w:rPr>
          <w:rFonts w:eastAsia="Book Antiqua" w:cs="Book Antiqua"/>
          <w:sz w:val="22"/>
        </w:rPr>
      </w:pPr>
      <w:r w:rsidRPr="00506107">
        <w:rPr>
          <w:sz w:val="22"/>
          <w:vertAlign w:val="superscript"/>
        </w:rPr>
        <w:footnoteRef/>
      </w:r>
      <w:r w:rsidRPr="00506107">
        <w:rPr>
          <w:rFonts w:eastAsia="Book Antiqua" w:cs="Book Antiqua"/>
          <w:sz w:val="22"/>
        </w:rPr>
        <w:t>Opening comments of CCTA</w:t>
      </w:r>
      <w:r>
        <w:rPr>
          <w:rFonts w:eastAsia="Book Antiqua" w:cs="Book Antiqua"/>
          <w:sz w:val="22"/>
        </w:rPr>
        <w:t xml:space="preserve"> on PD</w:t>
      </w:r>
      <w:r w:rsidRPr="00506107">
        <w:rPr>
          <w:rFonts w:eastAsia="Book Antiqua" w:cs="Book Antiqua"/>
          <w:sz w:val="22"/>
        </w:rPr>
        <w:t xml:space="preserve"> at 2-8.</w:t>
      </w:r>
    </w:p>
  </w:footnote>
  <w:footnote w:id="65">
    <w:p w14:paraId="7FF5E624" w14:textId="59550B54" w:rsidR="00196DE4" w:rsidRPr="00506107" w:rsidRDefault="00196DE4" w:rsidP="00506107">
      <w:pPr>
        <w:ind w:firstLine="0"/>
        <w:rPr>
          <w:rFonts w:eastAsia="Book Antiqua" w:cs="Book Antiqua"/>
          <w:sz w:val="22"/>
        </w:rPr>
      </w:pPr>
      <w:r w:rsidRPr="00506107">
        <w:rPr>
          <w:sz w:val="22"/>
          <w:vertAlign w:val="superscript"/>
        </w:rPr>
        <w:footnoteRef/>
      </w:r>
      <w:r w:rsidRPr="00506107">
        <w:rPr>
          <w:sz w:val="22"/>
        </w:rPr>
        <w:t xml:space="preserve"> </w:t>
      </w:r>
      <w:r w:rsidRPr="00506107">
        <w:rPr>
          <w:rFonts w:eastAsia="Book Antiqua" w:cs="Book Antiqua"/>
          <w:sz w:val="22"/>
        </w:rPr>
        <w:t>CETF</w:t>
      </w:r>
      <w:r>
        <w:rPr>
          <w:rFonts w:eastAsia="Book Antiqua" w:cs="Book Antiqua"/>
          <w:sz w:val="22"/>
        </w:rPr>
        <w:t xml:space="preserve"> Reply Comments on PD</w:t>
      </w:r>
      <w:r w:rsidRPr="00506107">
        <w:rPr>
          <w:rFonts w:eastAsia="Book Antiqua" w:cs="Book Antiqua"/>
          <w:sz w:val="22"/>
        </w:rPr>
        <w:t xml:space="preserve"> at 2-3.</w:t>
      </w:r>
    </w:p>
  </w:footnote>
  <w:footnote w:id="66">
    <w:p w14:paraId="44C5AC13" w14:textId="2EA07AF8" w:rsidR="00196DE4" w:rsidRDefault="00196DE4" w:rsidP="00FE0B53">
      <w:pPr>
        <w:pStyle w:val="FootnoteText"/>
      </w:pPr>
      <w:r>
        <w:rPr>
          <w:rStyle w:val="FootnoteReference"/>
        </w:rPr>
        <w:footnoteRef/>
      </w:r>
      <w:r>
        <w:t xml:space="preserve"> </w:t>
      </w:r>
      <w:r w:rsidRPr="002158A7">
        <w:t xml:space="preserve">CCTA </w:t>
      </w:r>
      <w:r>
        <w:t xml:space="preserve">Opening </w:t>
      </w:r>
      <w:r w:rsidRPr="002158A7">
        <w:t xml:space="preserve">Comments on </w:t>
      </w:r>
      <w:r>
        <w:t>PD</w:t>
      </w:r>
      <w:r w:rsidRPr="002158A7">
        <w:t xml:space="preserve"> at </w:t>
      </w:r>
      <w:r>
        <w:t>9</w:t>
      </w:r>
      <w:r w:rsidRPr="002158A7">
        <w:t>.</w:t>
      </w:r>
    </w:p>
  </w:footnote>
  <w:footnote w:id="67">
    <w:p w14:paraId="6E6729F2" w14:textId="5D9A53AF" w:rsidR="00196DE4" w:rsidRDefault="00196DE4" w:rsidP="00FE0B53">
      <w:pPr>
        <w:pStyle w:val="FootnoteText"/>
      </w:pPr>
      <w:r>
        <w:rPr>
          <w:rStyle w:val="FootnoteReference"/>
        </w:rPr>
        <w:footnoteRef/>
      </w:r>
      <w:r>
        <w:t xml:space="preserve"> </w:t>
      </w:r>
      <w:bookmarkStart w:id="51" w:name="_Hlk47013801"/>
      <w:r w:rsidRPr="002158A7">
        <w:t xml:space="preserve">Frontier Opening Comments on </w:t>
      </w:r>
      <w:r>
        <w:t>PD</w:t>
      </w:r>
      <w:r w:rsidRPr="002158A7">
        <w:t xml:space="preserve"> at 2.</w:t>
      </w:r>
      <w:bookmarkEnd w:id="51"/>
    </w:p>
  </w:footnote>
  <w:footnote w:id="68">
    <w:p w14:paraId="06C108FA" w14:textId="77CF3012" w:rsidR="00196DE4" w:rsidRDefault="00196DE4" w:rsidP="00FE0B53">
      <w:pPr>
        <w:pStyle w:val="FootnoteText"/>
      </w:pPr>
      <w:r>
        <w:rPr>
          <w:rStyle w:val="FootnoteReference"/>
        </w:rPr>
        <w:footnoteRef/>
      </w:r>
      <w:r>
        <w:t xml:space="preserve"> </w:t>
      </w:r>
      <w:r w:rsidRPr="00640A60">
        <w:t xml:space="preserve">CETF Reply Comments on </w:t>
      </w:r>
      <w:r>
        <w:t>PD</w:t>
      </w:r>
      <w:r w:rsidRPr="00640A60">
        <w:t xml:space="preserve"> at </w:t>
      </w:r>
      <w:r>
        <w:t>1-2.</w:t>
      </w:r>
    </w:p>
  </w:footnote>
  <w:footnote w:id="69">
    <w:p w14:paraId="57A60B0B" w14:textId="4FC76951" w:rsidR="00196DE4" w:rsidRDefault="00196DE4">
      <w:pPr>
        <w:pStyle w:val="FootnoteText"/>
      </w:pPr>
      <w:r>
        <w:rPr>
          <w:rStyle w:val="FootnoteReference"/>
        </w:rPr>
        <w:footnoteRef/>
      </w:r>
      <w:r w:rsidRPr="009F6C18">
        <w:rPr>
          <w:szCs w:val="22"/>
        </w:rPr>
        <w:t>Telephone wiring inside a residential unit or multi-dwelling unit (MDU) building.</w:t>
      </w:r>
      <w:r>
        <w:t xml:space="preserve"> </w:t>
      </w:r>
    </w:p>
  </w:footnote>
  <w:footnote w:id="70">
    <w:p w14:paraId="587973A4" w14:textId="77777777" w:rsidR="00196DE4" w:rsidRDefault="00196DE4" w:rsidP="00C20211">
      <w:pPr>
        <w:pStyle w:val="FootnoteText"/>
      </w:pPr>
      <w:r w:rsidRPr="00FB1986">
        <w:rPr>
          <w:rStyle w:val="FootnoteReference"/>
          <w:rFonts w:ascii="Palatino Linotype" w:hAnsi="Palatino Linotype"/>
        </w:rPr>
        <w:footnoteRef/>
      </w:r>
      <w:r>
        <w:t xml:space="preserve"> </w:t>
      </w:r>
      <w:r w:rsidRPr="00C20211">
        <w:rPr>
          <w:rFonts w:ascii="Palatino Linotype" w:hAnsi="Palatino Linotype"/>
          <w:sz w:val="20"/>
          <w:lang w:val="en"/>
        </w:rPr>
        <w:t xml:space="preserve">The </w:t>
      </w:r>
      <w:hyperlink r:id="rId5" w:tooltip="National Electrical Manufacturers Association" w:history="1">
        <w:r w:rsidRPr="00C20211">
          <w:t>National Electrical Manufacturers Association</w:t>
        </w:r>
      </w:hyperlink>
      <w:r w:rsidRPr="004B7BF2">
        <w:rPr>
          <w:rFonts w:ascii="Palatino Linotype" w:hAnsi="Palatino Linotype"/>
          <w:sz w:val="20"/>
          <w:lang w:val="en"/>
        </w:rPr>
        <w:t xml:space="preserve"> defines standards used in </w:t>
      </w:r>
      <w:hyperlink r:id="rId6" w:tooltip="North America" w:history="1">
        <w:r w:rsidRPr="00C20211">
          <w:t>North America</w:t>
        </w:r>
      </w:hyperlink>
      <w:r w:rsidRPr="004B7BF2">
        <w:rPr>
          <w:rFonts w:ascii="Palatino Linotype" w:hAnsi="Palatino Linotype"/>
          <w:sz w:val="20"/>
          <w:lang w:val="en"/>
        </w:rPr>
        <w:t xml:space="preserve"> for various grades of </w:t>
      </w:r>
      <w:hyperlink r:id="rId7" w:tooltip="Electrical enclosures" w:history="1">
        <w:r w:rsidRPr="00C20211">
          <w:t>electrical enclosures</w:t>
        </w:r>
      </w:hyperlink>
      <w:r w:rsidRPr="004B7BF2">
        <w:rPr>
          <w:rFonts w:ascii="Palatino Linotype" w:hAnsi="Palatino Linotype"/>
          <w:sz w:val="20"/>
          <w:lang w:val="en"/>
        </w:rPr>
        <w:t xml:space="preserve"> typically used in industrial applications</w:t>
      </w:r>
      <w:r>
        <w:rPr>
          <w:rFonts w:ascii="Palatino Linotype" w:hAnsi="Palatino Linotype"/>
          <w:sz w:val="20"/>
          <w:lang w:val="en"/>
        </w:rPr>
        <w:t>.</w:t>
      </w:r>
    </w:p>
  </w:footnote>
  <w:footnote w:id="71">
    <w:p w14:paraId="465645BA" w14:textId="77777777" w:rsidR="00196DE4" w:rsidRPr="00A52DB6" w:rsidRDefault="00196DE4" w:rsidP="00C20211">
      <w:pPr>
        <w:pStyle w:val="FootnoteText"/>
        <w:rPr>
          <w:rFonts w:ascii="Palatino Linotype" w:hAnsi="Palatino Linotype"/>
        </w:rPr>
      </w:pPr>
      <w:r w:rsidRPr="00A52DB6">
        <w:rPr>
          <w:rStyle w:val="FootnoteReference"/>
          <w:rFonts w:ascii="Palatino Linotype" w:hAnsi="Palatino Linotype"/>
        </w:rPr>
        <w:footnoteRef/>
      </w:r>
      <w:r w:rsidRPr="00A52DB6">
        <w:rPr>
          <w:rFonts w:ascii="Palatino Linotype" w:hAnsi="Palatino Linotype"/>
        </w:rPr>
        <w:t xml:space="preserve"> </w:t>
      </w:r>
      <w:r w:rsidRPr="00A52DB6">
        <w:rPr>
          <w:rFonts w:ascii="Palatino Linotype" w:hAnsi="Palatino Linotype"/>
          <w:sz w:val="20"/>
        </w:rPr>
        <w:t xml:space="preserve">A widely used wireless computer networking protocol standard by </w:t>
      </w:r>
      <w:r>
        <w:rPr>
          <w:rFonts w:ascii="Palatino Linotype" w:hAnsi="Palatino Linotype"/>
          <w:sz w:val="20"/>
        </w:rPr>
        <w:t>IEEE (T</w:t>
      </w:r>
      <w:r w:rsidRPr="00A52DB6">
        <w:rPr>
          <w:rFonts w:ascii="Palatino Linotype" w:hAnsi="Palatino Linotype"/>
          <w:sz w:val="20"/>
        </w:rPr>
        <w:t>he Institute of Electrical and Electronics Engineers</w:t>
      </w:r>
      <w:r>
        <w:rPr>
          <w:rFonts w:ascii="Palatino Linotype" w:hAnsi="Palatino Linotype"/>
          <w:sz w:val="20"/>
        </w:rPr>
        <w:t>) for Wi-Fi communication that operates on 2.4 GHz and 5 GHz frequency bands</w:t>
      </w:r>
      <w:r w:rsidRPr="00A52DB6">
        <w:rPr>
          <w:rFonts w:ascii="Palatino Linotype" w:hAnsi="Palatino Linotype"/>
          <w:sz w:val="20"/>
        </w:rPr>
        <w:t xml:space="preserve">.  </w:t>
      </w:r>
    </w:p>
  </w:footnote>
  <w:footnote w:id="72">
    <w:p w14:paraId="76BDC0AA" w14:textId="77777777" w:rsidR="00196DE4" w:rsidRDefault="00196DE4" w:rsidP="00C20211">
      <w:pPr>
        <w:pStyle w:val="FootnoteText"/>
      </w:pPr>
      <w:r w:rsidRPr="004B7BF2">
        <w:rPr>
          <w:rStyle w:val="FootnoteReference"/>
          <w:rFonts w:ascii="Palatino Linotype" w:hAnsi="Palatino Linotype"/>
        </w:rPr>
        <w:footnoteRef/>
      </w:r>
      <w:r>
        <w:rPr>
          <w:rFonts w:ascii="Palatino Linotype" w:hAnsi="Palatino Linotype"/>
        </w:rPr>
        <w:t xml:space="preserve"> </w:t>
      </w:r>
      <w:r w:rsidRPr="004B7BF2">
        <w:rPr>
          <w:rFonts w:ascii="Palatino Linotype" w:hAnsi="Palatino Linotype"/>
          <w:sz w:val="20"/>
        </w:rPr>
        <w:t>G.992.5 is an ITU-T (International Telecommunication Union - Telecommunication) standard for asymmetric digital subscriber line (ADSL) broadband Internet access with a maximum theoretical download speed of 24 Mbit/s and an upload speeds of 3.3 Mbit/s can be achieved.</w:t>
      </w:r>
    </w:p>
  </w:footnote>
  <w:footnote w:id="73">
    <w:p w14:paraId="689540A0" w14:textId="77777777" w:rsidR="00196DE4" w:rsidRDefault="00196DE4" w:rsidP="00C20211">
      <w:pPr>
        <w:pStyle w:val="FootnoteText"/>
      </w:pPr>
      <w:r w:rsidRPr="004B7BF2">
        <w:rPr>
          <w:rStyle w:val="FootnoteReference"/>
          <w:rFonts w:ascii="Palatino Linotype" w:hAnsi="Palatino Linotype"/>
        </w:rPr>
        <w:footnoteRef/>
      </w:r>
      <w:r>
        <w:t xml:space="preserve"> </w:t>
      </w:r>
      <w:r w:rsidRPr="004B7BF2">
        <w:rPr>
          <w:rFonts w:ascii="Palatino Linotype" w:hAnsi="Palatino Linotype"/>
          <w:sz w:val="20"/>
        </w:rPr>
        <w:t>Classic Ethernet is a family of first generation 10 Mbit/s Ethernet standards. 10 represents its maximum throughput of 10 Mbit/s, BASE indicates its use of baseband transmission, and X indicates the type of medium used</w:t>
      </w:r>
      <w:r>
        <w:rPr>
          <w:rFonts w:ascii="Palatino Linotype" w:hAnsi="Palatino Linotype"/>
          <w:sz w:val="20"/>
        </w:rPr>
        <w:t>.</w:t>
      </w:r>
    </w:p>
  </w:footnote>
  <w:footnote w:id="74">
    <w:p w14:paraId="40DD3888" w14:textId="77777777" w:rsidR="00196DE4" w:rsidRPr="0076018A" w:rsidRDefault="00196DE4" w:rsidP="00C20211">
      <w:pPr>
        <w:pStyle w:val="FootnoteText"/>
        <w:rPr>
          <w:rFonts w:ascii="Palatino Linotype" w:hAnsi="Palatino Linotype"/>
          <w:color w:val="000000" w:themeColor="text1"/>
          <w:sz w:val="20"/>
        </w:rPr>
      </w:pPr>
      <w:r w:rsidRPr="0076018A">
        <w:rPr>
          <w:rStyle w:val="FootnoteReference"/>
          <w:rFonts w:ascii="Palatino Linotype" w:hAnsi="Palatino Linotype"/>
          <w:color w:val="000000" w:themeColor="text1"/>
          <w:sz w:val="20"/>
        </w:rPr>
        <w:footnoteRef/>
      </w:r>
      <w:r w:rsidRPr="0076018A">
        <w:rPr>
          <w:rFonts w:ascii="Palatino Linotype" w:hAnsi="Palatino Linotype"/>
          <w:color w:val="000000" w:themeColor="text1"/>
          <w:sz w:val="20"/>
        </w:rPr>
        <w:t xml:space="preserve"> Pub. Util. Code, § 281(i)(3)(B)(i) and (ii).</w:t>
      </w:r>
    </w:p>
  </w:footnote>
  <w:footnote w:id="75">
    <w:p w14:paraId="01CE7D4C" w14:textId="77777777" w:rsidR="00196DE4" w:rsidRDefault="00196DE4" w:rsidP="00C20211">
      <w:pPr>
        <w:pStyle w:val="FootnoteText"/>
      </w:pPr>
      <w:r w:rsidRPr="0076018A">
        <w:rPr>
          <w:rStyle w:val="FootnoteReference"/>
          <w:rFonts w:ascii="Palatino Linotype" w:hAnsi="Palatino Linotype"/>
          <w:sz w:val="20"/>
        </w:rPr>
        <w:footnoteRef/>
      </w:r>
      <w:r w:rsidRPr="0076018A">
        <w:rPr>
          <w:rFonts w:ascii="Palatino Linotype" w:hAnsi="Palatino Linotype"/>
          <w:sz w:val="20"/>
        </w:rPr>
        <w:t xml:space="preserve"> The applicant must attest that the project meets this definition and the ISP must demonstrate, in the challenge process, that the ISP already provides access to all units on the property in question.</w:t>
      </w:r>
      <w:r>
        <w:t xml:space="preserve"> </w:t>
      </w:r>
    </w:p>
  </w:footnote>
  <w:footnote w:id="76">
    <w:p w14:paraId="69A96F73" w14:textId="77777777" w:rsidR="00196DE4" w:rsidRPr="00B665FF" w:rsidRDefault="00196DE4" w:rsidP="00C20211">
      <w:pPr>
        <w:pStyle w:val="FootnoteText"/>
        <w:rPr>
          <w:rFonts w:ascii="Palatino Linotype" w:hAnsi="Palatino Linotype"/>
          <w:color w:val="000000" w:themeColor="text1"/>
          <w:sz w:val="20"/>
        </w:rPr>
      </w:pPr>
      <w:r w:rsidRPr="00B665FF">
        <w:rPr>
          <w:rStyle w:val="FootnoteReference"/>
          <w:rFonts w:ascii="Palatino Linotype" w:hAnsi="Palatino Linotype"/>
          <w:color w:val="000000" w:themeColor="text1"/>
          <w:sz w:val="20"/>
        </w:rPr>
        <w:footnoteRef/>
      </w:r>
      <w:r w:rsidRPr="00B665FF">
        <w:rPr>
          <w:rFonts w:ascii="Palatino Linotype" w:hAnsi="Palatino Linotype"/>
          <w:color w:val="000000" w:themeColor="text1"/>
          <w:sz w:val="20"/>
        </w:rPr>
        <w:t xml:space="preserve"> Pub. Util. Code, § 281(i)(3)(A)</w:t>
      </w:r>
      <w:r>
        <w:rPr>
          <w:rFonts w:ascii="Palatino Linotype" w:hAnsi="Palatino Linotype"/>
          <w:color w:val="000000" w:themeColor="text1"/>
          <w:sz w:val="20"/>
        </w:rPr>
        <w:t>.</w:t>
      </w:r>
    </w:p>
  </w:footnote>
  <w:footnote w:id="77">
    <w:p w14:paraId="24257A61" w14:textId="77777777" w:rsidR="00196DE4" w:rsidRPr="00AF35A5" w:rsidRDefault="00196DE4" w:rsidP="00C20211">
      <w:pPr>
        <w:pStyle w:val="FootnoteText"/>
        <w:rPr>
          <w:color w:val="000000" w:themeColor="text1"/>
          <w:sz w:val="20"/>
        </w:rPr>
      </w:pPr>
      <w:r w:rsidRPr="00B665FF">
        <w:rPr>
          <w:rStyle w:val="FootnoteReference"/>
          <w:rFonts w:ascii="Palatino Linotype" w:hAnsi="Palatino Linotype"/>
          <w:color w:val="000000" w:themeColor="text1"/>
          <w:sz w:val="20"/>
        </w:rPr>
        <w:footnoteRef/>
      </w:r>
      <w:r w:rsidRPr="00B665FF">
        <w:rPr>
          <w:rFonts w:ascii="Palatino Linotype" w:hAnsi="Palatino Linotype"/>
          <w:color w:val="000000" w:themeColor="text1"/>
          <w:sz w:val="20"/>
        </w:rPr>
        <w:t xml:space="preserve"> The CASF Distribution List is maintained by </w:t>
      </w:r>
      <w:r>
        <w:rPr>
          <w:rFonts w:ascii="Palatino Linotype" w:hAnsi="Palatino Linotype"/>
          <w:color w:val="000000" w:themeColor="text1"/>
          <w:sz w:val="20"/>
        </w:rPr>
        <w:t>Staff</w:t>
      </w:r>
      <w:r w:rsidRPr="00B665FF">
        <w:rPr>
          <w:rFonts w:ascii="Palatino Linotype" w:hAnsi="Palatino Linotype"/>
          <w:color w:val="000000" w:themeColor="text1"/>
          <w:sz w:val="20"/>
        </w:rPr>
        <w:t xml:space="preserve"> and is generally used for informal CASF matters (e.g. draft resolutions, notice of applications/project summaries.</w:t>
      </w:r>
      <w:r>
        <w:rPr>
          <w:rFonts w:ascii="Palatino Linotype" w:hAnsi="Palatino Linotype"/>
          <w:color w:val="000000" w:themeColor="text1"/>
          <w:sz w:val="20"/>
        </w:rPr>
        <w:t>)</w:t>
      </w:r>
      <w:r w:rsidRPr="00B665FF">
        <w:rPr>
          <w:rFonts w:ascii="Palatino Linotype" w:hAnsi="Palatino Linotype"/>
          <w:color w:val="000000" w:themeColor="text1"/>
          <w:sz w:val="20"/>
        </w:rPr>
        <w:t xml:space="preserve">  The CASF Distribution List is available at </w:t>
      </w:r>
      <w:hyperlink r:id="rId8" w:history="1">
        <w:r w:rsidRPr="00B665FF">
          <w:rPr>
            <w:rStyle w:val="Hyperlink"/>
            <w:rFonts w:ascii="Palatino Linotype" w:hAnsi="Palatino Linotype"/>
            <w:color w:val="000000" w:themeColor="text1"/>
            <w:sz w:val="20"/>
          </w:rPr>
          <w:t>http://www.cpuc.ca.gov/General.aspx?id=8246</w:t>
        </w:r>
      </w:hyperlink>
      <w:r w:rsidRPr="00B665FF">
        <w:rPr>
          <w:rFonts w:ascii="Palatino Linotype" w:hAnsi="Palatino Linotype"/>
          <w:color w:val="000000" w:themeColor="text1"/>
          <w:sz w:val="20"/>
        </w:rPr>
        <w:t>.</w:t>
      </w:r>
      <w:r w:rsidRPr="00AF35A5">
        <w:rPr>
          <w:color w:val="000000" w:themeColor="text1"/>
          <w:sz w:val="20"/>
        </w:rPr>
        <w:t xml:space="preserve">  </w:t>
      </w:r>
    </w:p>
  </w:footnote>
  <w:footnote w:id="78">
    <w:p w14:paraId="4CD49F6C" w14:textId="77777777" w:rsidR="00196DE4" w:rsidRPr="00AF35A5" w:rsidRDefault="00196DE4" w:rsidP="00C20211">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281(i)(3)(B)(i) and (B)(ii).  </w:t>
      </w:r>
    </w:p>
  </w:footnote>
  <w:footnote w:id="79">
    <w:p w14:paraId="13F4D751" w14:textId="77777777" w:rsidR="00196DE4" w:rsidRPr="004B7BF2" w:rsidRDefault="00196DE4" w:rsidP="00C20211">
      <w:pPr>
        <w:pStyle w:val="FootnoteText"/>
        <w:rPr>
          <w:rFonts w:ascii="Palatino Linotype" w:hAnsi="Palatino Linotype"/>
          <w:color w:val="000000" w:themeColor="text1"/>
          <w:sz w:val="20"/>
        </w:rPr>
      </w:pPr>
      <w:r w:rsidRPr="004B7BF2">
        <w:rPr>
          <w:rStyle w:val="FootnoteReference"/>
          <w:rFonts w:ascii="Palatino Linotype" w:hAnsi="Palatino Linotype"/>
          <w:color w:val="000000" w:themeColor="text1"/>
          <w:sz w:val="20"/>
        </w:rPr>
        <w:footnoteRef/>
      </w:r>
      <w:r>
        <w:t xml:space="preserve"> </w:t>
      </w:r>
      <w:r w:rsidRPr="004B7BF2">
        <w:rPr>
          <w:rFonts w:ascii="Palatino Linotype" w:hAnsi="Palatino Linotype"/>
          <w:color w:val="000000" w:themeColor="text1"/>
          <w:sz w:val="20"/>
        </w:rPr>
        <w:t>Reports showing  capacity test results of backhaul network (SONET/SDH, T1, T3, OC3, OC12, IP and Ethernet backhaul over Fiber, Microwave, and Satellite) to ensure that the ISP transmission network is capable of serving a reliable and committed data rate/internet speed in the served area to a growing number of residential units.</w:t>
      </w:r>
    </w:p>
  </w:footnote>
  <w:footnote w:id="80">
    <w:p w14:paraId="32F4F32D" w14:textId="77777777" w:rsidR="00196DE4" w:rsidRDefault="00196DE4" w:rsidP="00C20211">
      <w:pPr>
        <w:pStyle w:val="FootnoteText"/>
      </w:pPr>
      <w:r w:rsidRPr="004B7BF2">
        <w:rPr>
          <w:rStyle w:val="FootnoteReference"/>
          <w:rFonts w:ascii="Palatino Linotype" w:hAnsi="Palatino Linotype"/>
          <w:sz w:val="20"/>
        </w:rPr>
        <w:footnoteRef/>
      </w:r>
      <w:r w:rsidRPr="004B7BF2">
        <w:rPr>
          <w:rFonts w:ascii="Palatino Linotype" w:hAnsi="Palatino Linotype"/>
          <w:sz w:val="20"/>
        </w:rPr>
        <w:t xml:space="preserve"> Plan that identifies, evaluates, selects, and implements options </w:t>
      </w:r>
      <w:proofErr w:type="gramStart"/>
      <w:r w:rsidRPr="004B7BF2">
        <w:rPr>
          <w:rFonts w:ascii="Palatino Linotype" w:hAnsi="Palatino Linotype"/>
          <w:sz w:val="20"/>
        </w:rPr>
        <w:t>in order to</w:t>
      </w:r>
      <w:proofErr w:type="gramEnd"/>
      <w:r w:rsidRPr="004B7BF2">
        <w:rPr>
          <w:rFonts w:ascii="Palatino Linotype" w:hAnsi="Palatino Linotype"/>
          <w:sz w:val="20"/>
        </w:rPr>
        <w:t xml:space="preserve"> balance the BPHA project cost and schedule implications associated with risk response or mitigation plan by setting risk at acceptable levels given program constraints and objectives.</w:t>
      </w:r>
    </w:p>
  </w:footnote>
  <w:footnote w:id="81">
    <w:p w14:paraId="7A21DA63" w14:textId="77777777" w:rsidR="00196DE4" w:rsidRDefault="00196DE4" w:rsidP="00C20211">
      <w:pPr>
        <w:pStyle w:val="FootnoteText"/>
      </w:pPr>
      <w:r w:rsidRPr="007A23E7">
        <w:rPr>
          <w:rStyle w:val="FootnoteReference"/>
          <w:szCs w:val="18"/>
        </w:rPr>
        <w:footnoteRef/>
      </w:r>
      <w:r w:rsidRPr="007A23E7">
        <w:rPr>
          <w:sz w:val="20"/>
          <w:szCs w:val="18"/>
        </w:rPr>
        <w:t xml:space="preserve"> </w:t>
      </w:r>
      <w:proofErr w:type="spellStart"/>
      <w:r>
        <w:rPr>
          <w:rFonts w:ascii="Palatino Linotype" w:hAnsi="Palatino Linotype"/>
          <w:sz w:val="20"/>
        </w:rPr>
        <w:t>CalSPEED</w:t>
      </w:r>
      <w:proofErr w:type="spellEnd"/>
      <w:r>
        <w:rPr>
          <w:rFonts w:ascii="Palatino Linotype" w:hAnsi="Palatino Linotype"/>
          <w:sz w:val="20"/>
        </w:rPr>
        <w:t xml:space="preserve"> is an open source, non-proprietary, network performance measurement tool and methodology created for the Commission, funded originally via a grant from the National Telecommunications and Information Administration</w:t>
      </w:r>
      <w:r>
        <w:rPr>
          <w:sz w:val="20"/>
        </w:rPr>
        <w:t xml:space="preserve"> </w:t>
      </w:r>
    </w:p>
  </w:footnote>
  <w:footnote w:id="82">
    <w:p w14:paraId="7FC40E62" w14:textId="77777777" w:rsidR="00196DE4" w:rsidRPr="00070312" w:rsidRDefault="00196DE4" w:rsidP="00C20211">
      <w:pPr>
        <w:pStyle w:val="FootnoteText"/>
        <w:rPr>
          <w:rStyle w:val="FootnoteReference"/>
        </w:rPr>
      </w:pPr>
      <w:r w:rsidRPr="00070312">
        <w:rPr>
          <w:rStyle w:val="FootnoteReference"/>
          <w:rFonts w:ascii="Palatino Linotype" w:hAnsi="Palatino Linotype"/>
          <w:sz w:val="20"/>
          <w:szCs w:val="16"/>
        </w:rPr>
        <w:footnoteRef/>
      </w:r>
      <w:r>
        <w:t xml:space="preserve"> </w:t>
      </w:r>
      <w:r w:rsidRPr="00070312">
        <w:rPr>
          <w:rFonts w:ascii="Palatino Linotype" w:hAnsi="Palatino Linotype"/>
          <w:sz w:val="20"/>
        </w:rPr>
        <w:t>KPI report is to measure the broadband network service performance and to keep proper checks and balance</w:t>
      </w:r>
      <w:r>
        <w:rPr>
          <w:rFonts w:ascii="Palatino Linotype" w:hAnsi="Palatino Linotype"/>
          <w:sz w:val="20"/>
        </w:rPr>
        <w:t>s</w:t>
      </w:r>
      <w:r w:rsidRPr="00070312">
        <w:rPr>
          <w:rFonts w:ascii="Palatino Linotype" w:hAnsi="Palatino Linotype"/>
          <w:sz w:val="20"/>
        </w:rPr>
        <w:t xml:space="preserve"> on the BPHA program goals and objectives. </w:t>
      </w:r>
    </w:p>
  </w:footnote>
  <w:footnote w:id="83">
    <w:p w14:paraId="1F68C0B6" w14:textId="77777777" w:rsidR="00196DE4" w:rsidRPr="00247251" w:rsidRDefault="00196DE4" w:rsidP="00C20211">
      <w:pPr>
        <w:pStyle w:val="FootnoteText"/>
        <w:rPr>
          <w:sz w:val="20"/>
        </w:rPr>
      </w:pPr>
      <w:r w:rsidRPr="00070312">
        <w:rPr>
          <w:rStyle w:val="FootnoteReference"/>
          <w:rFonts w:ascii="Palatino Linotype" w:hAnsi="Palatino Linotype"/>
          <w:szCs w:val="18"/>
        </w:rPr>
        <w:footnoteRef/>
      </w:r>
      <w:r w:rsidRPr="00070312">
        <w:rPr>
          <w:rFonts w:ascii="Palatino Linotype" w:hAnsi="Palatino Linotype"/>
          <w:sz w:val="20"/>
          <w:szCs w:val="18"/>
        </w:rPr>
        <w:t xml:space="preserve"> </w:t>
      </w:r>
      <w:r w:rsidRPr="00070312">
        <w:rPr>
          <w:rFonts w:ascii="Palatino Linotype" w:hAnsi="Palatino Linotype"/>
          <w:sz w:val="20"/>
        </w:rPr>
        <w:t>A DBA "Do Business As" is also known as a "fictitious business name," "trade name," or "assumed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03F" w14:textId="77777777" w:rsidR="007D2BC0" w:rsidRDefault="007D2B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9493" w14:textId="782516AE"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57E5A224" w14:textId="77777777" w:rsidR="00196DE4" w:rsidRDefault="00196DE4" w:rsidP="00EF645D">
    <w:pPr>
      <w:pStyle w:val="Header"/>
      <w:tabs>
        <w:tab w:val="clear" w:pos="4680"/>
      </w:tabs>
      <w:ind w:firstLine="0"/>
      <w:rPr>
        <w:iCs/>
      </w:rPr>
    </w:pPr>
  </w:p>
  <w:p w14:paraId="1F8A274E" w14:textId="77777777" w:rsidR="00196DE4" w:rsidRPr="002702F8" w:rsidRDefault="00196DE4" w:rsidP="00EF645D">
    <w:pPr>
      <w:pStyle w:val="Header"/>
      <w:tabs>
        <w:tab w:val="clear" w:pos="4680"/>
      </w:tabs>
      <w:ind w:firstLine="0"/>
      <w:rPr>
        <w:i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80A" w14:textId="4825218F"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6730A086" w14:textId="77777777" w:rsidR="00196DE4" w:rsidRDefault="00196DE4" w:rsidP="00EF645D">
    <w:pPr>
      <w:pStyle w:val="Header"/>
      <w:tabs>
        <w:tab w:val="clear" w:pos="4680"/>
      </w:tabs>
      <w:ind w:firstLine="0"/>
      <w:rPr>
        <w:iCs/>
      </w:rPr>
    </w:pPr>
  </w:p>
  <w:p w14:paraId="4F8B1EDA" w14:textId="77777777" w:rsidR="00196DE4" w:rsidRPr="002702F8" w:rsidRDefault="00196DE4" w:rsidP="00EF645D">
    <w:pPr>
      <w:pStyle w:val="Header"/>
      <w:tabs>
        <w:tab w:val="clear" w:pos="4680"/>
      </w:tabs>
      <w:ind w:firstLine="0"/>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C0B4" w14:textId="3BFD1BED"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43D1DA8E" w14:textId="77777777" w:rsidR="00196DE4" w:rsidRDefault="00196DE4" w:rsidP="00EF645D">
    <w:pPr>
      <w:pStyle w:val="Header"/>
      <w:tabs>
        <w:tab w:val="clear" w:pos="4680"/>
      </w:tabs>
      <w:ind w:firstLine="0"/>
      <w:rPr>
        <w:iCs/>
      </w:rPr>
    </w:pPr>
  </w:p>
  <w:p w14:paraId="64BA50CD" w14:textId="77777777" w:rsidR="00196DE4" w:rsidRPr="002702F8" w:rsidRDefault="00196DE4" w:rsidP="00EF645D">
    <w:pPr>
      <w:pStyle w:val="Header"/>
      <w:tabs>
        <w:tab w:val="clear" w:pos="4680"/>
      </w:tabs>
      <w:ind w:firstLine="0"/>
      <w:rPr>
        <w:i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0A34" w14:textId="77777777"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r>
      <w:rPr>
        <w:b/>
      </w:rPr>
      <w:t>PROPOSED DECISION</w:t>
    </w:r>
  </w:p>
  <w:p w14:paraId="53062B88" w14:textId="77777777" w:rsidR="00196DE4" w:rsidRPr="00B3087D" w:rsidRDefault="00196DE4" w:rsidP="00EF645D">
    <w:pPr>
      <w:pStyle w:val="Header"/>
      <w:tabs>
        <w:tab w:val="clear" w:pos="4680"/>
      </w:tabs>
      <w:ind w:firstLine="0"/>
      <w:rPr>
        <w:i/>
        <w:color w:val="FF0000"/>
      </w:rPr>
    </w:pPr>
    <w:r w:rsidRPr="00B3087D">
      <w:rPr>
        <w:i/>
        <w:color w:val="FF0000"/>
      </w:rPr>
      <w:t>[</w:t>
    </w:r>
    <w:r>
      <w:rPr>
        <w:i/>
        <w:color w:val="FF0000"/>
      </w:rPr>
      <w:t>6/22/20</w:t>
    </w:r>
    <w:r w:rsidRPr="00B3087D">
      <w:rPr>
        <w:i/>
        <w:color w:val="FF0000"/>
      </w:rPr>
      <w:t xml:space="preserve">] Internal Review Draft; Subject to </w:t>
    </w:r>
    <w:r w:rsidRPr="00B3087D">
      <w:rPr>
        <w:b/>
        <w:i/>
        <w:color w:val="FF0000"/>
      </w:rPr>
      <w:t>ALJ Division Review</w:t>
    </w:r>
  </w:p>
  <w:p w14:paraId="2EC0D48D" w14:textId="77777777" w:rsidR="00196DE4" w:rsidRDefault="00196DE4" w:rsidP="00EF645D">
    <w:pPr>
      <w:pStyle w:val="Header"/>
      <w:tabs>
        <w:tab w:val="clear" w:pos="4680"/>
      </w:tabs>
      <w:ind w:firstLine="0"/>
      <w:rPr>
        <w:iCs/>
      </w:rPr>
    </w:pPr>
    <w:r>
      <w:rPr>
        <w:b/>
        <w:color w:val="FF0000"/>
      </w:rPr>
      <w:t>CONFIDENTIAL</w:t>
    </w:r>
    <w:r w:rsidRPr="00B3087D">
      <w:rPr>
        <w:b/>
        <w:color w:val="FF0000"/>
      </w:rPr>
      <w:t xml:space="preserve">; </w:t>
    </w:r>
    <w:r w:rsidRPr="00B3087D">
      <w:rPr>
        <w:i/>
        <w:color w:val="FF0000"/>
      </w:rPr>
      <w:t>Deliberative Process Privilege</w:t>
    </w:r>
  </w:p>
  <w:p w14:paraId="36A6FE63" w14:textId="77777777" w:rsidR="00196DE4" w:rsidRDefault="00196DE4" w:rsidP="00EF645D">
    <w:pPr>
      <w:pStyle w:val="Header"/>
      <w:tabs>
        <w:tab w:val="clear" w:pos="4680"/>
      </w:tabs>
      <w:ind w:firstLine="0"/>
      <w:rPr>
        <w:iCs/>
      </w:rPr>
    </w:pPr>
  </w:p>
  <w:p w14:paraId="3F79FBA6" w14:textId="77777777" w:rsidR="00196DE4" w:rsidRPr="002702F8" w:rsidRDefault="00196DE4" w:rsidP="00EF645D">
    <w:pPr>
      <w:pStyle w:val="Header"/>
      <w:tabs>
        <w:tab w:val="clear" w:pos="4680"/>
      </w:tabs>
      <w:ind w:firstLine="0"/>
      <w:rPr>
        <w:i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07C8" w14:textId="104C8DEE"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591EDDFC" w14:textId="77777777" w:rsidR="00196DE4" w:rsidRDefault="00196DE4" w:rsidP="00EF645D">
    <w:pPr>
      <w:pStyle w:val="Header"/>
      <w:tabs>
        <w:tab w:val="clear" w:pos="4680"/>
      </w:tabs>
      <w:ind w:firstLine="0"/>
      <w:rPr>
        <w:iCs/>
      </w:rPr>
    </w:pPr>
  </w:p>
  <w:p w14:paraId="1036FD18" w14:textId="77777777" w:rsidR="00196DE4" w:rsidRPr="002702F8" w:rsidRDefault="00196DE4" w:rsidP="00EF645D">
    <w:pPr>
      <w:pStyle w:val="Header"/>
      <w:tabs>
        <w:tab w:val="clear" w:pos="4680"/>
      </w:tabs>
      <w:ind w:firstLine="0"/>
      <w:rPr>
        <w:i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8F6A" w14:textId="4B8FD602"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539C0145" w14:textId="77777777" w:rsidR="00196DE4" w:rsidRDefault="00196DE4" w:rsidP="00EF645D">
    <w:pPr>
      <w:pStyle w:val="Header"/>
      <w:tabs>
        <w:tab w:val="clear" w:pos="4680"/>
      </w:tabs>
      <w:ind w:firstLine="0"/>
      <w:rPr>
        <w:iCs/>
      </w:rPr>
    </w:pPr>
  </w:p>
  <w:p w14:paraId="22E984B1" w14:textId="77777777" w:rsidR="00196DE4" w:rsidRPr="002702F8" w:rsidRDefault="00196DE4" w:rsidP="00EF645D">
    <w:pPr>
      <w:pStyle w:val="Header"/>
      <w:tabs>
        <w:tab w:val="clear" w:pos="4680"/>
      </w:tabs>
      <w:ind w:firstLine="0"/>
      <w:rPr>
        <w:iC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9255" w14:textId="6811DCB2"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4DEAA348" w14:textId="77777777" w:rsidR="00196DE4" w:rsidRDefault="00196DE4" w:rsidP="00EF645D">
    <w:pPr>
      <w:pStyle w:val="Header"/>
      <w:tabs>
        <w:tab w:val="clear" w:pos="4680"/>
      </w:tabs>
      <w:ind w:firstLine="0"/>
      <w:rPr>
        <w:iCs/>
      </w:rPr>
    </w:pPr>
  </w:p>
  <w:p w14:paraId="3D86F1D9" w14:textId="77777777" w:rsidR="00196DE4" w:rsidRPr="002702F8" w:rsidRDefault="00196DE4" w:rsidP="00EF645D">
    <w:pPr>
      <w:pStyle w:val="Header"/>
      <w:tabs>
        <w:tab w:val="clear" w:pos="4680"/>
      </w:tabs>
      <w:ind w:firstLine="0"/>
      <w:rPr>
        <w:i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2F36" w14:textId="207F37E3"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510174C3" w14:textId="77777777" w:rsidR="00196DE4" w:rsidRDefault="00196DE4" w:rsidP="00EF645D">
    <w:pPr>
      <w:pStyle w:val="Header"/>
      <w:tabs>
        <w:tab w:val="clear" w:pos="4680"/>
      </w:tabs>
      <w:ind w:firstLine="0"/>
      <w:rPr>
        <w:iCs/>
      </w:rPr>
    </w:pPr>
  </w:p>
  <w:p w14:paraId="3FE9369B" w14:textId="77777777" w:rsidR="00196DE4" w:rsidRPr="002702F8" w:rsidRDefault="00196DE4" w:rsidP="00EF645D">
    <w:pPr>
      <w:pStyle w:val="Header"/>
      <w:tabs>
        <w:tab w:val="clear" w:pos="4680"/>
      </w:tabs>
      <w:ind w:firstLine="0"/>
      <w:rPr>
        <w:iC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04EF" w14:textId="6BD68A29" w:rsidR="00196DE4" w:rsidRDefault="00196DE4" w:rsidP="00EF645D">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0491604C" w14:textId="77777777" w:rsidR="00196DE4" w:rsidRDefault="00196DE4" w:rsidP="00EF645D">
    <w:pPr>
      <w:pStyle w:val="Header"/>
      <w:tabs>
        <w:tab w:val="clear" w:pos="4680"/>
      </w:tabs>
      <w:ind w:firstLine="0"/>
      <w:rPr>
        <w:iCs/>
      </w:rPr>
    </w:pPr>
  </w:p>
  <w:p w14:paraId="582804DF" w14:textId="77777777" w:rsidR="00196DE4" w:rsidRPr="002702F8" w:rsidRDefault="00196DE4" w:rsidP="00EF645D">
    <w:pPr>
      <w:pStyle w:val="Header"/>
      <w:tabs>
        <w:tab w:val="clear" w:pos="4680"/>
      </w:tabs>
      <w:ind w:firstLine="0"/>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901C" w14:textId="77777777" w:rsidR="007D2BC0" w:rsidRDefault="007D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EEAE" w14:textId="77777777" w:rsidR="007D2BC0" w:rsidRDefault="007D2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75E5" w14:textId="212C8722" w:rsidR="00196DE4" w:rsidRDefault="00196DE4" w:rsidP="00EE4315">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33ED92E8" w14:textId="3C29935E" w:rsidR="00196DE4" w:rsidRDefault="00196DE4" w:rsidP="00B3087D">
    <w:pPr>
      <w:pStyle w:val="Header"/>
      <w:tabs>
        <w:tab w:val="clear" w:pos="4680"/>
      </w:tabs>
      <w:ind w:firstLine="0"/>
      <w:rPr>
        <w:iCs/>
      </w:rPr>
    </w:pPr>
  </w:p>
  <w:p w14:paraId="220742C2" w14:textId="77777777" w:rsidR="00196DE4" w:rsidRPr="002702F8" w:rsidRDefault="00196DE4" w:rsidP="00B3087D">
    <w:pPr>
      <w:pStyle w:val="Header"/>
      <w:tabs>
        <w:tab w:val="clear" w:pos="4680"/>
      </w:tabs>
      <w:ind w:firstLine="0"/>
      <w:rPr>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CDD8" w14:textId="6EF7792B" w:rsidR="00196DE4" w:rsidRDefault="00196DE4" w:rsidP="00EE4315">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29F172CC" w14:textId="77777777" w:rsidR="00196DE4" w:rsidRDefault="00196DE4" w:rsidP="00B3087D">
    <w:pPr>
      <w:pStyle w:val="Header"/>
      <w:tabs>
        <w:tab w:val="clear" w:pos="4680"/>
      </w:tabs>
      <w:ind w:firstLine="0"/>
      <w:rPr>
        <w:iCs/>
      </w:rPr>
    </w:pPr>
  </w:p>
  <w:p w14:paraId="2ECDD44D" w14:textId="77777777" w:rsidR="00196DE4" w:rsidRPr="002702F8" w:rsidRDefault="00196DE4" w:rsidP="00B3087D">
    <w:pPr>
      <w:pStyle w:val="Header"/>
      <w:tabs>
        <w:tab w:val="clear" w:pos="4680"/>
      </w:tabs>
      <w:ind w:firstLine="0"/>
      <w:rPr>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0A82" w14:textId="304C6FF0" w:rsidR="00196DE4" w:rsidRDefault="00196DE4" w:rsidP="00202922">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73068258" w14:textId="77777777" w:rsidR="00196DE4" w:rsidRDefault="00196DE4" w:rsidP="00202922">
    <w:pPr>
      <w:pStyle w:val="Header"/>
      <w:tabs>
        <w:tab w:val="clear" w:pos="4680"/>
      </w:tabs>
      <w:ind w:firstLine="0"/>
      <w:rPr>
        <w:iCs/>
      </w:rPr>
    </w:pPr>
  </w:p>
  <w:p w14:paraId="5BC35497" w14:textId="77777777" w:rsidR="00196DE4" w:rsidRPr="002702F8" w:rsidRDefault="00196DE4" w:rsidP="00202922">
    <w:pPr>
      <w:pStyle w:val="Header"/>
      <w:tabs>
        <w:tab w:val="clear" w:pos="4680"/>
      </w:tabs>
      <w:ind w:firstLine="0"/>
      <w:rPr>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075D" w14:textId="41E40B45" w:rsidR="00196DE4" w:rsidRDefault="00196DE4" w:rsidP="00EE4315">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47290039" w14:textId="77777777" w:rsidR="00196DE4" w:rsidRDefault="00196DE4" w:rsidP="00B3087D">
    <w:pPr>
      <w:pStyle w:val="Header"/>
      <w:tabs>
        <w:tab w:val="clear" w:pos="4680"/>
      </w:tabs>
      <w:ind w:firstLine="0"/>
      <w:rPr>
        <w:iCs/>
      </w:rPr>
    </w:pPr>
  </w:p>
  <w:p w14:paraId="0AFA55DD" w14:textId="77777777" w:rsidR="00196DE4" w:rsidRPr="002702F8" w:rsidRDefault="00196DE4" w:rsidP="00B3087D">
    <w:pPr>
      <w:pStyle w:val="Header"/>
      <w:tabs>
        <w:tab w:val="clear" w:pos="4680"/>
      </w:tabs>
      <w:ind w:firstLine="0"/>
      <w:rPr>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24C8" w14:textId="64912BDB" w:rsidR="00196DE4" w:rsidRDefault="00196DE4" w:rsidP="00202922">
    <w:pPr>
      <w:pStyle w:val="Header"/>
      <w:tabs>
        <w:tab w:val="clear" w:pos="4680"/>
      </w:tabs>
      <w:ind w:firstLine="0"/>
      <w:rPr>
        <w:b/>
      </w:rPr>
    </w:pPr>
    <w:r>
      <w:t>R.12-10-</w:t>
    </w:r>
    <w:proofErr w:type="gramStart"/>
    <w:r>
      <w:t>012  COM</w:t>
    </w:r>
    <w:proofErr w:type="gramEnd"/>
    <w:r>
      <w:t>/MGA/</w:t>
    </w:r>
    <w:proofErr w:type="spellStart"/>
    <w:r>
      <w:t>avs</w:t>
    </w:r>
    <w:proofErr w:type="spellEnd"/>
    <w:r>
      <w:tab/>
    </w:r>
  </w:p>
  <w:p w14:paraId="1947F5D6" w14:textId="77777777" w:rsidR="00196DE4" w:rsidRDefault="00196DE4" w:rsidP="00202922">
    <w:pPr>
      <w:pStyle w:val="Header"/>
      <w:tabs>
        <w:tab w:val="clear" w:pos="4680"/>
      </w:tabs>
      <w:ind w:firstLine="0"/>
      <w:rPr>
        <w:iCs/>
      </w:rPr>
    </w:pPr>
  </w:p>
  <w:p w14:paraId="78AEDD5E" w14:textId="77777777" w:rsidR="00196DE4" w:rsidRPr="002702F8" w:rsidRDefault="00196DE4" w:rsidP="00202922">
    <w:pPr>
      <w:pStyle w:val="Header"/>
      <w:tabs>
        <w:tab w:val="clear" w:pos="4680"/>
      </w:tabs>
      <w:ind w:firstLine="0"/>
      <w:rPr>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08D5" w14:textId="77777777" w:rsidR="00196DE4" w:rsidRDefault="00196DE4">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sz w:val="24"/>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sz w:val="24"/>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sz w:val="24"/>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10256C1"/>
    <w:multiLevelType w:val="hybridMultilevel"/>
    <w:tmpl w:val="817AA38A"/>
    <w:lvl w:ilvl="0" w:tplc="78A6D2BC">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5E7E0B"/>
    <w:multiLevelType w:val="hybridMultilevel"/>
    <w:tmpl w:val="FF308C5E"/>
    <w:lvl w:ilvl="0" w:tplc="04090001">
      <w:start w:val="1"/>
      <w:numFmt w:val="bullet"/>
      <w:lvlText w:val=""/>
      <w:lvlJc w:val="left"/>
      <w:pPr>
        <w:ind w:left="720" w:hanging="360"/>
      </w:pPr>
      <w:rPr>
        <w:rFonts w:ascii="Symbol" w:hAnsi="Symbol" w:hint="default"/>
      </w:rPr>
    </w:lvl>
    <w:lvl w:ilvl="1" w:tplc="66E03490">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3578C"/>
    <w:multiLevelType w:val="hybridMultilevel"/>
    <w:tmpl w:val="FFFFFFFF"/>
    <w:lvl w:ilvl="0" w:tplc="A290F3E4">
      <w:start w:val="1"/>
      <w:numFmt w:val="decimal"/>
      <w:lvlText w:val="%1."/>
      <w:lvlJc w:val="left"/>
      <w:pPr>
        <w:ind w:left="720" w:hanging="360"/>
      </w:pPr>
    </w:lvl>
    <w:lvl w:ilvl="1" w:tplc="1B227186">
      <w:start w:val="1"/>
      <w:numFmt w:val="lowerLetter"/>
      <w:lvlText w:val="%2."/>
      <w:lvlJc w:val="left"/>
      <w:pPr>
        <w:ind w:left="1440" w:hanging="360"/>
      </w:pPr>
    </w:lvl>
    <w:lvl w:ilvl="2" w:tplc="A04610A2">
      <w:start w:val="1"/>
      <w:numFmt w:val="lowerRoman"/>
      <w:lvlText w:val="%3."/>
      <w:lvlJc w:val="right"/>
      <w:pPr>
        <w:ind w:left="2160" w:hanging="180"/>
      </w:pPr>
    </w:lvl>
    <w:lvl w:ilvl="3" w:tplc="7B328E78">
      <w:start w:val="1"/>
      <w:numFmt w:val="decimal"/>
      <w:lvlText w:val="%4."/>
      <w:lvlJc w:val="left"/>
      <w:pPr>
        <w:ind w:left="2880" w:hanging="360"/>
      </w:pPr>
    </w:lvl>
    <w:lvl w:ilvl="4" w:tplc="1C0EB1BA">
      <w:start w:val="1"/>
      <w:numFmt w:val="lowerLetter"/>
      <w:lvlText w:val="%5."/>
      <w:lvlJc w:val="left"/>
      <w:pPr>
        <w:ind w:left="3600" w:hanging="360"/>
      </w:pPr>
    </w:lvl>
    <w:lvl w:ilvl="5" w:tplc="D2F0E3C2">
      <w:start w:val="1"/>
      <w:numFmt w:val="lowerRoman"/>
      <w:lvlText w:val="%6."/>
      <w:lvlJc w:val="right"/>
      <w:pPr>
        <w:ind w:left="4320" w:hanging="180"/>
      </w:pPr>
    </w:lvl>
    <w:lvl w:ilvl="6" w:tplc="4572B362">
      <w:start w:val="1"/>
      <w:numFmt w:val="decimal"/>
      <w:lvlText w:val="%7."/>
      <w:lvlJc w:val="left"/>
      <w:pPr>
        <w:ind w:left="5040" w:hanging="360"/>
      </w:pPr>
    </w:lvl>
    <w:lvl w:ilvl="7" w:tplc="67C08D6E">
      <w:start w:val="1"/>
      <w:numFmt w:val="lowerLetter"/>
      <w:lvlText w:val="%8."/>
      <w:lvlJc w:val="left"/>
      <w:pPr>
        <w:ind w:left="5760" w:hanging="360"/>
      </w:pPr>
    </w:lvl>
    <w:lvl w:ilvl="8" w:tplc="3376A6FC">
      <w:start w:val="1"/>
      <w:numFmt w:val="lowerRoman"/>
      <w:lvlText w:val="%9."/>
      <w:lvlJc w:val="right"/>
      <w:pPr>
        <w:ind w:left="6480" w:hanging="180"/>
      </w:pPr>
    </w:lvl>
  </w:abstractNum>
  <w:abstractNum w:abstractNumId="7" w15:restartNumberingAfterBreak="0">
    <w:nsid w:val="04317C2F"/>
    <w:multiLevelType w:val="hybridMultilevel"/>
    <w:tmpl w:val="B582C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5AE1898"/>
    <w:multiLevelType w:val="multilevel"/>
    <w:tmpl w:val="8B304928"/>
    <w:lvl w:ilvl="0">
      <w:start w:val="1"/>
      <w:numFmt w:val="upperRoman"/>
      <w:lvlText w:val="%1."/>
      <w:lvlJc w:val="left"/>
      <w:pPr>
        <w:ind w:left="0" w:firstLine="0"/>
      </w:pPr>
    </w:lvl>
    <w:lvl w:ilvl="1">
      <w:start w:val="1"/>
      <w:numFmt w:val="decimal"/>
      <w:lvlText w:val="%2."/>
      <w:lvlJc w:val="left"/>
      <w:pPr>
        <w:ind w:left="720" w:firstLine="0"/>
      </w:pPr>
      <w:rPr>
        <w:rFonts w:hint="default"/>
        <w:b/>
        <w:bCs/>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0CD15BC1"/>
    <w:multiLevelType w:val="hybridMultilevel"/>
    <w:tmpl w:val="FFFFFFFF"/>
    <w:lvl w:ilvl="0" w:tplc="AD763898">
      <w:start w:val="1"/>
      <w:numFmt w:val="decimal"/>
      <w:lvlText w:val="%1."/>
      <w:lvlJc w:val="left"/>
      <w:pPr>
        <w:ind w:left="720" w:hanging="360"/>
      </w:pPr>
    </w:lvl>
    <w:lvl w:ilvl="1" w:tplc="68B6670E">
      <w:start w:val="1"/>
      <w:numFmt w:val="lowerLetter"/>
      <w:lvlText w:val="%2."/>
      <w:lvlJc w:val="left"/>
      <w:pPr>
        <w:ind w:left="1440" w:hanging="360"/>
      </w:pPr>
    </w:lvl>
    <w:lvl w:ilvl="2" w:tplc="097E9F48">
      <w:start w:val="1"/>
      <w:numFmt w:val="lowerRoman"/>
      <w:lvlText w:val="%3."/>
      <w:lvlJc w:val="right"/>
      <w:pPr>
        <w:ind w:left="2160" w:hanging="180"/>
      </w:pPr>
    </w:lvl>
    <w:lvl w:ilvl="3" w:tplc="2FDA0464">
      <w:start w:val="1"/>
      <w:numFmt w:val="decimal"/>
      <w:lvlText w:val="%4."/>
      <w:lvlJc w:val="left"/>
      <w:pPr>
        <w:ind w:left="2880" w:hanging="360"/>
      </w:pPr>
    </w:lvl>
    <w:lvl w:ilvl="4" w:tplc="CFEC0A46">
      <w:start w:val="1"/>
      <w:numFmt w:val="lowerLetter"/>
      <w:lvlText w:val="%5."/>
      <w:lvlJc w:val="left"/>
      <w:pPr>
        <w:ind w:left="3600" w:hanging="360"/>
      </w:pPr>
    </w:lvl>
    <w:lvl w:ilvl="5" w:tplc="8BF83A38">
      <w:start w:val="1"/>
      <w:numFmt w:val="lowerRoman"/>
      <w:lvlText w:val="%6."/>
      <w:lvlJc w:val="right"/>
      <w:pPr>
        <w:ind w:left="4320" w:hanging="180"/>
      </w:pPr>
    </w:lvl>
    <w:lvl w:ilvl="6" w:tplc="D8EC7874">
      <w:start w:val="1"/>
      <w:numFmt w:val="decimal"/>
      <w:lvlText w:val="%7."/>
      <w:lvlJc w:val="left"/>
      <w:pPr>
        <w:ind w:left="5040" w:hanging="360"/>
      </w:pPr>
    </w:lvl>
    <w:lvl w:ilvl="7" w:tplc="5C967ACC">
      <w:start w:val="1"/>
      <w:numFmt w:val="lowerLetter"/>
      <w:lvlText w:val="%8."/>
      <w:lvlJc w:val="left"/>
      <w:pPr>
        <w:ind w:left="5760" w:hanging="360"/>
      </w:pPr>
    </w:lvl>
    <w:lvl w:ilvl="8" w:tplc="534E52A0">
      <w:start w:val="1"/>
      <w:numFmt w:val="lowerRoman"/>
      <w:lvlText w:val="%9."/>
      <w:lvlJc w:val="right"/>
      <w:pPr>
        <w:ind w:left="6480" w:hanging="180"/>
      </w:pPr>
    </w:lvl>
  </w:abstractNum>
  <w:abstractNum w:abstractNumId="10" w15:restartNumberingAfterBreak="0">
    <w:nsid w:val="146063B6"/>
    <w:multiLevelType w:val="hybridMultilevel"/>
    <w:tmpl w:val="3354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2" w15:restartNumberingAfterBreak="0">
    <w:nsid w:val="168F132B"/>
    <w:multiLevelType w:val="hybridMultilevel"/>
    <w:tmpl w:val="FFFFFFFF"/>
    <w:lvl w:ilvl="0" w:tplc="3CE45A0A">
      <w:start w:val="1"/>
      <w:numFmt w:val="decimal"/>
      <w:lvlText w:val="%1."/>
      <w:lvlJc w:val="left"/>
      <w:pPr>
        <w:ind w:left="720" w:hanging="360"/>
      </w:pPr>
    </w:lvl>
    <w:lvl w:ilvl="1" w:tplc="8A3474BA">
      <w:start w:val="1"/>
      <w:numFmt w:val="lowerLetter"/>
      <w:lvlText w:val="%2."/>
      <w:lvlJc w:val="left"/>
      <w:pPr>
        <w:ind w:left="1440" w:hanging="360"/>
      </w:pPr>
    </w:lvl>
    <w:lvl w:ilvl="2" w:tplc="813C3868">
      <w:start w:val="1"/>
      <w:numFmt w:val="lowerRoman"/>
      <w:lvlText w:val="%3."/>
      <w:lvlJc w:val="right"/>
      <w:pPr>
        <w:ind w:left="2160" w:hanging="180"/>
      </w:pPr>
    </w:lvl>
    <w:lvl w:ilvl="3" w:tplc="52725558">
      <w:start w:val="1"/>
      <w:numFmt w:val="decimal"/>
      <w:lvlText w:val="%4."/>
      <w:lvlJc w:val="left"/>
      <w:pPr>
        <w:ind w:left="2880" w:hanging="360"/>
      </w:pPr>
    </w:lvl>
    <w:lvl w:ilvl="4" w:tplc="9364DDA4">
      <w:start w:val="1"/>
      <w:numFmt w:val="lowerLetter"/>
      <w:lvlText w:val="%5."/>
      <w:lvlJc w:val="left"/>
      <w:pPr>
        <w:ind w:left="3600" w:hanging="360"/>
      </w:pPr>
    </w:lvl>
    <w:lvl w:ilvl="5" w:tplc="78B89C92">
      <w:start w:val="1"/>
      <w:numFmt w:val="lowerRoman"/>
      <w:lvlText w:val="%6."/>
      <w:lvlJc w:val="right"/>
      <w:pPr>
        <w:ind w:left="4320" w:hanging="180"/>
      </w:pPr>
    </w:lvl>
    <w:lvl w:ilvl="6" w:tplc="26A4B0DC">
      <w:start w:val="1"/>
      <w:numFmt w:val="decimal"/>
      <w:lvlText w:val="%7."/>
      <w:lvlJc w:val="left"/>
      <w:pPr>
        <w:ind w:left="5040" w:hanging="360"/>
      </w:pPr>
    </w:lvl>
    <w:lvl w:ilvl="7" w:tplc="75DC0F3A">
      <w:start w:val="1"/>
      <w:numFmt w:val="lowerLetter"/>
      <w:lvlText w:val="%8."/>
      <w:lvlJc w:val="left"/>
      <w:pPr>
        <w:ind w:left="5760" w:hanging="360"/>
      </w:pPr>
    </w:lvl>
    <w:lvl w:ilvl="8" w:tplc="6A28E46C">
      <w:start w:val="1"/>
      <w:numFmt w:val="lowerRoman"/>
      <w:lvlText w:val="%9."/>
      <w:lvlJc w:val="right"/>
      <w:pPr>
        <w:ind w:left="6480" w:hanging="180"/>
      </w:pPr>
    </w:lvl>
  </w:abstractNum>
  <w:abstractNum w:abstractNumId="13" w15:restartNumberingAfterBreak="0">
    <w:nsid w:val="1B693D1E"/>
    <w:multiLevelType w:val="multilevel"/>
    <w:tmpl w:val="88EA1B14"/>
    <w:lvl w:ilvl="0">
      <w:start w:val="14"/>
      <w:numFmt w:val="upperRoman"/>
      <w:lvlText w:val="%1."/>
      <w:lvlJc w:val="left"/>
      <w:pPr>
        <w:ind w:left="0" w:firstLine="0"/>
      </w:pPr>
      <w:rPr>
        <w:rFonts w:hint="default"/>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64023AA"/>
    <w:multiLevelType w:val="multilevel"/>
    <w:tmpl w:val="A6908234"/>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6542914"/>
    <w:multiLevelType w:val="hybridMultilevel"/>
    <w:tmpl w:val="FFFFFFFF"/>
    <w:lvl w:ilvl="0" w:tplc="4CA85B9A">
      <w:start w:val="1"/>
      <w:numFmt w:val="decimal"/>
      <w:lvlText w:val="%1."/>
      <w:lvlJc w:val="left"/>
      <w:pPr>
        <w:ind w:left="720" w:hanging="360"/>
      </w:pPr>
    </w:lvl>
    <w:lvl w:ilvl="1" w:tplc="B0B0D392">
      <w:start w:val="1"/>
      <w:numFmt w:val="lowerLetter"/>
      <w:lvlText w:val="%2."/>
      <w:lvlJc w:val="left"/>
      <w:pPr>
        <w:ind w:left="1440" w:hanging="360"/>
      </w:pPr>
    </w:lvl>
    <w:lvl w:ilvl="2" w:tplc="33607BE2">
      <w:start w:val="1"/>
      <w:numFmt w:val="lowerRoman"/>
      <w:lvlText w:val="%3."/>
      <w:lvlJc w:val="left"/>
      <w:pPr>
        <w:ind w:left="2160" w:hanging="180"/>
      </w:pPr>
    </w:lvl>
    <w:lvl w:ilvl="3" w:tplc="07128512">
      <w:start w:val="1"/>
      <w:numFmt w:val="decimal"/>
      <w:lvlText w:val="%4."/>
      <w:lvlJc w:val="left"/>
      <w:pPr>
        <w:ind w:left="2880" w:hanging="360"/>
      </w:pPr>
    </w:lvl>
    <w:lvl w:ilvl="4" w:tplc="7CB81AA0">
      <w:start w:val="1"/>
      <w:numFmt w:val="lowerLetter"/>
      <w:lvlText w:val="%5."/>
      <w:lvlJc w:val="left"/>
      <w:pPr>
        <w:ind w:left="3600" w:hanging="360"/>
      </w:pPr>
    </w:lvl>
    <w:lvl w:ilvl="5" w:tplc="DDA47C16">
      <w:start w:val="1"/>
      <w:numFmt w:val="lowerRoman"/>
      <w:lvlText w:val="%6."/>
      <w:lvlJc w:val="right"/>
      <w:pPr>
        <w:ind w:left="4320" w:hanging="180"/>
      </w:pPr>
    </w:lvl>
    <w:lvl w:ilvl="6" w:tplc="D4D8DD0E">
      <w:start w:val="1"/>
      <w:numFmt w:val="decimal"/>
      <w:lvlText w:val="%7."/>
      <w:lvlJc w:val="left"/>
      <w:pPr>
        <w:ind w:left="5040" w:hanging="360"/>
      </w:pPr>
    </w:lvl>
    <w:lvl w:ilvl="7" w:tplc="E1BA200C">
      <w:start w:val="1"/>
      <w:numFmt w:val="lowerLetter"/>
      <w:lvlText w:val="%8."/>
      <w:lvlJc w:val="left"/>
      <w:pPr>
        <w:ind w:left="5760" w:hanging="360"/>
      </w:pPr>
    </w:lvl>
    <w:lvl w:ilvl="8" w:tplc="BBAA14E4">
      <w:start w:val="1"/>
      <w:numFmt w:val="lowerRoman"/>
      <w:lvlText w:val="%9."/>
      <w:lvlJc w:val="right"/>
      <w:pPr>
        <w:ind w:left="6480" w:hanging="180"/>
      </w:pPr>
    </w:lvl>
  </w:abstractNum>
  <w:abstractNum w:abstractNumId="16" w15:restartNumberingAfterBreak="0">
    <w:nsid w:val="29694B80"/>
    <w:multiLevelType w:val="hybridMultilevel"/>
    <w:tmpl w:val="FFFFFFFF"/>
    <w:lvl w:ilvl="0" w:tplc="7E3EB678">
      <w:start w:val="1"/>
      <w:numFmt w:val="decimal"/>
      <w:lvlText w:val="%1."/>
      <w:lvlJc w:val="left"/>
      <w:pPr>
        <w:ind w:left="720" w:hanging="360"/>
      </w:pPr>
    </w:lvl>
    <w:lvl w:ilvl="1" w:tplc="B4BE857C">
      <w:start w:val="1"/>
      <w:numFmt w:val="lowerLetter"/>
      <w:lvlText w:val="%2."/>
      <w:lvlJc w:val="left"/>
      <w:pPr>
        <w:ind w:left="1440" w:hanging="360"/>
      </w:pPr>
    </w:lvl>
    <w:lvl w:ilvl="2" w:tplc="73BEB16A">
      <w:start w:val="1"/>
      <w:numFmt w:val="lowerRoman"/>
      <w:lvlText w:val="%3."/>
      <w:lvlJc w:val="right"/>
      <w:pPr>
        <w:ind w:left="2160" w:hanging="180"/>
      </w:pPr>
    </w:lvl>
    <w:lvl w:ilvl="3" w:tplc="C8EC793A">
      <w:start w:val="1"/>
      <w:numFmt w:val="decimal"/>
      <w:lvlText w:val="%4."/>
      <w:lvlJc w:val="left"/>
      <w:pPr>
        <w:ind w:left="2880" w:hanging="360"/>
      </w:pPr>
    </w:lvl>
    <w:lvl w:ilvl="4" w:tplc="2938B9A0">
      <w:start w:val="1"/>
      <w:numFmt w:val="lowerLetter"/>
      <w:lvlText w:val="%5."/>
      <w:lvlJc w:val="left"/>
      <w:pPr>
        <w:ind w:left="3600" w:hanging="360"/>
      </w:pPr>
    </w:lvl>
    <w:lvl w:ilvl="5" w:tplc="AB486FCA">
      <w:start w:val="1"/>
      <w:numFmt w:val="lowerRoman"/>
      <w:lvlText w:val="%6."/>
      <w:lvlJc w:val="right"/>
      <w:pPr>
        <w:ind w:left="4320" w:hanging="180"/>
      </w:pPr>
    </w:lvl>
    <w:lvl w:ilvl="6" w:tplc="158ABB4A">
      <w:start w:val="1"/>
      <w:numFmt w:val="decimal"/>
      <w:lvlText w:val="%7."/>
      <w:lvlJc w:val="left"/>
      <w:pPr>
        <w:ind w:left="5040" w:hanging="360"/>
      </w:pPr>
    </w:lvl>
    <w:lvl w:ilvl="7" w:tplc="A31E42C8">
      <w:start w:val="1"/>
      <w:numFmt w:val="lowerLetter"/>
      <w:lvlText w:val="%8."/>
      <w:lvlJc w:val="left"/>
      <w:pPr>
        <w:ind w:left="5760" w:hanging="360"/>
      </w:pPr>
    </w:lvl>
    <w:lvl w:ilvl="8" w:tplc="49166942">
      <w:start w:val="1"/>
      <w:numFmt w:val="lowerRoman"/>
      <w:lvlText w:val="%9."/>
      <w:lvlJc w:val="right"/>
      <w:pPr>
        <w:ind w:left="6480" w:hanging="180"/>
      </w:pPr>
    </w:lvl>
  </w:abstractNum>
  <w:abstractNum w:abstractNumId="17" w15:restartNumberingAfterBreak="0">
    <w:nsid w:val="29931EB0"/>
    <w:multiLevelType w:val="hybridMultilevel"/>
    <w:tmpl w:val="DBA6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654ADA"/>
    <w:multiLevelType w:val="hybridMultilevel"/>
    <w:tmpl w:val="FFFFFFFF"/>
    <w:lvl w:ilvl="0" w:tplc="95348838">
      <w:start w:val="1"/>
      <w:numFmt w:val="decimal"/>
      <w:lvlText w:val="%1."/>
      <w:lvlJc w:val="left"/>
      <w:pPr>
        <w:ind w:left="720" w:hanging="360"/>
      </w:pPr>
    </w:lvl>
    <w:lvl w:ilvl="1" w:tplc="707A970C">
      <w:start w:val="1"/>
      <w:numFmt w:val="lowerLetter"/>
      <w:lvlText w:val="%2."/>
      <w:lvlJc w:val="left"/>
      <w:pPr>
        <w:ind w:left="1440" w:hanging="360"/>
      </w:pPr>
    </w:lvl>
    <w:lvl w:ilvl="2" w:tplc="445A8504">
      <w:start w:val="1"/>
      <w:numFmt w:val="lowerRoman"/>
      <w:lvlText w:val="%3."/>
      <w:lvlJc w:val="right"/>
      <w:pPr>
        <w:ind w:left="2160" w:hanging="180"/>
      </w:pPr>
    </w:lvl>
    <w:lvl w:ilvl="3" w:tplc="862EF324">
      <w:start w:val="1"/>
      <w:numFmt w:val="decimal"/>
      <w:lvlText w:val="%4."/>
      <w:lvlJc w:val="left"/>
      <w:pPr>
        <w:ind w:left="2880" w:hanging="360"/>
      </w:pPr>
    </w:lvl>
    <w:lvl w:ilvl="4" w:tplc="4E9E7B28">
      <w:start w:val="1"/>
      <w:numFmt w:val="lowerLetter"/>
      <w:lvlText w:val="%5."/>
      <w:lvlJc w:val="left"/>
      <w:pPr>
        <w:ind w:left="3600" w:hanging="360"/>
      </w:pPr>
    </w:lvl>
    <w:lvl w:ilvl="5" w:tplc="0F7413DE">
      <w:start w:val="1"/>
      <w:numFmt w:val="lowerRoman"/>
      <w:lvlText w:val="%6."/>
      <w:lvlJc w:val="right"/>
      <w:pPr>
        <w:ind w:left="4320" w:hanging="180"/>
      </w:pPr>
    </w:lvl>
    <w:lvl w:ilvl="6" w:tplc="966084B0">
      <w:start w:val="1"/>
      <w:numFmt w:val="decimal"/>
      <w:lvlText w:val="%7."/>
      <w:lvlJc w:val="left"/>
      <w:pPr>
        <w:ind w:left="5040" w:hanging="360"/>
      </w:pPr>
    </w:lvl>
    <w:lvl w:ilvl="7" w:tplc="D41822F6">
      <w:start w:val="1"/>
      <w:numFmt w:val="lowerLetter"/>
      <w:lvlText w:val="%8."/>
      <w:lvlJc w:val="left"/>
      <w:pPr>
        <w:ind w:left="5760" w:hanging="360"/>
      </w:pPr>
    </w:lvl>
    <w:lvl w:ilvl="8" w:tplc="B84AA512">
      <w:start w:val="1"/>
      <w:numFmt w:val="lowerRoman"/>
      <w:lvlText w:val="%9."/>
      <w:lvlJc w:val="right"/>
      <w:pPr>
        <w:ind w:left="6480" w:hanging="180"/>
      </w:pPr>
    </w:lvl>
  </w:abstractNum>
  <w:abstractNum w:abstractNumId="19" w15:restartNumberingAfterBreak="0">
    <w:nsid w:val="2DA01ACC"/>
    <w:multiLevelType w:val="hybridMultilevel"/>
    <w:tmpl w:val="83248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B501DE"/>
    <w:multiLevelType w:val="hybridMultilevel"/>
    <w:tmpl w:val="98A8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122A54"/>
    <w:multiLevelType w:val="hybridMultilevel"/>
    <w:tmpl w:val="34A4FD8A"/>
    <w:lvl w:ilvl="0" w:tplc="04090017">
      <w:start w:val="1"/>
      <w:numFmt w:val="lowerLetter"/>
      <w:lvlText w:val="%1)"/>
      <w:lvlJc w:val="left"/>
      <w:pPr>
        <w:ind w:left="360" w:hanging="360"/>
      </w:pPr>
      <w:rPr>
        <w:rFonts w:hint="default"/>
      </w:rPr>
    </w:lvl>
    <w:lvl w:ilvl="1" w:tplc="CBDEA770">
      <w:start w:val="1"/>
      <w:numFmt w:val="lowerLetter"/>
      <w:lvlText w:val="%2."/>
      <w:lvlJc w:val="left"/>
      <w:pPr>
        <w:ind w:left="1080" w:hanging="360"/>
      </w:pPr>
    </w:lvl>
    <w:lvl w:ilvl="2" w:tplc="F28EE478">
      <w:start w:val="1"/>
      <w:numFmt w:val="bullet"/>
      <w:lvlText w:val=""/>
      <w:lvlJc w:val="left"/>
      <w:pPr>
        <w:ind w:left="1800" w:hanging="360"/>
      </w:pPr>
      <w:rPr>
        <w:rFonts w:ascii="Wingdings" w:hAnsi="Wingdings" w:hint="default"/>
      </w:rPr>
    </w:lvl>
    <w:lvl w:ilvl="3" w:tplc="8328F73A">
      <w:start w:val="1"/>
      <w:numFmt w:val="bullet"/>
      <w:lvlText w:val=""/>
      <w:lvlJc w:val="left"/>
      <w:pPr>
        <w:ind w:left="2520" w:hanging="360"/>
      </w:pPr>
      <w:rPr>
        <w:rFonts w:ascii="Symbol" w:hAnsi="Symbol" w:hint="default"/>
      </w:rPr>
    </w:lvl>
    <w:lvl w:ilvl="4" w:tplc="0B8E8B22">
      <w:start w:val="1"/>
      <w:numFmt w:val="bullet"/>
      <w:lvlText w:val="o"/>
      <w:lvlJc w:val="left"/>
      <w:pPr>
        <w:ind w:left="3240" w:hanging="360"/>
      </w:pPr>
      <w:rPr>
        <w:rFonts w:ascii="Courier New" w:hAnsi="Courier New" w:hint="default"/>
      </w:rPr>
    </w:lvl>
    <w:lvl w:ilvl="5" w:tplc="174C480C">
      <w:start w:val="1"/>
      <w:numFmt w:val="bullet"/>
      <w:lvlText w:val=""/>
      <w:lvlJc w:val="left"/>
      <w:pPr>
        <w:ind w:left="3960" w:hanging="360"/>
      </w:pPr>
      <w:rPr>
        <w:rFonts w:ascii="Wingdings" w:hAnsi="Wingdings" w:hint="default"/>
      </w:rPr>
    </w:lvl>
    <w:lvl w:ilvl="6" w:tplc="646888C4">
      <w:start w:val="1"/>
      <w:numFmt w:val="bullet"/>
      <w:lvlText w:val=""/>
      <w:lvlJc w:val="left"/>
      <w:pPr>
        <w:ind w:left="4680" w:hanging="360"/>
      </w:pPr>
      <w:rPr>
        <w:rFonts w:ascii="Symbol" w:hAnsi="Symbol" w:hint="default"/>
      </w:rPr>
    </w:lvl>
    <w:lvl w:ilvl="7" w:tplc="6A548242">
      <w:start w:val="1"/>
      <w:numFmt w:val="bullet"/>
      <w:lvlText w:val="o"/>
      <w:lvlJc w:val="left"/>
      <w:pPr>
        <w:ind w:left="5400" w:hanging="360"/>
      </w:pPr>
      <w:rPr>
        <w:rFonts w:ascii="Courier New" w:hAnsi="Courier New" w:hint="default"/>
      </w:rPr>
    </w:lvl>
    <w:lvl w:ilvl="8" w:tplc="92542D92">
      <w:start w:val="1"/>
      <w:numFmt w:val="bullet"/>
      <w:lvlText w:val=""/>
      <w:lvlJc w:val="left"/>
      <w:pPr>
        <w:ind w:left="6120" w:hanging="360"/>
      </w:pPr>
      <w:rPr>
        <w:rFonts w:ascii="Wingdings" w:hAnsi="Wingdings" w:hint="default"/>
      </w:rPr>
    </w:lvl>
  </w:abstractNum>
  <w:abstractNum w:abstractNumId="22"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15:restartNumberingAfterBreak="0">
    <w:nsid w:val="36F92D14"/>
    <w:multiLevelType w:val="hybridMultilevel"/>
    <w:tmpl w:val="FFFFFFFF"/>
    <w:lvl w:ilvl="0" w:tplc="2B082786">
      <w:start w:val="1"/>
      <w:numFmt w:val="decimal"/>
      <w:lvlText w:val="%1."/>
      <w:lvlJc w:val="left"/>
      <w:pPr>
        <w:ind w:left="720" w:hanging="360"/>
      </w:pPr>
    </w:lvl>
    <w:lvl w:ilvl="1" w:tplc="AAB42B94">
      <w:start w:val="1"/>
      <w:numFmt w:val="lowerLetter"/>
      <w:lvlText w:val="%2."/>
      <w:lvlJc w:val="left"/>
      <w:pPr>
        <w:ind w:left="1440" w:hanging="360"/>
      </w:pPr>
    </w:lvl>
    <w:lvl w:ilvl="2" w:tplc="5290D162">
      <w:start w:val="1"/>
      <w:numFmt w:val="lowerRoman"/>
      <w:lvlText w:val="%3."/>
      <w:lvlJc w:val="right"/>
      <w:pPr>
        <w:ind w:left="2160" w:hanging="180"/>
      </w:pPr>
    </w:lvl>
    <w:lvl w:ilvl="3" w:tplc="580ACFF0">
      <w:start w:val="1"/>
      <w:numFmt w:val="decimal"/>
      <w:lvlText w:val="%4."/>
      <w:lvlJc w:val="left"/>
      <w:pPr>
        <w:ind w:left="2880" w:hanging="360"/>
      </w:pPr>
    </w:lvl>
    <w:lvl w:ilvl="4" w:tplc="CC2C38FC">
      <w:start w:val="1"/>
      <w:numFmt w:val="lowerLetter"/>
      <w:lvlText w:val="%5."/>
      <w:lvlJc w:val="left"/>
      <w:pPr>
        <w:ind w:left="3600" w:hanging="360"/>
      </w:pPr>
    </w:lvl>
    <w:lvl w:ilvl="5" w:tplc="73AE5E9A">
      <w:start w:val="1"/>
      <w:numFmt w:val="lowerRoman"/>
      <w:lvlText w:val="%6."/>
      <w:lvlJc w:val="right"/>
      <w:pPr>
        <w:ind w:left="4320" w:hanging="180"/>
      </w:pPr>
    </w:lvl>
    <w:lvl w:ilvl="6" w:tplc="BFE8C644">
      <w:start w:val="1"/>
      <w:numFmt w:val="decimal"/>
      <w:lvlText w:val="%7."/>
      <w:lvlJc w:val="left"/>
      <w:pPr>
        <w:ind w:left="5040" w:hanging="360"/>
      </w:pPr>
    </w:lvl>
    <w:lvl w:ilvl="7" w:tplc="C834F7FC">
      <w:start w:val="1"/>
      <w:numFmt w:val="lowerLetter"/>
      <w:lvlText w:val="%8."/>
      <w:lvlJc w:val="left"/>
      <w:pPr>
        <w:ind w:left="5760" w:hanging="360"/>
      </w:pPr>
    </w:lvl>
    <w:lvl w:ilvl="8" w:tplc="172897EE">
      <w:start w:val="1"/>
      <w:numFmt w:val="lowerRoman"/>
      <w:lvlText w:val="%9."/>
      <w:lvlJc w:val="right"/>
      <w:pPr>
        <w:ind w:left="6480" w:hanging="180"/>
      </w:pPr>
    </w:lvl>
  </w:abstractNum>
  <w:abstractNum w:abstractNumId="24" w15:restartNumberingAfterBreak="0">
    <w:nsid w:val="37865779"/>
    <w:multiLevelType w:val="hybridMultilevel"/>
    <w:tmpl w:val="0AD0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5E377A"/>
    <w:multiLevelType w:val="hybridMultilevel"/>
    <w:tmpl w:val="08EA6DE0"/>
    <w:lvl w:ilvl="0" w:tplc="ACEC65E4">
      <w:start w:val="1"/>
      <w:numFmt w:val="decimal"/>
      <w:lvlText w:val="%1."/>
      <w:lvlJc w:val="left"/>
      <w:pPr>
        <w:ind w:left="720" w:hanging="360"/>
      </w:pPr>
    </w:lvl>
    <w:lvl w:ilvl="1" w:tplc="50485CBA">
      <w:start w:val="1"/>
      <w:numFmt w:val="lowerLetter"/>
      <w:lvlText w:val="%2."/>
      <w:lvlJc w:val="left"/>
      <w:pPr>
        <w:ind w:left="1440" w:hanging="360"/>
      </w:pPr>
    </w:lvl>
    <w:lvl w:ilvl="2" w:tplc="A6080D86">
      <w:start w:val="1"/>
      <w:numFmt w:val="lowerRoman"/>
      <w:lvlText w:val="%3."/>
      <w:lvlJc w:val="left"/>
      <w:pPr>
        <w:ind w:left="2160" w:hanging="180"/>
      </w:pPr>
    </w:lvl>
    <w:lvl w:ilvl="3" w:tplc="2146CF62">
      <w:start w:val="1"/>
      <w:numFmt w:val="decimal"/>
      <w:lvlText w:val="%4."/>
      <w:lvlJc w:val="left"/>
      <w:pPr>
        <w:ind w:left="2880" w:hanging="360"/>
      </w:pPr>
    </w:lvl>
    <w:lvl w:ilvl="4" w:tplc="8E92F0B6">
      <w:start w:val="1"/>
      <w:numFmt w:val="lowerLetter"/>
      <w:lvlText w:val="%5."/>
      <w:lvlJc w:val="left"/>
      <w:pPr>
        <w:ind w:left="3600" w:hanging="360"/>
      </w:pPr>
    </w:lvl>
    <w:lvl w:ilvl="5" w:tplc="F90A944E">
      <w:start w:val="1"/>
      <w:numFmt w:val="lowerRoman"/>
      <w:lvlText w:val="%6."/>
      <w:lvlJc w:val="right"/>
      <w:pPr>
        <w:ind w:left="4320" w:hanging="180"/>
      </w:pPr>
    </w:lvl>
    <w:lvl w:ilvl="6" w:tplc="0C5A24B8">
      <w:start w:val="1"/>
      <w:numFmt w:val="decimal"/>
      <w:lvlText w:val="%7."/>
      <w:lvlJc w:val="left"/>
      <w:pPr>
        <w:ind w:left="5040" w:hanging="360"/>
      </w:pPr>
    </w:lvl>
    <w:lvl w:ilvl="7" w:tplc="27646A7E">
      <w:start w:val="1"/>
      <w:numFmt w:val="lowerLetter"/>
      <w:lvlText w:val="%8."/>
      <w:lvlJc w:val="left"/>
      <w:pPr>
        <w:ind w:left="5760" w:hanging="360"/>
      </w:pPr>
    </w:lvl>
    <w:lvl w:ilvl="8" w:tplc="D7FA3934">
      <w:start w:val="1"/>
      <w:numFmt w:val="lowerRoman"/>
      <w:lvlText w:val="%9."/>
      <w:lvlJc w:val="right"/>
      <w:pPr>
        <w:ind w:left="6480" w:hanging="180"/>
      </w:pPr>
    </w:lvl>
  </w:abstractNum>
  <w:abstractNum w:abstractNumId="26" w15:restartNumberingAfterBreak="0">
    <w:nsid w:val="44DF71F6"/>
    <w:multiLevelType w:val="hybridMultilevel"/>
    <w:tmpl w:val="FFFFFFFF"/>
    <w:lvl w:ilvl="0" w:tplc="6EC26E4C">
      <w:start w:val="1"/>
      <w:numFmt w:val="decimal"/>
      <w:lvlText w:val="%1."/>
      <w:lvlJc w:val="left"/>
      <w:pPr>
        <w:ind w:left="720" w:hanging="360"/>
      </w:pPr>
    </w:lvl>
    <w:lvl w:ilvl="1" w:tplc="D760305A">
      <w:start w:val="1"/>
      <w:numFmt w:val="lowerLetter"/>
      <w:lvlText w:val="%2."/>
      <w:lvlJc w:val="left"/>
      <w:pPr>
        <w:ind w:left="1440" w:hanging="360"/>
      </w:pPr>
    </w:lvl>
    <w:lvl w:ilvl="2" w:tplc="66AEA34E">
      <w:start w:val="1"/>
      <w:numFmt w:val="lowerRoman"/>
      <w:lvlText w:val="%3."/>
      <w:lvlJc w:val="right"/>
      <w:pPr>
        <w:ind w:left="2160" w:hanging="180"/>
      </w:pPr>
    </w:lvl>
    <w:lvl w:ilvl="3" w:tplc="689EFB4A">
      <w:start w:val="1"/>
      <w:numFmt w:val="decimal"/>
      <w:lvlText w:val="%4."/>
      <w:lvlJc w:val="left"/>
      <w:pPr>
        <w:ind w:left="2880" w:hanging="360"/>
      </w:pPr>
    </w:lvl>
    <w:lvl w:ilvl="4" w:tplc="F408A260">
      <w:start w:val="1"/>
      <w:numFmt w:val="lowerLetter"/>
      <w:lvlText w:val="%5."/>
      <w:lvlJc w:val="left"/>
      <w:pPr>
        <w:ind w:left="3600" w:hanging="360"/>
      </w:pPr>
    </w:lvl>
    <w:lvl w:ilvl="5" w:tplc="DB3AD342">
      <w:start w:val="1"/>
      <w:numFmt w:val="lowerRoman"/>
      <w:lvlText w:val="%6."/>
      <w:lvlJc w:val="right"/>
      <w:pPr>
        <w:ind w:left="4320" w:hanging="180"/>
      </w:pPr>
    </w:lvl>
    <w:lvl w:ilvl="6" w:tplc="3AD8F464">
      <w:start w:val="1"/>
      <w:numFmt w:val="decimal"/>
      <w:lvlText w:val="%7."/>
      <w:lvlJc w:val="left"/>
      <w:pPr>
        <w:ind w:left="5040" w:hanging="360"/>
      </w:pPr>
    </w:lvl>
    <w:lvl w:ilvl="7" w:tplc="231655CA">
      <w:start w:val="1"/>
      <w:numFmt w:val="lowerLetter"/>
      <w:lvlText w:val="%8."/>
      <w:lvlJc w:val="left"/>
      <w:pPr>
        <w:ind w:left="5760" w:hanging="360"/>
      </w:pPr>
    </w:lvl>
    <w:lvl w:ilvl="8" w:tplc="96223E64">
      <w:start w:val="1"/>
      <w:numFmt w:val="lowerRoman"/>
      <w:lvlText w:val="%9."/>
      <w:lvlJc w:val="right"/>
      <w:pPr>
        <w:ind w:left="6480" w:hanging="180"/>
      </w:pPr>
    </w:lvl>
  </w:abstractNum>
  <w:abstractNum w:abstractNumId="27" w15:restartNumberingAfterBreak="0">
    <w:nsid w:val="45C37FF2"/>
    <w:multiLevelType w:val="hybridMultilevel"/>
    <w:tmpl w:val="FFFFFFFF"/>
    <w:lvl w:ilvl="0" w:tplc="7ADE2852">
      <w:start w:val="1"/>
      <w:numFmt w:val="decimal"/>
      <w:lvlText w:val="%1."/>
      <w:lvlJc w:val="left"/>
      <w:pPr>
        <w:ind w:left="720" w:hanging="360"/>
      </w:pPr>
    </w:lvl>
    <w:lvl w:ilvl="1" w:tplc="5E405578">
      <w:start w:val="1"/>
      <w:numFmt w:val="lowerLetter"/>
      <w:lvlText w:val="%2."/>
      <w:lvlJc w:val="left"/>
      <w:pPr>
        <w:ind w:left="1440" w:hanging="360"/>
      </w:pPr>
    </w:lvl>
    <w:lvl w:ilvl="2" w:tplc="5614C596">
      <w:start w:val="1"/>
      <w:numFmt w:val="lowerRoman"/>
      <w:lvlText w:val="%3."/>
      <w:lvlJc w:val="right"/>
      <w:pPr>
        <w:ind w:left="2160" w:hanging="180"/>
      </w:pPr>
    </w:lvl>
    <w:lvl w:ilvl="3" w:tplc="AF305C2C">
      <w:start w:val="1"/>
      <w:numFmt w:val="decimal"/>
      <w:lvlText w:val="%4."/>
      <w:lvlJc w:val="left"/>
      <w:pPr>
        <w:ind w:left="2880" w:hanging="360"/>
      </w:pPr>
    </w:lvl>
    <w:lvl w:ilvl="4" w:tplc="9C388ADC">
      <w:start w:val="1"/>
      <w:numFmt w:val="lowerLetter"/>
      <w:lvlText w:val="%5."/>
      <w:lvlJc w:val="left"/>
      <w:pPr>
        <w:ind w:left="3600" w:hanging="360"/>
      </w:pPr>
    </w:lvl>
    <w:lvl w:ilvl="5" w:tplc="8762301C">
      <w:start w:val="1"/>
      <w:numFmt w:val="lowerRoman"/>
      <w:lvlText w:val="%6."/>
      <w:lvlJc w:val="right"/>
      <w:pPr>
        <w:ind w:left="4320" w:hanging="180"/>
      </w:pPr>
    </w:lvl>
    <w:lvl w:ilvl="6" w:tplc="F79E1004">
      <w:start w:val="1"/>
      <w:numFmt w:val="decimal"/>
      <w:lvlText w:val="%7."/>
      <w:lvlJc w:val="left"/>
      <w:pPr>
        <w:ind w:left="5040" w:hanging="360"/>
      </w:pPr>
    </w:lvl>
    <w:lvl w:ilvl="7" w:tplc="D8664D44">
      <w:start w:val="1"/>
      <w:numFmt w:val="lowerLetter"/>
      <w:lvlText w:val="%8."/>
      <w:lvlJc w:val="left"/>
      <w:pPr>
        <w:ind w:left="5760" w:hanging="360"/>
      </w:pPr>
    </w:lvl>
    <w:lvl w:ilvl="8" w:tplc="796A4686">
      <w:start w:val="1"/>
      <w:numFmt w:val="lowerRoman"/>
      <w:lvlText w:val="%9."/>
      <w:lvlJc w:val="right"/>
      <w:pPr>
        <w:ind w:left="6480" w:hanging="180"/>
      </w:pPr>
    </w:lvl>
  </w:abstractNum>
  <w:abstractNum w:abstractNumId="28" w15:restartNumberingAfterBreak="0">
    <w:nsid w:val="47281BA4"/>
    <w:multiLevelType w:val="hybridMultilevel"/>
    <w:tmpl w:val="D44033A2"/>
    <w:lvl w:ilvl="0" w:tplc="421A3190">
      <w:start w:val="1"/>
      <w:numFmt w:val="decimal"/>
      <w:lvlText w:val="%1."/>
      <w:lvlJc w:val="left"/>
      <w:pPr>
        <w:ind w:left="720" w:hanging="360"/>
      </w:pPr>
    </w:lvl>
    <w:lvl w:ilvl="1" w:tplc="C03A0906">
      <w:start w:val="1"/>
      <w:numFmt w:val="lowerLetter"/>
      <w:lvlText w:val="%2."/>
      <w:lvlJc w:val="left"/>
      <w:pPr>
        <w:ind w:left="1440" w:hanging="360"/>
      </w:pPr>
    </w:lvl>
    <w:lvl w:ilvl="2" w:tplc="82D0C356">
      <w:start w:val="1"/>
      <w:numFmt w:val="lowerRoman"/>
      <w:lvlText w:val="%3."/>
      <w:lvlJc w:val="right"/>
      <w:pPr>
        <w:ind w:left="2160" w:hanging="180"/>
      </w:pPr>
    </w:lvl>
    <w:lvl w:ilvl="3" w:tplc="46883138">
      <w:start w:val="1"/>
      <w:numFmt w:val="decimal"/>
      <w:lvlText w:val="%4."/>
      <w:lvlJc w:val="left"/>
      <w:pPr>
        <w:ind w:left="2880" w:hanging="360"/>
      </w:pPr>
    </w:lvl>
    <w:lvl w:ilvl="4" w:tplc="937EC612">
      <w:start w:val="1"/>
      <w:numFmt w:val="lowerLetter"/>
      <w:lvlText w:val="%5."/>
      <w:lvlJc w:val="left"/>
      <w:pPr>
        <w:ind w:left="3600" w:hanging="360"/>
      </w:pPr>
    </w:lvl>
    <w:lvl w:ilvl="5" w:tplc="5AF25D36">
      <w:start w:val="1"/>
      <w:numFmt w:val="lowerRoman"/>
      <w:lvlText w:val="%6."/>
      <w:lvlJc w:val="right"/>
      <w:pPr>
        <w:ind w:left="4320" w:hanging="180"/>
      </w:pPr>
    </w:lvl>
    <w:lvl w:ilvl="6" w:tplc="35709294">
      <w:start w:val="1"/>
      <w:numFmt w:val="decimal"/>
      <w:lvlText w:val="%7."/>
      <w:lvlJc w:val="left"/>
      <w:pPr>
        <w:ind w:left="5040" w:hanging="360"/>
      </w:pPr>
    </w:lvl>
    <w:lvl w:ilvl="7" w:tplc="E1D8A85E">
      <w:start w:val="1"/>
      <w:numFmt w:val="lowerLetter"/>
      <w:lvlText w:val="%8."/>
      <w:lvlJc w:val="left"/>
      <w:pPr>
        <w:ind w:left="5760" w:hanging="360"/>
      </w:pPr>
    </w:lvl>
    <w:lvl w:ilvl="8" w:tplc="BE7A0432">
      <w:start w:val="1"/>
      <w:numFmt w:val="lowerRoman"/>
      <w:lvlText w:val="%9."/>
      <w:lvlJc w:val="right"/>
      <w:pPr>
        <w:ind w:left="6480" w:hanging="180"/>
      </w:pPr>
    </w:lvl>
  </w:abstractNum>
  <w:abstractNum w:abstractNumId="29" w15:restartNumberingAfterBreak="0">
    <w:nsid w:val="49F44DD1"/>
    <w:multiLevelType w:val="multilevel"/>
    <w:tmpl w:val="D3423A3A"/>
    <w:lvl w:ilvl="0">
      <w:start w:val="1"/>
      <w:numFmt w:val="upperRoman"/>
      <w:lvlText w:val="%1."/>
      <w:lvlJc w:val="left"/>
      <w:pPr>
        <w:ind w:left="0" w:firstLine="0"/>
      </w:p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A427E9E"/>
    <w:multiLevelType w:val="hybridMultilevel"/>
    <w:tmpl w:val="8864FCA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1" w15:restartNumberingAfterBreak="0">
    <w:nsid w:val="4C534D99"/>
    <w:multiLevelType w:val="hybridMultilevel"/>
    <w:tmpl w:val="4B6E4BB2"/>
    <w:lvl w:ilvl="0" w:tplc="7C4E4354">
      <w:start w:val="1"/>
      <w:numFmt w:val="decimal"/>
      <w:lvlText w:val="%1."/>
      <w:lvlJc w:val="left"/>
      <w:pPr>
        <w:ind w:left="720" w:hanging="360"/>
      </w:pPr>
    </w:lvl>
    <w:lvl w:ilvl="1" w:tplc="524A6BF0">
      <w:start w:val="1"/>
      <w:numFmt w:val="lowerLetter"/>
      <w:lvlText w:val="%2."/>
      <w:lvlJc w:val="left"/>
      <w:pPr>
        <w:ind w:left="1440" w:hanging="360"/>
      </w:pPr>
    </w:lvl>
    <w:lvl w:ilvl="2" w:tplc="445870AA">
      <w:start w:val="1"/>
      <w:numFmt w:val="lowerRoman"/>
      <w:lvlText w:val="%3."/>
      <w:lvlJc w:val="right"/>
      <w:pPr>
        <w:ind w:left="2160" w:hanging="180"/>
      </w:pPr>
    </w:lvl>
    <w:lvl w:ilvl="3" w:tplc="88047330">
      <w:start w:val="1"/>
      <w:numFmt w:val="decimal"/>
      <w:lvlText w:val="%4."/>
      <w:lvlJc w:val="left"/>
      <w:pPr>
        <w:ind w:left="2880" w:hanging="360"/>
      </w:pPr>
    </w:lvl>
    <w:lvl w:ilvl="4" w:tplc="90C415B4">
      <w:start w:val="1"/>
      <w:numFmt w:val="lowerLetter"/>
      <w:lvlText w:val="%5."/>
      <w:lvlJc w:val="left"/>
      <w:pPr>
        <w:ind w:left="3600" w:hanging="360"/>
      </w:pPr>
    </w:lvl>
    <w:lvl w:ilvl="5" w:tplc="1A2206AA">
      <w:start w:val="1"/>
      <w:numFmt w:val="lowerRoman"/>
      <w:lvlText w:val="%6."/>
      <w:lvlJc w:val="right"/>
      <w:pPr>
        <w:ind w:left="4320" w:hanging="180"/>
      </w:pPr>
    </w:lvl>
    <w:lvl w:ilvl="6" w:tplc="24F07A5C">
      <w:start w:val="1"/>
      <w:numFmt w:val="decimal"/>
      <w:lvlText w:val="%7."/>
      <w:lvlJc w:val="left"/>
      <w:pPr>
        <w:ind w:left="5040" w:hanging="360"/>
      </w:pPr>
    </w:lvl>
    <w:lvl w:ilvl="7" w:tplc="A5CC1E92">
      <w:start w:val="1"/>
      <w:numFmt w:val="lowerLetter"/>
      <w:lvlText w:val="%8."/>
      <w:lvlJc w:val="left"/>
      <w:pPr>
        <w:ind w:left="5760" w:hanging="360"/>
      </w:pPr>
    </w:lvl>
    <w:lvl w:ilvl="8" w:tplc="2EB88D14">
      <w:start w:val="1"/>
      <w:numFmt w:val="lowerRoman"/>
      <w:lvlText w:val="%9."/>
      <w:lvlJc w:val="right"/>
      <w:pPr>
        <w:ind w:left="6480" w:hanging="180"/>
      </w:pPr>
    </w:lvl>
  </w:abstractNum>
  <w:abstractNum w:abstractNumId="32" w15:restartNumberingAfterBreak="0">
    <w:nsid w:val="4CA3556B"/>
    <w:multiLevelType w:val="hybridMultilevel"/>
    <w:tmpl w:val="76FC478A"/>
    <w:lvl w:ilvl="0" w:tplc="0108DE62">
      <w:start w:val="1"/>
      <w:numFmt w:val="decimal"/>
      <w:lvlText w:val="%1."/>
      <w:lvlJc w:val="left"/>
      <w:pPr>
        <w:ind w:left="720" w:hanging="360"/>
      </w:pPr>
    </w:lvl>
    <w:lvl w:ilvl="1" w:tplc="1360A2EA">
      <w:start w:val="1"/>
      <w:numFmt w:val="lowerLetter"/>
      <w:lvlText w:val="%2."/>
      <w:lvlJc w:val="left"/>
      <w:pPr>
        <w:ind w:left="1440" w:hanging="360"/>
      </w:pPr>
    </w:lvl>
    <w:lvl w:ilvl="2" w:tplc="63425BC6">
      <w:start w:val="1"/>
      <w:numFmt w:val="lowerRoman"/>
      <w:lvlText w:val="%3."/>
      <w:lvlJc w:val="right"/>
      <w:pPr>
        <w:ind w:left="2160" w:hanging="180"/>
      </w:pPr>
    </w:lvl>
    <w:lvl w:ilvl="3" w:tplc="41FA8758">
      <w:start w:val="1"/>
      <w:numFmt w:val="decimal"/>
      <w:lvlText w:val="%4."/>
      <w:lvlJc w:val="left"/>
      <w:pPr>
        <w:ind w:left="2880" w:hanging="360"/>
      </w:pPr>
    </w:lvl>
    <w:lvl w:ilvl="4" w:tplc="C30C25AE">
      <w:start w:val="1"/>
      <w:numFmt w:val="lowerLetter"/>
      <w:lvlText w:val="%5."/>
      <w:lvlJc w:val="left"/>
      <w:pPr>
        <w:ind w:left="3600" w:hanging="360"/>
      </w:pPr>
    </w:lvl>
    <w:lvl w:ilvl="5" w:tplc="EC82DA84">
      <w:start w:val="1"/>
      <w:numFmt w:val="lowerRoman"/>
      <w:lvlText w:val="%6."/>
      <w:lvlJc w:val="right"/>
      <w:pPr>
        <w:ind w:left="4320" w:hanging="180"/>
      </w:pPr>
    </w:lvl>
    <w:lvl w:ilvl="6" w:tplc="7DAA5A94">
      <w:start w:val="1"/>
      <w:numFmt w:val="decimal"/>
      <w:lvlText w:val="%7."/>
      <w:lvlJc w:val="left"/>
      <w:pPr>
        <w:ind w:left="5040" w:hanging="360"/>
      </w:pPr>
    </w:lvl>
    <w:lvl w:ilvl="7" w:tplc="6A0A8FB4">
      <w:start w:val="1"/>
      <w:numFmt w:val="lowerLetter"/>
      <w:lvlText w:val="%8."/>
      <w:lvlJc w:val="left"/>
      <w:pPr>
        <w:ind w:left="5760" w:hanging="360"/>
      </w:pPr>
    </w:lvl>
    <w:lvl w:ilvl="8" w:tplc="666A56C2">
      <w:start w:val="1"/>
      <w:numFmt w:val="lowerRoman"/>
      <w:lvlText w:val="%9."/>
      <w:lvlJc w:val="right"/>
      <w:pPr>
        <w:ind w:left="6480" w:hanging="180"/>
      </w:pPr>
    </w:lvl>
  </w:abstractNum>
  <w:abstractNum w:abstractNumId="33" w15:restartNumberingAfterBreak="0">
    <w:nsid w:val="4D615AA3"/>
    <w:multiLevelType w:val="hybridMultilevel"/>
    <w:tmpl w:val="E160B8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D0561E"/>
    <w:multiLevelType w:val="hybridMultilevel"/>
    <w:tmpl w:val="11C897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62357"/>
    <w:multiLevelType w:val="hybridMultilevel"/>
    <w:tmpl w:val="04A22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0973B5"/>
    <w:multiLevelType w:val="hybridMultilevel"/>
    <w:tmpl w:val="5CB87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184E30"/>
    <w:multiLevelType w:val="hybridMultilevel"/>
    <w:tmpl w:val="FFFFFFFF"/>
    <w:lvl w:ilvl="0" w:tplc="8A683552">
      <w:start w:val="1"/>
      <w:numFmt w:val="decimal"/>
      <w:lvlText w:val="%1."/>
      <w:lvlJc w:val="left"/>
      <w:pPr>
        <w:ind w:left="720" w:hanging="360"/>
      </w:pPr>
    </w:lvl>
    <w:lvl w:ilvl="1" w:tplc="00FCFD14">
      <w:start w:val="1"/>
      <w:numFmt w:val="lowerLetter"/>
      <w:lvlText w:val="%2."/>
      <w:lvlJc w:val="left"/>
      <w:pPr>
        <w:ind w:left="1440" w:hanging="360"/>
      </w:pPr>
    </w:lvl>
    <w:lvl w:ilvl="2" w:tplc="B57E55A2">
      <w:start w:val="1"/>
      <w:numFmt w:val="lowerRoman"/>
      <w:lvlText w:val="%3."/>
      <w:lvlJc w:val="left"/>
      <w:pPr>
        <w:ind w:left="2160" w:hanging="180"/>
      </w:pPr>
    </w:lvl>
    <w:lvl w:ilvl="3" w:tplc="80582CA6">
      <w:start w:val="1"/>
      <w:numFmt w:val="decimal"/>
      <w:lvlText w:val="%4."/>
      <w:lvlJc w:val="left"/>
      <w:pPr>
        <w:ind w:left="2880" w:hanging="360"/>
      </w:pPr>
    </w:lvl>
    <w:lvl w:ilvl="4" w:tplc="2ADCA380">
      <w:start w:val="1"/>
      <w:numFmt w:val="lowerLetter"/>
      <w:lvlText w:val="%5."/>
      <w:lvlJc w:val="left"/>
      <w:pPr>
        <w:ind w:left="3600" w:hanging="360"/>
      </w:pPr>
    </w:lvl>
    <w:lvl w:ilvl="5" w:tplc="E5964A56">
      <w:start w:val="1"/>
      <w:numFmt w:val="lowerRoman"/>
      <w:lvlText w:val="%6."/>
      <w:lvlJc w:val="right"/>
      <w:pPr>
        <w:ind w:left="4320" w:hanging="180"/>
      </w:pPr>
    </w:lvl>
    <w:lvl w:ilvl="6" w:tplc="31806944">
      <w:start w:val="1"/>
      <w:numFmt w:val="decimal"/>
      <w:lvlText w:val="%7."/>
      <w:lvlJc w:val="left"/>
      <w:pPr>
        <w:ind w:left="5040" w:hanging="360"/>
      </w:pPr>
    </w:lvl>
    <w:lvl w:ilvl="7" w:tplc="D95E6FFC">
      <w:start w:val="1"/>
      <w:numFmt w:val="lowerLetter"/>
      <w:lvlText w:val="%8."/>
      <w:lvlJc w:val="left"/>
      <w:pPr>
        <w:ind w:left="5760" w:hanging="360"/>
      </w:pPr>
    </w:lvl>
    <w:lvl w:ilvl="8" w:tplc="A5A639B2">
      <w:start w:val="1"/>
      <w:numFmt w:val="lowerRoman"/>
      <w:lvlText w:val="%9."/>
      <w:lvlJc w:val="right"/>
      <w:pPr>
        <w:ind w:left="6480" w:hanging="180"/>
      </w:pPr>
    </w:lvl>
  </w:abstractNum>
  <w:abstractNum w:abstractNumId="38" w15:restartNumberingAfterBreak="0">
    <w:nsid w:val="5A023B50"/>
    <w:multiLevelType w:val="hybridMultilevel"/>
    <w:tmpl w:val="FFFFFFFF"/>
    <w:lvl w:ilvl="0" w:tplc="6A385F76">
      <w:start w:val="1"/>
      <w:numFmt w:val="decimal"/>
      <w:lvlText w:val="%1."/>
      <w:lvlJc w:val="left"/>
      <w:pPr>
        <w:ind w:left="720" w:hanging="360"/>
      </w:pPr>
    </w:lvl>
    <w:lvl w:ilvl="1" w:tplc="BF128A34">
      <w:start w:val="1"/>
      <w:numFmt w:val="lowerLetter"/>
      <w:lvlText w:val="%2."/>
      <w:lvlJc w:val="left"/>
      <w:pPr>
        <w:ind w:left="1440" w:hanging="360"/>
      </w:pPr>
    </w:lvl>
    <w:lvl w:ilvl="2" w:tplc="92E4AA3A">
      <w:start w:val="1"/>
      <w:numFmt w:val="lowerRoman"/>
      <w:lvlText w:val="%3."/>
      <w:lvlJc w:val="left"/>
      <w:pPr>
        <w:ind w:left="2160" w:hanging="180"/>
      </w:pPr>
    </w:lvl>
    <w:lvl w:ilvl="3" w:tplc="ECE81C08">
      <w:start w:val="1"/>
      <w:numFmt w:val="decimal"/>
      <w:lvlText w:val="%4."/>
      <w:lvlJc w:val="left"/>
      <w:pPr>
        <w:ind w:left="2880" w:hanging="360"/>
      </w:pPr>
    </w:lvl>
    <w:lvl w:ilvl="4" w:tplc="D40C67E2">
      <w:start w:val="1"/>
      <w:numFmt w:val="lowerLetter"/>
      <w:lvlText w:val="%5."/>
      <w:lvlJc w:val="left"/>
      <w:pPr>
        <w:ind w:left="3600" w:hanging="360"/>
      </w:pPr>
    </w:lvl>
    <w:lvl w:ilvl="5" w:tplc="C1903A88">
      <w:start w:val="1"/>
      <w:numFmt w:val="lowerRoman"/>
      <w:lvlText w:val="%6."/>
      <w:lvlJc w:val="right"/>
      <w:pPr>
        <w:ind w:left="4320" w:hanging="180"/>
      </w:pPr>
    </w:lvl>
    <w:lvl w:ilvl="6" w:tplc="C756AD6C">
      <w:start w:val="1"/>
      <w:numFmt w:val="decimal"/>
      <w:lvlText w:val="%7."/>
      <w:lvlJc w:val="left"/>
      <w:pPr>
        <w:ind w:left="5040" w:hanging="360"/>
      </w:pPr>
    </w:lvl>
    <w:lvl w:ilvl="7" w:tplc="94285FF8">
      <w:start w:val="1"/>
      <w:numFmt w:val="lowerLetter"/>
      <w:lvlText w:val="%8."/>
      <w:lvlJc w:val="left"/>
      <w:pPr>
        <w:ind w:left="5760" w:hanging="360"/>
      </w:pPr>
    </w:lvl>
    <w:lvl w:ilvl="8" w:tplc="2E5A9388">
      <w:start w:val="1"/>
      <w:numFmt w:val="lowerRoman"/>
      <w:lvlText w:val="%9."/>
      <w:lvlJc w:val="right"/>
      <w:pPr>
        <w:ind w:left="6480" w:hanging="180"/>
      </w:pPr>
    </w:lvl>
  </w:abstractNum>
  <w:abstractNum w:abstractNumId="39" w15:restartNumberingAfterBreak="0">
    <w:nsid w:val="5A5B20AA"/>
    <w:multiLevelType w:val="hybridMultilevel"/>
    <w:tmpl w:val="BA3C3368"/>
    <w:lvl w:ilvl="0" w:tplc="9DF67480">
      <w:start w:val="1"/>
      <w:numFmt w:val="decimal"/>
      <w:lvlText w:val="%1."/>
      <w:lvlJc w:val="left"/>
      <w:pPr>
        <w:ind w:left="720" w:hanging="360"/>
      </w:pPr>
    </w:lvl>
    <w:lvl w:ilvl="1" w:tplc="D0E6C1B2">
      <w:start w:val="1"/>
      <w:numFmt w:val="lowerLetter"/>
      <w:lvlText w:val="%2."/>
      <w:lvlJc w:val="left"/>
      <w:pPr>
        <w:ind w:left="1440" w:hanging="360"/>
      </w:pPr>
    </w:lvl>
    <w:lvl w:ilvl="2" w:tplc="588421BE">
      <w:start w:val="1"/>
      <w:numFmt w:val="lowerRoman"/>
      <w:lvlText w:val="%3."/>
      <w:lvlJc w:val="right"/>
      <w:pPr>
        <w:ind w:left="2160" w:hanging="180"/>
      </w:pPr>
    </w:lvl>
    <w:lvl w:ilvl="3" w:tplc="F4DE6872">
      <w:start w:val="1"/>
      <w:numFmt w:val="decimal"/>
      <w:lvlText w:val="%4."/>
      <w:lvlJc w:val="left"/>
      <w:pPr>
        <w:ind w:left="2880" w:hanging="360"/>
      </w:pPr>
    </w:lvl>
    <w:lvl w:ilvl="4" w:tplc="4098798E">
      <w:start w:val="1"/>
      <w:numFmt w:val="lowerLetter"/>
      <w:lvlText w:val="%5."/>
      <w:lvlJc w:val="left"/>
      <w:pPr>
        <w:ind w:left="3600" w:hanging="360"/>
      </w:pPr>
    </w:lvl>
    <w:lvl w:ilvl="5" w:tplc="D3B6A05C">
      <w:start w:val="1"/>
      <w:numFmt w:val="lowerRoman"/>
      <w:lvlText w:val="%6."/>
      <w:lvlJc w:val="right"/>
      <w:pPr>
        <w:ind w:left="4320" w:hanging="180"/>
      </w:pPr>
    </w:lvl>
    <w:lvl w:ilvl="6" w:tplc="8BD6F1AC">
      <w:start w:val="1"/>
      <w:numFmt w:val="decimal"/>
      <w:lvlText w:val="%7."/>
      <w:lvlJc w:val="left"/>
      <w:pPr>
        <w:ind w:left="5040" w:hanging="360"/>
      </w:pPr>
    </w:lvl>
    <w:lvl w:ilvl="7" w:tplc="D27C7090">
      <w:start w:val="1"/>
      <w:numFmt w:val="lowerLetter"/>
      <w:lvlText w:val="%8."/>
      <w:lvlJc w:val="left"/>
      <w:pPr>
        <w:ind w:left="5760" w:hanging="360"/>
      </w:pPr>
    </w:lvl>
    <w:lvl w:ilvl="8" w:tplc="A42CD92A">
      <w:start w:val="1"/>
      <w:numFmt w:val="lowerRoman"/>
      <w:lvlText w:val="%9."/>
      <w:lvlJc w:val="right"/>
      <w:pPr>
        <w:ind w:left="6480" w:hanging="180"/>
      </w:pPr>
    </w:lvl>
  </w:abstractNum>
  <w:abstractNum w:abstractNumId="40" w15:restartNumberingAfterBreak="0">
    <w:nsid w:val="5A9E2171"/>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41" w15:restartNumberingAfterBreak="0">
    <w:nsid w:val="5C0731DC"/>
    <w:multiLevelType w:val="hybridMultilevel"/>
    <w:tmpl w:val="4FF28884"/>
    <w:lvl w:ilvl="0" w:tplc="FED0FD7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5F5330DE"/>
    <w:multiLevelType w:val="hybridMultilevel"/>
    <w:tmpl w:val="B9E88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631FD4"/>
    <w:multiLevelType w:val="hybridMultilevel"/>
    <w:tmpl w:val="9C24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761D9B"/>
    <w:multiLevelType w:val="hybridMultilevel"/>
    <w:tmpl w:val="18CEF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7504371"/>
    <w:multiLevelType w:val="hybridMultilevel"/>
    <w:tmpl w:val="C696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EC23DB"/>
    <w:multiLevelType w:val="hybridMultilevel"/>
    <w:tmpl w:val="FFFFFFFF"/>
    <w:lvl w:ilvl="0" w:tplc="978EBAEA">
      <w:start w:val="1"/>
      <w:numFmt w:val="decimal"/>
      <w:lvlText w:val="%1."/>
      <w:lvlJc w:val="left"/>
      <w:pPr>
        <w:ind w:left="720" w:hanging="360"/>
      </w:pPr>
    </w:lvl>
    <w:lvl w:ilvl="1" w:tplc="1BBAF21A">
      <w:start w:val="1"/>
      <w:numFmt w:val="lowerLetter"/>
      <w:lvlText w:val="%2."/>
      <w:lvlJc w:val="left"/>
      <w:pPr>
        <w:ind w:left="1440" w:hanging="360"/>
      </w:pPr>
    </w:lvl>
    <w:lvl w:ilvl="2" w:tplc="6EECD70A">
      <w:start w:val="1"/>
      <w:numFmt w:val="lowerRoman"/>
      <w:lvlText w:val="%3."/>
      <w:lvlJc w:val="left"/>
      <w:pPr>
        <w:ind w:left="2160" w:hanging="180"/>
      </w:pPr>
    </w:lvl>
    <w:lvl w:ilvl="3" w:tplc="1F7678FC">
      <w:start w:val="1"/>
      <w:numFmt w:val="decimal"/>
      <w:lvlText w:val="%4."/>
      <w:lvlJc w:val="left"/>
      <w:pPr>
        <w:ind w:left="2880" w:hanging="360"/>
      </w:pPr>
    </w:lvl>
    <w:lvl w:ilvl="4" w:tplc="E30CD64E">
      <w:start w:val="1"/>
      <w:numFmt w:val="lowerLetter"/>
      <w:lvlText w:val="%5."/>
      <w:lvlJc w:val="left"/>
      <w:pPr>
        <w:ind w:left="3600" w:hanging="360"/>
      </w:pPr>
    </w:lvl>
    <w:lvl w:ilvl="5" w:tplc="F174B72C">
      <w:start w:val="1"/>
      <w:numFmt w:val="lowerRoman"/>
      <w:lvlText w:val="%6."/>
      <w:lvlJc w:val="right"/>
      <w:pPr>
        <w:ind w:left="4320" w:hanging="180"/>
      </w:pPr>
    </w:lvl>
    <w:lvl w:ilvl="6" w:tplc="8034E164">
      <w:start w:val="1"/>
      <w:numFmt w:val="decimal"/>
      <w:lvlText w:val="%7."/>
      <w:lvlJc w:val="left"/>
      <w:pPr>
        <w:ind w:left="5040" w:hanging="360"/>
      </w:pPr>
    </w:lvl>
    <w:lvl w:ilvl="7" w:tplc="794E4178">
      <w:start w:val="1"/>
      <w:numFmt w:val="lowerLetter"/>
      <w:lvlText w:val="%8."/>
      <w:lvlJc w:val="left"/>
      <w:pPr>
        <w:ind w:left="5760" w:hanging="360"/>
      </w:pPr>
    </w:lvl>
    <w:lvl w:ilvl="8" w:tplc="17C43ABC">
      <w:start w:val="1"/>
      <w:numFmt w:val="lowerRoman"/>
      <w:lvlText w:val="%9."/>
      <w:lvlJc w:val="right"/>
      <w:pPr>
        <w:ind w:left="6480" w:hanging="180"/>
      </w:pPr>
    </w:lvl>
  </w:abstractNum>
  <w:abstractNum w:abstractNumId="47" w15:restartNumberingAfterBreak="0">
    <w:nsid w:val="696F1A2B"/>
    <w:multiLevelType w:val="multilevel"/>
    <w:tmpl w:val="04E895F2"/>
    <w:lvl w:ilvl="0">
      <w:start w:val="13"/>
      <w:numFmt w:val="upperRoman"/>
      <w:lvlText w:val="%1."/>
      <w:lvlJc w:val="left"/>
      <w:pPr>
        <w:ind w:left="0" w:firstLine="0"/>
      </w:pPr>
      <w:rPr>
        <w:rFonts w:hint="default"/>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697C77C4"/>
    <w:multiLevelType w:val="hybridMultilevel"/>
    <w:tmpl w:val="D1068D7A"/>
    <w:lvl w:ilvl="0" w:tplc="FAD455A6">
      <w:start w:val="1"/>
      <w:numFmt w:val="decimal"/>
      <w:lvlText w:val="%1."/>
      <w:lvlJc w:val="left"/>
      <w:pPr>
        <w:ind w:left="720" w:hanging="360"/>
      </w:pPr>
    </w:lvl>
    <w:lvl w:ilvl="1" w:tplc="1FFC4C76">
      <w:start w:val="1"/>
      <w:numFmt w:val="lowerLetter"/>
      <w:lvlText w:val="%2."/>
      <w:lvlJc w:val="left"/>
      <w:pPr>
        <w:ind w:left="1440" w:hanging="360"/>
      </w:pPr>
    </w:lvl>
    <w:lvl w:ilvl="2" w:tplc="C8E0F252">
      <w:start w:val="1"/>
      <w:numFmt w:val="lowerRoman"/>
      <w:lvlText w:val="%3."/>
      <w:lvlJc w:val="left"/>
      <w:pPr>
        <w:ind w:left="2160" w:hanging="180"/>
      </w:pPr>
    </w:lvl>
    <w:lvl w:ilvl="3" w:tplc="F876618C">
      <w:start w:val="1"/>
      <w:numFmt w:val="decimal"/>
      <w:lvlText w:val="%4."/>
      <w:lvlJc w:val="left"/>
      <w:pPr>
        <w:ind w:left="2880" w:hanging="360"/>
      </w:pPr>
    </w:lvl>
    <w:lvl w:ilvl="4" w:tplc="A0BE42BC">
      <w:start w:val="1"/>
      <w:numFmt w:val="lowerLetter"/>
      <w:lvlText w:val="%5."/>
      <w:lvlJc w:val="left"/>
      <w:pPr>
        <w:ind w:left="3600" w:hanging="360"/>
      </w:pPr>
    </w:lvl>
    <w:lvl w:ilvl="5" w:tplc="AC606DF6">
      <w:start w:val="1"/>
      <w:numFmt w:val="lowerRoman"/>
      <w:lvlText w:val="%6."/>
      <w:lvlJc w:val="right"/>
      <w:pPr>
        <w:ind w:left="4320" w:hanging="180"/>
      </w:pPr>
    </w:lvl>
    <w:lvl w:ilvl="6" w:tplc="13CE282C">
      <w:start w:val="1"/>
      <w:numFmt w:val="decimal"/>
      <w:lvlText w:val="%7."/>
      <w:lvlJc w:val="left"/>
      <w:pPr>
        <w:ind w:left="5040" w:hanging="360"/>
      </w:pPr>
    </w:lvl>
    <w:lvl w:ilvl="7" w:tplc="7310894E">
      <w:start w:val="1"/>
      <w:numFmt w:val="lowerLetter"/>
      <w:lvlText w:val="%8."/>
      <w:lvlJc w:val="left"/>
      <w:pPr>
        <w:ind w:left="5760" w:hanging="360"/>
      </w:pPr>
    </w:lvl>
    <w:lvl w:ilvl="8" w:tplc="0DD4EC62">
      <w:start w:val="1"/>
      <w:numFmt w:val="lowerRoman"/>
      <w:lvlText w:val="%9."/>
      <w:lvlJc w:val="right"/>
      <w:pPr>
        <w:ind w:left="6480" w:hanging="180"/>
      </w:pPr>
    </w:lvl>
  </w:abstractNum>
  <w:abstractNum w:abstractNumId="49" w15:restartNumberingAfterBreak="0">
    <w:nsid w:val="6B334BBC"/>
    <w:multiLevelType w:val="hybridMultilevel"/>
    <w:tmpl w:val="85E6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920863"/>
    <w:multiLevelType w:val="hybridMultilevel"/>
    <w:tmpl w:val="FFFFFFFF"/>
    <w:lvl w:ilvl="0" w:tplc="FFFFFFFF">
      <w:start w:val="1"/>
      <w:numFmt w:val="decimal"/>
      <w:lvlText w:val="%1."/>
      <w:lvlJc w:val="left"/>
      <w:pPr>
        <w:ind w:left="720" w:hanging="360"/>
      </w:pPr>
    </w:lvl>
    <w:lvl w:ilvl="1" w:tplc="4E52357E">
      <w:start w:val="1"/>
      <w:numFmt w:val="lowerLetter"/>
      <w:lvlText w:val="%2."/>
      <w:lvlJc w:val="left"/>
      <w:pPr>
        <w:ind w:left="1440" w:hanging="360"/>
      </w:pPr>
    </w:lvl>
    <w:lvl w:ilvl="2" w:tplc="9EF0E274">
      <w:start w:val="1"/>
      <w:numFmt w:val="lowerRoman"/>
      <w:lvlText w:val="%3."/>
      <w:lvlJc w:val="right"/>
      <w:pPr>
        <w:ind w:left="2160" w:hanging="180"/>
      </w:pPr>
    </w:lvl>
    <w:lvl w:ilvl="3" w:tplc="3708A660">
      <w:start w:val="1"/>
      <w:numFmt w:val="decimal"/>
      <w:lvlText w:val="%4."/>
      <w:lvlJc w:val="left"/>
      <w:pPr>
        <w:ind w:left="2880" w:hanging="360"/>
      </w:pPr>
    </w:lvl>
    <w:lvl w:ilvl="4" w:tplc="20B4F49E">
      <w:start w:val="1"/>
      <w:numFmt w:val="lowerLetter"/>
      <w:lvlText w:val="%5."/>
      <w:lvlJc w:val="left"/>
      <w:pPr>
        <w:ind w:left="3600" w:hanging="360"/>
      </w:pPr>
    </w:lvl>
    <w:lvl w:ilvl="5" w:tplc="FC5AA2DC">
      <w:start w:val="1"/>
      <w:numFmt w:val="lowerRoman"/>
      <w:lvlText w:val="%6."/>
      <w:lvlJc w:val="right"/>
      <w:pPr>
        <w:ind w:left="4320" w:hanging="180"/>
      </w:pPr>
    </w:lvl>
    <w:lvl w:ilvl="6" w:tplc="7D000D16">
      <w:start w:val="1"/>
      <w:numFmt w:val="decimal"/>
      <w:lvlText w:val="%7."/>
      <w:lvlJc w:val="left"/>
      <w:pPr>
        <w:ind w:left="5040" w:hanging="360"/>
      </w:pPr>
    </w:lvl>
    <w:lvl w:ilvl="7" w:tplc="52F02856">
      <w:start w:val="1"/>
      <w:numFmt w:val="lowerLetter"/>
      <w:lvlText w:val="%8."/>
      <w:lvlJc w:val="left"/>
      <w:pPr>
        <w:ind w:left="5760" w:hanging="360"/>
      </w:pPr>
    </w:lvl>
    <w:lvl w:ilvl="8" w:tplc="EFB82FB4">
      <w:start w:val="1"/>
      <w:numFmt w:val="lowerRoman"/>
      <w:lvlText w:val="%9."/>
      <w:lvlJc w:val="right"/>
      <w:pPr>
        <w:ind w:left="6480" w:hanging="180"/>
      </w:pPr>
    </w:lvl>
  </w:abstractNum>
  <w:abstractNum w:abstractNumId="51" w15:restartNumberingAfterBreak="0">
    <w:nsid w:val="70DB4A5A"/>
    <w:multiLevelType w:val="hybridMultilevel"/>
    <w:tmpl w:val="46BAB096"/>
    <w:lvl w:ilvl="0" w:tplc="1B3641BA">
      <w:start w:val="1"/>
      <w:numFmt w:val="decimal"/>
      <w:lvlText w:val="%1."/>
      <w:lvlJc w:val="left"/>
      <w:pPr>
        <w:ind w:left="720" w:hanging="360"/>
      </w:pPr>
    </w:lvl>
    <w:lvl w:ilvl="1" w:tplc="EECCA56C">
      <w:start w:val="1"/>
      <w:numFmt w:val="lowerLetter"/>
      <w:lvlText w:val="%2."/>
      <w:lvlJc w:val="left"/>
      <w:pPr>
        <w:ind w:left="1440" w:hanging="360"/>
      </w:pPr>
    </w:lvl>
    <w:lvl w:ilvl="2" w:tplc="B89CC738">
      <w:start w:val="1"/>
      <w:numFmt w:val="lowerRoman"/>
      <w:lvlText w:val="%3."/>
      <w:lvlJc w:val="right"/>
      <w:pPr>
        <w:ind w:left="2160" w:hanging="180"/>
      </w:pPr>
    </w:lvl>
    <w:lvl w:ilvl="3" w:tplc="4B5454B8">
      <w:start w:val="1"/>
      <w:numFmt w:val="decimal"/>
      <w:lvlText w:val="%4."/>
      <w:lvlJc w:val="left"/>
      <w:pPr>
        <w:ind w:left="2880" w:hanging="360"/>
      </w:pPr>
    </w:lvl>
    <w:lvl w:ilvl="4" w:tplc="9AB0DC7A">
      <w:start w:val="1"/>
      <w:numFmt w:val="lowerLetter"/>
      <w:lvlText w:val="%5."/>
      <w:lvlJc w:val="left"/>
      <w:pPr>
        <w:ind w:left="3600" w:hanging="360"/>
      </w:pPr>
    </w:lvl>
    <w:lvl w:ilvl="5" w:tplc="F71C712E">
      <w:start w:val="1"/>
      <w:numFmt w:val="lowerRoman"/>
      <w:lvlText w:val="%6."/>
      <w:lvlJc w:val="right"/>
      <w:pPr>
        <w:ind w:left="4320" w:hanging="180"/>
      </w:pPr>
    </w:lvl>
    <w:lvl w:ilvl="6" w:tplc="92347222">
      <w:start w:val="1"/>
      <w:numFmt w:val="decimal"/>
      <w:lvlText w:val="%7."/>
      <w:lvlJc w:val="left"/>
      <w:pPr>
        <w:ind w:left="5040" w:hanging="360"/>
      </w:pPr>
    </w:lvl>
    <w:lvl w:ilvl="7" w:tplc="007260DA">
      <w:start w:val="1"/>
      <w:numFmt w:val="lowerLetter"/>
      <w:lvlText w:val="%8."/>
      <w:lvlJc w:val="left"/>
      <w:pPr>
        <w:ind w:left="5760" w:hanging="360"/>
      </w:pPr>
    </w:lvl>
    <w:lvl w:ilvl="8" w:tplc="149C0E36">
      <w:start w:val="1"/>
      <w:numFmt w:val="lowerRoman"/>
      <w:lvlText w:val="%9."/>
      <w:lvlJc w:val="right"/>
      <w:pPr>
        <w:ind w:left="6480" w:hanging="180"/>
      </w:pPr>
    </w:lvl>
  </w:abstractNum>
  <w:abstractNum w:abstractNumId="52" w15:restartNumberingAfterBreak="0">
    <w:nsid w:val="765B5BA7"/>
    <w:multiLevelType w:val="multilevel"/>
    <w:tmpl w:val="4B58E7AC"/>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0"/>
  </w:num>
  <w:num w:numId="2">
    <w:abstractNumId w:val="11"/>
  </w:num>
  <w:num w:numId="3">
    <w:abstractNumId w:val="22"/>
  </w:num>
  <w:num w:numId="4">
    <w:abstractNumId w:val="0"/>
  </w:num>
  <w:num w:numId="5">
    <w:abstractNumId w:val="41"/>
  </w:num>
  <w:num w:numId="6">
    <w:abstractNumId w:val="28"/>
  </w:num>
  <w:num w:numId="7">
    <w:abstractNumId w:val="5"/>
  </w:num>
  <w:num w:numId="8">
    <w:abstractNumId w:val="14"/>
  </w:num>
  <w:num w:numId="9">
    <w:abstractNumId w:val="17"/>
  </w:num>
  <w:num w:numId="10">
    <w:abstractNumId w:val="1"/>
  </w:num>
  <w:num w:numId="11">
    <w:abstractNumId w:val="2"/>
  </w:num>
  <w:num w:numId="12">
    <w:abstractNumId w:val="3"/>
  </w:num>
  <w:num w:numId="13">
    <w:abstractNumId w:val="7"/>
  </w:num>
  <w:num w:numId="14">
    <w:abstractNumId w:val="29"/>
  </w:num>
  <w:num w:numId="15">
    <w:abstractNumId w:val="44"/>
  </w:num>
  <w:num w:numId="16">
    <w:abstractNumId w:val="10"/>
  </w:num>
  <w:num w:numId="17">
    <w:abstractNumId w:val="8"/>
  </w:num>
  <w:num w:numId="18">
    <w:abstractNumId w:val="42"/>
  </w:num>
  <w:num w:numId="19">
    <w:abstractNumId w:val="19"/>
  </w:num>
  <w:num w:numId="20">
    <w:abstractNumId w:val="30"/>
  </w:num>
  <w:num w:numId="21">
    <w:abstractNumId w:val="33"/>
  </w:num>
  <w:num w:numId="22">
    <w:abstractNumId w:val="47"/>
  </w:num>
  <w:num w:numId="23">
    <w:abstractNumId w:val="13"/>
  </w:num>
  <w:num w:numId="24">
    <w:abstractNumId w:val="45"/>
  </w:num>
  <w:num w:numId="25">
    <w:abstractNumId w:val="50"/>
  </w:num>
  <w:num w:numId="26">
    <w:abstractNumId w:val="4"/>
  </w:num>
  <w:num w:numId="27">
    <w:abstractNumId w:val="21"/>
  </w:num>
  <w:num w:numId="28">
    <w:abstractNumId w:val="52"/>
  </w:num>
  <w:num w:numId="29">
    <w:abstractNumId w:val="34"/>
  </w:num>
  <w:num w:numId="30">
    <w:abstractNumId w:val="24"/>
  </w:num>
  <w:num w:numId="31">
    <w:abstractNumId w:val="35"/>
  </w:num>
  <w:num w:numId="32">
    <w:abstractNumId w:val="20"/>
  </w:num>
  <w:num w:numId="33">
    <w:abstractNumId w:val="49"/>
  </w:num>
  <w:num w:numId="34">
    <w:abstractNumId w:val="36"/>
  </w:num>
  <w:num w:numId="35">
    <w:abstractNumId w:val="43"/>
  </w:num>
  <w:num w:numId="36">
    <w:abstractNumId w:val="32"/>
  </w:num>
  <w:num w:numId="37">
    <w:abstractNumId w:val="39"/>
  </w:num>
  <w:num w:numId="38">
    <w:abstractNumId w:val="31"/>
  </w:num>
  <w:num w:numId="39">
    <w:abstractNumId w:val="51"/>
  </w:num>
  <w:num w:numId="40">
    <w:abstractNumId w:val="25"/>
  </w:num>
  <w:num w:numId="41">
    <w:abstractNumId w:val="48"/>
  </w:num>
  <w:num w:numId="42">
    <w:abstractNumId w:val="16"/>
  </w:num>
  <w:num w:numId="43">
    <w:abstractNumId w:val="23"/>
  </w:num>
  <w:num w:numId="44">
    <w:abstractNumId w:val="9"/>
  </w:num>
  <w:num w:numId="45">
    <w:abstractNumId w:val="18"/>
  </w:num>
  <w:num w:numId="46">
    <w:abstractNumId w:val="15"/>
  </w:num>
  <w:num w:numId="47">
    <w:abstractNumId w:val="37"/>
  </w:num>
  <w:num w:numId="48">
    <w:abstractNumId w:val="12"/>
  </w:num>
  <w:num w:numId="49">
    <w:abstractNumId w:val="27"/>
  </w:num>
  <w:num w:numId="50">
    <w:abstractNumId w:val="6"/>
  </w:num>
  <w:num w:numId="51">
    <w:abstractNumId w:val="26"/>
  </w:num>
  <w:num w:numId="52">
    <w:abstractNumId w:val="46"/>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64" w:dllVersion="0" w:nlCheck="1" w:checkStyle="0" w:appName="MSWord"/>
  <w:activeWritingStyle w:lang="en-US" w:vendorID="64" w:dllVersion="6" w:nlCheck="1" w:checkStyle="1" w:appName="MSWord"/>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2E"/>
    <w:rsid w:val="00000AA9"/>
    <w:rsid w:val="00000F6A"/>
    <w:rsid w:val="0000164B"/>
    <w:rsid w:val="00001C14"/>
    <w:rsid w:val="000024ED"/>
    <w:rsid w:val="00002D81"/>
    <w:rsid w:val="000038E0"/>
    <w:rsid w:val="00004C2E"/>
    <w:rsid w:val="000063BD"/>
    <w:rsid w:val="00006FA4"/>
    <w:rsid w:val="00010617"/>
    <w:rsid w:val="000113A4"/>
    <w:rsid w:val="00011BA3"/>
    <w:rsid w:val="0001278D"/>
    <w:rsid w:val="00012F78"/>
    <w:rsid w:val="000204CD"/>
    <w:rsid w:val="000206EB"/>
    <w:rsid w:val="000218E4"/>
    <w:rsid w:val="00022191"/>
    <w:rsid w:val="00023143"/>
    <w:rsid w:val="0002357A"/>
    <w:rsid w:val="0002418A"/>
    <w:rsid w:val="00024369"/>
    <w:rsid w:val="0002597C"/>
    <w:rsid w:val="000259BD"/>
    <w:rsid w:val="00027543"/>
    <w:rsid w:val="00027865"/>
    <w:rsid w:val="000303E0"/>
    <w:rsid w:val="00030886"/>
    <w:rsid w:val="000308DB"/>
    <w:rsid w:val="00030F71"/>
    <w:rsid w:val="00031298"/>
    <w:rsid w:val="000320CF"/>
    <w:rsid w:val="00032382"/>
    <w:rsid w:val="000327CD"/>
    <w:rsid w:val="00032870"/>
    <w:rsid w:val="00033640"/>
    <w:rsid w:val="0003405D"/>
    <w:rsid w:val="000347BA"/>
    <w:rsid w:val="00034DBB"/>
    <w:rsid w:val="00034E6B"/>
    <w:rsid w:val="00035C83"/>
    <w:rsid w:val="00035F0F"/>
    <w:rsid w:val="00036019"/>
    <w:rsid w:val="000403BF"/>
    <w:rsid w:val="00041682"/>
    <w:rsid w:val="00041A46"/>
    <w:rsid w:val="00041F95"/>
    <w:rsid w:val="00042000"/>
    <w:rsid w:val="000435D0"/>
    <w:rsid w:val="0004392F"/>
    <w:rsid w:val="00043A3D"/>
    <w:rsid w:val="0004458A"/>
    <w:rsid w:val="00044869"/>
    <w:rsid w:val="00044FC6"/>
    <w:rsid w:val="00046C93"/>
    <w:rsid w:val="00047657"/>
    <w:rsid w:val="00047770"/>
    <w:rsid w:val="00050DA8"/>
    <w:rsid w:val="00051563"/>
    <w:rsid w:val="00052175"/>
    <w:rsid w:val="00052714"/>
    <w:rsid w:val="000530A8"/>
    <w:rsid w:val="00053E12"/>
    <w:rsid w:val="00054072"/>
    <w:rsid w:val="00054ADE"/>
    <w:rsid w:val="000557E4"/>
    <w:rsid w:val="00056BBC"/>
    <w:rsid w:val="000602C7"/>
    <w:rsid w:val="00060D63"/>
    <w:rsid w:val="00060F20"/>
    <w:rsid w:val="00061984"/>
    <w:rsid w:val="00062B18"/>
    <w:rsid w:val="0006347D"/>
    <w:rsid w:val="00063636"/>
    <w:rsid w:val="000636B6"/>
    <w:rsid w:val="00063981"/>
    <w:rsid w:val="0006421A"/>
    <w:rsid w:val="00064243"/>
    <w:rsid w:val="00064ECF"/>
    <w:rsid w:val="00066168"/>
    <w:rsid w:val="00066285"/>
    <w:rsid w:val="000674AA"/>
    <w:rsid w:val="00067A7E"/>
    <w:rsid w:val="00067A96"/>
    <w:rsid w:val="00067FE3"/>
    <w:rsid w:val="0007040E"/>
    <w:rsid w:val="00070808"/>
    <w:rsid w:val="0007115A"/>
    <w:rsid w:val="000714A5"/>
    <w:rsid w:val="0007181A"/>
    <w:rsid w:val="000732F4"/>
    <w:rsid w:val="000734D4"/>
    <w:rsid w:val="000735CB"/>
    <w:rsid w:val="00073895"/>
    <w:rsid w:val="0007537F"/>
    <w:rsid w:val="0007641F"/>
    <w:rsid w:val="00077154"/>
    <w:rsid w:val="000800AB"/>
    <w:rsid w:val="00080293"/>
    <w:rsid w:val="0008086F"/>
    <w:rsid w:val="00080927"/>
    <w:rsid w:val="00080A9F"/>
    <w:rsid w:val="00080EDB"/>
    <w:rsid w:val="0008130E"/>
    <w:rsid w:val="0008155E"/>
    <w:rsid w:val="0008194A"/>
    <w:rsid w:val="000822B5"/>
    <w:rsid w:val="0008300E"/>
    <w:rsid w:val="000832CB"/>
    <w:rsid w:val="00083855"/>
    <w:rsid w:val="000846D1"/>
    <w:rsid w:val="000857B7"/>
    <w:rsid w:val="0008599D"/>
    <w:rsid w:val="00085A06"/>
    <w:rsid w:val="00086152"/>
    <w:rsid w:val="00086A6F"/>
    <w:rsid w:val="00086C72"/>
    <w:rsid w:val="00086EB2"/>
    <w:rsid w:val="00087607"/>
    <w:rsid w:val="000902AA"/>
    <w:rsid w:val="00090EFC"/>
    <w:rsid w:val="000911CE"/>
    <w:rsid w:val="000917F0"/>
    <w:rsid w:val="00092B04"/>
    <w:rsid w:val="00094229"/>
    <w:rsid w:val="00094E1C"/>
    <w:rsid w:val="0009557F"/>
    <w:rsid w:val="000966B3"/>
    <w:rsid w:val="000973C8"/>
    <w:rsid w:val="000A1865"/>
    <w:rsid w:val="000A2A8B"/>
    <w:rsid w:val="000A2AA9"/>
    <w:rsid w:val="000A2F37"/>
    <w:rsid w:val="000A3CEB"/>
    <w:rsid w:val="000A4105"/>
    <w:rsid w:val="000A4EFF"/>
    <w:rsid w:val="000A56F2"/>
    <w:rsid w:val="000A6296"/>
    <w:rsid w:val="000A6BBC"/>
    <w:rsid w:val="000A6E05"/>
    <w:rsid w:val="000A7BBD"/>
    <w:rsid w:val="000B0FB4"/>
    <w:rsid w:val="000B12FA"/>
    <w:rsid w:val="000B2EF0"/>
    <w:rsid w:val="000B6544"/>
    <w:rsid w:val="000B6F60"/>
    <w:rsid w:val="000C08BF"/>
    <w:rsid w:val="000C0A35"/>
    <w:rsid w:val="000C0E42"/>
    <w:rsid w:val="000C1646"/>
    <w:rsid w:val="000C206E"/>
    <w:rsid w:val="000C2F9F"/>
    <w:rsid w:val="000C32B1"/>
    <w:rsid w:val="000C3B9A"/>
    <w:rsid w:val="000C491C"/>
    <w:rsid w:val="000C4B06"/>
    <w:rsid w:val="000C4C1B"/>
    <w:rsid w:val="000C5C0C"/>
    <w:rsid w:val="000C61A0"/>
    <w:rsid w:val="000C63A6"/>
    <w:rsid w:val="000C6879"/>
    <w:rsid w:val="000C75AA"/>
    <w:rsid w:val="000CDE42"/>
    <w:rsid w:val="000D0E00"/>
    <w:rsid w:val="000D1B0D"/>
    <w:rsid w:val="000D1E79"/>
    <w:rsid w:val="000D25A8"/>
    <w:rsid w:val="000D3409"/>
    <w:rsid w:val="000D34E9"/>
    <w:rsid w:val="000D355F"/>
    <w:rsid w:val="000D364F"/>
    <w:rsid w:val="000D36BD"/>
    <w:rsid w:val="000D4828"/>
    <w:rsid w:val="000D5DFD"/>
    <w:rsid w:val="000D66A7"/>
    <w:rsid w:val="000D6ADF"/>
    <w:rsid w:val="000D7415"/>
    <w:rsid w:val="000E0685"/>
    <w:rsid w:val="000E1A0C"/>
    <w:rsid w:val="000E23B8"/>
    <w:rsid w:val="000E270A"/>
    <w:rsid w:val="000E2B63"/>
    <w:rsid w:val="000E35B1"/>
    <w:rsid w:val="000E3819"/>
    <w:rsid w:val="000E3ECC"/>
    <w:rsid w:val="000E4C53"/>
    <w:rsid w:val="000E7CC0"/>
    <w:rsid w:val="000F0DB4"/>
    <w:rsid w:val="000F1C9C"/>
    <w:rsid w:val="000F20DF"/>
    <w:rsid w:val="000F3DC3"/>
    <w:rsid w:val="000F5ECC"/>
    <w:rsid w:val="000F6E7C"/>
    <w:rsid w:val="000F6EB2"/>
    <w:rsid w:val="000F7020"/>
    <w:rsid w:val="001002C5"/>
    <w:rsid w:val="00100D36"/>
    <w:rsid w:val="001011E4"/>
    <w:rsid w:val="001018D5"/>
    <w:rsid w:val="00102A38"/>
    <w:rsid w:val="00104A71"/>
    <w:rsid w:val="001055D8"/>
    <w:rsid w:val="0010586D"/>
    <w:rsid w:val="00105D70"/>
    <w:rsid w:val="00106E02"/>
    <w:rsid w:val="00107BA9"/>
    <w:rsid w:val="00107FAE"/>
    <w:rsid w:val="00110B7F"/>
    <w:rsid w:val="00111A4C"/>
    <w:rsid w:val="00111EAF"/>
    <w:rsid w:val="00113581"/>
    <w:rsid w:val="001144BD"/>
    <w:rsid w:val="00116166"/>
    <w:rsid w:val="00117196"/>
    <w:rsid w:val="001171DE"/>
    <w:rsid w:val="0011746B"/>
    <w:rsid w:val="00117504"/>
    <w:rsid w:val="00117FF4"/>
    <w:rsid w:val="0011D0DF"/>
    <w:rsid w:val="0012052D"/>
    <w:rsid w:val="00120BF1"/>
    <w:rsid w:val="00121089"/>
    <w:rsid w:val="00123538"/>
    <w:rsid w:val="001243BE"/>
    <w:rsid w:val="00124ED3"/>
    <w:rsid w:val="001255FB"/>
    <w:rsid w:val="00125C9D"/>
    <w:rsid w:val="00127E61"/>
    <w:rsid w:val="00130407"/>
    <w:rsid w:val="00130692"/>
    <w:rsid w:val="001307E4"/>
    <w:rsid w:val="00131546"/>
    <w:rsid w:val="00131AA4"/>
    <w:rsid w:val="00131D07"/>
    <w:rsid w:val="00131EB6"/>
    <w:rsid w:val="00131EBA"/>
    <w:rsid w:val="00132057"/>
    <w:rsid w:val="0013251B"/>
    <w:rsid w:val="00132999"/>
    <w:rsid w:val="00134BEB"/>
    <w:rsid w:val="00135E55"/>
    <w:rsid w:val="00136089"/>
    <w:rsid w:val="00136EF9"/>
    <w:rsid w:val="001376C6"/>
    <w:rsid w:val="00137798"/>
    <w:rsid w:val="00137F86"/>
    <w:rsid w:val="0014159C"/>
    <w:rsid w:val="00141CC6"/>
    <w:rsid w:val="00142A66"/>
    <w:rsid w:val="00142CBA"/>
    <w:rsid w:val="001431DA"/>
    <w:rsid w:val="00143B1B"/>
    <w:rsid w:val="0014446E"/>
    <w:rsid w:val="00144491"/>
    <w:rsid w:val="00145549"/>
    <w:rsid w:val="00145F5E"/>
    <w:rsid w:val="00146CF7"/>
    <w:rsid w:val="0014707F"/>
    <w:rsid w:val="0014781B"/>
    <w:rsid w:val="00147E84"/>
    <w:rsid w:val="00150C4D"/>
    <w:rsid w:val="00150F9E"/>
    <w:rsid w:val="00151725"/>
    <w:rsid w:val="00151765"/>
    <w:rsid w:val="00151D7C"/>
    <w:rsid w:val="00152290"/>
    <w:rsid w:val="00153C60"/>
    <w:rsid w:val="00153CC7"/>
    <w:rsid w:val="0015451B"/>
    <w:rsid w:val="001547BE"/>
    <w:rsid w:val="00154C61"/>
    <w:rsid w:val="00155B78"/>
    <w:rsid w:val="001561A8"/>
    <w:rsid w:val="0015629F"/>
    <w:rsid w:val="00157267"/>
    <w:rsid w:val="00160462"/>
    <w:rsid w:val="00160E11"/>
    <w:rsid w:val="001620EF"/>
    <w:rsid w:val="001628BE"/>
    <w:rsid w:val="00162B73"/>
    <w:rsid w:val="001632E9"/>
    <w:rsid w:val="00163636"/>
    <w:rsid w:val="00164054"/>
    <w:rsid w:val="00164909"/>
    <w:rsid w:val="00165708"/>
    <w:rsid w:val="0016573E"/>
    <w:rsid w:val="00166E76"/>
    <w:rsid w:val="001671A9"/>
    <w:rsid w:val="00167FED"/>
    <w:rsid w:val="001700AA"/>
    <w:rsid w:val="001700F3"/>
    <w:rsid w:val="0017106D"/>
    <w:rsid w:val="001713A1"/>
    <w:rsid w:val="001718B9"/>
    <w:rsid w:val="001719FF"/>
    <w:rsid w:val="00171C8A"/>
    <w:rsid w:val="00173815"/>
    <w:rsid w:val="00173B5F"/>
    <w:rsid w:val="00174474"/>
    <w:rsid w:val="001750C7"/>
    <w:rsid w:val="00176725"/>
    <w:rsid w:val="00176BFA"/>
    <w:rsid w:val="0017768A"/>
    <w:rsid w:val="00177A8B"/>
    <w:rsid w:val="00177A91"/>
    <w:rsid w:val="00177AC9"/>
    <w:rsid w:val="00180824"/>
    <w:rsid w:val="00181107"/>
    <w:rsid w:val="00181657"/>
    <w:rsid w:val="00181CDC"/>
    <w:rsid w:val="0018265E"/>
    <w:rsid w:val="00183127"/>
    <w:rsid w:val="001833CD"/>
    <w:rsid w:val="00183BAD"/>
    <w:rsid w:val="00183BD6"/>
    <w:rsid w:val="00185236"/>
    <w:rsid w:val="001854C3"/>
    <w:rsid w:val="00186114"/>
    <w:rsid w:val="001878BC"/>
    <w:rsid w:val="00187C91"/>
    <w:rsid w:val="001900E6"/>
    <w:rsid w:val="0019169D"/>
    <w:rsid w:val="00192021"/>
    <w:rsid w:val="0019204B"/>
    <w:rsid w:val="00192102"/>
    <w:rsid w:val="0019247A"/>
    <w:rsid w:val="00194089"/>
    <w:rsid w:val="0019446E"/>
    <w:rsid w:val="00194731"/>
    <w:rsid w:val="001955BB"/>
    <w:rsid w:val="00195F27"/>
    <w:rsid w:val="0019655F"/>
    <w:rsid w:val="0019675F"/>
    <w:rsid w:val="00196DE4"/>
    <w:rsid w:val="001971B0"/>
    <w:rsid w:val="00197421"/>
    <w:rsid w:val="00197BAE"/>
    <w:rsid w:val="00197E8C"/>
    <w:rsid w:val="001A064D"/>
    <w:rsid w:val="001A07F6"/>
    <w:rsid w:val="001A146C"/>
    <w:rsid w:val="001A1B75"/>
    <w:rsid w:val="001A225E"/>
    <w:rsid w:val="001A4F00"/>
    <w:rsid w:val="001A55C2"/>
    <w:rsid w:val="001A56B8"/>
    <w:rsid w:val="001A5D42"/>
    <w:rsid w:val="001A5EC8"/>
    <w:rsid w:val="001A65BC"/>
    <w:rsid w:val="001A6D11"/>
    <w:rsid w:val="001A6DF8"/>
    <w:rsid w:val="001A7956"/>
    <w:rsid w:val="001B0069"/>
    <w:rsid w:val="001B052C"/>
    <w:rsid w:val="001B0CE5"/>
    <w:rsid w:val="001B2EF5"/>
    <w:rsid w:val="001B305F"/>
    <w:rsid w:val="001B3E34"/>
    <w:rsid w:val="001B44A0"/>
    <w:rsid w:val="001B4ADD"/>
    <w:rsid w:val="001B4D41"/>
    <w:rsid w:val="001B5C03"/>
    <w:rsid w:val="001B5C41"/>
    <w:rsid w:val="001B5C8E"/>
    <w:rsid w:val="001B7321"/>
    <w:rsid w:val="001B75AF"/>
    <w:rsid w:val="001B7B31"/>
    <w:rsid w:val="001B84A9"/>
    <w:rsid w:val="001C0722"/>
    <w:rsid w:val="001C1029"/>
    <w:rsid w:val="001C2741"/>
    <w:rsid w:val="001C363F"/>
    <w:rsid w:val="001C384A"/>
    <w:rsid w:val="001C3F23"/>
    <w:rsid w:val="001C4D07"/>
    <w:rsid w:val="001C57FD"/>
    <w:rsid w:val="001C5B3D"/>
    <w:rsid w:val="001C7556"/>
    <w:rsid w:val="001D0084"/>
    <w:rsid w:val="001D011C"/>
    <w:rsid w:val="001D022B"/>
    <w:rsid w:val="001D0791"/>
    <w:rsid w:val="001D1DF6"/>
    <w:rsid w:val="001D1FD7"/>
    <w:rsid w:val="001D2737"/>
    <w:rsid w:val="001D3ED3"/>
    <w:rsid w:val="001D4460"/>
    <w:rsid w:val="001D5766"/>
    <w:rsid w:val="001D5E1C"/>
    <w:rsid w:val="001D6C94"/>
    <w:rsid w:val="001D76D3"/>
    <w:rsid w:val="001D7FEA"/>
    <w:rsid w:val="001D915B"/>
    <w:rsid w:val="001E01DA"/>
    <w:rsid w:val="001E05D9"/>
    <w:rsid w:val="001E06BF"/>
    <w:rsid w:val="001E0B0C"/>
    <w:rsid w:val="001E19CC"/>
    <w:rsid w:val="001E2A62"/>
    <w:rsid w:val="001E2DA8"/>
    <w:rsid w:val="001E2F2E"/>
    <w:rsid w:val="001E36D5"/>
    <w:rsid w:val="001E3B28"/>
    <w:rsid w:val="001E4321"/>
    <w:rsid w:val="001E47DB"/>
    <w:rsid w:val="001E7173"/>
    <w:rsid w:val="001E7B29"/>
    <w:rsid w:val="001F140B"/>
    <w:rsid w:val="001F1D43"/>
    <w:rsid w:val="001F229D"/>
    <w:rsid w:val="001F2819"/>
    <w:rsid w:val="001F2AB4"/>
    <w:rsid w:val="001F4D99"/>
    <w:rsid w:val="001F4F13"/>
    <w:rsid w:val="001F5268"/>
    <w:rsid w:val="001F543C"/>
    <w:rsid w:val="001F5736"/>
    <w:rsid w:val="001F5F59"/>
    <w:rsid w:val="001F60DB"/>
    <w:rsid w:val="001F6139"/>
    <w:rsid w:val="001F6253"/>
    <w:rsid w:val="001F714F"/>
    <w:rsid w:val="001F7542"/>
    <w:rsid w:val="001F7EFE"/>
    <w:rsid w:val="00200404"/>
    <w:rsid w:val="0020050D"/>
    <w:rsid w:val="0020149D"/>
    <w:rsid w:val="002019FF"/>
    <w:rsid w:val="00202598"/>
    <w:rsid w:val="00202922"/>
    <w:rsid w:val="00202B6F"/>
    <w:rsid w:val="00203E38"/>
    <w:rsid w:val="002043EC"/>
    <w:rsid w:val="00204A27"/>
    <w:rsid w:val="00204CFC"/>
    <w:rsid w:val="00205024"/>
    <w:rsid w:val="00205214"/>
    <w:rsid w:val="0020525B"/>
    <w:rsid w:val="00205C77"/>
    <w:rsid w:val="002060CD"/>
    <w:rsid w:val="00206776"/>
    <w:rsid w:val="0020689A"/>
    <w:rsid w:val="002106A3"/>
    <w:rsid w:val="00210A6E"/>
    <w:rsid w:val="00213D6E"/>
    <w:rsid w:val="00214AC2"/>
    <w:rsid w:val="00214CDD"/>
    <w:rsid w:val="0021554F"/>
    <w:rsid w:val="0021575C"/>
    <w:rsid w:val="00215C25"/>
    <w:rsid w:val="00215D04"/>
    <w:rsid w:val="00216413"/>
    <w:rsid w:val="00216553"/>
    <w:rsid w:val="00216567"/>
    <w:rsid w:val="00217402"/>
    <w:rsid w:val="002177CD"/>
    <w:rsid w:val="002205FC"/>
    <w:rsid w:val="00220D7E"/>
    <w:rsid w:val="00221B4D"/>
    <w:rsid w:val="00222FE5"/>
    <w:rsid w:val="002232F9"/>
    <w:rsid w:val="002240B0"/>
    <w:rsid w:val="00224363"/>
    <w:rsid w:val="00225292"/>
    <w:rsid w:val="002258B4"/>
    <w:rsid w:val="00226A9D"/>
    <w:rsid w:val="002273CB"/>
    <w:rsid w:val="002274F3"/>
    <w:rsid w:val="00227BF8"/>
    <w:rsid w:val="00232EF6"/>
    <w:rsid w:val="00233B0C"/>
    <w:rsid w:val="00233CCA"/>
    <w:rsid w:val="00235F6F"/>
    <w:rsid w:val="00236F8E"/>
    <w:rsid w:val="00237850"/>
    <w:rsid w:val="002401E6"/>
    <w:rsid w:val="00240262"/>
    <w:rsid w:val="00241908"/>
    <w:rsid w:val="00242D82"/>
    <w:rsid w:val="00243DC0"/>
    <w:rsid w:val="0024455B"/>
    <w:rsid w:val="002459C3"/>
    <w:rsid w:val="0024718B"/>
    <w:rsid w:val="00247477"/>
    <w:rsid w:val="002479F2"/>
    <w:rsid w:val="00247B0E"/>
    <w:rsid w:val="002500EF"/>
    <w:rsid w:val="002512A2"/>
    <w:rsid w:val="002521A0"/>
    <w:rsid w:val="002521C0"/>
    <w:rsid w:val="002523D5"/>
    <w:rsid w:val="002541DF"/>
    <w:rsid w:val="0025429C"/>
    <w:rsid w:val="00254399"/>
    <w:rsid w:val="0025445B"/>
    <w:rsid w:val="00254D1A"/>
    <w:rsid w:val="00254D6E"/>
    <w:rsid w:val="002556BF"/>
    <w:rsid w:val="00256363"/>
    <w:rsid w:val="0025690A"/>
    <w:rsid w:val="0025BCD1"/>
    <w:rsid w:val="0025CB69"/>
    <w:rsid w:val="00260317"/>
    <w:rsid w:val="002614B5"/>
    <w:rsid w:val="00261AD7"/>
    <w:rsid w:val="002661FF"/>
    <w:rsid w:val="00266E5E"/>
    <w:rsid w:val="00267C6D"/>
    <w:rsid w:val="002702F8"/>
    <w:rsid w:val="00270440"/>
    <w:rsid w:val="002704C9"/>
    <w:rsid w:val="00270E7C"/>
    <w:rsid w:val="00271CEF"/>
    <w:rsid w:val="0027395F"/>
    <w:rsid w:val="00274167"/>
    <w:rsid w:val="00274304"/>
    <w:rsid w:val="002758EC"/>
    <w:rsid w:val="00275F24"/>
    <w:rsid w:val="00276418"/>
    <w:rsid w:val="00276BCE"/>
    <w:rsid w:val="002772B0"/>
    <w:rsid w:val="002777CC"/>
    <w:rsid w:val="00277A82"/>
    <w:rsid w:val="00280650"/>
    <w:rsid w:val="002806E7"/>
    <w:rsid w:val="00280BE6"/>
    <w:rsid w:val="00280F54"/>
    <w:rsid w:val="00281FD6"/>
    <w:rsid w:val="002828CC"/>
    <w:rsid w:val="00283B26"/>
    <w:rsid w:val="00284D60"/>
    <w:rsid w:val="0028515D"/>
    <w:rsid w:val="00285509"/>
    <w:rsid w:val="002861F3"/>
    <w:rsid w:val="0028643C"/>
    <w:rsid w:val="00286546"/>
    <w:rsid w:val="00286F7E"/>
    <w:rsid w:val="0028743C"/>
    <w:rsid w:val="00287AE3"/>
    <w:rsid w:val="00287BC5"/>
    <w:rsid w:val="00287EDF"/>
    <w:rsid w:val="002916AB"/>
    <w:rsid w:val="00291AAE"/>
    <w:rsid w:val="002933F4"/>
    <w:rsid w:val="0029360B"/>
    <w:rsid w:val="00293792"/>
    <w:rsid w:val="00293D51"/>
    <w:rsid w:val="00293DEA"/>
    <w:rsid w:val="00293DEE"/>
    <w:rsid w:val="002940AB"/>
    <w:rsid w:val="00294240"/>
    <w:rsid w:val="00294C49"/>
    <w:rsid w:val="00295779"/>
    <w:rsid w:val="002967D7"/>
    <w:rsid w:val="002969D1"/>
    <w:rsid w:val="00296B72"/>
    <w:rsid w:val="002976B3"/>
    <w:rsid w:val="00297A21"/>
    <w:rsid w:val="00297A4B"/>
    <w:rsid w:val="002A017D"/>
    <w:rsid w:val="002A0B5D"/>
    <w:rsid w:val="002A20A2"/>
    <w:rsid w:val="002A3AED"/>
    <w:rsid w:val="002A4323"/>
    <w:rsid w:val="002A50B2"/>
    <w:rsid w:val="002A63D0"/>
    <w:rsid w:val="002A7C3F"/>
    <w:rsid w:val="002A7ECA"/>
    <w:rsid w:val="002B0FA0"/>
    <w:rsid w:val="002B1F98"/>
    <w:rsid w:val="002B4AFF"/>
    <w:rsid w:val="002B4C03"/>
    <w:rsid w:val="002B511E"/>
    <w:rsid w:val="002B60CA"/>
    <w:rsid w:val="002B6BA4"/>
    <w:rsid w:val="002C139D"/>
    <w:rsid w:val="002C1B6E"/>
    <w:rsid w:val="002C272C"/>
    <w:rsid w:val="002C2C49"/>
    <w:rsid w:val="002C3E0F"/>
    <w:rsid w:val="002C60BA"/>
    <w:rsid w:val="002C6701"/>
    <w:rsid w:val="002C7D60"/>
    <w:rsid w:val="002C7FE9"/>
    <w:rsid w:val="002D0DC5"/>
    <w:rsid w:val="002D1654"/>
    <w:rsid w:val="002D17EE"/>
    <w:rsid w:val="002D1D55"/>
    <w:rsid w:val="002D3959"/>
    <w:rsid w:val="002D3C91"/>
    <w:rsid w:val="002D4103"/>
    <w:rsid w:val="002D4EFD"/>
    <w:rsid w:val="002D55D7"/>
    <w:rsid w:val="002D5844"/>
    <w:rsid w:val="002D67A1"/>
    <w:rsid w:val="002D7346"/>
    <w:rsid w:val="002D7484"/>
    <w:rsid w:val="002E1279"/>
    <w:rsid w:val="002E159B"/>
    <w:rsid w:val="002E164A"/>
    <w:rsid w:val="002E1708"/>
    <w:rsid w:val="002E1753"/>
    <w:rsid w:val="002E34D1"/>
    <w:rsid w:val="002E3F71"/>
    <w:rsid w:val="002E5988"/>
    <w:rsid w:val="002E5A5F"/>
    <w:rsid w:val="002E5E9C"/>
    <w:rsid w:val="002E6933"/>
    <w:rsid w:val="002E73A8"/>
    <w:rsid w:val="002F0460"/>
    <w:rsid w:val="002F1430"/>
    <w:rsid w:val="002F179C"/>
    <w:rsid w:val="002F1AC7"/>
    <w:rsid w:val="002F2D7D"/>
    <w:rsid w:val="002F3402"/>
    <w:rsid w:val="002F3CD8"/>
    <w:rsid w:val="002F4007"/>
    <w:rsid w:val="002F4888"/>
    <w:rsid w:val="002F5078"/>
    <w:rsid w:val="002F51E3"/>
    <w:rsid w:val="002F5D8C"/>
    <w:rsid w:val="002F631C"/>
    <w:rsid w:val="002F675E"/>
    <w:rsid w:val="002F6A21"/>
    <w:rsid w:val="002F771D"/>
    <w:rsid w:val="002F7A9A"/>
    <w:rsid w:val="002F7DB3"/>
    <w:rsid w:val="002F7F85"/>
    <w:rsid w:val="00300171"/>
    <w:rsid w:val="0030072A"/>
    <w:rsid w:val="00300D52"/>
    <w:rsid w:val="0030142C"/>
    <w:rsid w:val="0030312E"/>
    <w:rsid w:val="0030375B"/>
    <w:rsid w:val="003052D3"/>
    <w:rsid w:val="00305A32"/>
    <w:rsid w:val="00305F82"/>
    <w:rsid w:val="0030780F"/>
    <w:rsid w:val="00307CBA"/>
    <w:rsid w:val="0031004D"/>
    <w:rsid w:val="003102B9"/>
    <w:rsid w:val="00310662"/>
    <w:rsid w:val="003132D1"/>
    <w:rsid w:val="003143BB"/>
    <w:rsid w:val="00314438"/>
    <w:rsid w:val="003145EF"/>
    <w:rsid w:val="00315077"/>
    <w:rsid w:val="00315F31"/>
    <w:rsid w:val="00316071"/>
    <w:rsid w:val="00316204"/>
    <w:rsid w:val="003179CF"/>
    <w:rsid w:val="00317C38"/>
    <w:rsid w:val="00317E32"/>
    <w:rsid w:val="0032138A"/>
    <w:rsid w:val="00321BA3"/>
    <w:rsid w:val="00321CD5"/>
    <w:rsid w:val="00322E8A"/>
    <w:rsid w:val="00324803"/>
    <w:rsid w:val="003259FC"/>
    <w:rsid w:val="003272B6"/>
    <w:rsid w:val="00327536"/>
    <w:rsid w:val="003276AC"/>
    <w:rsid w:val="0032782A"/>
    <w:rsid w:val="00330EF7"/>
    <w:rsid w:val="003315C3"/>
    <w:rsid w:val="00332768"/>
    <w:rsid w:val="00334101"/>
    <w:rsid w:val="003368D8"/>
    <w:rsid w:val="00337345"/>
    <w:rsid w:val="0033766E"/>
    <w:rsid w:val="00337FFB"/>
    <w:rsid w:val="00340062"/>
    <w:rsid w:val="003407AD"/>
    <w:rsid w:val="003416B0"/>
    <w:rsid w:val="00341AC4"/>
    <w:rsid w:val="00341D13"/>
    <w:rsid w:val="00342B87"/>
    <w:rsid w:val="003438E2"/>
    <w:rsid w:val="00343E5C"/>
    <w:rsid w:val="00344B8A"/>
    <w:rsid w:val="00344FB8"/>
    <w:rsid w:val="00345290"/>
    <w:rsid w:val="00346415"/>
    <w:rsid w:val="003474A8"/>
    <w:rsid w:val="00347C97"/>
    <w:rsid w:val="00350812"/>
    <w:rsid w:val="00350DF7"/>
    <w:rsid w:val="003510A2"/>
    <w:rsid w:val="00353293"/>
    <w:rsid w:val="00353AC8"/>
    <w:rsid w:val="00354E86"/>
    <w:rsid w:val="00355ACF"/>
    <w:rsid w:val="00355CA6"/>
    <w:rsid w:val="00356B22"/>
    <w:rsid w:val="0036017B"/>
    <w:rsid w:val="00362755"/>
    <w:rsid w:val="00362AD0"/>
    <w:rsid w:val="00362C72"/>
    <w:rsid w:val="0036358F"/>
    <w:rsid w:val="00363AF3"/>
    <w:rsid w:val="00363B36"/>
    <w:rsid w:val="00364B1C"/>
    <w:rsid w:val="00366651"/>
    <w:rsid w:val="00367C8B"/>
    <w:rsid w:val="0037038E"/>
    <w:rsid w:val="00370A14"/>
    <w:rsid w:val="00370D78"/>
    <w:rsid w:val="00371042"/>
    <w:rsid w:val="00371BAA"/>
    <w:rsid w:val="00371F60"/>
    <w:rsid w:val="003729D2"/>
    <w:rsid w:val="00372BF1"/>
    <w:rsid w:val="00372D90"/>
    <w:rsid w:val="00373B93"/>
    <w:rsid w:val="00373E48"/>
    <w:rsid w:val="00373EB2"/>
    <w:rsid w:val="003744A8"/>
    <w:rsid w:val="00375277"/>
    <w:rsid w:val="00375727"/>
    <w:rsid w:val="00375FA8"/>
    <w:rsid w:val="003762D6"/>
    <w:rsid w:val="00376EB0"/>
    <w:rsid w:val="00380ABE"/>
    <w:rsid w:val="00380CD1"/>
    <w:rsid w:val="0038132F"/>
    <w:rsid w:val="0038153E"/>
    <w:rsid w:val="00381616"/>
    <w:rsid w:val="00382397"/>
    <w:rsid w:val="00383372"/>
    <w:rsid w:val="003838E9"/>
    <w:rsid w:val="003841AD"/>
    <w:rsid w:val="00384453"/>
    <w:rsid w:val="003856B7"/>
    <w:rsid w:val="003857AC"/>
    <w:rsid w:val="00386B43"/>
    <w:rsid w:val="00386F6A"/>
    <w:rsid w:val="00387492"/>
    <w:rsid w:val="00387A97"/>
    <w:rsid w:val="00387B0E"/>
    <w:rsid w:val="00390069"/>
    <w:rsid w:val="003907E5"/>
    <w:rsid w:val="0039088E"/>
    <w:rsid w:val="00391E77"/>
    <w:rsid w:val="00392705"/>
    <w:rsid w:val="00392EA8"/>
    <w:rsid w:val="00392FE2"/>
    <w:rsid w:val="00393EE8"/>
    <w:rsid w:val="003942F5"/>
    <w:rsid w:val="0039459D"/>
    <w:rsid w:val="00395917"/>
    <w:rsid w:val="00396340"/>
    <w:rsid w:val="00396832"/>
    <w:rsid w:val="00397147"/>
    <w:rsid w:val="003976C4"/>
    <w:rsid w:val="00397AD9"/>
    <w:rsid w:val="003A04FA"/>
    <w:rsid w:val="003A0FAF"/>
    <w:rsid w:val="003A10DD"/>
    <w:rsid w:val="003A12DF"/>
    <w:rsid w:val="003A29F0"/>
    <w:rsid w:val="003A2C5A"/>
    <w:rsid w:val="003A2D8B"/>
    <w:rsid w:val="003A2DE5"/>
    <w:rsid w:val="003A31BD"/>
    <w:rsid w:val="003A34FE"/>
    <w:rsid w:val="003A38F0"/>
    <w:rsid w:val="003A3E05"/>
    <w:rsid w:val="003A4D8B"/>
    <w:rsid w:val="003A540C"/>
    <w:rsid w:val="003A5507"/>
    <w:rsid w:val="003A60D4"/>
    <w:rsid w:val="003A6690"/>
    <w:rsid w:val="003A68D2"/>
    <w:rsid w:val="003A7901"/>
    <w:rsid w:val="003B1550"/>
    <w:rsid w:val="003B208D"/>
    <w:rsid w:val="003B2A9E"/>
    <w:rsid w:val="003B33D8"/>
    <w:rsid w:val="003B4B5E"/>
    <w:rsid w:val="003B520A"/>
    <w:rsid w:val="003B5611"/>
    <w:rsid w:val="003B5918"/>
    <w:rsid w:val="003B6B35"/>
    <w:rsid w:val="003C095F"/>
    <w:rsid w:val="003C0BD3"/>
    <w:rsid w:val="003C21EB"/>
    <w:rsid w:val="003C31B2"/>
    <w:rsid w:val="003C35E6"/>
    <w:rsid w:val="003C3829"/>
    <w:rsid w:val="003C5A7B"/>
    <w:rsid w:val="003C7329"/>
    <w:rsid w:val="003D0383"/>
    <w:rsid w:val="003D0AD6"/>
    <w:rsid w:val="003D120E"/>
    <w:rsid w:val="003D1D8E"/>
    <w:rsid w:val="003D1DFC"/>
    <w:rsid w:val="003D23A7"/>
    <w:rsid w:val="003D2B18"/>
    <w:rsid w:val="003D303A"/>
    <w:rsid w:val="003D30E4"/>
    <w:rsid w:val="003D4040"/>
    <w:rsid w:val="003D5948"/>
    <w:rsid w:val="003D5A33"/>
    <w:rsid w:val="003D67F3"/>
    <w:rsid w:val="003D7307"/>
    <w:rsid w:val="003E1648"/>
    <w:rsid w:val="003E174A"/>
    <w:rsid w:val="003E1815"/>
    <w:rsid w:val="003E189F"/>
    <w:rsid w:val="003E2FE3"/>
    <w:rsid w:val="003E300A"/>
    <w:rsid w:val="003E3264"/>
    <w:rsid w:val="003E4FD1"/>
    <w:rsid w:val="003E664F"/>
    <w:rsid w:val="003E69D2"/>
    <w:rsid w:val="003E7208"/>
    <w:rsid w:val="003E730D"/>
    <w:rsid w:val="003E7BDC"/>
    <w:rsid w:val="003F069A"/>
    <w:rsid w:val="003F1881"/>
    <w:rsid w:val="003F2B14"/>
    <w:rsid w:val="003F2BFE"/>
    <w:rsid w:val="003F30A5"/>
    <w:rsid w:val="003F30AF"/>
    <w:rsid w:val="003F3FC4"/>
    <w:rsid w:val="003F4329"/>
    <w:rsid w:val="003F4EB1"/>
    <w:rsid w:val="003F55EB"/>
    <w:rsid w:val="003F6633"/>
    <w:rsid w:val="003F741B"/>
    <w:rsid w:val="00400FBB"/>
    <w:rsid w:val="00402AA2"/>
    <w:rsid w:val="00402C8F"/>
    <w:rsid w:val="00402E79"/>
    <w:rsid w:val="0040327D"/>
    <w:rsid w:val="0040331A"/>
    <w:rsid w:val="00403C0C"/>
    <w:rsid w:val="004042BD"/>
    <w:rsid w:val="00405C88"/>
    <w:rsid w:val="004064FB"/>
    <w:rsid w:val="00406AF6"/>
    <w:rsid w:val="00406E36"/>
    <w:rsid w:val="00410612"/>
    <w:rsid w:val="00411C78"/>
    <w:rsid w:val="00411E4F"/>
    <w:rsid w:val="00412534"/>
    <w:rsid w:val="00412C83"/>
    <w:rsid w:val="00413108"/>
    <w:rsid w:val="00413837"/>
    <w:rsid w:val="004141E3"/>
    <w:rsid w:val="004159A7"/>
    <w:rsid w:val="00415CD2"/>
    <w:rsid w:val="00416A47"/>
    <w:rsid w:val="00416A98"/>
    <w:rsid w:val="004179B5"/>
    <w:rsid w:val="0042038F"/>
    <w:rsid w:val="00420E6F"/>
    <w:rsid w:val="004213B8"/>
    <w:rsid w:val="00421F49"/>
    <w:rsid w:val="004237A0"/>
    <w:rsid w:val="0042390D"/>
    <w:rsid w:val="00423E46"/>
    <w:rsid w:val="00423E62"/>
    <w:rsid w:val="00425182"/>
    <w:rsid w:val="0042598C"/>
    <w:rsid w:val="00426014"/>
    <w:rsid w:val="0042691D"/>
    <w:rsid w:val="00426DA6"/>
    <w:rsid w:val="00426EC6"/>
    <w:rsid w:val="004275A7"/>
    <w:rsid w:val="004276E0"/>
    <w:rsid w:val="004278F7"/>
    <w:rsid w:val="00427EDF"/>
    <w:rsid w:val="00430365"/>
    <w:rsid w:val="00430C5A"/>
    <w:rsid w:val="0043261E"/>
    <w:rsid w:val="00434700"/>
    <w:rsid w:val="00434CFE"/>
    <w:rsid w:val="00434E08"/>
    <w:rsid w:val="00435069"/>
    <w:rsid w:val="0043594B"/>
    <w:rsid w:val="00435A2B"/>
    <w:rsid w:val="00435BA4"/>
    <w:rsid w:val="00435F2C"/>
    <w:rsid w:val="0043785F"/>
    <w:rsid w:val="00441923"/>
    <w:rsid w:val="00442A59"/>
    <w:rsid w:val="00442B7A"/>
    <w:rsid w:val="00442E90"/>
    <w:rsid w:val="00443204"/>
    <w:rsid w:val="00443216"/>
    <w:rsid w:val="0044330F"/>
    <w:rsid w:val="00445597"/>
    <w:rsid w:val="00445839"/>
    <w:rsid w:val="00446113"/>
    <w:rsid w:val="004461FA"/>
    <w:rsid w:val="00446D59"/>
    <w:rsid w:val="004471F2"/>
    <w:rsid w:val="00447F0B"/>
    <w:rsid w:val="0045001C"/>
    <w:rsid w:val="004505CE"/>
    <w:rsid w:val="00451C52"/>
    <w:rsid w:val="00452BA6"/>
    <w:rsid w:val="0045399A"/>
    <w:rsid w:val="0045424A"/>
    <w:rsid w:val="00454664"/>
    <w:rsid w:val="00455999"/>
    <w:rsid w:val="00456041"/>
    <w:rsid w:val="0045698D"/>
    <w:rsid w:val="00456C4B"/>
    <w:rsid w:val="00456FA8"/>
    <w:rsid w:val="00457B8D"/>
    <w:rsid w:val="004605C8"/>
    <w:rsid w:val="00460B7D"/>
    <w:rsid w:val="00461487"/>
    <w:rsid w:val="004618D3"/>
    <w:rsid w:val="00461E0D"/>
    <w:rsid w:val="00462200"/>
    <w:rsid w:val="004627BE"/>
    <w:rsid w:val="004635D9"/>
    <w:rsid w:val="00463EA5"/>
    <w:rsid w:val="00464D67"/>
    <w:rsid w:val="00464F1C"/>
    <w:rsid w:val="00464FF2"/>
    <w:rsid w:val="004655A4"/>
    <w:rsid w:val="004658FE"/>
    <w:rsid w:val="00466073"/>
    <w:rsid w:val="00466181"/>
    <w:rsid w:val="00467105"/>
    <w:rsid w:val="00467E90"/>
    <w:rsid w:val="00470818"/>
    <w:rsid w:val="00471442"/>
    <w:rsid w:val="00471C4D"/>
    <w:rsid w:val="004731A8"/>
    <w:rsid w:val="00473C38"/>
    <w:rsid w:val="00473D0D"/>
    <w:rsid w:val="00474564"/>
    <w:rsid w:val="00474C5F"/>
    <w:rsid w:val="004756F4"/>
    <w:rsid w:val="00476967"/>
    <w:rsid w:val="00476DEE"/>
    <w:rsid w:val="00480518"/>
    <w:rsid w:val="00480CB0"/>
    <w:rsid w:val="00481A04"/>
    <w:rsid w:val="00481B36"/>
    <w:rsid w:val="00481FAF"/>
    <w:rsid w:val="00482191"/>
    <w:rsid w:val="00482574"/>
    <w:rsid w:val="004832AD"/>
    <w:rsid w:val="00483B87"/>
    <w:rsid w:val="00483CF8"/>
    <w:rsid w:val="00484121"/>
    <w:rsid w:val="00484705"/>
    <w:rsid w:val="00484D91"/>
    <w:rsid w:val="00485813"/>
    <w:rsid w:val="00486179"/>
    <w:rsid w:val="00486A58"/>
    <w:rsid w:val="00486D05"/>
    <w:rsid w:val="00487F32"/>
    <w:rsid w:val="004914E8"/>
    <w:rsid w:val="004926A8"/>
    <w:rsid w:val="00492C02"/>
    <w:rsid w:val="004935C1"/>
    <w:rsid w:val="0049426F"/>
    <w:rsid w:val="00496459"/>
    <w:rsid w:val="00497A73"/>
    <w:rsid w:val="004A1443"/>
    <w:rsid w:val="004A31F8"/>
    <w:rsid w:val="004A431E"/>
    <w:rsid w:val="004A690D"/>
    <w:rsid w:val="004A7FC1"/>
    <w:rsid w:val="004B04BF"/>
    <w:rsid w:val="004B08B0"/>
    <w:rsid w:val="004B0D78"/>
    <w:rsid w:val="004B117A"/>
    <w:rsid w:val="004B1666"/>
    <w:rsid w:val="004B1A8C"/>
    <w:rsid w:val="004B2572"/>
    <w:rsid w:val="004B3421"/>
    <w:rsid w:val="004B34EA"/>
    <w:rsid w:val="004B37AA"/>
    <w:rsid w:val="004B41C0"/>
    <w:rsid w:val="004B5494"/>
    <w:rsid w:val="004B5C8C"/>
    <w:rsid w:val="004B5F51"/>
    <w:rsid w:val="004B6485"/>
    <w:rsid w:val="004B65DE"/>
    <w:rsid w:val="004B7A79"/>
    <w:rsid w:val="004C0E03"/>
    <w:rsid w:val="004C23F4"/>
    <w:rsid w:val="004C2B6A"/>
    <w:rsid w:val="004C34C8"/>
    <w:rsid w:val="004C3C1B"/>
    <w:rsid w:val="004C4006"/>
    <w:rsid w:val="004C4907"/>
    <w:rsid w:val="004C543C"/>
    <w:rsid w:val="004C57F7"/>
    <w:rsid w:val="004C58CB"/>
    <w:rsid w:val="004C5C53"/>
    <w:rsid w:val="004C6E2F"/>
    <w:rsid w:val="004C7937"/>
    <w:rsid w:val="004C7A2B"/>
    <w:rsid w:val="004C7B79"/>
    <w:rsid w:val="004C7C92"/>
    <w:rsid w:val="004C7D3A"/>
    <w:rsid w:val="004D0B45"/>
    <w:rsid w:val="004D0CF1"/>
    <w:rsid w:val="004D143A"/>
    <w:rsid w:val="004D17B4"/>
    <w:rsid w:val="004D1F49"/>
    <w:rsid w:val="004D2797"/>
    <w:rsid w:val="004D3CC3"/>
    <w:rsid w:val="004D3CD0"/>
    <w:rsid w:val="004D4A06"/>
    <w:rsid w:val="004D5616"/>
    <w:rsid w:val="004D727B"/>
    <w:rsid w:val="004D73DA"/>
    <w:rsid w:val="004E024E"/>
    <w:rsid w:val="004E0EF3"/>
    <w:rsid w:val="004E17CB"/>
    <w:rsid w:val="004E1C31"/>
    <w:rsid w:val="004E2E1E"/>
    <w:rsid w:val="004E3B0F"/>
    <w:rsid w:val="004E4F56"/>
    <w:rsid w:val="004E5A63"/>
    <w:rsid w:val="004E5C68"/>
    <w:rsid w:val="004E5C89"/>
    <w:rsid w:val="004E618F"/>
    <w:rsid w:val="004E6779"/>
    <w:rsid w:val="004E6970"/>
    <w:rsid w:val="004E6CCE"/>
    <w:rsid w:val="004F082B"/>
    <w:rsid w:val="004F0A28"/>
    <w:rsid w:val="004F0AD3"/>
    <w:rsid w:val="004F3927"/>
    <w:rsid w:val="004F45D1"/>
    <w:rsid w:val="004F4F92"/>
    <w:rsid w:val="004F5556"/>
    <w:rsid w:val="004F5C8D"/>
    <w:rsid w:val="004F79ED"/>
    <w:rsid w:val="004F7CB5"/>
    <w:rsid w:val="004F7D21"/>
    <w:rsid w:val="005013A1"/>
    <w:rsid w:val="00501603"/>
    <w:rsid w:val="005018A8"/>
    <w:rsid w:val="005026A9"/>
    <w:rsid w:val="00502724"/>
    <w:rsid w:val="00503084"/>
    <w:rsid w:val="00503A3B"/>
    <w:rsid w:val="00504DE4"/>
    <w:rsid w:val="00505271"/>
    <w:rsid w:val="0050578C"/>
    <w:rsid w:val="00505A39"/>
    <w:rsid w:val="00505CCF"/>
    <w:rsid w:val="00506107"/>
    <w:rsid w:val="005069E9"/>
    <w:rsid w:val="005072AE"/>
    <w:rsid w:val="005123F4"/>
    <w:rsid w:val="00513090"/>
    <w:rsid w:val="00513A45"/>
    <w:rsid w:val="0051407C"/>
    <w:rsid w:val="0051689F"/>
    <w:rsid w:val="0051694D"/>
    <w:rsid w:val="00517156"/>
    <w:rsid w:val="00520092"/>
    <w:rsid w:val="0052024F"/>
    <w:rsid w:val="00521216"/>
    <w:rsid w:val="00521A18"/>
    <w:rsid w:val="00522037"/>
    <w:rsid w:val="005232F1"/>
    <w:rsid w:val="00523DEC"/>
    <w:rsid w:val="00523F48"/>
    <w:rsid w:val="005240BF"/>
    <w:rsid w:val="00524713"/>
    <w:rsid w:val="00524AE0"/>
    <w:rsid w:val="00525042"/>
    <w:rsid w:val="0052581F"/>
    <w:rsid w:val="0052651E"/>
    <w:rsid w:val="005268D8"/>
    <w:rsid w:val="00526BDE"/>
    <w:rsid w:val="0053099E"/>
    <w:rsid w:val="00530B95"/>
    <w:rsid w:val="00530C21"/>
    <w:rsid w:val="00531AE3"/>
    <w:rsid w:val="00531CF7"/>
    <w:rsid w:val="0053225E"/>
    <w:rsid w:val="0053266C"/>
    <w:rsid w:val="00532D9D"/>
    <w:rsid w:val="005338BB"/>
    <w:rsid w:val="00533E43"/>
    <w:rsid w:val="005342C5"/>
    <w:rsid w:val="005343DB"/>
    <w:rsid w:val="005347CE"/>
    <w:rsid w:val="0053493B"/>
    <w:rsid w:val="0053525E"/>
    <w:rsid w:val="00535408"/>
    <w:rsid w:val="005355D4"/>
    <w:rsid w:val="0053B92C"/>
    <w:rsid w:val="005400D3"/>
    <w:rsid w:val="00541374"/>
    <w:rsid w:val="0054172F"/>
    <w:rsid w:val="00542608"/>
    <w:rsid w:val="005427D8"/>
    <w:rsid w:val="00542F8B"/>
    <w:rsid w:val="0054489F"/>
    <w:rsid w:val="00544C23"/>
    <w:rsid w:val="00545E94"/>
    <w:rsid w:val="00546444"/>
    <w:rsid w:val="00550E7D"/>
    <w:rsid w:val="0055157E"/>
    <w:rsid w:val="00553826"/>
    <w:rsid w:val="00554558"/>
    <w:rsid w:val="00554AC5"/>
    <w:rsid w:val="005551DA"/>
    <w:rsid w:val="005557BF"/>
    <w:rsid w:val="00555D52"/>
    <w:rsid w:val="00556208"/>
    <w:rsid w:val="00556829"/>
    <w:rsid w:val="0055686C"/>
    <w:rsid w:val="00557DCC"/>
    <w:rsid w:val="005604A0"/>
    <w:rsid w:val="00560D6F"/>
    <w:rsid w:val="00561316"/>
    <w:rsid w:val="00561412"/>
    <w:rsid w:val="005614AB"/>
    <w:rsid w:val="0056200D"/>
    <w:rsid w:val="005620F9"/>
    <w:rsid w:val="0056219A"/>
    <w:rsid w:val="005629F1"/>
    <w:rsid w:val="0056345F"/>
    <w:rsid w:val="00563672"/>
    <w:rsid w:val="00564038"/>
    <w:rsid w:val="00564A8F"/>
    <w:rsid w:val="005655CF"/>
    <w:rsid w:val="00565866"/>
    <w:rsid w:val="00565B2C"/>
    <w:rsid w:val="00566385"/>
    <w:rsid w:val="005665B2"/>
    <w:rsid w:val="0056677E"/>
    <w:rsid w:val="00567501"/>
    <w:rsid w:val="00567941"/>
    <w:rsid w:val="0057010A"/>
    <w:rsid w:val="005706EA"/>
    <w:rsid w:val="00572789"/>
    <w:rsid w:val="00572E7E"/>
    <w:rsid w:val="005739F1"/>
    <w:rsid w:val="00574787"/>
    <w:rsid w:val="00575156"/>
    <w:rsid w:val="0057519F"/>
    <w:rsid w:val="005757AE"/>
    <w:rsid w:val="00575FA8"/>
    <w:rsid w:val="00576CF4"/>
    <w:rsid w:val="00576DB8"/>
    <w:rsid w:val="00576F50"/>
    <w:rsid w:val="00577056"/>
    <w:rsid w:val="0057719F"/>
    <w:rsid w:val="00577AD5"/>
    <w:rsid w:val="00577CF4"/>
    <w:rsid w:val="00577ED7"/>
    <w:rsid w:val="005812FE"/>
    <w:rsid w:val="005816AE"/>
    <w:rsid w:val="005816FF"/>
    <w:rsid w:val="00582FFE"/>
    <w:rsid w:val="0058504D"/>
    <w:rsid w:val="00585390"/>
    <w:rsid w:val="0058612D"/>
    <w:rsid w:val="0058699D"/>
    <w:rsid w:val="00586CCD"/>
    <w:rsid w:val="005877D6"/>
    <w:rsid w:val="00587972"/>
    <w:rsid w:val="00587BA0"/>
    <w:rsid w:val="00590409"/>
    <w:rsid w:val="005912D2"/>
    <w:rsid w:val="00591DFA"/>
    <w:rsid w:val="0059266B"/>
    <w:rsid w:val="0059308D"/>
    <w:rsid w:val="005939A5"/>
    <w:rsid w:val="00594907"/>
    <w:rsid w:val="0059544C"/>
    <w:rsid w:val="005955B8"/>
    <w:rsid w:val="00595BFD"/>
    <w:rsid w:val="00596A7D"/>
    <w:rsid w:val="00597338"/>
    <w:rsid w:val="005975F4"/>
    <w:rsid w:val="005977AD"/>
    <w:rsid w:val="00597AEE"/>
    <w:rsid w:val="00597FAA"/>
    <w:rsid w:val="005A00BC"/>
    <w:rsid w:val="005A014E"/>
    <w:rsid w:val="005A11ED"/>
    <w:rsid w:val="005A123D"/>
    <w:rsid w:val="005A1274"/>
    <w:rsid w:val="005A138E"/>
    <w:rsid w:val="005A148C"/>
    <w:rsid w:val="005A278E"/>
    <w:rsid w:val="005A3769"/>
    <w:rsid w:val="005A4A22"/>
    <w:rsid w:val="005A63D2"/>
    <w:rsid w:val="005A6F9C"/>
    <w:rsid w:val="005A7218"/>
    <w:rsid w:val="005A760B"/>
    <w:rsid w:val="005A7960"/>
    <w:rsid w:val="005B0E71"/>
    <w:rsid w:val="005B184F"/>
    <w:rsid w:val="005B1FC2"/>
    <w:rsid w:val="005B2A3F"/>
    <w:rsid w:val="005B37EC"/>
    <w:rsid w:val="005B481A"/>
    <w:rsid w:val="005B49D6"/>
    <w:rsid w:val="005B5577"/>
    <w:rsid w:val="005B5AAE"/>
    <w:rsid w:val="005C01CB"/>
    <w:rsid w:val="005C02C2"/>
    <w:rsid w:val="005C1245"/>
    <w:rsid w:val="005C3B40"/>
    <w:rsid w:val="005C3B77"/>
    <w:rsid w:val="005C3D9B"/>
    <w:rsid w:val="005C4128"/>
    <w:rsid w:val="005C4596"/>
    <w:rsid w:val="005C49A3"/>
    <w:rsid w:val="005C5102"/>
    <w:rsid w:val="005C5382"/>
    <w:rsid w:val="005C5686"/>
    <w:rsid w:val="005C66BD"/>
    <w:rsid w:val="005C6F1D"/>
    <w:rsid w:val="005C7D3C"/>
    <w:rsid w:val="005D091F"/>
    <w:rsid w:val="005D20EE"/>
    <w:rsid w:val="005D413A"/>
    <w:rsid w:val="005D5960"/>
    <w:rsid w:val="005D5A4B"/>
    <w:rsid w:val="005D631F"/>
    <w:rsid w:val="005D6342"/>
    <w:rsid w:val="005D644F"/>
    <w:rsid w:val="005D6C02"/>
    <w:rsid w:val="005D6E21"/>
    <w:rsid w:val="005E0D9E"/>
    <w:rsid w:val="005E1167"/>
    <w:rsid w:val="005E1B0F"/>
    <w:rsid w:val="005E1C85"/>
    <w:rsid w:val="005E2D86"/>
    <w:rsid w:val="005E3720"/>
    <w:rsid w:val="005E4479"/>
    <w:rsid w:val="005E48CE"/>
    <w:rsid w:val="005E4952"/>
    <w:rsid w:val="005E515E"/>
    <w:rsid w:val="005E5569"/>
    <w:rsid w:val="005E5B57"/>
    <w:rsid w:val="005E5D13"/>
    <w:rsid w:val="005E5DD1"/>
    <w:rsid w:val="005E5EAA"/>
    <w:rsid w:val="005E6D39"/>
    <w:rsid w:val="005F0396"/>
    <w:rsid w:val="005F1B96"/>
    <w:rsid w:val="005F22BD"/>
    <w:rsid w:val="005F248E"/>
    <w:rsid w:val="005F2B48"/>
    <w:rsid w:val="005F4E98"/>
    <w:rsid w:val="005F5CCB"/>
    <w:rsid w:val="005F66C5"/>
    <w:rsid w:val="005F6B0C"/>
    <w:rsid w:val="005F6C62"/>
    <w:rsid w:val="00600D7B"/>
    <w:rsid w:val="006019EA"/>
    <w:rsid w:val="00601D36"/>
    <w:rsid w:val="006020E7"/>
    <w:rsid w:val="0060226B"/>
    <w:rsid w:val="00605D26"/>
    <w:rsid w:val="00606587"/>
    <w:rsid w:val="006065BD"/>
    <w:rsid w:val="00606C39"/>
    <w:rsid w:val="0060733E"/>
    <w:rsid w:val="0060768C"/>
    <w:rsid w:val="006078B9"/>
    <w:rsid w:val="006078FF"/>
    <w:rsid w:val="00610189"/>
    <w:rsid w:val="00610E65"/>
    <w:rsid w:val="00610EE6"/>
    <w:rsid w:val="006113EE"/>
    <w:rsid w:val="0061240A"/>
    <w:rsid w:val="00613DB7"/>
    <w:rsid w:val="0061426F"/>
    <w:rsid w:val="006142B2"/>
    <w:rsid w:val="006150A5"/>
    <w:rsid w:val="0061614E"/>
    <w:rsid w:val="006166E4"/>
    <w:rsid w:val="00620A36"/>
    <w:rsid w:val="00622EFC"/>
    <w:rsid w:val="00623A62"/>
    <w:rsid w:val="006247BD"/>
    <w:rsid w:val="00626013"/>
    <w:rsid w:val="006264DE"/>
    <w:rsid w:val="00626AD5"/>
    <w:rsid w:val="00627A88"/>
    <w:rsid w:val="00631184"/>
    <w:rsid w:val="00632207"/>
    <w:rsid w:val="00632388"/>
    <w:rsid w:val="0063268A"/>
    <w:rsid w:val="00632A93"/>
    <w:rsid w:val="00632C08"/>
    <w:rsid w:val="0063316E"/>
    <w:rsid w:val="0063491C"/>
    <w:rsid w:val="00634D4E"/>
    <w:rsid w:val="0063509B"/>
    <w:rsid w:val="00635806"/>
    <w:rsid w:val="00635AF3"/>
    <w:rsid w:val="00636DBB"/>
    <w:rsid w:val="00637F26"/>
    <w:rsid w:val="00637F9A"/>
    <w:rsid w:val="0064016E"/>
    <w:rsid w:val="00641429"/>
    <w:rsid w:val="00641941"/>
    <w:rsid w:val="00641DDF"/>
    <w:rsid w:val="00642531"/>
    <w:rsid w:val="00642838"/>
    <w:rsid w:val="0064466B"/>
    <w:rsid w:val="00644A87"/>
    <w:rsid w:val="00644EC3"/>
    <w:rsid w:val="0064668D"/>
    <w:rsid w:val="00646757"/>
    <w:rsid w:val="00646F45"/>
    <w:rsid w:val="0064729F"/>
    <w:rsid w:val="006475B1"/>
    <w:rsid w:val="00647E26"/>
    <w:rsid w:val="00650451"/>
    <w:rsid w:val="00650D5C"/>
    <w:rsid w:val="00651610"/>
    <w:rsid w:val="006519B9"/>
    <w:rsid w:val="006519D0"/>
    <w:rsid w:val="00651E17"/>
    <w:rsid w:val="00652117"/>
    <w:rsid w:val="006530BC"/>
    <w:rsid w:val="006534C6"/>
    <w:rsid w:val="006539AA"/>
    <w:rsid w:val="006541DE"/>
    <w:rsid w:val="00654689"/>
    <w:rsid w:val="00656070"/>
    <w:rsid w:val="00661244"/>
    <w:rsid w:val="00661AFE"/>
    <w:rsid w:val="00662401"/>
    <w:rsid w:val="00663BE3"/>
    <w:rsid w:val="00663DD2"/>
    <w:rsid w:val="00663E98"/>
    <w:rsid w:val="00665539"/>
    <w:rsid w:val="006657D1"/>
    <w:rsid w:val="0066628A"/>
    <w:rsid w:val="00667397"/>
    <w:rsid w:val="00670AE5"/>
    <w:rsid w:val="00670C57"/>
    <w:rsid w:val="006712C5"/>
    <w:rsid w:val="006714D2"/>
    <w:rsid w:val="006725AF"/>
    <w:rsid w:val="006725D2"/>
    <w:rsid w:val="00672909"/>
    <w:rsid w:val="00672CC1"/>
    <w:rsid w:val="006734EF"/>
    <w:rsid w:val="0067426F"/>
    <w:rsid w:val="006748CA"/>
    <w:rsid w:val="00675068"/>
    <w:rsid w:val="0067586C"/>
    <w:rsid w:val="00675D0C"/>
    <w:rsid w:val="00675F02"/>
    <w:rsid w:val="0068038B"/>
    <w:rsid w:val="00680436"/>
    <w:rsid w:val="006833FF"/>
    <w:rsid w:val="00683BBF"/>
    <w:rsid w:val="006843B5"/>
    <w:rsid w:val="00684DF1"/>
    <w:rsid w:val="006850E3"/>
    <w:rsid w:val="00686462"/>
    <w:rsid w:val="006868B7"/>
    <w:rsid w:val="00686AE0"/>
    <w:rsid w:val="00687967"/>
    <w:rsid w:val="00689D71"/>
    <w:rsid w:val="006909E9"/>
    <w:rsid w:val="0069128B"/>
    <w:rsid w:val="00691A7B"/>
    <w:rsid w:val="00692B79"/>
    <w:rsid w:val="00694084"/>
    <w:rsid w:val="006949E8"/>
    <w:rsid w:val="00694FE3"/>
    <w:rsid w:val="00695202"/>
    <w:rsid w:val="00695458"/>
    <w:rsid w:val="006975EB"/>
    <w:rsid w:val="00697E21"/>
    <w:rsid w:val="006A16E0"/>
    <w:rsid w:val="006A193C"/>
    <w:rsid w:val="006A19BA"/>
    <w:rsid w:val="006A1B61"/>
    <w:rsid w:val="006A2879"/>
    <w:rsid w:val="006A34C8"/>
    <w:rsid w:val="006A470F"/>
    <w:rsid w:val="006A568F"/>
    <w:rsid w:val="006A59E6"/>
    <w:rsid w:val="006A5EC6"/>
    <w:rsid w:val="006A65F0"/>
    <w:rsid w:val="006B001D"/>
    <w:rsid w:val="006B1C9D"/>
    <w:rsid w:val="006B2797"/>
    <w:rsid w:val="006B3022"/>
    <w:rsid w:val="006B38D0"/>
    <w:rsid w:val="006B3E3F"/>
    <w:rsid w:val="006B42F4"/>
    <w:rsid w:val="006B43E6"/>
    <w:rsid w:val="006B4654"/>
    <w:rsid w:val="006B4682"/>
    <w:rsid w:val="006B4B9A"/>
    <w:rsid w:val="006B5531"/>
    <w:rsid w:val="006B6BBF"/>
    <w:rsid w:val="006C046F"/>
    <w:rsid w:val="006C1556"/>
    <w:rsid w:val="006C1D86"/>
    <w:rsid w:val="006C1F10"/>
    <w:rsid w:val="006C30F9"/>
    <w:rsid w:val="006C31E8"/>
    <w:rsid w:val="006C352C"/>
    <w:rsid w:val="006C3E04"/>
    <w:rsid w:val="006C763A"/>
    <w:rsid w:val="006C7BA0"/>
    <w:rsid w:val="006D015F"/>
    <w:rsid w:val="006D0B52"/>
    <w:rsid w:val="006D1E0C"/>
    <w:rsid w:val="006D3371"/>
    <w:rsid w:val="006D410B"/>
    <w:rsid w:val="006D43AE"/>
    <w:rsid w:val="006D5246"/>
    <w:rsid w:val="006D5649"/>
    <w:rsid w:val="006D5989"/>
    <w:rsid w:val="006D6D6A"/>
    <w:rsid w:val="006D70A3"/>
    <w:rsid w:val="006D722A"/>
    <w:rsid w:val="006E05C3"/>
    <w:rsid w:val="006E0958"/>
    <w:rsid w:val="006E1638"/>
    <w:rsid w:val="006E1B0C"/>
    <w:rsid w:val="006E24D0"/>
    <w:rsid w:val="006E2569"/>
    <w:rsid w:val="006E31B2"/>
    <w:rsid w:val="006E38A2"/>
    <w:rsid w:val="006E4060"/>
    <w:rsid w:val="006E42FC"/>
    <w:rsid w:val="006E5702"/>
    <w:rsid w:val="006E5E28"/>
    <w:rsid w:val="006E6574"/>
    <w:rsid w:val="006E6AAC"/>
    <w:rsid w:val="006E75AA"/>
    <w:rsid w:val="006F0167"/>
    <w:rsid w:val="006F0EB9"/>
    <w:rsid w:val="006F124C"/>
    <w:rsid w:val="006F149D"/>
    <w:rsid w:val="006F1DE8"/>
    <w:rsid w:val="006F35C2"/>
    <w:rsid w:val="006F35FE"/>
    <w:rsid w:val="006F3C3C"/>
    <w:rsid w:val="006F3C72"/>
    <w:rsid w:val="006F3F09"/>
    <w:rsid w:val="006F3F9C"/>
    <w:rsid w:val="006F4D96"/>
    <w:rsid w:val="006F5011"/>
    <w:rsid w:val="006F543D"/>
    <w:rsid w:val="006F5DE3"/>
    <w:rsid w:val="006F60C1"/>
    <w:rsid w:val="006F69D6"/>
    <w:rsid w:val="006F6ADA"/>
    <w:rsid w:val="006F76CA"/>
    <w:rsid w:val="006F7F73"/>
    <w:rsid w:val="00700036"/>
    <w:rsid w:val="00701940"/>
    <w:rsid w:val="00702004"/>
    <w:rsid w:val="00703457"/>
    <w:rsid w:val="00705497"/>
    <w:rsid w:val="00706363"/>
    <w:rsid w:val="0070646C"/>
    <w:rsid w:val="007069B2"/>
    <w:rsid w:val="007071E9"/>
    <w:rsid w:val="00707A1E"/>
    <w:rsid w:val="00710A2D"/>
    <w:rsid w:val="00710D30"/>
    <w:rsid w:val="00710F3B"/>
    <w:rsid w:val="00714CF2"/>
    <w:rsid w:val="00714EF0"/>
    <w:rsid w:val="007150E1"/>
    <w:rsid w:val="0071514B"/>
    <w:rsid w:val="007151B2"/>
    <w:rsid w:val="00715405"/>
    <w:rsid w:val="007156B9"/>
    <w:rsid w:val="007159AA"/>
    <w:rsid w:val="007169B9"/>
    <w:rsid w:val="00720817"/>
    <w:rsid w:val="00720ED6"/>
    <w:rsid w:val="0072102D"/>
    <w:rsid w:val="00722027"/>
    <w:rsid w:val="00722850"/>
    <w:rsid w:val="00722996"/>
    <w:rsid w:val="00722B46"/>
    <w:rsid w:val="0072380B"/>
    <w:rsid w:val="00723B20"/>
    <w:rsid w:val="007240AB"/>
    <w:rsid w:val="0072423A"/>
    <w:rsid w:val="00724480"/>
    <w:rsid w:val="00724DC2"/>
    <w:rsid w:val="00724F6A"/>
    <w:rsid w:val="007257DE"/>
    <w:rsid w:val="00725C80"/>
    <w:rsid w:val="00725D74"/>
    <w:rsid w:val="00726DB6"/>
    <w:rsid w:val="00726F0F"/>
    <w:rsid w:val="007302ED"/>
    <w:rsid w:val="007317F2"/>
    <w:rsid w:val="0073353F"/>
    <w:rsid w:val="0073439B"/>
    <w:rsid w:val="00734695"/>
    <w:rsid w:val="007348F4"/>
    <w:rsid w:val="00734FBD"/>
    <w:rsid w:val="007358CB"/>
    <w:rsid w:val="00735A91"/>
    <w:rsid w:val="007361FA"/>
    <w:rsid w:val="007362F9"/>
    <w:rsid w:val="007365ED"/>
    <w:rsid w:val="00736BC9"/>
    <w:rsid w:val="007375FB"/>
    <w:rsid w:val="007406D1"/>
    <w:rsid w:val="00741068"/>
    <w:rsid w:val="00741DBF"/>
    <w:rsid w:val="00742B22"/>
    <w:rsid w:val="00742E45"/>
    <w:rsid w:val="00743A17"/>
    <w:rsid w:val="007447AF"/>
    <w:rsid w:val="00745B62"/>
    <w:rsid w:val="00746874"/>
    <w:rsid w:val="00746EA1"/>
    <w:rsid w:val="00746FB3"/>
    <w:rsid w:val="00747293"/>
    <w:rsid w:val="007472D9"/>
    <w:rsid w:val="0074796F"/>
    <w:rsid w:val="00747ED5"/>
    <w:rsid w:val="007501E2"/>
    <w:rsid w:val="0075055C"/>
    <w:rsid w:val="007506B2"/>
    <w:rsid w:val="00750816"/>
    <w:rsid w:val="00751480"/>
    <w:rsid w:val="007516DA"/>
    <w:rsid w:val="00751BEF"/>
    <w:rsid w:val="00752FD0"/>
    <w:rsid w:val="0075345E"/>
    <w:rsid w:val="00756156"/>
    <w:rsid w:val="00760EDD"/>
    <w:rsid w:val="007617B9"/>
    <w:rsid w:val="00762E88"/>
    <w:rsid w:val="007657C1"/>
    <w:rsid w:val="00765809"/>
    <w:rsid w:val="007658D0"/>
    <w:rsid w:val="0076606E"/>
    <w:rsid w:val="00766EDF"/>
    <w:rsid w:val="007677E5"/>
    <w:rsid w:val="0077014B"/>
    <w:rsid w:val="00770972"/>
    <w:rsid w:val="00772B0A"/>
    <w:rsid w:val="00774442"/>
    <w:rsid w:val="0077461E"/>
    <w:rsid w:val="007746E1"/>
    <w:rsid w:val="007758F1"/>
    <w:rsid w:val="007762AC"/>
    <w:rsid w:val="007766B5"/>
    <w:rsid w:val="00776728"/>
    <w:rsid w:val="00776D64"/>
    <w:rsid w:val="00776FE7"/>
    <w:rsid w:val="0077755F"/>
    <w:rsid w:val="00777944"/>
    <w:rsid w:val="007804A5"/>
    <w:rsid w:val="00780563"/>
    <w:rsid w:val="00780AB2"/>
    <w:rsid w:val="007812F4"/>
    <w:rsid w:val="007819B8"/>
    <w:rsid w:val="00781B66"/>
    <w:rsid w:val="0078210C"/>
    <w:rsid w:val="00782B78"/>
    <w:rsid w:val="00782F6A"/>
    <w:rsid w:val="007837C7"/>
    <w:rsid w:val="00783B82"/>
    <w:rsid w:val="00784069"/>
    <w:rsid w:val="00784C79"/>
    <w:rsid w:val="00784D54"/>
    <w:rsid w:val="00784F81"/>
    <w:rsid w:val="00785140"/>
    <w:rsid w:val="007862BD"/>
    <w:rsid w:val="007872B9"/>
    <w:rsid w:val="00787A6C"/>
    <w:rsid w:val="00790242"/>
    <w:rsid w:val="0079042F"/>
    <w:rsid w:val="00790624"/>
    <w:rsid w:val="00790D1A"/>
    <w:rsid w:val="007917C9"/>
    <w:rsid w:val="007921DA"/>
    <w:rsid w:val="007925A0"/>
    <w:rsid w:val="00792D16"/>
    <w:rsid w:val="00793259"/>
    <w:rsid w:val="00793430"/>
    <w:rsid w:val="00793954"/>
    <w:rsid w:val="00793EFE"/>
    <w:rsid w:val="0079485B"/>
    <w:rsid w:val="00794C04"/>
    <w:rsid w:val="007952D6"/>
    <w:rsid w:val="007A2998"/>
    <w:rsid w:val="007A401F"/>
    <w:rsid w:val="007A406D"/>
    <w:rsid w:val="007A452A"/>
    <w:rsid w:val="007A48E8"/>
    <w:rsid w:val="007A4BDC"/>
    <w:rsid w:val="007A5DC8"/>
    <w:rsid w:val="007A62B0"/>
    <w:rsid w:val="007A62D5"/>
    <w:rsid w:val="007A7699"/>
    <w:rsid w:val="007A7924"/>
    <w:rsid w:val="007A7960"/>
    <w:rsid w:val="007A7C8F"/>
    <w:rsid w:val="007B3D43"/>
    <w:rsid w:val="007B50BF"/>
    <w:rsid w:val="007B5AF0"/>
    <w:rsid w:val="007B5B7E"/>
    <w:rsid w:val="007B5DA2"/>
    <w:rsid w:val="007B619F"/>
    <w:rsid w:val="007C02FD"/>
    <w:rsid w:val="007C0E5C"/>
    <w:rsid w:val="007C1137"/>
    <w:rsid w:val="007C13A3"/>
    <w:rsid w:val="007C1826"/>
    <w:rsid w:val="007C2371"/>
    <w:rsid w:val="007C2435"/>
    <w:rsid w:val="007C29FF"/>
    <w:rsid w:val="007C2F59"/>
    <w:rsid w:val="007C324F"/>
    <w:rsid w:val="007C330F"/>
    <w:rsid w:val="007C3E33"/>
    <w:rsid w:val="007C4871"/>
    <w:rsid w:val="007C5A0C"/>
    <w:rsid w:val="007C5F60"/>
    <w:rsid w:val="007C7157"/>
    <w:rsid w:val="007C77C6"/>
    <w:rsid w:val="007D12D0"/>
    <w:rsid w:val="007D1A84"/>
    <w:rsid w:val="007D25B1"/>
    <w:rsid w:val="007D2BC0"/>
    <w:rsid w:val="007D3239"/>
    <w:rsid w:val="007D390C"/>
    <w:rsid w:val="007D3EFE"/>
    <w:rsid w:val="007D46C1"/>
    <w:rsid w:val="007D5A84"/>
    <w:rsid w:val="007D68A0"/>
    <w:rsid w:val="007D7039"/>
    <w:rsid w:val="007E02AF"/>
    <w:rsid w:val="007E0491"/>
    <w:rsid w:val="007E0A70"/>
    <w:rsid w:val="007E0FEE"/>
    <w:rsid w:val="007E19CB"/>
    <w:rsid w:val="007E2FC8"/>
    <w:rsid w:val="007E303E"/>
    <w:rsid w:val="007E358C"/>
    <w:rsid w:val="007E3E3D"/>
    <w:rsid w:val="007E3E65"/>
    <w:rsid w:val="007E4B9E"/>
    <w:rsid w:val="007E52EE"/>
    <w:rsid w:val="007E5C7D"/>
    <w:rsid w:val="007E6308"/>
    <w:rsid w:val="007E6BA4"/>
    <w:rsid w:val="007E6BB1"/>
    <w:rsid w:val="007F0852"/>
    <w:rsid w:val="007F111D"/>
    <w:rsid w:val="007F135C"/>
    <w:rsid w:val="007F1960"/>
    <w:rsid w:val="007F1C37"/>
    <w:rsid w:val="007F1E78"/>
    <w:rsid w:val="007F1F8B"/>
    <w:rsid w:val="007F2017"/>
    <w:rsid w:val="007F2BCA"/>
    <w:rsid w:val="007F339C"/>
    <w:rsid w:val="007F3622"/>
    <w:rsid w:val="007F418C"/>
    <w:rsid w:val="007F547C"/>
    <w:rsid w:val="007F6AE0"/>
    <w:rsid w:val="007F7C22"/>
    <w:rsid w:val="00800125"/>
    <w:rsid w:val="008005C6"/>
    <w:rsid w:val="00801C88"/>
    <w:rsid w:val="00803104"/>
    <w:rsid w:val="008046F2"/>
    <w:rsid w:val="00804881"/>
    <w:rsid w:val="008059B1"/>
    <w:rsid w:val="00806378"/>
    <w:rsid w:val="008076C6"/>
    <w:rsid w:val="0080776F"/>
    <w:rsid w:val="00810254"/>
    <w:rsid w:val="00810AE0"/>
    <w:rsid w:val="00810E86"/>
    <w:rsid w:val="0081175B"/>
    <w:rsid w:val="00811EFE"/>
    <w:rsid w:val="008120C5"/>
    <w:rsid w:val="0081251F"/>
    <w:rsid w:val="00814501"/>
    <w:rsid w:val="00815AC7"/>
    <w:rsid w:val="00816097"/>
    <w:rsid w:val="00816E05"/>
    <w:rsid w:val="00817240"/>
    <w:rsid w:val="0082040A"/>
    <w:rsid w:val="00820753"/>
    <w:rsid w:val="008210BE"/>
    <w:rsid w:val="008218FE"/>
    <w:rsid w:val="00821979"/>
    <w:rsid w:val="008239A3"/>
    <w:rsid w:val="00823AD3"/>
    <w:rsid w:val="00824ACA"/>
    <w:rsid w:val="00824FCD"/>
    <w:rsid w:val="00825213"/>
    <w:rsid w:val="008253BE"/>
    <w:rsid w:val="00826271"/>
    <w:rsid w:val="008263A5"/>
    <w:rsid w:val="008267ED"/>
    <w:rsid w:val="008274AE"/>
    <w:rsid w:val="0082793C"/>
    <w:rsid w:val="00830015"/>
    <w:rsid w:val="008300FE"/>
    <w:rsid w:val="0083057B"/>
    <w:rsid w:val="0083113D"/>
    <w:rsid w:val="00831514"/>
    <w:rsid w:val="0083200F"/>
    <w:rsid w:val="0083225F"/>
    <w:rsid w:val="00832AD2"/>
    <w:rsid w:val="008339BB"/>
    <w:rsid w:val="00833C03"/>
    <w:rsid w:val="00834160"/>
    <w:rsid w:val="008346E7"/>
    <w:rsid w:val="00834FF6"/>
    <w:rsid w:val="0083696F"/>
    <w:rsid w:val="0083787F"/>
    <w:rsid w:val="008406A2"/>
    <w:rsid w:val="008407E0"/>
    <w:rsid w:val="008412FA"/>
    <w:rsid w:val="008424A9"/>
    <w:rsid w:val="00843105"/>
    <w:rsid w:val="008432D9"/>
    <w:rsid w:val="00844484"/>
    <w:rsid w:val="00845D64"/>
    <w:rsid w:val="008460A3"/>
    <w:rsid w:val="00851110"/>
    <w:rsid w:val="008511FB"/>
    <w:rsid w:val="00853247"/>
    <w:rsid w:val="008535CF"/>
    <w:rsid w:val="00854F1D"/>
    <w:rsid w:val="00855137"/>
    <w:rsid w:val="00855428"/>
    <w:rsid w:val="00855A15"/>
    <w:rsid w:val="008567AD"/>
    <w:rsid w:val="00856A20"/>
    <w:rsid w:val="00856F79"/>
    <w:rsid w:val="00860A25"/>
    <w:rsid w:val="00860A98"/>
    <w:rsid w:val="00860C7D"/>
    <w:rsid w:val="00861E45"/>
    <w:rsid w:val="008622AA"/>
    <w:rsid w:val="00862F95"/>
    <w:rsid w:val="0086419A"/>
    <w:rsid w:val="008642CC"/>
    <w:rsid w:val="00865999"/>
    <w:rsid w:val="00866340"/>
    <w:rsid w:val="008664DB"/>
    <w:rsid w:val="0086665A"/>
    <w:rsid w:val="00866844"/>
    <w:rsid w:val="008670CD"/>
    <w:rsid w:val="0087023B"/>
    <w:rsid w:val="008703EF"/>
    <w:rsid w:val="008709F5"/>
    <w:rsid w:val="00870BEB"/>
    <w:rsid w:val="00871F2A"/>
    <w:rsid w:val="0087200E"/>
    <w:rsid w:val="0087228A"/>
    <w:rsid w:val="008722BC"/>
    <w:rsid w:val="00872776"/>
    <w:rsid w:val="008727C0"/>
    <w:rsid w:val="00873548"/>
    <w:rsid w:val="00873928"/>
    <w:rsid w:val="00873BDB"/>
    <w:rsid w:val="00873F3C"/>
    <w:rsid w:val="00874181"/>
    <w:rsid w:val="008742BC"/>
    <w:rsid w:val="008749E3"/>
    <w:rsid w:val="00874AE8"/>
    <w:rsid w:val="00875119"/>
    <w:rsid w:val="00875906"/>
    <w:rsid w:val="00875987"/>
    <w:rsid w:val="00876972"/>
    <w:rsid w:val="0087710E"/>
    <w:rsid w:val="0087726F"/>
    <w:rsid w:val="008772C5"/>
    <w:rsid w:val="00880374"/>
    <w:rsid w:val="00880C68"/>
    <w:rsid w:val="0088149E"/>
    <w:rsid w:val="00881A7D"/>
    <w:rsid w:val="00883821"/>
    <w:rsid w:val="00883DD4"/>
    <w:rsid w:val="008841A0"/>
    <w:rsid w:val="00884B4F"/>
    <w:rsid w:val="00884DCF"/>
    <w:rsid w:val="008870B5"/>
    <w:rsid w:val="00890610"/>
    <w:rsid w:val="00890D36"/>
    <w:rsid w:val="008910C8"/>
    <w:rsid w:val="00892C37"/>
    <w:rsid w:val="008943B3"/>
    <w:rsid w:val="00894EEB"/>
    <w:rsid w:val="00894F46"/>
    <w:rsid w:val="00895595"/>
    <w:rsid w:val="00895B51"/>
    <w:rsid w:val="0089697B"/>
    <w:rsid w:val="00896D25"/>
    <w:rsid w:val="00897283"/>
    <w:rsid w:val="008A07A5"/>
    <w:rsid w:val="008A179F"/>
    <w:rsid w:val="008A302E"/>
    <w:rsid w:val="008A4B5A"/>
    <w:rsid w:val="008A5CFE"/>
    <w:rsid w:val="008A6ED4"/>
    <w:rsid w:val="008B0864"/>
    <w:rsid w:val="008B09A1"/>
    <w:rsid w:val="008B12DD"/>
    <w:rsid w:val="008B1C77"/>
    <w:rsid w:val="008B1F50"/>
    <w:rsid w:val="008B250E"/>
    <w:rsid w:val="008B36FD"/>
    <w:rsid w:val="008B3C53"/>
    <w:rsid w:val="008B592B"/>
    <w:rsid w:val="008B5CED"/>
    <w:rsid w:val="008B69FF"/>
    <w:rsid w:val="008B6DC1"/>
    <w:rsid w:val="008B7248"/>
    <w:rsid w:val="008B738D"/>
    <w:rsid w:val="008B7DB5"/>
    <w:rsid w:val="008C0125"/>
    <w:rsid w:val="008C12FB"/>
    <w:rsid w:val="008C1E02"/>
    <w:rsid w:val="008C2631"/>
    <w:rsid w:val="008C2E03"/>
    <w:rsid w:val="008C3140"/>
    <w:rsid w:val="008C3596"/>
    <w:rsid w:val="008C4288"/>
    <w:rsid w:val="008C43CE"/>
    <w:rsid w:val="008C4929"/>
    <w:rsid w:val="008C51C8"/>
    <w:rsid w:val="008C6645"/>
    <w:rsid w:val="008C729A"/>
    <w:rsid w:val="008C7413"/>
    <w:rsid w:val="008C7A9B"/>
    <w:rsid w:val="008D00CA"/>
    <w:rsid w:val="008D0371"/>
    <w:rsid w:val="008D0841"/>
    <w:rsid w:val="008D0DA8"/>
    <w:rsid w:val="008D16B7"/>
    <w:rsid w:val="008D1921"/>
    <w:rsid w:val="008D3043"/>
    <w:rsid w:val="008D35E6"/>
    <w:rsid w:val="008D43BA"/>
    <w:rsid w:val="008D69FB"/>
    <w:rsid w:val="008D6C3F"/>
    <w:rsid w:val="008D6EF0"/>
    <w:rsid w:val="008D7A09"/>
    <w:rsid w:val="008E01AE"/>
    <w:rsid w:val="008E082D"/>
    <w:rsid w:val="008E189A"/>
    <w:rsid w:val="008E282C"/>
    <w:rsid w:val="008E2E2C"/>
    <w:rsid w:val="008E3054"/>
    <w:rsid w:val="008E3705"/>
    <w:rsid w:val="008E3C2C"/>
    <w:rsid w:val="008E4051"/>
    <w:rsid w:val="008E44B0"/>
    <w:rsid w:val="008E51D1"/>
    <w:rsid w:val="008E5DCD"/>
    <w:rsid w:val="008E60F6"/>
    <w:rsid w:val="008E6900"/>
    <w:rsid w:val="008E6AE6"/>
    <w:rsid w:val="008E6C37"/>
    <w:rsid w:val="008E77BE"/>
    <w:rsid w:val="008E7B98"/>
    <w:rsid w:val="008F0116"/>
    <w:rsid w:val="008F0631"/>
    <w:rsid w:val="008F0A4F"/>
    <w:rsid w:val="008F143D"/>
    <w:rsid w:val="008F1F26"/>
    <w:rsid w:val="008F21D2"/>
    <w:rsid w:val="008F21F1"/>
    <w:rsid w:val="008F3B40"/>
    <w:rsid w:val="008F4272"/>
    <w:rsid w:val="008F47F0"/>
    <w:rsid w:val="008F5516"/>
    <w:rsid w:val="008F5A5C"/>
    <w:rsid w:val="008F6003"/>
    <w:rsid w:val="008F6C39"/>
    <w:rsid w:val="008F6F23"/>
    <w:rsid w:val="00900961"/>
    <w:rsid w:val="00900CD7"/>
    <w:rsid w:val="0090138D"/>
    <w:rsid w:val="00901722"/>
    <w:rsid w:val="00902825"/>
    <w:rsid w:val="00903468"/>
    <w:rsid w:val="009035E5"/>
    <w:rsid w:val="009039F5"/>
    <w:rsid w:val="0090479E"/>
    <w:rsid w:val="0090488F"/>
    <w:rsid w:val="00905445"/>
    <w:rsid w:val="009055C0"/>
    <w:rsid w:val="00906CAB"/>
    <w:rsid w:val="00906E48"/>
    <w:rsid w:val="009106CB"/>
    <w:rsid w:val="00912276"/>
    <w:rsid w:val="0091231A"/>
    <w:rsid w:val="00913157"/>
    <w:rsid w:val="009132F1"/>
    <w:rsid w:val="009137F8"/>
    <w:rsid w:val="00915077"/>
    <w:rsid w:val="00915294"/>
    <w:rsid w:val="009159C6"/>
    <w:rsid w:val="00916487"/>
    <w:rsid w:val="00916758"/>
    <w:rsid w:val="009175AB"/>
    <w:rsid w:val="009200BC"/>
    <w:rsid w:val="009214A3"/>
    <w:rsid w:val="009217F8"/>
    <w:rsid w:val="0092199D"/>
    <w:rsid w:val="0092279A"/>
    <w:rsid w:val="00922B10"/>
    <w:rsid w:val="00923668"/>
    <w:rsid w:val="00923927"/>
    <w:rsid w:val="00925AA3"/>
    <w:rsid w:val="00925DBA"/>
    <w:rsid w:val="00925E68"/>
    <w:rsid w:val="00926954"/>
    <w:rsid w:val="00927377"/>
    <w:rsid w:val="00927A8B"/>
    <w:rsid w:val="00927B61"/>
    <w:rsid w:val="00927FA3"/>
    <w:rsid w:val="009303B3"/>
    <w:rsid w:val="00930493"/>
    <w:rsid w:val="0093051D"/>
    <w:rsid w:val="0093086D"/>
    <w:rsid w:val="00930981"/>
    <w:rsid w:val="00930B6C"/>
    <w:rsid w:val="00931359"/>
    <w:rsid w:val="00931496"/>
    <w:rsid w:val="00931B79"/>
    <w:rsid w:val="00931F6F"/>
    <w:rsid w:val="00932865"/>
    <w:rsid w:val="00934175"/>
    <w:rsid w:val="009344BA"/>
    <w:rsid w:val="00934A9A"/>
    <w:rsid w:val="00936145"/>
    <w:rsid w:val="00936812"/>
    <w:rsid w:val="009368F6"/>
    <w:rsid w:val="009400B8"/>
    <w:rsid w:val="009410E1"/>
    <w:rsid w:val="00941155"/>
    <w:rsid w:val="00941C81"/>
    <w:rsid w:val="00943869"/>
    <w:rsid w:val="009444C9"/>
    <w:rsid w:val="009451D0"/>
    <w:rsid w:val="009459A8"/>
    <w:rsid w:val="00952B01"/>
    <w:rsid w:val="00952BAA"/>
    <w:rsid w:val="00953915"/>
    <w:rsid w:val="00953ED6"/>
    <w:rsid w:val="00954D24"/>
    <w:rsid w:val="00955417"/>
    <w:rsid w:val="0095574B"/>
    <w:rsid w:val="00955DA5"/>
    <w:rsid w:val="00956340"/>
    <w:rsid w:val="0095694B"/>
    <w:rsid w:val="0095724E"/>
    <w:rsid w:val="00957A52"/>
    <w:rsid w:val="00957C5C"/>
    <w:rsid w:val="00961415"/>
    <w:rsid w:val="00964833"/>
    <w:rsid w:val="00964D32"/>
    <w:rsid w:val="00965E93"/>
    <w:rsid w:val="009662DD"/>
    <w:rsid w:val="00966796"/>
    <w:rsid w:val="00966F02"/>
    <w:rsid w:val="00972323"/>
    <w:rsid w:val="009731F2"/>
    <w:rsid w:val="00973E82"/>
    <w:rsid w:val="00973F5D"/>
    <w:rsid w:val="0097434F"/>
    <w:rsid w:val="0097555E"/>
    <w:rsid w:val="009756E9"/>
    <w:rsid w:val="00976AF6"/>
    <w:rsid w:val="00980288"/>
    <w:rsid w:val="009811D5"/>
    <w:rsid w:val="0098138E"/>
    <w:rsid w:val="00981735"/>
    <w:rsid w:val="00982122"/>
    <w:rsid w:val="00984732"/>
    <w:rsid w:val="0098567E"/>
    <w:rsid w:val="0098601E"/>
    <w:rsid w:val="0098655A"/>
    <w:rsid w:val="0098667B"/>
    <w:rsid w:val="009868D2"/>
    <w:rsid w:val="00987F82"/>
    <w:rsid w:val="00990A5C"/>
    <w:rsid w:val="00991DEA"/>
    <w:rsid w:val="00992D5F"/>
    <w:rsid w:val="00993318"/>
    <w:rsid w:val="009938E9"/>
    <w:rsid w:val="009940DC"/>
    <w:rsid w:val="00994207"/>
    <w:rsid w:val="00997E9E"/>
    <w:rsid w:val="009A0C84"/>
    <w:rsid w:val="009A10AD"/>
    <w:rsid w:val="009A1793"/>
    <w:rsid w:val="009A1C2D"/>
    <w:rsid w:val="009A3FCF"/>
    <w:rsid w:val="009A45E2"/>
    <w:rsid w:val="009A4FE1"/>
    <w:rsid w:val="009A66A2"/>
    <w:rsid w:val="009A69AC"/>
    <w:rsid w:val="009A7959"/>
    <w:rsid w:val="009B0351"/>
    <w:rsid w:val="009B0ABD"/>
    <w:rsid w:val="009B16E6"/>
    <w:rsid w:val="009B1D1B"/>
    <w:rsid w:val="009B205B"/>
    <w:rsid w:val="009B24AD"/>
    <w:rsid w:val="009B2A94"/>
    <w:rsid w:val="009B2F26"/>
    <w:rsid w:val="009B3BFE"/>
    <w:rsid w:val="009B4111"/>
    <w:rsid w:val="009B4A3C"/>
    <w:rsid w:val="009B4C45"/>
    <w:rsid w:val="009B4F3A"/>
    <w:rsid w:val="009B66D5"/>
    <w:rsid w:val="009B6AC1"/>
    <w:rsid w:val="009B75C3"/>
    <w:rsid w:val="009B7F70"/>
    <w:rsid w:val="009C0272"/>
    <w:rsid w:val="009C061F"/>
    <w:rsid w:val="009C0DC9"/>
    <w:rsid w:val="009C132E"/>
    <w:rsid w:val="009C3431"/>
    <w:rsid w:val="009C4CC5"/>
    <w:rsid w:val="009C53A9"/>
    <w:rsid w:val="009C56D3"/>
    <w:rsid w:val="009C5EB8"/>
    <w:rsid w:val="009C633C"/>
    <w:rsid w:val="009C67AD"/>
    <w:rsid w:val="009C78EB"/>
    <w:rsid w:val="009C7EE3"/>
    <w:rsid w:val="009D02B1"/>
    <w:rsid w:val="009D073F"/>
    <w:rsid w:val="009D0F2A"/>
    <w:rsid w:val="009D19BA"/>
    <w:rsid w:val="009D1A9B"/>
    <w:rsid w:val="009D20B9"/>
    <w:rsid w:val="009D25E1"/>
    <w:rsid w:val="009D3376"/>
    <w:rsid w:val="009D3EA1"/>
    <w:rsid w:val="009D4778"/>
    <w:rsid w:val="009D546A"/>
    <w:rsid w:val="009D61CF"/>
    <w:rsid w:val="009D73AD"/>
    <w:rsid w:val="009D7FF0"/>
    <w:rsid w:val="009E0077"/>
    <w:rsid w:val="009E1070"/>
    <w:rsid w:val="009E1667"/>
    <w:rsid w:val="009E16C8"/>
    <w:rsid w:val="009E1A79"/>
    <w:rsid w:val="009E1BA8"/>
    <w:rsid w:val="009E1C59"/>
    <w:rsid w:val="009E205F"/>
    <w:rsid w:val="009E2705"/>
    <w:rsid w:val="009E2A76"/>
    <w:rsid w:val="009E2DFA"/>
    <w:rsid w:val="009E3110"/>
    <w:rsid w:val="009E41B2"/>
    <w:rsid w:val="009E4746"/>
    <w:rsid w:val="009E4A03"/>
    <w:rsid w:val="009E51BE"/>
    <w:rsid w:val="009E5867"/>
    <w:rsid w:val="009E68F9"/>
    <w:rsid w:val="009E6C67"/>
    <w:rsid w:val="009E749C"/>
    <w:rsid w:val="009E7C7F"/>
    <w:rsid w:val="009F095A"/>
    <w:rsid w:val="009F257F"/>
    <w:rsid w:val="009F273B"/>
    <w:rsid w:val="009F296F"/>
    <w:rsid w:val="009F2EE6"/>
    <w:rsid w:val="009F3EFB"/>
    <w:rsid w:val="009F402A"/>
    <w:rsid w:val="009F4D89"/>
    <w:rsid w:val="009F6770"/>
    <w:rsid w:val="009F6AB7"/>
    <w:rsid w:val="009F6C18"/>
    <w:rsid w:val="009F7C3F"/>
    <w:rsid w:val="009F7CF5"/>
    <w:rsid w:val="009F7D7D"/>
    <w:rsid w:val="00A0016E"/>
    <w:rsid w:val="00A00CE3"/>
    <w:rsid w:val="00A01DF3"/>
    <w:rsid w:val="00A023C6"/>
    <w:rsid w:val="00A04BDC"/>
    <w:rsid w:val="00A06328"/>
    <w:rsid w:val="00A0755D"/>
    <w:rsid w:val="00A07737"/>
    <w:rsid w:val="00A07D9E"/>
    <w:rsid w:val="00A07E5E"/>
    <w:rsid w:val="00A10E64"/>
    <w:rsid w:val="00A12F23"/>
    <w:rsid w:val="00A14DE9"/>
    <w:rsid w:val="00A1568F"/>
    <w:rsid w:val="00A161E4"/>
    <w:rsid w:val="00A172A9"/>
    <w:rsid w:val="00A17726"/>
    <w:rsid w:val="00A17B46"/>
    <w:rsid w:val="00A17CE0"/>
    <w:rsid w:val="00A20A55"/>
    <w:rsid w:val="00A20EEB"/>
    <w:rsid w:val="00A21A79"/>
    <w:rsid w:val="00A2318D"/>
    <w:rsid w:val="00A2376C"/>
    <w:rsid w:val="00A23AD5"/>
    <w:rsid w:val="00A23D48"/>
    <w:rsid w:val="00A248C5"/>
    <w:rsid w:val="00A24FAC"/>
    <w:rsid w:val="00A25469"/>
    <w:rsid w:val="00A257B0"/>
    <w:rsid w:val="00A25CD2"/>
    <w:rsid w:val="00A264A3"/>
    <w:rsid w:val="00A26739"/>
    <w:rsid w:val="00A269CA"/>
    <w:rsid w:val="00A27A6D"/>
    <w:rsid w:val="00A30006"/>
    <w:rsid w:val="00A3073B"/>
    <w:rsid w:val="00A30A4B"/>
    <w:rsid w:val="00A30B3D"/>
    <w:rsid w:val="00A30DB9"/>
    <w:rsid w:val="00A30FB6"/>
    <w:rsid w:val="00A31FBA"/>
    <w:rsid w:val="00A33DF1"/>
    <w:rsid w:val="00A33EB7"/>
    <w:rsid w:val="00A3400E"/>
    <w:rsid w:val="00A34A30"/>
    <w:rsid w:val="00A34A34"/>
    <w:rsid w:val="00A354F7"/>
    <w:rsid w:val="00A366DE"/>
    <w:rsid w:val="00A36FD7"/>
    <w:rsid w:val="00A376CC"/>
    <w:rsid w:val="00A3B5E8"/>
    <w:rsid w:val="00A40FCF"/>
    <w:rsid w:val="00A410F6"/>
    <w:rsid w:val="00A417EF"/>
    <w:rsid w:val="00A41CB1"/>
    <w:rsid w:val="00A41DF4"/>
    <w:rsid w:val="00A42306"/>
    <w:rsid w:val="00A446A4"/>
    <w:rsid w:val="00A44B05"/>
    <w:rsid w:val="00A44E8D"/>
    <w:rsid w:val="00A4520B"/>
    <w:rsid w:val="00A46D43"/>
    <w:rsid w:val="00A46DF0"/>
    <w:rsid w:val="00A4730E"/>
    <w:rsid w:val="00A5101B"/>
    <w:rsid w:val="00A52FE8"/>
    <w:rsid w:val="00A549F6"/>
    <w:rsid w:val="00A54FA9"/>
    <w:rsid w:val="00A54FF2"/>
    <w:rsid w:val="00A55012"/>
    <w:rsid w:val="00A55ACD"/>
    <w:rsid w:val="00A56B37"/>
    <w:rsid w:val="00A570B2"/>
    <w:rsid w:val="00A570C3"/>
    <w:rsid w:val="00A576CC"/>
    <w:rsid w:val="00A577E9"/>
    <w:rsid w:val="00A57DD1"/>
    <w:rsid w:val="00A61236"/>
    <w:rsid w:val="00A61360"/>
    <w:rsid w:val="00A614CF"/>
    <w:rsid w:val="00A61B39"/>
    <w:rsid w:val="00A62A57"/>
    <w:rsid w:val="00A62EA1"/>
    <w:rsid w:val="00A6343F"/>
    <w:rsid w:val="00A64EC7"/>
    <w:rsid w:val="00A65B6D"/>
    <w:rsid w:val="00A65CB9"/>
    <w:rsid w:val="00A6711E"/>
    <w:rsid w:val="00A67B5F"/>
    <w:rsid w:val="00A70301"/>
    <w:rsid w:val="00A71522"/>
    <w:rsid w:val="00A71D81"/>
    <w:rsid w:val="00A7252A"/>
    <w:rsid w:val="00A75727"/>
    <w:rsid w:val="00A75AFD"/>
    <w:rsid w:val="00A75C03"/>
    <w:rsid w:val="00A761CC"/>
    <w:rsid w:val="00A76F8D"/>
    <w:rsid w:val="00A76F98"/>
    <w:rsid w:val="00A77395"/>
    <w:rsid w:val="00A77771"/>
    <w:rsid w:val="00A77ED6"/>
    <w:rsid w:val="00A80405"/>
    <w:rsid w:val="00A805BE"/>
    <w:rsid w:val="00A83FAC"/>
    <w:rsid w:val="00A8610A"/>
    <w:rsid w:val="00A86118"/>
    <w:rsid w:val="00A867FC"/>
    <w:rsid w:val="00A86C42"/>
    <w:rsid w:val="00A901E2"/>
    <w:rsid w:val="00A9030E"/>
    <w:rsid w:val="00A90436"/>
    <w:rsid w:val="00A936D8"/>
    <w:rsid w:val="00A93772"/>
    <w:rsid w:val="00A93AB4"/>
    <w:rsid w:val="00A94FA2"/>
    <w:rsid w:val="00A9676A"/>
    <w:rsid w:val="00A974DB"/>
    <w:rsid w:val="00AA0984"/>
    <w:rsid w:val="00AA1229"/>
    <w:rsid w:val="00AA155E"/>
    <w:rsid w:val="00AA17F1"/>
    <w:rsid w:val="00AA17F5"/>
    <w:rsid w:val="00AA252F"/>
    <w:rsid w:val="00AA2CFE"/>
    <w:rsid w:val="00AA2D9A"/>
    <w:rsid w:val="00AA4708"/>
    <w:rsid w:val="00AA4979"/>
    <w:rsid w:val="00AA4E25"/>
    <w:rsid w:val="00AA55F4"/>
    <w:rsid w:val="00AA5CB5"/>
    <w:rsid w:val="00AA6C0D"/>
    <w:rsid w:val="00AA7707"/>
    <w:rsid w:val="00AA784A"/>
    <w:rsid w:val="00AA7BD7"/>
    <w:rsid w:val="00AB1B55"/>
    <w:rsid w:val="00AB1CCD"/>
    <w:rsid w:val="00AB2512"/>
    <w:rsid w:val="00AB45D4"/>
    <w:rsid w:val="00AB4659"/>
    <w:rsid w:val="00AB4DFA"/>
    <w:rsid w:val="00AB5A77"/>
    <w:rsid w:val="00AB75ED"/>
    <w:rsid w:val="00AB7875"/>
    <w:rsid w:val="00AC0777"/>
    <w:rsid w:val="00AC1185"/>
    <w:rsid w:val="00AC164B"/>
    <w:rsid w:val="00AC1AD2"/>
    <w:rsid w:val="00AC230A"/>
    <w:rsid w:val="00AC24D1"/>
    <w:rsid w:val="00AC2C90"/>
    <w:rsid w:val="00AC2D65"/>
    <w:rsid w:val="00AC3036"/>
    <w:rsid w:val="00AC32BB"/>
    <w:rsid w:val="00AC4086"/>
    <w:rsid w:val="00AC4961"/>
    <w:rsid w:val="00AC5BF0"/>
    <w:rsid w:val="00AC5F87"/>
    <w:rsid w:val="00AC65A7"/>
    <w:rsid w:val="00AC68EE"/>
    <w:rsid w:val="00AC6EF4"/>
    <w:rsid w:val="00AC764F"/>
    <w:rsid w:val="00AD0531"/>
    <w:rsid w:val="00AD1493"/>
    <w:rsid w:val="00AD1EEA"/>
    <w:rsid w:val="00AD2E23"/>
    <w:rsid w:val="00AD46E0"/>
    <w:rsid w:val="00AD6446"/>
    <w:rsid w:val="00AD72B2"/>
    <w:rsid w:val="00AD76ED"/>
    <w:rsid w:val="00AD7F20"/>
    <w:rsid w:val="00AE07E3"/>
    <w:rsid w:val="00AE1679"/>
    <w:rsid w:val="00AE1B66"/>
    <w:rsid w:val="00AE28B7"/>
    <w:rsid w:val="00AE299A"/>
    <w:rsid w:val="00AE3EAF"/>
    <w:rsid w:val="00AE542C"/>
    <w:rsid w:val="00AE5FEF"/>
    <w:rsid w:val="00AE6B6B"/>
    <w:rsid w:val="00AF0445"/>
    <w:rsid w:val="00AF0AFF"/>
    <w:rsid w:val="00AF0CB6"/>
    <w:rsid w:val="00AF12F8"/>
    <w:rsid w:val="00AF1F2A"/>
    <w:rsid w:val="00AF44EC"/>
    <w:rsid w:val="00AF4DE8"/>
    <w:rsid w:val="00AF57C0"/>
    <w:rsid w:val="00AF5C58"/>
    <w:rsid w:val="00AF76C9"/>
    <w:rsid w:val="00AF774B"/>
    <w:rsid w:val="00B00A89"/>
    <w:rsid w:val="00B00E27"/>
    <w:rsid w:val="00B01454"/>
    <w:rsid w:val="00B01A56"/>
    <w:rsid w:val="00B01F7E"/>
    <w:rsid w:val="00B02058"/>
    <w:rsid w:val="00B03759"/>
    <w:rsid w:val="00B03F9A"/>
    <w:rsid w:val="00B058BB"/>
    <w:rsid w:val="00B05A21"/>
    <w:rsid w:val="00B05DCF"/>
    <w:rsid w:val="00B05DED"/>
    <w:rsid w:val="00B0671C"/>
    <w:rsid w:val="00B06917"/>
    <w:rsid w:val="00B06CAA"/>
    <w:rsid w:val="00B06E9A"/>
    <w:rsid w:val="00B0794B"/>
    <w:rsid w:val="00B1035C"/>
    <w:rsid w:val="00B10F75"/>
    <w:rsid w:val="00B141AD"/>
    <w:rsid w:val="00B146AA"/>
    <w:rsid w:val="00B15470"/>
    <w:rsid w:val="00B15CC1"/>
    <w:rsid w:val="00B15F6F"/>
    <w:rsid w:val="00B1726D"/>
    <w:rsid w:val="00B220D7"/>
    <w:rsid w:val="00B22B99"/>
    <w:rsid w:val="00B2319B"/>
    <w:rsid w:val="00B23205"/>
    <w:rsid w:val="00B236A5"/>
    <w:rsid w:val="00B24193"/>
    <w:rsid w:val="00B24E0F"/>
    <w:rsid w:val="00B2502E"/>
    <w:rsid w:val="00B25523"/>
    <w:rsid w:val="00B25B6A"/>
    <w:rsid w:val="00B25CA6"/>
    <w:rsid w:val="00B26774"/>
    <w:rsid w:val="00B2693F"/>
    <w:rsid w:val="00B277FE"/>
    <w:rsid w:val="00B30177"/>
    <w:rsid w:val="00B3087D"/>
    <w:rsid w:val="00B30E6B"/>
    <w:rsid w:val="00B313F6"/>
    <w:rsid w:val="00B34794"/>
    <w:rsid w:val="00B35125"/>
    <w:rsid w:val="00B356CE"/>
    <w:rsid w:val="00B35AF7"/>
    <w:rsid w:val="00B35BAD"/>
    <w:rsid w:val="00B35EC7"/>
    <w:rsid w:val="00B36AD2"/>
    <w:rsid w:val="00B40645"/>
    <w:rsid w:val="00B40B63"/>
    <w:rsid w:val="00B40BCC"/>
    <w:rsid w:val="00B41562"/>
    <w:rsid w:val="00B429B3"/>
    <w:rsid w:val="00B43661"/>
    <w:rsid w:val="00B44324"/>
    <w:rsid w:val="00B450B9"/>
    <w:rsid w:val="00B45837"/>
    <w:rsid w:val="00B45F5E"/>
    <w:rsid w:val="00B46269"/>
    <w:rsid w:val="00B46F91"/>
    <w:rsid w:val="00B471FF"/>
    <w:rsid w:val="00B4733B"/>
    <w:rsid w:val="00B47A3C"/>
    <w:rsid w:val="00B47AC2"/>
    <w:rsid w:val="00B47C28"/>
    <w:rsid w:val="00B47CC0"/>
    <w:rsid w:val="00B50A9E"/>
    <w:rsid w:val="00B52FC5"/>
    <w:rsid w:val="00B5345B"/>
    <w:rsid w:val="00B53895"/>
    <w:rsid w:val="00B54DCE"/>
    <w:rsid w:val="00B55BEF"/>
    <w:rsid w:val="00B57312"/>
    <w:rsid w:val="00B5761A"/>
    <w:rsid w:val="00B57F53"/>
    <w:rsid w:val="00B60421"/>
    <w:rsid w:val="00B6081A"/>
    <w:rsid w:val="00B60905"/>
    <w:rsid w:val="00B60B2C"/>
    <w:rsid w:val="00B61247"/>
    <w:rsid w:val="00B618A4"/>
    <w:rsid w:val="00B619EE"/>
    <w:rsid w:val="00B61A78"/>
    <w:rsid w:val="00B6287A"/>
    <w:rsid w:val="00B63292"/>
    <w:rsid w:val="00B63818"/>
    <w:rsid w:val="00B64C19"/>
    <w:rsid w:val="00B65AD4"/>
    <w:rsid w:val="00B660F7"/>
    <w:rsid w:val="00B66E52"/>
    <w:rsid w:val="00B673BE"/>
    <w:rsid w:val="00B674BA"/>
    <w:rsid w:val="00B71EDA"/>
    <w:rsid w:val="00B72C89"/>
    <w:rsid w:val="00B7447A"/>
    <w:rsid w:val="00B748BD"/>
    <w:rsid w:val="00B75E0D"/>
    <w:rsid w:val="00B76035"/>
    <w:rsid w:val="00B76B57"/>
    <w:rsid w:val="00B7749B"/>
    <w:rsid w:val="00B77BB0"/>
    <w:rsid w:val="00B816FB"/>
    <w:rsid w:val="00B82DE4"/>
    <w:rsid w:val="00B83146"/>
    <w:rsid w:val="00B83CB0"/>
    <w:rsid w:val="00B85412"/>
    <w:rsid w:val="00B86051"/>
    <w:rsid w:val="00B87079"/>
    <w:rsid w:val="00B870F7"/>
    <w:rsid w:val="00B87E09"/>
    <w:rsid w:val="00B901EC"/>
    <w:rsid w:val="00B90E75"/>
    <w:rsid w:val="00B91056"/>
    <w:rsid w:val="00B91361"/>
    <w:rsid w:val="00B92847"/>
    <w:rsid w:val="00B9295D"/>
    <w:rsid w:val="00B93278"/>
    <w:rsid w:val="00B93B93"/>
    <w:rsid w:val="00B96A08"/>
    <w:rsid w:val="00B971B6"/>
    <w:rsid w:val="00B97220"/>
    <w:rsid w:val="00B97A55"/>
    <w:rsid w:val="00BA19C8"/>
    <w:rsid w:val="00BA369B"/>
    <w:rsid w:val="00BA56CE"/>
    <w:rsid w:val="00BA74D0"/>
    <w:rsid w:val="00BA7E99"/>
    <w:rsid w:val="00BB000B"/>
    <w:rsid w:val="00BB0243"/>
    <w:rsid w:val="00BB0951"/>
    <w:rsid w:val="00BB2CB9"/>
    <w:rsid w:val="00BB4E60"/>
    <w:rsid w:val="00BB504D"/>
    <w:rsid w:val="00BB626B"/>
    <w:rsid w:val="00BB6314"/>
    <w:rsid w:val="00BB7BB0"/>
    <w:rsid w:val="00BB7EA3"/>
    <w:rsid w:val="00BC1371"/>
    <w:rsid w:val="00BC193A"/>
    <w:rsid w:val="00BC1B39"/>
    <w:rsid w:val="00BC207C"/>
    <w:rsid w:val="00BC2F54"/>
    <w:rsid w:val="00BC3E23"/>
    <w:rsid w:val="00BC4449"/>
    <w:rsid w:val="00BC4C74"/>
    <w:rsid w:val="00BC4DEB"/>
    <w:rsid w:val="00BC4E31"/>
    <w:rsid w:val="00BC534C"/>
    <w:rsid w:val="00BC58A9"/>
    <w:rsid w:val="00BC5D62"/>
    <w:rsid w:val="00BC5F30"/>
    <w:rsid w:val="00BC7521"/>
    <w:rsid w:val="00BD0820"/>
    <w:rsid w:val="00BD0A5A"/>
    <w:rsid w:val="00BD14EC"/>
    <w:rsid w:val="00BD249C"/>
    <w:rsid w:val="00BD2A0A"/>
    <w:rsid w:val="00BD3E44"/>
    <w:rsid w:val="00BD403F"/>
    <w:rsid w:val="00BD4E85"/>
    <w:rsid w:val="00BD7921"/>
    <w:rsid w:val="00BD7BEA"/>
    <w:rsid w:val="00BD7CEB"/>
    <w:rsid w:val="00BE0167"/>
    <w:rsid w:val="00BE1135"/>
    <w:rsid w:val="00BE3DCB"/>
    <w:rsid w:val="00BE452F"/>
    <w:rsid w:val="00BE4F61"/>
    <w:rsid w:val="00BE5DAD"/>
    <w:rsid w:val="00BE5E03"/>
    <w:rsid w:val="00BE7307"/>
    <w:rsid w:val="00BE7E2F"/>
    <w:rsid w:val="00BE7E64"/>
    <w:rsid w:val="00BF04DE"/>
    <w:rsid w:val="00BF06D5"/>
    <w:rsid w:val="00BF0A18"/>
    <w:rsid w:val="00BF128F"/>
    <w:rsid w:val="00BF1F7E"/>
    <w:rsid w:val="00BF2D09"/>
    <w:rsid w:val="00BF2EE3"/>
    <w:rsid w:val="00BF30D6"/>
    <w:rsid w:val="00BF3BB0"/>
    <w:rsid w:val="00BF4446"/>
    <w:rsid w:val="00BF47C9"/>
    <w:rsid w:val="00BF4EC1"/>
    <w:rsid w:val="00BF5AE7"/>
    <w:rsid w:val="00BF75E2"/>
    <w:rsid w:val="00BFFF63"/>
    <w:rsid w:val="00C00421"/>
    <w:rsid w:val="00C009C4"/>
    <w:rsid w:val="00C00D25"/>
    <w:rsid w:val="00C01166"/>
    <w:rsid w:val="00C01352"/>
    <w:rsid w:val="00C018F8"/>
    <w:rsid w:val="00C0239A"/>
    <w:rsid w:val="00C02615"/>
    <w:rsid w:val="00C03D79"/>
    <w:rsid w:val="00C047EA"/>
    <w:rsid w:val="00C05883"/>
    <w:rsid w:val="00C0648B"/>
    <w:rsid w:val="00C06526"/>
    <w:rsid w:val="00C10B5F"/>
    <w:rsid w:val="00C10B79"/>
    <w:rsid w:val="00C1160B"/>
    <w:rsid w:val="00C11638"/>
    <w:rsid w:val="00C11C6F"/>
    <w:rsid w:val="00C12EEF"/>
    <w:rsid w:val="00C13170"/>
    <w:rsid w:val="00C14644"/>
    <w:rsid w:val="00C16614"/>
    <w:rsid w:val="00C16ED0"/>
    <w:rsid w:val="00C175D0"/>
    <w:rsid w:val="00C20211"/>
    <w:rsid w:val="00C21730"/>
    <w:rsid w:val="00C2194E"/>
    <w:rsid w:val="00C21CAA"/>
    <w:rsid w:val="00C2213F"/>
    <w:rsid w:val="00C23DCB"/>
    <w:rsid w:val="00C24737"/>
    <w:rsid w:val="00C254F5"/>
    <w:rsid w:val="00C25D61"/>
    <w:rsid w:val="00C27BF1"/>
    <w:rsid w:val="00C305AA"/>
    <w:rsid w:val="00C31459"/>
    <w:rsid w:val="00C3154A"/>
    <w:rsid w:val="00C31EF7"/>
    <w:rsid w:val="00C31F80"/>
    <w:rsid w:val="00C33135"/>
    <w:rsid w:val="00C335C4"/>
    <w:rsid w:val="00C336D5"/>
    <w:rsid w:val="00C34AA0"/>
    <w:rsid w:val="00C34ABE"/>
    <w:rsid w:val="00C353FC"/>
    <w:rsid w:val="00C36A53"/>
    <w:rsid w:val="00C371A3"/>
    <w:rsid w:val="00C40299"/>
    <w:rsid w:val="00C40302"/>
    <w:rsid w:val="00C40950"/>
    <w:rsid w:val="00C420DD"/>
    <w:rsid w:val="00C4221D"/>
    <w:rsid w:val="00C42CEA"/>
    <w:rsid w:val="00C43057"/>
    <w:rsid w:val="00C436C2"/>
    <w:rsid w:val="00C43A5D"/>
    <w:rsid w:val="00C44557"/>
    <w:rsid w:val="00C445E3"/>
    <w:rsid w:val="00C45936"/>
    <w:rsid w:val="00C50104"/>
    <w:rsid w:val="00C509E5"/>
    <w:rsid w:val="00C50CA3"/>
    <w:rsid w:val="00C5155E"/>
    <w:rsid w:val="00C51575"/>
    <w:rsid w:val="00C5161F"/>
    <w:rsid w:val="00C52AD0"/>
    <w:rsid w:val="00C5371C"/>
    <w:rsid w:val="00C54613"/>
    <w:rsid w:val="00C5485B"/>
    <w:rsid w:val="00C54CC2"/>
    <w:rsid w:val="00C557E2"/>
    <w:rsid w:val="00C55AB3"/>
    <w:rsid w:val="00C55E12"/>
    <w:rsid w:val="00C55F01"/>
    <w:rsid w:val="00C560C2"/>
    <w:rsid w:val="00C564E2"/>
    <w:rsid w:val="00C56BE1"/>
    <w:rsid w:val="00C573D4"/>
    <w:rsid w:val="00C5761C"/>
    <w:rsid w:val="00C579EF"/>
    <w:rsid w:val="00C57A0B"/>
    <w:rsid w:val="00C60F25"/>
    <w:rsid w:val="00C62228"/>
    <w:rsid w:val="00C623F9"/>
    <w:rsid w:val="00C62B39"/>
    <w:rsid w:val="00C63153"/>
    <w:rsid w:val="00C633C4"/>
    <w:rsid w:val="00C6413D"/>
    <w:rsid w:val="00C6506D"/>
    <w:rsid w:val="00C654F7"/>
    <w:rsid w:val="00C655A9"/>
    <w:rsid w:val="00C669B7"/>
    <w:rsid w:val="00C70890"/>
    <w:rsid w:val="00C70A4F"/>
    <w:rsid w:val="00C71CDC"/>
    <w:rsid w:val="00C72DB6"/>
    <w:rsid w:val="00C730CE"/>
    <w:rsid w:val="00C73F50"/>
    <w:rsid w:val="00C7491E"/>
    <w:rsid w:val="00C74D97"/>
    <w:rsid w:val="00C768B3"/>
    <w:rsid w:val="00C77040"/>
    <w:rsid w:val="00C77428"/>
    <w:rsid w:val="00C7767A"/>
    <w:rsid w:val="00C7796D"/>
    <w:rsid w:val="00C80C58"/>
    <w:rsid w:val="00C81874"/>
    <w:rsid w:val="00C81C8C"/>
    <w:rsid w:val="00C824A4"/>
    <w:rsid w:val="00C8388B"/>
    <w:rsid w:val="00C8416E"/>
    <w:rsid w:val="00C8428C"/>
    <w:rsid w:val="00C84553"/>
    <w:rsid w:val="00C858F0"/>
    <w:rsid w:val="00C86B57"/>
    <w:rsid w:val="00C87CC5"/>
    <w:rsid w:val="00C90138"/>
    <w:rsid w:val="00C90371"/>
    <w:rsid w:val="00C913A1"/>
    <w:rsid w:val="00C9295D"/>
    <w:rsid w:val="00C932BA"/>
    <w:rsid w:val="00C934F7"/>
    <w:rsid w:val="00C95153"/>
    <w:rsid w:val="00C964BD"/>
    <w:rsid w:val="00C96C3D"/>
    <w:rsid w:val="00C96F56"/>
    <w:rsid w:val="00C97C25"/>
    <w:rsid w:val="00C97CB5"/>
    <w:rsid w:val="00CA0884"/>
    <w:rsid w:val="00CA08C6"/>
    <w:rsid w:val="00CA09FE"/>
    <w:rsid w:val="00CA0C57"/>
    <w:rsid w:val="00CA38B0"/>
    <w:rsid w:val="00CA396D"/>
    <w:rsid w:val="00CA42B2"/>
    <w:rsid w:val="00CA60D6"/>
    <w:rsid w:val="00CA640A"/>
    <w:rsid w:val="00CA7746"/>
    <w:rsid w:val="00CA7978"/>
    <w:rsid w:val="00CA79BC"/>
    <w:rsid w:val="00CB0BD1"/>
    <w:rsid w:val="00CB1B61"/>
    <w:rsid w:val="00CB215A"/>
    <w:rsid w:val="00CB2B04"/>
    <w:rsid w:val="00CB3B87"/>
    <w:rsid w:val="00CB3D99"/>
    <w:rsid w:val="00CB4560"/>
    <w:rsid w:val="00CB4BAF"/>
    <w:rsid w:val="00CB5153"/>
    <w:rsid w:val="00CB6D5F"/>
    <w:rsid w:val="00CB7028"/>
    <w:rsid w:val="00CB7436"/>
    <w:rsid w:val="00CB7D99"/>
    <w:rsid w:val="00CC0A2B"/>
    <w:rsid w:val="00CC0F28"/>
    <w:rsid w:val="00CC2650"/>
    <w:rsid w:val="00CC2B6E"/>
    <w:rsid w:val="00CC3271"/>
    <w:rsid w:val="00CC5078"/>
    <w:rsid w:val="00CC5115"/>
    <w:rsid w:val="00CC5CC9"/>
    <w:rsid w:val="00CC656B"/>
    <w:rsid w:val="00CC6947"/>
    <w:rsid w:val="00CC6A99"/>
    <w:rsid w:val="00CC6D2E"/>
    <w:rsid w:val="00CC70B8"/>
    <w:rsid w:val="00CC7F78"/>
    <w:rsid w:val="00CD0D1C"/>
    <w:rsid w:val="00CD13AB"/>
    <w:rsid w:val="00CD14F6"/>
    <w:rsid w:val="00CD269F"/>
    <w:rsid w:val="00CD3190"/>
    <w:rsid w:val="00CD34AB"/>
    <w:rsid w:val="00CD3E12"/>
    <w:rsid w:val="00CD4B19"/>
    <w:rsid w:val="00CD4F9E"/>
    <w:rsid w:val="00CD5269"/>
    <w:rsid w:val="00CD5F2A"/>
    <w:rsid w:val="00CD610A"/>
    <w:rsid w:val="00CD61D0"/>
    <w:rsid w:val="00CD6412"/>
    <w:rsid w:val="00CD675A"/>
    <w:rsid w:val="00CE0A58"/>
    <w:rsid w:val="00CE12A0"/>
    <w:rsid w:val="00CE2084"/>
    <w:rsid w:val="00CE2672"/>
    <w:rsid w:val="00CE2F0D"/>
    <w:rsid w:val="00CE3B81"/>
    <w:rsid w:val="00CE4996"/>
    <w:rsid w:val="00CE551D"/>
    <w:rsid w:val="00CE6154"/>
    <w:rsid w:val="00CE61A1"/>
    <w:rsid w:val="00CE67E2"/>
    <w:rsid w:val="00CE73D1"/>
    <w:rsid w:val="00CE7442"/>
    <w:rsid w:val="00CF0B9A"/>
    <w:rsid w:val="00CF0F7E"/>
    <w:rsid w:val="00CF146E"/>
    <w:rsid w:val="00CF1722"/>
    <w:rsid w:val="00CF1AF9"/>
    <w:rsid w:val="00CF1FF8"/>
    <w:rsid w:val="00CF3F12"/>
    <w:rsid w:val="00CF3FD2"/>
    <w:rsid w:val="00CF4509"/>
    <w:rsid w:val="00CF4969"/>
    <w:rsid w:val="00CF4A6F"/>
    <w:rsid w:val="00CF4DD4"/>
    <w:rsid w:val="00CF58BE"/>
    <w:rsid w:val="00CF615B"/>
    <w:rsid w:val="00CF66D0"/>
    <w:rsid w:val="00CF6B1C"/>
    <w:rsid w:val="00CF6BD3"/>
    <w:rsid w:val="00CF715F"/>
    <w:rsid w:val="00CF7C48"/>
    <w:rsid w:val="00D00AA3"/>
    <w:rsid w:val="00D010EC"/>
    <w:rsid w:val="00D028CE"/>
    <w:rsid w:val="00D02F01"/>
    <w:rsid w:val="00D02F73"/>
    <w:rsid w:val="00D031F4"/>
    <w:rsid w:val="00D036F2"/>
    <w:rsid w:val="00D03AC2"/>
    <w:rsid w:val="00D03D1B"/>
    <w:rsid w:val="00D03F9A"/>
    <w:rsid w:val="00D04D43"/>
    <w:rsid w:val="00D04F5E"/>
    <w:rsid w:val="00D0514F"/>
    <w:rsid w:val="00D054E8"/>
    <w:rsid w:val="00D0626A"/>
    <w:rsid w:val="00D06F09"/>
    <w:rsid w:val="00D07077"/>
    <w:rsid w:val="00D07853"/>
    <w:rsid w:val="00D07C5A"/>
    <w:rsid w:val="00D07F73"/>
    <w:rsid w:val="00D10390"/>
    <w:rsid w:val="00D11520"/>
    <w:rsid w:val="00D11AAB"/>
    <w:rsid w:val="00D128E4"/>
    <w:rsid w:val="00D14844"/>
    <w:rsid w:val="00D14E5A"/>
    <w:rsid w:val="00D15041"/>
    <w:rsid w:val="00D15D5A"/>
    <w:rsid w:val="00D166E3"/>
    <w:rsid w:val="00D16E23"/>
    <w:rsid w:val="00D16F45"/>
    <w:rsid w:val="00D17FAB"/>
    <w:rsid w:val="00D200EB"/>
    <w:rsid w:val="00D202A4"/>
    <w:rsid w:val="00D2041C"/>
    <w:rsid w:val="00D207A9"/>
    <w:rsid w:val="00D20D95"/>
    <w:rsid w:val="00D20DB1"/>
    <w:rsid w:val="00D2112F"/>
    <w:rsid w:val="00D21E19"/>
    <w:rsid w:val="00D223E9"/>
    <w:rsid w:val="00D22418"/>
    <w:rsid w:val="00D23449"/>
    <w:rsid w:val="00D250DC"/>
    <w:rsid w:val="00D25258"/>
    <w:rsid w:val="00D2571A"/>
    <w:rsid w:val="00D25ADE"/>
    <w:rsid w:val="00D25E81"/>
    <w:rsid w:val="00D26C57"/>
    <w:rsid w:val="00D26FF0"/>
    <w:rsid w:val="00D27F99"/>
    <w:rsid w:val="00D305C8"/>
    <w:rsid w:val="00D308F3"/>
    <w:rsid w:val="00D31657"/>
    <w:rsid w:val="00D317D7"/>
    <w:rsid w:val="00D3580B"/>
    <w:rsid w:val="00D35987"/>
    <w:rsid w:val="00D407BF"/>
    <w:rsid w:val="00D40860"/>
    <w:rsid w:val="00D42434"/>
    <w:rsid w:val="00D42544"/>
    <w:rsid w:val="00D43017"/>
    <w:rsid w:val="00D43297"/>
    <w:rsid w:val="00D43AFE"/>
    <w:rsid w:val="00D43D6B"/>
    <w:rsid w:val="00D43EA9"/>
    <w:rsid w:val="00D44208"/>
    <w:rsid w:val="00D44DB6"/>
    <w:rsid w:val="00D470DE"/>
    <w:rsid w:val="00D475AD"/>
    <w:rsid w:val="00D47D7D"/>
    <w:rsid w:val="00D50119"/>
    <w:rsid w:val="00D52465"/>
    <w:rsid w:val="00D53487"/>
    <w:rsid w:val="00D5501E"/>
    <w:rsid w:val="00D55D91"/>
    <w:rsid w:val="00D562C9"/>
    <w:rsid w:val="00D56486"/>
    <w:rsid w:val="00D60693"/>
    <w:rsid w:val="00D60858"/>
    <w:rsid w:val="00D617F7"/>
    <w:rsid w:val="00D61BFF"/>
    <w:rsid w:val="00D63B51"/>
    <w:rsid w:val="00D63C94"/>
    <w:rsid w:val="00D63F52"/>
    <w:rsid w:val="00D64071"/>
    <w:rsid w:val="00D658EF"/>
    <w:rsid w:val="00D65BC5"/>
    <w:rsid w:val="00D6600B"/>
    <w:rsid w:val="00D6611E"/>
    <w:rsid w:val="00D663DE"/>
    <w:rsid w:val="00D66B11"/>
    <w:rsid w:val="00D66BD8"/>
    <w:rsid w:val="00D67C74"/>
    <w:rsid w:val="00D70A7C"/>
    <w:rsid w:val="00D714B0"/>
    <w:rsid w:val="00D71D6D"/>
    <w:rsid w:val="00D71D81"/>
    <w:rsid w:val="00D726E8"/>
    <w:rsid w:val="00D74323"/>
    <w:rsid w:val="00D74D26"/>
    <w:rsid w:val="00D7517B"/>
    <w:rsid w:val="00D75A18"/>
    <w:rsid w:val="00D75EF6"/>
    <w:rsid w:val="00D76655"/>
    <w:rsid w:val="00D76CD3"/>
    <w:rsid w:val="00D80D56"/>
    <w:rsid w:val="00D81A0E"/>
    <w:rsid w:val="00D82292"/>
    <w:rsid w:val="00D82A42"/>
    <w:rsid w:val="00D82A43"/>
    <w:rsid w:val="00D82CD6"/>
    <w:rsid w:val="00D82D52"/>
    <w:rsid w:val="00D838EE"/>
    <w:rsid w:val="00D83BC6"/>
    <w:rsid w:val="00D83C51"/>
    <w:rsid w:val="00D847D0"/>
    <w:rsid w:val="00D855D0"/>
    <w:rsid w:val="00D85B65"/>
    <w:rsid w:val="00D85BA9"/>
    <w:rsid w:val="00D90673"/>
    <w:rsid w:val="00D90B99"/>
    <w:rsid w:val="00D9105A"/>
    <w:rsid w:val="00D93E57"/>
    <w:rsid w:val="00D93FC0"/>
    <w:rsid w:val="00D954E1"/>
    <w:rsid w:val="00D96A9D"/>
    <w:rsid w:val="00D973FB"/>
    <w:rsid w:val="00D9791D"/>
    <w:rsid w:val="00DA0502"/>
    <w:rsid w:val="00DA0919"/>
    <w:rsid w:val="00DA0F38"/>
    <w:rsid w:val="00DA13D1"/>
    <w:rsid w:val="00DA144D"/>
    <w:rsid w:val="00DA1762"/>
    <w:rsid w:val="00DA1922"/>
    <w:rsid w:val="00DA2948"/>
    <w:rsid w:val="00DA403E"/>
    <w:rsid w:val="00DA4510"/>
    <w:rsid w:val="00DA4992"/>
    <w:rsid w:val="00DA519F"/>
    <w:rsid w:val="00DA5246"/>
    <w:rsid w:val="00DA6766"/>
    <w:rsid w:val="00DA6AB8"/>
    <w:rsid w:val="00DA6CA6"/>
    <w:rsid w:val="00DA7B5D"/>
    <w:rsid w:val="00DA7EBB"/>
    <w:rsid w:val="00DB0036"/>
    <w:rsid w:val="00DB036D"/>
    <w:rsid w:val="00DB07DB"/>
    <w:rsid w:val="00DB096F"/>
    <w:rsid w:val="00DB1425"/>
    <w:rsid w:val="00DB3FA3"/>
    <w:rsid w:val="00DB4A14"/>
    <w:rsid w:val="00DB5691"/>
    <w:rsid w:val="00DB5766"/>
    <w:rsid w:val="00DB596B"/>
    <w:rsid w:val="00DB61AE"/>
    <w:rsid w:val="00DB6759"/>
    <w:rsid w:val="00DB6D16"/>
    <w:rsid w:val="00DB6F92"/>
    <w:rsid w:val="00DB794A"/>
    <w:rsid w:val="00DB7B50"/>
    <w:rsid w:val="00DC0DAB"/>
    <w:rsid w:val="00DC0EEF"/>
    <w:rsid w:val="00DC11DF"/>
    <w:rsid w:val="00DC183A"/>
    <w:rsid w:val="00DC3517"/>
    <w:rsid w:val="00DC37F0"/>
    <w:rsid w:val="00DC3BC3"/>
    <w:rsid w:val="00DC4B0A"/>
    <w:rsid w:val="00DC6FD7"/>
    <w:rsid w:val="00DD0020"/>
    <w:rsid w:val="00DD0F50"/>
    <w:rsid w:val="00DD19F9"/>
    <w:rsid w:val="00DD1A1B"/>
    <w:rsid w:val="00DD2B81"/>
    <w:rsid w:val="00DD2DBA"/>
    <w:rsid w:val="00DD3B03"/>
    <w:rsid w:val="00DD4A75"/>
    <w:rsid w:val="00DD4C35"/>
    <w:rsid w:val="00DD5782"/>
    <w:rsid w:val="00DD5ADA"/>
    <w:rsid w:val="00DD71C4"/>
    <w:rsid w:val="00DD7401"/>
    <w:rsid w:val="00DD749F"/>
    <w:rsid w:val="00DDA787"/>
    <w:rsid w:val="00DE1277"/>
    <w:rsid w:val="00DE1D40"/>
    <w:rsid w:val="00DE2D08"/>
    <w:rsid w:val="00DE48A4"/>
    <w:rsid w:val="00DE4B94"/>
    <w:rsid w:val="00DF0CE8"/>
    <w:rsid w:val="00DF151D"/>
    <w:rsid w:val="00DF19CF"/>
    <w:rsid w:val="00DF203D"/>
    <w:rsid w:val="00DF2DDE"/>
    <w:rsid w:val="00DF324F"/>
    <w:rsid w:val="00DF3665"/>
    <w:rsid w:val="00DF3BBD"/>
    <w:rsid w:val="00DF4096"/>
    <w:rsid w:val="00DF4270"/>
    <w:rsid w:val="00DF516E"/>
    <w:rsid w:val="00DF58E7"/>
    <w:rsid w:val="00DF63B3"/>
    <w:rsid w:val="00DF68CD"/>
    <w:rsid w:val="00DF6C0B"/>
    <w:rsid w:val="00DF6D43"/>
    <w:rsid w:val="00DF7284"/>
    <w:rsid w:val="00DF7EBE"/>
    <w:rsid w:val="00E006A6"/>
    <w:rsid w:val="00E00B0B"/>
    <w:rsid w:val="00E00F26"/>
    <w:rsid w:val="00E00FAD"/>
    <w:rsid w:val="00E0264D"/>
    <w:rsid w:val="00E02714"/>
    <w:rsid w:val="00E029C0"/>
    <w:rsid w:val="00E02DF9"/>
    <w:rsid w:val="00E0379A"/>
    <w:rsid w:val="00E03FC2"/>
    <w:rsid w:val="00E04555"/>
    <w:rsid w:val="00E06694"/>
    <w:rsid w:val="00E07098"/>
    <w:rsid w:val="00E1015F"/>
    <w:rsid w:val="00E1025B"/>
    <w:rsid w:val="00E103D6"/>
    <w:rsid w:val="00E1059A"/>
    <w:rsid w:val="00E107AA"/>
    <w:rsid w:val="00E11876"/>
    <w:rsid w:val="00E11AF2"/>
    <w:rsid w:val="00E11DFB"/>
    <w:rsid w:val="00E12CC1"/>
    <w:rsid w:val="00E13D6F"/>
    <w:rsid w:val="00E13FE3"/>
    <w:rsid w:val="00E1458A"/>
    <w:rsid w:val="00E14C1A"/>
    <w:rsid w:val="00E152E5"/>
    <w:rsid w:val="00E15635"/>
    <w:rsid w:val="00E159B9"/>
    <w:rsid w:val="00E16778"/>
    <w:rsid w:val="00E201E9"/>
    <w:rsid w:val="00E211BC"/>
    <w:rsid w:val="00E22B8D"/>
    <w:rsid w:val="00E22F0E"/>
    <w:rsid w:val="00E23CBB"/>
    <w:rsid w:val="00E24492"/>
    <w:rsid w:val="00E264C5"/>
    <w:rsid w:val="00E269C3"/>
    <w:rsid w:val="00E26C3F"/>
    <w:rsid w:val="00E27E2D"/>
    <w:rsid w:val="00E30D12"/>
    <w:rsid w:val="00E31719"/>
    <w:rsid w:val="00E31771"/>
    <w:rsid w:val="00E32234"/>
    <w:rsid w:val="00E32952"/>
    <w:rsid w:val="00E32F01"/>
    <w:rsid w:val="00E32FF5"/>
    <w:rsid w:val="00E3374B"/>
    <w:rsid w:val="00E3375B"/>
    <w:rsid w:val="00E3382F"/>
    <w:rsid w:val="00E352F3"/>
    <w:rsid w:val="00E35666"/>
    <w:rsid w:val="00E35E8F"/>
    <w:rsid w:val="00E368D6"/>
    <w:rsid w:val="00E37B59"/>
    <w:rsid w:val="00E4099E"/>
    <w:rsid w:val="00E41115"/>
    <w:rsid w:val="00E41250"/>
    <w:rsid w:val="00E421CF"/>
    <w:rsid w:val="00E423F0"/>
    <w:rsid w:val="00E427B5"/>
    <w:rsid w:val="00E42B80"/>
    <w:rsid w:val="00E44CED"/>
    <w:rsid w:val="00E44DA0"/>
    <w:rsid w:val="00E457F7"/>
    <w:rsid w:val="00E45E00"/>
    <w:rsid w:val="00E46235"/>
    <w:rsid w:val="00E46A6D"/>
    <w:rsid w:val="00E51610"/>
    <w:rsid w:val="00E51D4E"/>
    <w:rsid w:val="00E5299C"/>
    <w:rsid w:val="00E53438"/>
    <w:rsid w:val="00E5426D"/>
    <w:rsid w:val="00E5572F"/>
    <w:rsid w:val="00E55C9B"/>
    <w:rsid w:val="00E5603D"/>
    <w:rsid w:val="00E56CEE"/>
    <w:rsid w:val="00E56F58"/>
    <w:rsid w:val="00E57FBC"/>
    <w:rsid w:val="00E60E69"/>
    <w:rsid w:val="00E618D3"/>
    <w:rsid w:val="00E619F4"/>
    <w:rsid w:val="00E62AA4"/>
    <w:rsid w:val="00E63135"/>
    <w:rsid w:val="00E637B1"/>
    <w:rsid w:val="00E63E7F"/>
    <w:rsid w:val="00E63EC6"/>
    <w:rsid w:val="00E661AE"/>
    <w:rsid w:val="00E66EBE"/>
    <w:rsid w:val="00E67D0B"/>
    <w:rsid w:val="00E67E93"/>
    <w:rsid w:val="00E70067"/>
    <w:rsid w:val="00E70ADC"/>
    <w:rsid w:val="00E717EC"/>
    <w:rsid w:val="00E721A0"/>
    <w:rsid w:val="00E725FC"/>
    <w:rsid w:val="00E743BD"/>
    <w:rsid w:val="00E7497A"/>
    <w:rsid w:val="00E75C9A"/>
    <w:rsid w:val="00E763BA"/>
    <w:rsid w:val="00E76959"/>
    <w:rsid w:val="00E76EE5"/>
    <w:rsid w:val="00E77694"/>
    <w:rsid w:val="00E77754"/>
    <w:rsid w:val="00E80C54"/>
    <w:rsid w:val="00E80FB2"/>
    <w:rsid w:val="00E81F9D"/>
    <w:rsid w:val="00E82112"/>
    <w:rsid w:val="00E837C1"/>
    <w:rsid w:val="00E83FB3"/>
    <w:rsid w:val="00E84FBF"/>
    <w:rsid w:val="00E85128"/>
    <w:rsid w:val="00E86056"/>
    <w:rsid w:val="00E86233"/>
    <w:rsid w:val="00E86D0A"/>
    <w:rsid w:val="00E87635"/>
    <w:rsid w:val="00E91F10"/>
    <w:rsid w:val="00E9316C"/>
    <w:rsid w:val="00E947A1"/>
    <w:rsid w:val="00E94D4B"/>
    <w:rsid w:val="00E94FF7"/>
    <w:rsid w:val="00E955D0"/>
    <w:rsid w:val="00E95CF1"/>
    <w:rsid w:val="00EA190C"/>
    <w:rsid w:val="00EA1D3A"/>
    <w:rsid w:val="00EA2510"/>
    <w:rsid w:val="00EA36C6"/>
    <w:rsid w:val="00EA3C70"/>
    <w:rsid w:val="00EA4BF6"/>
    <w:rsid w:val="00EA4F7C"/>
    <w:rsid w:val="00EA6B79"/>
    <w:rsid w:val="00EB0335"/>
    <w:rsid w:val="00EB157B"/>
    <w:rsid w:val="00EB270A"/>
    <w:rsid w:val="00EB29DE"/>
    <w:rsid w:val="00EB2E05"/>
    <w:rsid w:val="00EB5FEF"/>
    <w:rsid w:val="00EB6016"/>
    <w:rsid w:val="00EB648E"/>
    <w:rsid w:val="00EB7713"/>
    <w:rsid w:val="00EB7FCC"/>
    <w:rsid w:val="00EC09C8"/>
    <w:rsid w:val="00EC2C0E"/>
    <w:rsid w:val="00EC30F9"/>
    <w:rsid w:val="00EC362B"/>
    <w:rsid w:val="00EC3714"/>
    <w:rsid w:val="00EC3E90"/>
    <w:rsid w:val="00EC48CA"/>
    <w:rsid w:val="00EC4A00"/>
    <w:rsid w:val="00EC56FB"/>
    <w:rsid w:val="00EC5B1E"/>
    <w:rsid w:val="00EC5BE9"/>
    <w:rsid w:val="00EC75B6"/>
    <w:rsid w:val="00EC7D7E"/>
    <w:rsid w:val="00ED0CBE"/>
    <w:rsid w:val="00ED1238"/>
    <w:rsid w:val="00ED24CB"/>
    <w:rsid w:val="00ED3C41"/>
    <w:rsid w:val="00ED4365"/>
    <w:rsid w:val="00ED5725"/>
    <w:rsid w:val="00ED7031"/>
    <w:rsid w:val="00ED7036"/>
    <w:rsid w:val="00ED7551"/>
    <w:rsid w:val="00ED76D2"/>
    <w:rsid w:val="00ED79D5"/>
    <w:rsid w:val="00EE1CBD"/>
    <w:rsid w:val="00EE22AC"/>
    <w:rsid w:val="00EE3060"/>
    <w:rsid w:val="00EE392B"/>
    <w:rsid w:val="00EE4315"/>
    <w:rsid w:val="00EE43CF"/>
    <w:rsid w:val="00EE60C4"/>
    <w:rsid w:val="00EF0B59"/>
    <w:rsid w:val="00EF12B5"/>
    <w:rsid w:val="00EF16C5"/>
    <w:rsid w:val="00EF1883"/>
    <w:rsid w:val="00EF29DA"/>
    <w:rsid w:val="00EF2D3B"/>
    <w:rsid w:val="00EF36AB"/>
    <w:rsid w:val="00EF3724"/>
    <w:rsid w:val="00EF5ED2"/>
    <w:rsid w:val="00EF637E"/>
    <w:rsid w:val="00EF645D"/>
    <w:rsid w:val="00EF6925"/>
    <w:rsid w:val="00EF6A6D"/>
    <w:rsid w:val="00EF75FD"/>
    <w:rsid w:val="00F0066B"/>
    <w:rsid w:val="00F00F21"/>
    <w:rsid w:val="00F00FF8"/>
    <w:rsid w:val="00F01984"/>
    <w:rsid w:val="00F01E9A"/>
    <w:rsid w:val="00F02DB3"/>
    <w:rsid w:val="00F033A0"/>
    <w:rsid w:val="00F03AC5"/>
    <w:rsid w:val="00F04189"/>
    <w:rsid w:val="00F0536C"/>
    <w:rsid w:val="00F05695"/>
    <w:rsid w:val="00F06A17"/>
    <w:rsid w:val="00F06C8F"/>
    <w:rsid w:val="00F06D6E"/>
    <w:rsid w:val="00F06E45"/>
    <w:rsid w:val="00F06FAB"/>
    <w:rsid w:val="00F07209"/>
    <w:rsid w:val="00F12372"/>
    <w:rsid w:val="00F12843"/>
    <w:rsid w:val="00F12F11"/>
    <w:rsid w:val="00F14FC4"/>
    <w:rsid w:val="00F151F8"/>
    <w:rsid w:val="00F1560F"/>
    <w:rsid w:val="00F15FCC"/>
    <w:rsid w:val="00F16095"/>
    <w:rsid w:val="00F17809"/>
    <w:rsid w:val="00F17D6C"/>
    <w:rsid w:val="00F21B4C"/>
    <w:rsid w:val="00F21E89"/>
    <w:rsid w:val="00F22128"/>
    <w:rsid w:val="00F226F8"/>
    <w:rsid w:val="00F22D77"/>
    <w:rsid w:val="00F231B4"/>
    <w:rsid w:val="00F2345E"/>
    <w:rsid w:val="00F23679"/>
    <w:rsid w:val="00F23E93"/>
    <w:rsid w:val="00F240E9"/>
    <w:rsid w:val="00F240EA"/>
    <w:rsid w:val="00F26ED3"/>
    <w:rsid w:val="00F302C6"/>
    <w:rsid w:val="00F31C34"/>
    <w:rsid w:val="00F31F8E"/>
    <w:rsid w:val="00F32441"/>
    <w:rsid w:val="00F3291D"/>
    <w:rsid w:val="00F33E9C"/>
    <w:rsid w:val="00F342E7"/>
    <w:rsid w:val="00F34716"/>
    <w:rsid w:val="00F34A3D"/>
    <w:rsid w:val="00F367A9"/>
    <w:rsid w:val="00F379C7"/>
    <w:rsid w:val="00F4094B"/>
    <w:rsid w:val="00F41585"/>
    <w:rsid w:val="00F418DB"/>
    <w:rsid w:val="00F41DAA"/>
    <w:rsid w:val="00F422A6"/>
    <w:rsid w:val="00F42BEB"/>
    <w:rsid w:val="00F42FEE"/>
    <w:rsid w:val="00F43476"/>
    <w:rsid w:val="00F466B4"/>
    <w:rsid w:val="00F46947"/>
    <w:rsid w:val="00F51997"/>
    <w:rsid w:val="00F52BD5"/>
    <w:rsid w:val="00F5417E"/>
    <w:rsid w:val="00F55B2B"/>
    <w:rsid w:val="00F60CD8"/>
    <w:rsid w:val="00F60CFD"/>
    <w:rsid w:val="00F610BE"/>
    <w:rsid w:val="00F61610"/>
    <w:rsid w:val="00F620B9"/>
    <w:rsid w:val="00F62113"/>
    <w:rsid w:val="00F62B7A"/>
    <w:rsid w:val="00F6397D"/>
    <w:rsid w:val="00F64CA7"/>
    <w:rsid w:val="00F64FDC"/>
    <w:rsid w:val="00F65319"/>
    <w:rsid w:val="00F65559"/>
    <w:rsid w:val="00F675A2"/>
    <w:rsid w:val="00F67C91"/>
    <w:rsid w:val="00F7003E"/>
    <w:rsid w:val="00F70511"/>
    <w:rsid w:val="00F70BE1"/>
    <w:rsid w:val="00F70C39"/>
    <w:rsid w:val="00F71B1D"/>
    <w:rsid w:val="00F7293E"/>
    <w:rsid w:val="00F72E44"/>
    <w:rsid w:val="00F72F43"/>
    <w:rsid w:val="00F74298"/>
    <w:rsid w:val="00F74DBC"/>
    <w:rsid w:val="00F76650"/>
    <w:rsid w:val="00F7724F"/>
    <w:rsid w:val="00F80B8C"/>
    <w:rsid w:val="00F80F2F"/>
    <w:rsid w:val="00F810F6"/>
    <w:rsid w:val="00F810FC"/>
    <w:rsid w:val="00F81F29"/>
    <w:rsid w:val="00F81FA9"/>
    <w:rsid w:val="00F84352"/>
    <w:rsid w:val="00F84A0A"/>
    <w:rsid w:val="00F85856"/>
    <w:rsid w:val="00F85D31"/>
    <w:rsid w:val="00F86360"/>
    <w:rsid w:val="00F8732C"/>
    <w:rsid w:val="00F873C0"/>
    <w:rsid w:val="00F87F38"/>
    <w:rsid w:val="00F905AC"/>
    <w:rsid w:val="00F910C1"/>
    <w:rsid w:val="00F9187B"/>
    <w:rsid w:val="00F91A93"/>
    <w:rsid w:val="00F92385"/>
    <w:rsid w:val="00F937B5"/>
    <w:rsid w:val="00F93AFD"/>
    <w:rsid w:val="00F93DF5"/>
    <w:rsid w:val="00F94780"/>
    <w:rsid w:val="00F95013"/>
    <w:rsid w:val="00F9519D"/>
    <w:rsid w:val="00F953AD"/>
    <w:rsid w:val="00F95DA8"/>
    <w:rsid w:val="00F967B6"/>
    <w:rsid w:val="00F968D8"/>
    <w:rsid w:val="00F972BF"/>
    <w:rsid w:val="00F97A52"/>
    <w:rsid w:val="00FA1494"/>
    <w:rsid w:val="00FA1B4F"/>
    <w:rsid w:val="00FA1F11"/>
    <w:rsid w:val="00FA240A"/>
    <w:rsid w:val="00FA3375"/>
    <w:rsid w:val="00FA38C3"/>
    <w:rsid w:val="00FA4E45"/>
    <w:rsid w:val="00FA5509"/>
    <w:rsid w:val="00FA5536"/>
    <w:rsid w:val="00FA65C5"/>
    <w:rsid w:val="00FA65F2"/>
    <w:rsid w:val="00FA7300"/>
    <w:rsid w:val="00FA7A28"/>
    <w:rsid w:val="00FA7D60"/>
    <w:rsid w:val="00FB0EEA"/>
    <w:rsid w:val="00FB0FC3"/>
    <w:rsid w:val="00FB2D0F"/>
    <w:rsid w:val="00FB2D55"/>
    <w:rsid w:val="00FB355C"/>
    <w:rsid w:val="00FB40B5"/>
    <w:rsid w:val="00FB4907"/>
    <w:rsid w:val="00FB4F3E"/>
    <w:rsid w:val="00FB538D"/>
    <w:rsid w:val="00FB560C"/>
    <w:rsid w:val="00FB5B9F"/>
    <w:rsid w:val="00FB638E"/>
    <w:rsid w:val="00FC0659"/>
    <w:rsid w:val="00FC1532"/>
    <w:rsid w:val="00FC1CDB"/>
    <w:rsid w:val="00FC2902"/>
    <w:rsid w:val="00FC2B5B"/>
    <w:rsid w:val="00FC2EC7"/>
    <w:rsid w:val="00FC2FCA"/>
    <w:rsid w:val="00FC39F2"/>
    <w:rsid w:val="00FC426C"/>
    <w:rsid w:val="00FC47F9"/>
    <w:rsid w:val="00FC4B2B"/>
    <w:rsid w:val="00FC4C11"/>
    <w:rsid w:val="00FC5F11"/>
    <w:rsid w:val="00FC696D"/>
    <w:rsid w:val="00FC6B69"/>
    <w:rsid w:val="00FC735A"/>
    <w:rsid w:val="00FC75DE"/>
    <w:rsid w:val="00FC7B95"/>
    <w:rsid w:val="00FCD6FC"/>
    <w:rsid w:val="00FD0440"/>
    <w:rsid w:val="00FD0AC9"/>
    <w:rsid w:val="00FD143A"/>
    <w:rsid w:val="00FD148A"/>
    <w:rsid w:val="00FD20D8"/>
    <w:rsid w:val="00FD30B1"/>
    <w:rsid w:val="00FD321F"/>
    <w:rsid w:val="00FD440B"/>
    <w:rsid w:val="00FD5139"/>
    <w:rsid w:val="00FD6987"/>
    <w:rsid w:val="00FD6DBB"/>
    <w:rsid w:val="00FD7F30"/>
    <w:rsid w:val="00FE0B53"/>
    <w:rsid w:val="00FE0EEA"/>
    <w:rsid w:val="00FE1633"/>
    <w:rsid w:val="00FE1A03"/>
    <w:rsid w:val="00FE2351"/>
    <w:rsid w:val="00FE337D"/>
    <w:rsid w:val="00FE350D"/>
    <w:rsid w:val="00FE4219"/>
    <w:rsid w:val="00FE4B4A"/>
    <w:rsid w:val="00FE5580"/>
    <w:rsid w:val="00FE56F8"/>
    <w:rsid w:val="00FE5ECA"/>
    <w:rsid w:val="00FE60DC"/>
    <w:rsid w:val="00FE6670"/>
    <w:rsid w:val="00FE68C2"/>
    <w:rsid w:val="00FE6AA0"/>
    <w:rsid w:val="00FE7237"/>
    <w:rsid w:val="00FF0D41"/>
    <w:rsid w:val="00FF110C"/>
    <w:rsid w:val="00FF2A79"/>
    <w:rsid w:val="00FF2C83"/>
    <w:rsid w:val="00FF34E9"/>
    <w:rsid w:val="00FF3530"/>
    <w:rsid w:val="00FF46D0"/>
    <w:rsid w:val="00FF4AD4"/>
    <w:rsid w:val="00FF5417"/>
    <w:rsid w:val="00FF5C20"/>
    <w:rsid w:val="00FF7C69"/>
    <w:rsid w:val="00FF7F31"/>
    <w:rsid w:val="011F69C8"/>
    <w:rsid w:val="0120A7A2"/>
    <w:rsid w:val="013873AC"/>
    <w:rsid w:val="01396C4D"/>
    <w:rsid w:val="0151CF07"/>
    <w:rsid w:val="01585626"/>
    <w:rsid w:val="015962D5"/>
    <w:rsid w:val="0159925D"/>
    <w:rsid w:val="0168AB3A"/>
    <w:rsid w:val="01799FCB"/>
    <w:rsid w:val="017C6482"/>
    <w:rsid w:val="018E013D"/>
    <w:rsid w:val="01A39071"/>
    <w:rsid w:val="01A83EE9"/>
    <w:rsid w:val="01ABBD18"/>
    <w:rsid w:val="01B9F361"/>
    <w:rsid w:val="01C50866"/>
    <w:rsid w:val="01D316D5"/>
    <w:rsid w:val="01D8496B"/>
    <w:rsid w:val="01EC9409"/>
    <w:rsid w:val="0200BFEB"/>
    <w:rsid w:val="020317CF"/>
    <w:rsid w:val="02160AE1"/>
    <w:rsid w:val="0217BA39"/>
    <w:rsid w:val="021CB379"/>
    <w:rsid w:val="02230CE5"/>
    <w:rsid w:val="023B3208"/>
    <w:rsid w:val="023C8EC9"/>
    <w:rsid w:val="024A3216"/>
    <w:rsid w:val="024FE7B0"/>
    <w:rsid w:val="025910B1"/>
    <w:rsid w:val="025DEB55"/>
    <w:rsid w:val="0263EAA8"/>
    <w:rsid w:val="026E1941"/>
    <w:rsid w:val="026F74A5"/>
    <w:rsid w:val="027004AF"/>
    <w:rsid w:val="0278B006"/>
    <w:rsid w:val="028105B4"/>
    <w:rsid w:val="02867C1B"/>
    <w:rsid w:val="0287C9F6"/>
    <w:rsid w:val="0287F741"/>
    <w:rsid w:val="028AD93A"/>
    <w:rsid w:val="028D62FE"/>
    <w:rsid w:val="028E8B30"/>
    <w:rsid w:val="02949B9A"/>
    <w:rsid w:val="02989373"/>
    <w:rsid w:val="029EDC30"/>
    <w:rsid w:val="02A56582"/>
    <w:rsid w:val="02A65517"/>
    <w:rsid w:val="02B07BCB"/>
    <w:rsid w:val="02D3BEC3"/>
    <w:rsid w:val="02E3C024"/>
    <w:rsid w:val="02F0C109"/>
    <w:rsid w:val="02F52598"/>
    <w:rsid w:val="02F8CDE2"/>
    <w:rsid w:val="030320EF"/>
    <w:rsid w:val="0315C57F"/>
    <w:rsid w:val="03213BA0"/>
    <w:rsid w:val="03246740"/>
    <w:rsid w:val="033C388B"/>
    <w:rsid w:val="03420C58"/>
    <w:rsid w:val="0355FF78"/>
    <w:rsid w:val="0363BDFE"/>
    <w:rsid w:val="03743F3E"/>
    <w:rsid w:val="0378153B"/>
    <w:rsid w:val="0380AADC"/>
    <w:rsid w:val="038BF3B0"/>
    <w:rsid w:val="03AD8133"/>
    <w:rsid w:val="03B4BE49"/>
    <w:rsid w:val="03D32FAE"/>
    <w:rsid w:val="03E36466"/>
    <w:rsid w:val="03E730DD"/>
    <w:rsid w:val="03F194D4"/>
    <w:rsid w:val="03F1D0EB"/>
    <w:rsid w:val="03F6E82D"/>
    <w:rsid w:val="03F6EC20"/>
    <w:rsid w:val="03F9B93F"/>
    <w:rsid w:val="04071554"/>
    <w:rsid w:val="0409F2E4"/>
    <w:rsid w:val="042D2C04"/>
    <w:rsid w:val="0430A277"/>
    <w:rsid w:val="043B0B8D"/>
    <w:rsid w:val="043B5240"/>
    <w:rsid w:val="0441C0DA"/>
    <w:rsid w:val="04507BD2"/>
    <w:rsid w:val="0457B511"/>
    <w:rsid w:val="045DB7B0"/>
    <w:rsid w:val="045E9DA1"/>
    <w:rsid w:val="0466E7B3"/>
    <w:rsid w:val="046D5C6F"/>
    <w:rsid w:val="04772F58"/>
    <w:rsid w:val="0477A8F4"/>
    <w:rsid w:val="047C25C4"/>
    <w:rsid w:val="04882226"/>
    <w:rsid w:val="048FA7C9"/>
    <w:rsid w:val="049ED3F4"/>
    <w:rsid w:val="04B4BE1A"/>
    <w:rsid w:val="04CD46FC"/>
    <w:rsid w:val="04D0830F"/>
    <w:rsid w:val="04E1FDEF"/>
    <w:rsid w:val="04E97245"/>
    <w:rsid w:val="04E9D26B"/>
    <w:rsid w:val="04EF1EAA"/>
    <w:rsid w:val="050532C9"/>
    <w:rsid w:val="0507663A"/>
    <w:rsid w:val="050CFC4C"/>
    <w:rsid w:val="050D7167"/>
    <w:rsid w:val="050F552D"/>
    <w:rsid w:val="051CEF4E"/>
    <w:rsid w:val="051F0C71"/>
    <w:rsid w:val="0531C652"/>
    <w:rsid w:val="0559457E"/>
    <w:rsid w:val="055957AB"/>
    <w:rsid w:val="056880AC"/>
    <w:rsid w:val="056A0A86"/>
    <w:rsid w:val="056C96FD"/>
    <w:rsid w:val="057B937D"/>
    <w:rsid w:val="057DA849"/>
    <w:rsid w:val="0583890C"/>
    <w:rsid w:val="0586C682"/>
    <w:rsid w:val="05A06F2E"/>
    <w:rsid w:val="05A32EF3"/>
    <w:rsid w:val="05A55DFC"/>
    <w:rsid w:val="05B0380B"/>
    <w:rsid w:val="05B74BE5"/>
    <w:rsid w:val="05C4E1B5"/>
    <w:rsid w:val="05D132F8"/>
    <w:rsid w:val="05D41E95"/>
    <w:rsid w:val="05DA3B78"/>
    <w:rsid w:val="05E0C4E4"/>
    <w:rsid w:val="05E49680"/>
    <w:rsid w:val="05E957F3"/>
    <w:rsid w:val="05EB5DB0"/>
    <w:rsid w:val="05ED4949"/>
    <w:rsid w:val="05F88216"/>
    <w:rsid w:val="05FB83B5"/>
    <w:rsid w:val="060F3D69"/>
    <w:rsid w:val="061F1264"/>
    <w:rsid w:val="062088F9"/>
    <w:rsid w:val="062A63B3"/>
    <w:rsid w:val="062CAFE1"/>
    <w:rsid w:val="06322C6D"/>
    <w:rsid w:val="063652EA"/>
    <w:rsid w:val="0644BF39"/>
    <w:rsid w:val="0647CB76"/>
    <w:rsid w:val="06496AC9"/>
    <w:rsid w:val="06606A2E"/>
    <w:rsid w:val="066F8AEA"/>
    <w:rsid w:val="06AC998E"/>
    <w:rsid w:val="06C177AE"/>
    <w:rsid w:val="06D7D11B"/>
    <w:rsid w:val="06E150EA"/>
    <w:rsid w:val="06EA2F99"/>
    <w:rsid w:val="06EEBCC6"/>
    <w:rsid w:val="06F0FCA1"/>
    <w:rsid w:val="0713FBB1"/>
    <w:rsid w:val="072A78E6"/>
    <w:rsid w:val="072CBF69"/>
    <w:rsid w:val="072F758A"/>
    <w:rsid w:val="07331717"/>
    <w:rsid w:val="07472AD3"/>
    <w:rsid w:val="07507078"/>
    <w:rsid w:val="075287C0"/>
    <w:rsid w:val="075398FB"/>
    <w:rsid w:val="076004C6"/>
    <w:rsid w:val="07621222"/>
    <w:rsid w:val="076557DE"/>
    <w:rsid w:val="076C33A4"/>
    <w:rsid w:val="0773284C"/>
    <w:rsid w:val="0778A7E8"/>
    <w:rsid w:val="0785F3A0"/>
    <w:rsid w:val="078EFC1D"/>
    <w:rsid w:val="07978AFB"/>
    <w:rsid w:val="079975B3"/>
    <w:rsid w:val="079A3129"/>
    <w:rsid w:val="07A36FA4"/>
    <w:rsid w:val="07AD74ED"/>
    <w:rsid w:val="07B03201"/>
    <w:rsid w:val="07B9D6F6"/>
    <w:rsid w:val="07BCB75F"/>
    <w:rsid w:val="07BCC657"/>
    <w:rsid w:val="07C12531"/>
    <w:rsid w:val="07C1EE41"/>
    <w:rsid w:val="07C6BAC3"/>
    <w:rsid w:val="07C9732B"/>
    <w:rsid w:val="07D4EDC9"/>
    <w:rsid w:val="07F2B6C4"/>
    <w:rsid w:val="080CEB85"/>
    <w:rsid w:val="081112B6"/>
    <w:rsid w:val="08143AD7"/>
    <w:rsid w:val="082260C4"/>
    <w:rsid w:val="08313ED7"/>
    <w:rsid w:val="083F37B8"/>
    <w:rsid w:val="08635AFF"/>
    <w:rsid w:val="086F97B3"/>
    <w:rsid w:val="087B0E6D"/>
    <w:rsid w:val="087C3678"/>
    <w:rsid w:val="08A2A0DC"/>
    <w:rsid w:val="08C6314D"/>
    <w:rsid w:val="08CC5868"/>
    <w:rsid w:val="08CD4399"/>
    <w:rsid w:val="08CFB9D5"/>
    <w:rsid w:val="08F50EB0"/>
    <w:rsid w:val="08FB936E"/>
    <w:rsid w:val="08FCA376"/>
    <w:rsid w:val="0912EEE8"/>
    <w:rsid w:val="0914E167"/>
    <w:rsid w:val="0926F6DE"/>
    <w:rsid w:val="0927B419"/>
    <w:rsid w:val="092D4164"/>
    <w:rsid w:val="093685A0"/>
    <w:rsid w:val="0939DEE8"/>
    <w:rsid w:val="093C7062"/>
    <w:rsid w:val="094F2914"/>
    <w:rsid w:val="096C11D6"/>
    <w:rsid w:val="09700B81"/>
    <w:rsid w:val="0985469D"/>
    <w:rsid w:val="098CC03B"/>
    <w:rsid w:val="099D0C57"/>
    <w:rsid w:val="09B1383A"/>
    <w:rsid w:val="09BC3CF8"/>
    <w:rsid w:val="09C2B997"/>
    <w:rsid w:val="09CEBD30"/>
    <w:rsid w:val="09D46330"/>
    <w:rsid w:val="09D9C4BF"/>
    <w:rsid w:val="09DE3132"/>
    <w:rsid w:val="09E0BD44"/>
    <w:rsid w:val="09E0F717"/>
    <w:rsid w:val="09EB1175"/>
    <w:rsid w:val="09F27EBF"/>
    <w:rsid w:val="09F95426"/>
    <w:rsid w:val="09FA8066"/>
    <w:rsid w:val="0A107885"/>
    <w:rsid w:val="0A179B6A"/>
    <w:rsid w:val="0A3C331D"/>
    <w:rsid w:val="0A4111D2"/>
    <w:rsid w:val="0A46170C"/>
    <w:rsid w:val="0A5935E7"/>
    <w:rsid w:val="0A5B3DFB"/>
    <w:rsid w:val="0A901140"/>
    <w:rsid w:val="0AA4438A"/>
    <w:rsid w:val="0AA8B9DF"/>
    <w:rsid w:val="0AAE4FC5"/>
    <w:rsid w:val="0ABFBA75"/>
    <w:rsid w:val="0AD9870E"/>
    <w:rsid w:val="0AE61196"/>
    <w:rsid w:val="0AED18FF"/>
    <w:rsid w:val="0AED64BE"/>
    <w:rsid w:val="0B0193C2"/>
    <w:rsid w:val="0B052E94"/>
    <w:rsid w:val="0B14201F"/>
    <w:rsid w:val="0B176DDA"/>
    <w:rsid w:val="0B17BC3E"/>
    <w:rsid w:val="0B1920BB"/>
    <w:rsid w:val="0B19411F"/>
    <w:rsid w:val="0B1B6CC1"/>
    <w:rsid w:val="0B34817E"/>
    <w:rsid w:val="0B3D684A"/>
    <w:rsid w:val="0B4A6798"/>
    <w:rsid w:val="0B4EF10F"/>
    <w:rsid w:val="0B597913"/>
    <w:rsid w:val="0B5D00CB"/>
    <w:rsid w:val="0B622312"/>
    <w:rsid w:val="0B7BEA1E"/>
    <w:rsid w:val="0B92F760"/>
    <w:rsid w:val="0B937810"/>
    <w:rsid w:val="0B99B394"/>
    <w:rsid w:val="0BA3A9E6"/>
    <w:rsid w:val="0BDAB523"/>
    <w:rsid w:val="0BDEC528"/>
    <w:rsid w:val="0BE69B49"/>
    <w:rsid w:val="0BEEBD69"/>
    <w:rsid w:val="0C224541"/>
    <w:rsid w:val="0C265C46"/>
    <w:rsid w:val="0C2A4512"/>
    <w:rsid w:val="0C2E03D8"/>
    <w:rsid w:val="0C39F2A6"/>
    <w:rsid w:val="0C5599BB"/>
    <w:rsid w:val="0C5E47EC"/>
    <w:rsid w:val="0C7B65AF"/>
    <w:rsid w:val="0C8B49DD"/>
    <w:rsid w:val="0C9E87B8"/>
    <w:rsid w:val="0C9F9EF3"/>
    <w:rsid w:val="0CB227A2"/>
    <w:rsid w:val="0CB40D78"/>
    <w:rsid w:val="0CC1AC2C"/>
    <w:rsid w:val="0CC30C27"/>
    <w:rsid w:val="0CC69E52"/>
    <w:rsid w:val="0CC6C65F"/>
    <w:rsid w:val="0CC968EF"/>
    <w:rsid w:val="0CDAB590"/>
    <w:rsid w:val="0CE30AD7"/>
    <w:rsid w:val="0CE721F3"/>
    <w:rsid w:val="0CE7FE95"/>
    <w:rsid w:val="0CE837E2"/>
    <w:rsid w:val="0D120066"/>
    <w:rsid w:val="0D20F5D6"/>
    <w:rsid w:val="0D2C78D5"/>
    <w:rsid w:val="0D43CCD4"/>
    <w:rsid w:val="0D4E12C0"/>
    <w:rsid w:val="0D4FFC49"/>
    <w:rsid w:val="0D5CB797"/>
    <w:rsid w:val="0D7F2C8F"/>
    <w:rsid w:val="0D7FB8D5"/>
    <w:rsid w:val="0D8269C5"/>
    <w:rsid w:val="0DA111F4"/>
    <w:rsid w:val="0DAC1913"/>
    <w:rsid w:val="0DBA596D"/>
    <w:rsid w:val="0DC43436"/>
    <w:rsid w:val="0DCA47F7"/>
    <w:rsid w:val="0DD2A5DB"/>
    <w:rsid w:val="0DEB5DDE"/>
    <w:rsid w:val="0DED3F1D"/>
    <w:rsid w:val="0E104276"/>
    <w:rsid w:val="0E193AD5"/>
    <w:rsid w:val="0E2EBB91"/>
    <w:rsid w:val="0E37E7DE"/>
    <w:rsid w:val="0E3F4557"/>
    <w:rsid w:val="0E4B1ACC"/>
    <w:rsid w:val="0E52461A"/>
    <w:rsid w:val="0E597082"/>
    <w:rsid w:val="0E607C2B"/>
    <w:rsid w:val="0E64AB7E"/>
    <w:rsid w:val="0E660559"/>
    <w:rsid w:val="0E68041E"/>
    <w:rsid w:val="0E68A1B5"/>
    <w:rsid w:val="0E69EADC"/>
    <w:rsid w:val="0E7A3681"/>
    <w:rsid w:val="0E8733EA"/>
    <w:rsid w:val="0E8A999C"/>
    <w:rsid w:val="0E9D20FF"/>
    <w:rsid w:val="0EA3F315"/>
    <w:rsid w:val="0EA7370B"/>
    <w:rsid w:val="0EA97EED"/>
    <w:rsid w:val="0EAD213F"/>
    <w:rsid w:val="0EB2B8EF"/>
    <w:rsid w:val="0EC311AA"/>
    <w:rsid w:val="0EE3911E"/>
    <w:rsid w:val="0EE4686A"/>
    <w:rsid w:val="0EEEED0C"/>
    <w:rsid w:val="0EF1DACF"/>
    <w:rsid w:val="0F0B28A0"/>
    <w:rsid w:val="0F13ABB3"/>
    <w:rsid w:val="0F1D86B6"/>
    <w:rsid w:val="0F1DB2CA"/>
    <w:rsid w:val="0F26C6CA"/>
    <w:rsid w:val="0F31F2D7"/>
    <w:rsid w:val="0F46086C"/>
    <w:rsid w:val="0F6C6F90"/>
    <w:rsid w:val="0F75D64C"/>
    <w:rsid w:val="0F760D24"/>
    <w:rsid w:val="0F8787D9"/>
    <w:rsid w:val="0F9D36E5"/>
    <w:rsid w:val="0F9EF0F4"/>
    <w:rsid w:val="0FA40916"/>
    <w:rsid w:val="0FA864CC"/>
    <w:rsid w:val="0FB5E343"/>
    <w:rsid w:val="0FC1ECA4"/>
    <w:rsid w:val="0FCF5F2F"/>
    <w:rsid w:val="0FD53D24"/>
    <w:rsid w:val="0FD5725C"/>
    <w:rsid w:val="0FD59715"/>
    <w:rsid w:val="0FD5B7C9"/>
    <w:rsid w:val="0FD603E8"/>
    <w:rsid w:val="0FD7380F"/>
    <w:rsid w:val="0FD7ED71"/>
    <w:rsid w:val="0FD8A632"/>
    <w:rsid w:val="0FEACAF0"/>
    <w:rsid w:val="0FFDBE14"/>
    <w:rsid w:val="100EAAC2"/>
    <w:rsid w:val="10137AE7"/>
    <w:rsid w:val="10165F66"/>
    <w:rsid w:val="1044695A"/>
    <w:rsid w:val="1046FAF1"/>
    <w:rsid w:val="10532A07"/>
    <w:rsid w:val="105AE994"/>
    <w:rsid w:val="105F0D97"/>
    <w:rsid w:val="108F1377"/>
    <w:rsid w:val="1097CA54"/>
    <w:rsid w:val="109F0092"/>
    <w:rsid w:val="10A66786"/>
    <w:rsid w:val="10D87133"/>
    <w:rsid w:val="10EBBC2B"/>
    <w:rsid w:val="10EC404C"/>
    <w:rsid w:val="10EDFFE6"/>
    <w:rsid w:val="10F079DB"/>
    <w:rsid w:val="10FEA4F4"/>
    <w:rsid w:val="110589AA"/>
    <w:rsid w:val="111DBDCE"/>
    <w:rsid w:val="112F713D"/>
    <w:rsid w:val="1139A801"/>
    <w:rsid w:val="113C2158"/>
    <w:rsid w:val="1143288C"/>
    <w:rsid w:val="11478AC0"/>
    <w:rsid w:val="114F2C14"/>
    <w:rsid w:val="11556E66"/>
    <w:rsid w:val="11573B09"/>
    <w:rsid w:val="1166F523"/>
    <w:rsid w:val="116A0BD2"/>
    <w:rsid w:val="116C081C"/>
    <w:rsid w:val="117F5D00"/>
    <w:rsid w:val="1185AF0C"/>
    <w:rsid w:val="11874154"/>
    <w:rsid w:val="118BEE1E"/>
    <w:rsid w:val="118C81DF"/>
    <w:rsid w:val="118EE41D"/>
    <w:rsid w:val="11986EEF"/>
    <w:rsid w:val="11A086EB"/>
    <w:rsid w:val="11B11243"/>
    <w:rsid w:val="11BB7E17"/>
    <w:rsid w:val="11BF780B"/>
    <w:rsid w:val="11C55C4F"/>
    <w:rsid w:val="11EBB15A"/>
    <w:rsid w:val="11F0CF5D"/>
    <w:rsid w:val="11FA5D12"/>
    <w:rsid w:val="11FD9D42"/>
    <w:rsid w:val="12124CF8"/>
    <w:rsid w:val="1212FBCA"/>
    <w:rsid w:val="1213150B"/>
    <w:rsid w:val="1221F76E"/>
    <w:rsid w:val="1227D679"/>
    <w:rsid w:val="1227E24B"/>
    <w:rsid w:val="12299C7E"/>
    <w:rsid w:val="12399155"/>
    <w:rsid w:val="123B169A"/>
    <w:rsid w:val="1243E11A"/>
    <w:rsid w:val="12591E55"/>
    <w:rsid w:val="125AAEB1"/>
    <w:rsid w:val="1268C968"/>
    <w:rsid w:val="12786816"/>
    <w:rsid w:val="127F25E2"/>
    <w:rsid w:val="127F960D"/>
    <w:rsid w:val="12836859"/>
    <w:rsid w:val="12879A3B"/>
    <w:rsid w:val="1294F23A"/>
    <w:rsid w:val="12C6475E"/>
    <w:rsid w:val="12DBB2A7"/>
    <w:rsid w:val="12DC4970"/>
    <w:rsid w:val="12F4F762"/>
    <w:rsid w:val="1313DD61"/>
    <w:rsid w:val="1327C683"/>
    <w:rsid w:val="132CC4A5"/>
    <w:rsid w:val="13430C5B"/>
    <w:rsid w:val="1350B198"/>
    <w:rsid w:val="135EBE72"/>
    <w:rsid w:val="13708C07"/>
    <w:rsid w:val="1391D6FE"/>
    <w:rsid w:val="139306E1"/>
    <w:rsid w:val="139B8036"/>
    <w:rsid w:val="13AC437A"/>
    <w:rsid w:val="13B81E40"/>
    <w:rsid w:val="13B9EADD"/>
    <w:rsid w:val="13C1CD79"/>
    <w:rsid w:val="13D30AC3"/>
    <w:rsid w:val="13DDCC8F"/>
    <w:rsid w:val="13F1C66C"/>
    <w:rsid w:val="140A44B6"/>
    <w:rsid w:val="1424E41B"/>
    <w:rsid w:val="144A9722"/>
    <w:rsid w:val="145330E9"/>
    <w:rsid w:val="14554082"/>
    <w:rsid w:val="145D2273"/>
    <w:rsid w:val="1470EFDC"/>
    <w:rsid w:val="148A1B54"/>
    <w:rsid w:val="14939B31"/>
    <w:rsid w:val="149548CC"/>
    <w:rsid w:val="1495BC13"/>
    <w:rsid w:val="14A3F757"/>
    <w:rsid w:val="14A54B6A"/>
    <w:rsid w:val="14F2B3BA"/>
    <w:rsid w:val="14FED51D"/>
    <w:rsid w:val="15023ECF"/>
    <w:rsid w:val="1504F61D"/>
    <w:rsid w:val="150586D9"/>
    <w:rsid w:val="151014D4"/>
    <w:rsid w:val="151307B0"/>
    <w:rsid w:val="1513136B"/>
    <w:rsid w:val="15148F9F"/>
    <w:rsid w:val="15176C6A"/>
    <w:rsid w:val="151A3D4D"/>
    <w:rsid w:val="151BCC30"/>
    <w:rsid w:val="152229DE"/>
    <w:rsid w:val="152B7FFE"/>
    <w:rsid w:val="152E58AF"/>
    <w:rsid w:val="1547D36A"/>
    <w:rsid w:val="154D3A09"/>
    <w:rsid w:val="154D9DD4"/>
    <w:rsid w:val="155B1964"/>
    <w:rsid w:val="15635CED"/>
    <w:rsid w:val="1565E37C"/>
    <w:rsid w:val="1578FB8D"/>
    <w:rsid w:val="157DC37D"/>
    <w:rsid w:val="158267A0"/>
    <w:rsid w:val="1598E605"/>
    <w:rsid w:val="15A5BEA9"/>
    <w:rsid w:val="15A89EDD"/>
    <w:rsid w:val="15BF129A"/>
    <w:rsid w:val="15CEDBFD"/>
    <w:rsid w:val="15D2AD80"/>
    <w:rsid w:val="15ECBC45"/>
    <w:rsid w:val="160BBC15"/>
    <w:rsid w:val="1618B29C"/>
    <w:rsid w:val="1644120B"/>
    <w:rsid w:val="166F11CE"/>
    <w:rsid w:val="1672B05A"/>
    <w:rsid w:val="1676ED37"/>
    <w:rsid w:val="168B9C41"/>
    <w:rsid w:val="168F88CC"/>
    <w:rsid w:val="16921BBF"/>
    <w:rsid w:val="16B938C5"/>
    <w:rsid w:val="16C31AE9"/>
    <w:rsid w:val="16D16BF5"/>
    <w:rsid w:val="16E3EE62"/>
    <w:rsid w:val="16EC62B8"/>
    <w:rsid w:val="16F96025"/>
    <w:rsid w:val="17083D20"/>
    <w:rsid w:val="171B1116"/>
    <w:rsid w:val="17212D83"/>
    <w:rsid w:val="17253E82"/>
    <w:rsid w:val="17255F8A"/>
    <w:rsid w:val="172C581C"/>
    <w:rsid w:val="173984AC"/>
    <w:rsid w:val="173C838B"/>
    <w:rsid w:val="174322C0"/>
    <w:rsid w:val="174C3ABC"/>
    <w:rsid w:val="174CAE50"/>
    <w:rsid w:val="174D7DC7"/>
    <w:rsid w:val="175B0DBF"/>
    <w:rsid w:val="1762B395"/>
    <w:rsid w:val="176EAAC0"/>
    <w:rsid w:val="1775BCAD"/>
    <w:rsid w:val="177F55F4"/>
    <w:rsid w:val="178A2283"/>
    <w:rsid w:val="179A3FFE"/>
    <w:rsid w:val="179AEAD0"/>
    <w:rsid w:val="17AEB119"/>
    <w:rsid w:val="17B045D8"/>
    <w:rsid w:val="17B87C2B"/>
    <w:rsid w:val="17C0B639"/>
    <w:rsid w:val="17E933D4"/>
    <w:rsid w:val="17F45568"/>
    <w:rsid w:val="17F979FA"/>
    <w:rsid w:val="1803C0F9"/>
    <w:rsid w:val="18114B44"/>
    <w:rsid w:val="181359E9"/>
    <w:rsid w:val="1822B1E4"/>
    <w:rsid w:val="18266747"/>
    <w:rsid w:val="18328D54"/>
    <w:rsid w:val="1833458C"/>
    <w:rsid w:val="183E6FB0"/>
    <w:rsid w:val="183FD510"/>
    <w:rsid w:val="18449555"/>
    <w:rsid w:val="18696672"/>
    <w:rsid w:val="186E3E92"/>
    <w:rsid w:val="18779D39"/>
    <w:rsid w:val="187AAC50"/>
    <w:rsid w:val="187D4999"/>
    <w:rsid w:val="187EF767"/>
    <w:rsid w:val="189037C3"/>
    <w:rsid w:val="18A06FC8"/>
    <w:rsid w:val="18AE4FDF"/>
    <w:rsid w:val="18B1FA49"/>
    <w:rsid w:val="18B6A11D"/>
    <w:rsid w:val="18BC0EBE"/>
    <w:rsid w:val="18C2F004"/>
    <w:rsid w:val="18F895E6"/>
    <w:rsid w:val="1900FBC8"/>
    <w:rsid w:val="19035715"/>
    <w:rsid w:val="1909D26E"/>
    <w:rsid w:val="1916E38C"/>
    <w:rsid w:val="191871B0"/>
    <w:rsid w:val="191BFA3F"/>
    <w:rsid w:val="19474400"/>
    <w:rsid w:val="194EEA35"/>
    <w:rsid w:val="1951C943"/>
    <w:rsid w:val="19529DC8"/>
    <w:rsid w:val="195C5D22"/>
    <w:rsid w:val="195E92BF"/>
    <w:rsid w:val="1961775A"/>
    <w:rsid w:val="19636280"/>
    <w:rsid w:val="19638673"/>
    <w:rsid w:val="196630BC"/>
    <w:rsid w:val="1969DB65"/>
    <w:rsid w:val="196F70F9"/>
    <w:rsid w:val="19707143"/>
    <w:rsid w:val="197309AD"/>
    <w:rsid w:val="1975DFDA"/>
    <w:rsid w:val="19775706"/>
    <w:rsid w:val="197D8151"/>
    <w:rsid w:val="197DEA77"/>
    <w:rsid w:val="19923289"/>
    <w:rsid w:val="19951E3D"/>
    <w:rsid w:val="19972A18"/>
    <w:rsid w:val="1998E00E"/>
    <w:rsid w:val="199D84E4"/>
    <w:rsid w:val="199F285E"/>
    <w:rsid w:val="19A90664"/>
    <w:rsid w:val="19B44EAF"/>
    <w:rsid w:val="19B51589"/>
    <w:rsid w:val="19CC8E74"/>
    <w:rsid w:val="19E7F4C3"/>
    <w:rsid w:val="19E95D47"/>
    <w:rsid w:val="19F575B8"/>
    <w:rsid w:val="1A0598C3"/>
    <w:rsid w:val="1A1135DB"/>
    <w:rsid w:val="1A230169"/>
    <w:rsid w:val="1A2972C2"/>
    <w:rsid w:val="1A2DF107"/>
    <w:rsid w:val="1A4136DE"/>
    <w:rsid w:val="1A508FDE"/>
    <w:rsid w:val="1A6AE3DC"/>
    <w:rsid w:val="1A964D79"/>
    <w:rsid w:val="1AAEDA06"/>
    <w:rsid w:val="1AB17600"/>
    <w:rsid w:val="1AB249BC"/>
    <w:rsid w:val="1AB6473A"/>
    <w:rsid w:val="1AB6C8E6"/>
    <w:rsid w:val="1AB6DB2E"/>
    <w:rsid w:val="1ABEAD2D"/>
    <w:rsid w:val="1ACAB28C"/>
    <w:rsid w:val="1AD5D57C"/>
    <w:rsid w:val="1AEBD5BE"/>
    <w:rsid w:val="1AF17B2F"/>
    <w:rsid w:val="1AF5619C"/>
    <w:rsid w:val="1AF9AC06"/>
    <w:rsid w:val="1B004FFB"/>
    <w:rsid w:val="1B0A01BF"/>
    <w:rsid w:val="1B1ADB8D"/>
    <w:rsid w:val="1B207086"/>
    <w:rsid w:val="1B262336"/>
    <w:rsid w:val="1B2C6AF2"/>
    <w:rsid w:val="1B30B61B"/>
    <w:rsid w:val="1B3F326F"/>
    <w:rsid w:val="1B481D83"/>
    <w:rsid w:val="1B4C3BCE"/>
    <w:rsid w:val="1B4E4807"/>
    <w:rsid w:val="1B58C1B2"/>
    <w:rsid w:val="1B749FB1"/>
    <w:rsid w:val="1B977216"/>
    <w:rsid w:val="1B981853"/>
    <w:rsid w:val="1BA17F74"/>
    <w:rsid w:val="1BAAED0F"/>
    <w:rsid w:val="1BAC4756"/>
    <w:rsid w:val="1BB0571C"/>
    <w:rsid w:val="1BB66E74"/>
    <w:rsid w:val="1BC27289"/>
    <w:rsid w:val="1BC80D08"/>
    <w:rsid w:val="1BCA6F6A"/>
    <w:rsid w:val="1BCAA294"/>
    <w:rsid w:val="1BCB6F7B"/>
    <w:rsid w:val="1BD07CDB"/>
    <w:rsid w:val="1BD0D0AB"/>
    <w:rsid w:val="1BD407A6"/>
    <w:rsid w:val="1BDB0410"/>
    <w:rsid w:val="1BDF058F"/>
    <w:rsid w:val="1BDF145C"/>
    <w:rsid w:val="1BDF4029"/>
    <w:rsid w:val="1BFF8236"/>
    <w:rsid w:val="1C034E46"/>
    <w:rsid w:val="1C109FAC"/>
    <w:rsid w:val="1C310544"/>
    <w:rsid w:val="1C3220B3"/>
    <w:rsid w:val="1C53827D"/>
    <w:rsid w:val="1C73D96C"/>
    <w:rsid w:val="1C7D264D"/>
    <w:rsid w:val="1C92E66D"/>
    <w:rsid w:val="1CB5819E"/>
    <w:rsid w:val="1CB59C8E"/>
    <w:rsid w:val="1CB98FC3"/>
    <w:rsid w:val="1CC414AE"/>
    <w:rsid w:val="1CC51612"/>
    <w:rsid w:val="1CD7B928"/>
    <w:rsid w:val="1D097D03"/>
    <w:rsid w:val="1D11612E"/>
    <w:rsid w:val="1D38F7C6"/>
    <w:rsid w:val="1D3F93B2"/>
    <w:rsid w:val="1D594261"/>
    <w:rsid w:val="1D5942E0"/>
    <w:rsid w:val="1D5EFC0C"/>
    <w:rsid w:val="1D73337E"/>
    <w:rsid w:val="1D761734"/>
    <w:rsid w:val="1D7A5993"/>
    <w:rsid w:val="1D8A5312"/>
    <w:rsid w:val="1D8F0395"/>
    <w:rsid w:val="1D8FC672"/>
    <w:rsid w:val="1D942A31"/>
    <w:rsid w:val="1D9E9D28"/>
    <w:rsid w:val="1DA81B48"/>
    <w:rsid w:val="1DB2F492"/>
    <w:rsid w:val="1DB3EB71"/>
    <w:rsid w:val="1DC39CFA"/>
    <w:rsid w:val="1DC6B8E7"/>
    <w:rsid w:val="1DC84FE4"/>
    <w:rsid w:val="1DCAF1E6"/>
    <w:rsid w:val="1DDD8AD5"/>
    <w:rsid w:val="1DE5EE44"/>
    <w:rsid w:val="1E0078E5"/>
    <w:rsid w:val="1E0A03FC"/>
    <w:rsid w:val="1E0DC084"/>
    <w:rsid w:val="1E409A60"/>
    <w:rsid w:val="1E47D2BB"/>
    <w:rsid w:val="1E4E7C29"/>
    <w:rsid w:val="1E5AFF2F"/>
    <w:rsid w:val="1E69A4CA"/>
    <w:rsid w:val="1E6B62A1"/>
    <w:rsid w:val="1E6BEFF6"/>
    <w:rsid w:val="1E6F5809"/>
    <w:rsid w:val="1E7A497F"/>
    <w:rsid w:val="1E7EA698"/>
    <w:rsid w:val="1E87E5E2"/>
    <w:rsid w:val="1E8AC643"/>
    <w:rsid w:val="1E9CB5D9"/>
    <w:rsid w:val="1EA3D033"/>
    <w:rsid w:val="1EAE91FD"/>
    <w:rsid w:val="1EBEFCE2"/>
    <w:rsid w:val="1ED80583"/>
    <w:rsid w:val="1EE9DFA1"/>
    <w:rsid w:val="1EEBAA5E"/>
    <w:rsid w:val="1F1DA96B"/>
    <w:rsid w:val="1F1E259B"/>
    <w:rsid w:val="1F4E6800"/>
    <w:rsid w:val="1F60AE07"/>
    <w:rsid w:val="1F666728"/>
    <w:rsid w:val="1F693CF0"/>
    <w:rsid w:val="1F6ED2F0"/>
    <w:rsid w:val="1F704203"/>
    <w:rsid w:val="1F829738"/>
    <w:rsid w:val="1F83780D"/>
    <w:rsid w:val="1F91CB58"/>
    <w:rsid w:val="1F950CA6"/>
    <w:rsid w:val="1F9DFBE2"/>
    <w:rsid w:val="1FA6F158"/>
    <w:rsid w:val="1FC72317"/>
    <w:rsid w:val="1FCF2613"/>
    <w:rsid w:val="1FD035BD"/>
    <w:rsid w:val="1FD28126"/>
    <w:rsid w:val="1FF4D392"/>
    <w:rsid w:val="1FFC978A"/>
    <w:rsid w:val="1FFF2E73"/>
    <w:rsid w:val="2009D566"/>
    <w:rsid w:val="20158C89"/>
    <w:rsid w:val="201AD828"/>
    <w:rsid w:val="201CC942"/>
    <w:rsid w:val="20249FF1"/>
    <w:rsid w:val="20274B52"/>
    <w:rsid w:val="203AEB7C"/>
    <w:rsid w:val="20474536"/>
    <w:rsid w:val="20652BD1"/>
    <w:rsid w:val="206CFC0E"/>
    <w:rsid w:val="2071BA37"/>
    <w:rsid w:val="2079BA58"/>
    <w:rsid w:val="20B1F833"/>
    <w:rsid w:val="20B4DBBC"/>
    <w:rsid w:val="20B8E3B4"/>
    <w:rsid w:val="20CC2C85"/>
    <w:rsid w:val="20CD6CE1"/>
    <w:rsid w:val="20D0D71F"/>
    <w:rsid w:val="20DB406A"/>
    <w:rsid w:val="20DE2EB5"/>
    <w:rsid w:val="20DEDE32"/>
    <w:rsid w:val="20E0DE2A"/>
    <w:rsid w:val="21087756"/>
    <w:rsid w:val="21127CA5"/>
    <w:rsid w:val="212D7CA7"/>
    <w:rsid w:val="213430F2"/>
    <w:rsid w:val="21364347"/>
    <w:rsid w:val="2136D7FA"/>
    <w:rsid w:val="2148D187"/>
    <w:rsid w:val="2156DFD7"/>
    <w:rsid w:val="2168CB5F"/>
    <w:rsid w:val="216CDBBB"/>
    <w:rsid w:val="217CD1F5"/>
    <w:rsid w:val="217D1F65"/>
    <w:rsid w:val="21886106"/>
    <w:rsid w:val="21952AB9"/>
    <w:rsid w:val="21A8AEB3"/>
    <w:rsid w:val="21CF18BC"/>
    <w:rsid w:val="21D143CD"/>
    <w:rsid w:val="21D22FE2"/>
    <w:rsid w:val="21D3521E"/>
    <w:rsid w:val="21D69DE1"/>
    <w:rsid w:val="21D7BC09"/>
    <w:rsid w:val="21DCA94D"/>
    <w:rsid w:val="21E56A6F"/>
    <w:rsid w:val="21ED59A9"/>
    <w:rsid w:val="21EE9ADE"/>
    <w:rsid w:val="21F25E5F"/>
    <w:rsid w:val="21FCE02E"/>
    <w:rsid w:val="21FFB89A"/>
    <w:rsid w:val="2202C67F"/>
    <w:rsid w:val="22047630"/>
    <w:rsid w:val="2205DF47"/>
    <w:rsid w:val="223C09F5"/>
    <w:rsid w:val="223CD992"/>
    <w:rsid w:val="2243F88A"/>
    <w:rsid w:val="224DF9DF"/>
    <w:rsid w:val="225B7A47"/>
    <w:rsid w:val="225FFEE4"/>
    <w:rsid w:val="22748E07"/>
    <w:rsid w:val="227FEF51"/>
    <w:rsid w:val="22811B87"/>
    <w:rsid w:val="228BD280"/>
    <w:rsid w:val="22AACB94"/>
    <w:rsid w:val="22B4CA4E"/>
    <w:rsid w:val="22B976F2"/>
    <w:rsid w:val="22BCB74B"/>
    <w:rsid w:val="22BCD9FD"/>
    <w:rsid w:val="22C0878D"/>
    <w:rsid w:val="22C7F36A"/>
    <w:rsid w:val="22DB3A36"/>
    <w:rsid w:val="22E048A0"/>
    <w:rsid w:val="22F854E5"/>
    <w:rsid w:val="22FEF1F6"/>
    <w:rsid w:val="2310CC1E"/>
    <w:rsid w:val="231A1B6D"/>
    <w:rsid w:val="23202DEA"/>
    <w:rsid w:val="2321DE7E"/>
    <w:rsid w:val="232971EF"/>
    <w:rsid w:val="232ADCB8"/>
    <w:rsid w:val="2335C201"/>
    <w:rsid w:val="233C8F17"/>
    <w:rsid w:val="23455E9D"/>
    <w:rsid w:val="234FE0F6"/>
    <w:rsid w:val="23613C19"/>
    <w:rsid w:val="23618973"/>
    <w:rsid w:val="23641A04"/>
    <w:rsid w:val="236C054C"/>
    <w:rsid w:val="236EDF24"/>
    <w:rsid w:val="237CC02C"/>
    <w:rsid w:val="237F4C7D"/>
    <w:rsid w:val="2383C3DB"/>
    <w:rsid w:val="239F5093"/>
    <w:rsid w:val="23A00DA4"/>
    <w:rsid w:val="23A15536"/>
    <w:rsid w:val="23A5EAA0"/>
    <w:rsid w:val="23B03039"/>
    <w:rsid w:val="23B47AE5"/>
    <w:rsid w:val="23B5A729"/>
    <w:rsid w:val="23BC636A"/>
    <w:rsid w:val="23FF6A4C"/>
    <w:rsid w:val="24018BF3"/>
    <w:rsid w:val="24052722"/>
    <w:rsid w:val="240C914F"/>
    <w:rsid w:val="241FE88E"/>
    <w:rsid w:val="242347B1"/>
    <w:rsid w:val="24259821"/>
    <w:rsid w:val="24350CCA"/>
    <w:rsid w:val="243A51AA"/>
    <w:rsid w:val="244F8EE3"/>
    <w:rsid w:val="2453A4F5"/>
    <w:rsid w:val="245FCA32"/>
    <w:rsid w:val="2467066E"/>
    <w:rsid w:val="247DAD50"/>
    <w:rsid w:val="2483E0A0"/>
    <w:rsid w:val="2488C5FA"/>
    <w:rsid w:val="248D09F4"/>
    <w:rsid w:val="2497E305"/>
    <w:rsid w:val="2497F2BC"/>
    <w:rsid w:val="2498069C"/>
    <w:rsid w:val="24985754"/>
    <w:rsid w:val="24A3F598"/>
    <w:rsid w:val="24ABEBE8"/>
    <w:rsid w:val="24B85F59"/>
    <w:rsid w:val="24C02CC7"/>
    <w:rsid w:val="24C3C63F"/>
    <w:rsid w:val="24C5B383"/>
    <w:rsid w:val="24C5D150"/>
    <w:rsid w:val="24DF0B58"/>
    <w:rsid w:val="2504B56D"/>
    <w:rsid w:val="250675DF"/>
    <w:rsid w:val="252067F6"/>
    <w:rsid w:val="2520A686"/>
    <w:rsid w:val="252C9409"/>
    <w:rsid w:val="2538EAB5"/>
    <w:rsid w:val="253FC9AB"/>
    <w:rsid w:val="25418423"/>
    <w:rsid w:val="255454A4"/>
    <w:rsid w:val="25605470"/>
    <w:rsid w:val="257863D1"/>
    <w:rsid w:val="25858CA4"/>
    <w:rsid w:val="258EBD26"/>
    <w:rsid w:val="259561EE"/>
    <w:rsid w:val="2597108C"/>
    <w:rsid w:val="25B7A0F5"/>
    <w:rsid w:val="25B89537"/>
    <w:rsid w:val="25CF37EF"/>
    <w:rsid w:val="25E56325"/>
    <w:rsid w:val="25EC2337"/>
    <w:rsid w:val="25F1865F"/>
    <w:rsid w:val="25F2B96F"/>
    <w:rsid w:val="25FB592B"/>
    <w:rsid w:val="261664F5"/>
    <w:rsid w:val="261E7580"/>
    <w:rsid w:val="261EDCFE"/>
    <w:rsid w:val="2624592A"/>
    <w:rsid w:val="26254954"/>
    <w:rsid w:val="26270BAD"/>
    <w:rsid w:val="26298E11"/>
    <w:rsid w:val="263E18E7"/>
    <w:rsid w:val="2646D3A9"/>
    <w:rsid w:val="2647CD41"/>
    <w:rsid w:val="265643AA"/>
    <w:rsid w:val="269903FA"/>
    <w:rsid w:val="2699CDFA"/>
    <w:rsid w:val="26A156B3"/>
    <w:rsid w:val="26B5306D"/>
    <w:rsid w:val="26BF74BB"/>
    <w:rsid w:val="26BF9FBC"/>
    <w:rsid w:val="26CA71EB"/>
    <w:rsid w:val="26D4ED0D"/>
    <w:rsid w:val="26D69718"/>
    <w:rsid w:val="26DF4E53"/>
    <w:rsid w:val="26E15133"/>
    <w:rsid w:val="26E3E5F3"/>
    <w:rsid w:val="270AB5FC"/>
    <w:rsid w:val="27130111"/>
    <w:rsid w:val="2715A75A"/>
    <w:rsid w:val="27250540"/>
    <w:rsid w:val="2738F199"/>
    <w:rsid w:val="273AE69F"/>
    <w:rsid w:val="273F8553"/>
    <w:rsid w:val="274FF0C6"/>
    <w:rsid w:val="2759AB8E"/>
    <w:rsid w:val="277CC824"/>
    <w:rsid w:val="278BC16A"/>
    <w:rsid w:val="278F38D6"/>
    <w:rsid w:val="278FA471"/>
    <w:rsid w:val="2799780A"/>
    <w:rsid w:val="279A4FF5"/>
    <w:rsid w:val="27A66CB7"/>
    <w:rsid w:val="27B236AF"/>
    <w:rsid w:val="27B9C747"/>
    <w:rsid w:val="27CD6B69"/>
    <w:rsid w:val="27CDE840"/>
    <w:rsid w:val="27D87550"/>
    <w:rsid w:val="27E2467F"/>
    <w:rsid w:val="27F63EE8"/>
    <w:rsid w:val="27FA7C9F"/>
    <w:rsid w:val="28053EF9"/>
    <w:rsid w:val="2805FACB"/>
    <w:rsid w:val="280A99F5"/>
    <w:rsid w:val="281213D7"/>
    <w:rsid w:val="2814F5FE"/>
    <w:rsid w:val="2817988E"/>
    <w:rsid w:val="282E3E29"/>
    <w:rsid w:val="283A32C0"/>
    <w:rsid w:val="2858F2FD"/>
    <w:rsid w:val="286F4849"/>
    <w:rsid w:val="288D4747"/>
    <w:rsid w:val="2891347E"/>
    <w:rsid w:val="2893AE7D"/>
    <w:rsid w:val="28986F50"/>
    <w:rsid w:val="28A0DF11"/>
    <w:rsid w:val="28BD0392"/>
    <w:rsid w:val="28D15434"/>
    <w:rsid w:val="28D28BB2"/>
    <w:rsid w:val="28D3B414"/>
    <w:rsid w:val="28D4CC61"/>
    <w:rsid w:val="28E52285"/>
    <w:rsid w:val="28F860B3"/>
    <w:rsid w:val="2903BC14"/>
    <w:rsid w:val="2906BB76"/>
    <w:rsid w:val="290CF411"/>
    <w:rsid w:val="29109F71"/>
    <w:rsid w:val="2919459A"/>
    <w:rsid w:val="29324CAB"/>
    <w:rsid w:val="29327055"/>
    <w:rsid w:val="2938201E"/>
    <w:rsid w:val="2952254A"/>
    <w:rsid w:val="29561B54"/>
    <w:rsid w:val="295C59E5"/>
    <w:rsid w:val="29665BA1"/>
    <w:rsid w:val="296F5FC4"/>
    <w:rsid w:val="2993C3F3"/>
    <w:rsid w:val="29B0446D"/>
    <w:rsid w:val="29B660F6"/>
    <w:rsid w:val="29B6FCA2"/>
    <w:rsid w:val="29BAC83E"/>
    <w:rsid w:val="29C4A688"/>
    <w:rsid w:val="29C56B69"/>
    <w:rsid w:val="29CBE483"/>
    <w:rsid w:val="29CC920D"/>
    <w:rsid w:val="29D4559E"/>
    <w:rsid w:val="29D56CC0"/>
    <w:rsid w:val="29E88827"/>
    <w:rsid w:val="29F3199E"/>
    <w:rsid w:val="2A18D4F3"/>
    <w:rsid w:val="2A1C2DEF"/>
    <w:rsid w:val="2A29411B"/>
    <w:rsid w:val="2A3B8893"/>
    <w:rsid w:val="2A54F94C"/>
    <w:rsid w:val="2A599551"/>
    <w:rsid w:val="2A59B32D"/>
    <w:rsid w:val="2A7690FA"/>
    <w:rsid w:val="2A7D2186"/>
    <w:rsid w:val="2A849916"/>
    <w:rsid w:val="2A882A17"/>
    <w:rsid w:val="2A8C566B"/>
    <w:rsid w:val="2A996679"/>
    <w:rsid w:val="2A9DB6FB"/>
    <w:rsid w:val="2A9E884A"/>
    <w:rsid w:val="2AB2249B"/>
    <w:rsid w:val="2ACE91D5"/>
    <w:rsid w:val="2AD18031"/>
    <w:rsid w:val="2AD396D6"/>
    <w:rsid w:val="2ADC40E5"/>
    <w:rsid w:val="2AE2D825"/>
    <w:rsid w:val="2AE7F26D"/>
    <w:rsid w:val="2AE94286"/>
    <w:rsid w:val="2AF3DB08"/>
    <w:rsid w:val="2AF8F5EC"/>
    <w:rsid w:val="2B056B37"/>
    <w:rsid w:val="2B06ACFB"/>
    <w:rsid w:val="2B1FD8D6"/>
    <w:rsid w:val="2B2CF7C7"/>
    <w:rsid w:val="2B3AB531"/>
    <w:rsid w:val="2B50ECF2"/>
    <w:rsid w:val="2B5697C0"/>
    <w:rsid w:val="2B58322D"/>
    <w:rsid w:val="2B5DCC98"/>
    <w:rsid w:val="2B5E3840"/>
    <w:rsid w:val="2B67B234"/>
    <w:rsid w:val="2B6BA999"/>
    <w:rsid w:val="2B6C7E5C"/>
    <w:rsid w:val="2B6CAF3A"/>
    <w:rsid w:val="2B79B9BA"/>
    <w:rsid w:val="2B7A6B0C"/>
    <w:rsid w:val="2B88806E"/>
    <w:rsid w:val="2B8E8B62"/>
    <w:rsid w:val="2B91F537"/>
    <w:rsid w:val="2B9DE925"/>
    <w:rsid w:val="2BA85ED4"/>
    <w:rsid w:val="2BABEBE6"/>
    <w:rsid w:val="2BAD1AE8"/>
    <w:rsid w:val="2BB3292D"/>
    <w:rsid w:val="2BBD0668"/>
    <w:rsid w:val="2BBDF1B2"/>
    <w:rsid w:val="2BC4CA94"/>
    <w:rsid w:val="2BC87DCC"/>
    <w:rsid w:val="2BD65E83"/>
    <w:rsid w:val="2BE490B5"/>
    <w:rsid w:val="2BF26A0A"/>
    <w:rsid w:val="2BFD92D3"/>
    <w:rsid w:val="2C05C110"/>
    <w:rsid w:val="2C06C5DB"/>
    <w:rsid w:val="2C40F5C0"/>
    <w:rsid w:val="2C41BDFA"/>
    <w:rsid w:val="2C41FC42"/>
    <w:rsid w:val="2C43074D"/>
    <w:rsid w:val="2C47864D"/>
    <w:rsid w:val="2C661213"/>
    <w:rsid w:val="2C6A2742"/>
    <w:rsid w:val="2C791E2D"/>
    <w:rsid w:val="2C7ACE71"/>
    <w:rsid w:val="2C7B08D3"/>
    <w:rsid w:val="2C8D5C7C"/>
    <w:rsid w:val="2CAB252A"/>
    <w:rsid w:val="2CB74315"/>
    <w:rsid w:val="2CBCAF8C"/>
    <w:rsid w:val="2CC2FA7D"/>
    <w:rsid w:val="2CC5458F"/>
    <w:rsid w:val="2CC8006D"/>
    <w:rsid w:val="2CC9BA98"/>
    <w:rsid w:val="2CCB869C"/>
    <w:rsid w:val="2CD1DF5A"/>
    <w:rsid w:val="2CE19D3B"/>
    <w:rsid w:val="2CE2B57A"/>
    <w:rsid w:val="2CEAEE21"/>
    <w:rsid w:val="2CF5C37C"/>
    <w:rsid w:val="2CFB5503"/>
    <w:rsid w:val="2D0C6E97"/>
    <w:rsid w:val="2D103A67"/>
    <w:rsid w:val="2D1196D3"/>
    <w:rsid w:val="2D11CF08"/>
    <w:rsid w:val="2D25B652"/>
    <w:rsid w:val="2D27438C"/>
    <w:rsid w:val="2D2B1796"/>
    <w:rsid w:val="2D2E8494"/>
    <w:rsid w:val="2D31EB50"/>
    <w:rsid w:val="2D340257"/>
    <w:rsid w:val="2D3A2B69"/>
    <w:rsid w:val="2D3DDF8A"/>
    <w:rsid w:val="2D4CB596"/>
    <w:rsid w:val="2D5A6C74"/>
    <w:rsid w:val="2D5D501E"/>
    <w:rsid w:val="2D6409FF"/>
    <w:rsid w:val="2D71A664"/>
    <w:rsid w:val="2D727306"/>
    <w:rsid w:val="2D74CBC0"/>
    <w:rsid w:val="2D7B88D7"/>
    <w:rsid w:val="2D80029B"/>
    <w:rsid w:val="2D82B8A1"/>
    <w:rsid w:val="2D882682"/>
    <w:rsid w:val="2D92193C"/>
    <w:rsid w:val="2D934ACA"/>
    <w:rsid w:val="2DBF6711"/>
    <w:rsid w:val="2DC2FA1C"/>
    <w:rsid w:val="2DC44031"/>
    <w:rsid w:val="2DC538ED"/>
    <w:rsid w:val="2DD83F88"/>
    <w:rsid w:val="2DDBD3CA"/>
    <w:rsid w:val="2E06DA03"/>
    <w:rsid w:val="2E0D98BF"/>
    <w:rsid w:val="2E30133D"/>
    <w:rsid w:val="2E3C1DF2"/>
    <w:rsid w:val="2E41A7BF"/>
    <w:rsid w:val="2E4FF68D"/>
    <w:rsid w:val="2E57CAFD"/>
    <w:rsid w:val="2E7D3DC8"/>
    <w:rsid w:val="2E8E6D49"/>
    <w:rsid w:val="2E90B9D2"/>
    <w:rsid w:val="2EA5BF16"/>
    <w:rsid w:val="2ECC0CC2"/>
    <w:rsid w:val="2ED2BBD9"/>
    <w:rsid w:val="2ED2CBD0"/>
    <w:rsid w:val="2ED55597"/>
    <w:rsid w:val="2EE98A0B"/>
    <w:rsid w:val="2EE9EB58"/>
    <w:rsid w:val="2EEACF81"/>
    <w:rsid w:val="2EFB0EC2"/>
    <w:rsid w:val="2F004ED7"/>
    <w:rsid w:val="2F14103D"/>
    <w:rsid w:val="2F1FE469"/>
    <w:rsid w:val="2F23B89D"/>
    <w:rsid w:val="2F2647F4"/>
    <w:rsid w:val="2F394278"/>
    <w:rsid w:val="2F3B78A5"/>
    <w:rsid w:val="2F427E15"/>
    <w:rsid w:val="2F501B3D"/>
    <w:rsid w:val="2F529E95"/>
    <w:rsid w:val="2F5966A5"/>
    <w:rsid w:val="2F6DD526"/>
    <w:rsid w:val="2F75D94A"/>
    <w:rsid w:val="2F75E655"/>
    <w:rsid w:val="2F793264"/>
    <w:rsid w:val="2F821773"/>
    <w:rsid w:val="2F8E52AF"/>
    <w:rsid w:val="2F9446BC"/>
    <w:rsid w:val="2F96FEF4"/>
    <w:rsid w:val="2FB89770"/>
    <w:rsid w:val="2FCCBBD9"/>
    <w:rsid w:val="2FD13C46"/>
    <w:rsid w:val="2FEAFA5B"/>
    <w:rsid w:val="3009DD88"/>
    <w:rsid w:val="300A0DA2"/>
    <w:rsid w:val="300F9BBF"/>
    <w:rsid w:val="301B06DE"/>
    <w:rsid w:val="301C2EC6"/>
    <w:rsid w:val="301FC8B9"/>
    <w:rsid w:val="304777A3"/>
    <w:rsid w:val="304ABD14"/>
    <w:rsid w:val="3056396C"/>
    <w:rsid w:val="306E0DE5"/>
    <w:rsid w:val="30758D2F"/>
    <w:rsid w:val="307BBC37"/>
    <w:rsid w:val="30897D52"/>
    <w:rsid w:val="308AEA2D"/>
    <w:rsid w:val="308C56C9"/>
    <w:rsid w:val="30914286"/>
    <w:rsid w:val="30A79BB9"/>
    <w:rsid w:val="30B3A3FA"/>
    <w:rsid w:val="30D032EF"/>
    <w:rsid w:val="30D555F4"/>
    <w:rsid w:val="30E61553"/>
    <w:rsid w:val="30F71AB5"/>
    <w:rsid w:val="3100AA31"/>
    <w:rsid w:val="3122AF96"/>
    <w:rsid w:val="3133337D"/>
    <w:rsid w:val="313730A6"/>
    <w:rsid w:val="31413446"/>
    <w:rsid w:val="31423865"/>
    <w:rsid w:val="314C6C72"/>
    <w:rsid w:val="315CE577"/>
    <w:rsid w:val="315F2DA7"/>
    <w:rsid w:val="316BC186"/>
    <w:rsid w:val="31735B6E"/>
    <w:rsid w:val="3173FE7B"/>
    <w:rsid w:val="317ACAC4"/>
    <w:rsid w:val="317E2D08"/>
    <w:rsid w:val="318AEA17"/>
    <w:rsid w:val="31B25228"/>
    <w:rsid w:val="31BB8407"/>
    <w:rsid w:val="31CBB484"/>
    <w:rsid w:val="31CE3137"/>
    <w:rsid w:val="31D785F9"/>
    <w:rsid w:val="31DB50AD"/>
    <w:rsid w:val="31DC353C"/>
    <w:rsid w:val="31DC8DA3"/>
    <w:rsid w:val="31E03DE2"/>
    <w:rsid w:val="31E3E152"/>
    <w:rsid w:val="31EAB27C"/>
    <w:rsid w:val="31FD5162"/>
    <w:rsid w:val="32074E19"/>
    <w:rsid w:val="3209F52D"/>
    <w:rsid w:val="3212CF3B"/>
    <w:rsid w:val="32221575"/>
    <w:rsid w:val="322590F6"/>
    <w:rsid w:val="3229695D"/>
    <w:rsid w:val="323CA886"/>
    <w:rsid w:val="3241ED0A"/>
    <w:rsid w:val="325EC7C5"/>
    <w:rsid w:val="32616FED"/>
    <w:rsid w:val="3267C7E9"/>
    <w:rsid w:val="326966B7"/>
    <w:rsid w:val="327AC29F"/>
    <w:rsid w:val="327BA15E"/>
    <w:rsid w:val="32890F89"/>
    <w:rsid w:val="329DE56F"/>
    <w:rsid w:val="32A18E2C"/>
    <w:rsid w:val="32AC7216"/>
    <w:rsid w:val="32C5520E"/>
    <w:rsid w:val="32CE919E"/>
    <w:rsid w:val="330CDA39"/>
    <w:rsid w:val="330CF927"/>
    <w:rsid w:val="3319EA82"/>
    <w:rsid w:val="3321F331"/>
    <w:rsid w:val="33285433"/>
    <w:rsid w:val="332DDC4D"/>
    <w:rsid w:val="33365438"/>
    <w:rsid w:val="333EC88C"/>
    <w:rsid w:val="33435D8F"/>
    <w:rsid w:val="335F7F19"/>
    <w:rsid w:val="3367DC87"/>
    <w:rsid w:val="336A56AA"/>
    <w:rsid w:val="337029AE"/>
    <w:rsid w:val="33705D70"/>
    <w:rsid w:val="337D1320"/>
    <w:rsid w:val="337D3BA5"/>
    <w:rsid w:val="3380D2A0"/>
    <w:rsid w:val="3386E993"/>
    <w:rsid w:val="338D35A4"/>
    <w:rsid w:val="338F0D71"/>
    <w:rsid w:val="33A70CCB"/>
    <w:rsid w:val="33C796F9"/>
    <w:rsid w:val="33CF19E8"/>
    <w:rsid w:val="33DF261A"/>
    <w:rsid w:val="33E0AED0"/>
    <w:rsid w:val="33EB118D"/>
    <w:rsid w:val="33F1B8C6"/>
    <w:rsid w:val="34046CAB"/>
    <w:rsid w:val="34070D93"/>
    <w:rsid w:val="3410DFB2"/>
    <w:rsid w:val="341ACFAB"/>
    <w:rsid w:val="343631ED"/>
    <w:rsid w:val="343AA5FF"/>
    <w:rsid w:val="34499419"/>
    <w:rsid w:val="344CA97B"/>
    <w:rsid w:val="344F64E0"/>
    <w:rsid w:val="34500D35"/>
    <w:rsid w:val="34585AE9"/>
    <w:rsid w:val="345B73A0"/>
    <w:rsid w:val="3465FF24"/>
    <w:rsid w:val="346B5E85"/>
    <w:rsid w:val="346C771C"/>
    <w:rsid w:val="3471EABB"/>
    <w:rsid w:val="347F5011"/>
    <w:rsid w:val="349CA1F5"/>
    <w:rsid w:val="349F2C2B"/>
    <w:rsid w:val="34AC92CD"/>
    <w:rsid w:val="34ACF57C"/>
    <w:rsid w:val="34B36F7E"/>
    <w:rsid w:val="34CE3EE3"/>
    <w:rsid w:val="34D668B8"/>
    <w:rsid w:val="34E2630E"/>
    <w:rsid w:val="34EDD0D7"/>
    <w:rsid w:val="34F81FF4"/>
    <w:rsid w:val="350A2CA6"/>
    <w:rsid w:val="351BA437"/>
    <w:rsid w:val="35210A14"/>
    <w:rsid w:val="3521D7BE"/>
    <w:rsid w:val="3524E913"/>
    <w:rsid w:val="3526FEC6"/>
    <w:rsid w:val="352928B7"/>
    <w:rsid w:val="352A5773"/>
    <w:rsid w:val="352D26DE"/>
    <w:rsid w:val="353D0FD6"/>
    <w:rsid w:val="3548A0C9"/>
    <w:rsid w:val="357F986C"/>
    <w:rsid w:val="35ACEBA7"/>
    <w:rsid w:val="35CFE5E9"/>
    <w:rsid w:val="35D5893F"/>
    <w:rsid w:val="3612D839"/>
    <w:rsid w:val="3613B02E"/>
    <w:rsid w:val="361423D8"/>
    <w:rsid w:val="36282037"/>
    <w:rsid w:val="362BE5BD"/>
    <w:rsid w:val="3635E6E7"/>
    <w:rsid w:val="36372CEE"/>
    <w:rsid w:val="36593984"/>
    <w:rsid w:val="36678806"/>
    <w:rsid w:val="366C524C"/>
    <w:rsid w:val="3677924C"/>
    <w:rsid w:val="367C283D"/>
    <w:rsid w:val="367D9FA8"/>
    <w:rsid w:val="368F25DB"/>
    <w:rsid w:val="36A010E9"/>
    <w:rsid w:val="36A9DC3E"/>
    <w:rsid w:val="36B20BD2"/>
    <w:rsid w:val="36C708A6"/>
    <w:rsid w:val="36C70C1B"/>
    <w:rsid w:val="36C88E1F"/>
    <w:rsid w:val="36C97218"/>
    <w:rsid w:val="36CA2142"/>
    <w:rsid w:val="36DB28DB"/>
    <w:rsid w:val="36E28C43"/>
    <w:rsid w:val="36ED88EC"/>
    <w:rsid w:val="36EEE4C6"/>
    <w:rsid w:val="36FC83B7"/>
    <w:rsid w:val="3701DEC2"/>
    <w:rsid w:val="370441D8"/>
    <w:rsid w:val="37059801"/>
    <w:rsid w:val="371E1F02"/>
    <w:rsid w:val="372C2AED"/>
    <w:rsid w:val="3735A921"/>
    <w:rsid w:val="374F517E"/>
    <w:rsid w:val="37578382"/>
    <w:rsid w:val="376FBE72"/>
    <w:rsid w:val="3781E6FE"/>
    <w:rsid w:val="37946F92"/>
    <w:rsid w:val="379FB523"/>
    <w:rsid w:val="37AE98DF"/>
    <w:rsid w:val="37B1A250"/>
    <w:rsid w:val="37B775F3"/>
    <w:rsid w:val="37B803AE"/>
    <w:rsid w:val="37BC41DE"/>
    <w:rsid w:val="37D8FA71"/>
    <w:rsid w:val="37ECB53C"/>
    <w:rsid w:val="37FA3814"/>
    <w:rsid w:val="37FDC678"/>
    <w:rsid w:val="381D0D0D"/>
    <w:rsid w:val="383131A9"/>
    <w:rsid w:val="3837FCEF"/>
    <w:rsid w:val="3845BAEC"/>
    <w:rsid w:val="3849E5E6"/>
    <w:rsid w:val="384F77EF"/>
    <w:rsid w:val="3850AD61"/>
    <w:rsid w:val="3851CD7B"/>
    <w:rsid w:val="3856DD39"/>
    <w:rsid w:val="3870DBE0"/>
    <w:rsid w:val="3877C69F"/>
    <w:rsid w:val="3882387A"/>
    <w:rsid w:val="388DD59C"/>
    <w:rsid w:val="389163A6"/>
    <w:rsid w:val="389E1BC7"/>
    <w:rsid w:val="38A22C99"/>
    <w:rsid w:val="38A81152"/>
    <w:rsid w:val="38ABBA45"/>
    <w:rsid w:val="38B40E15"/>
    <w:rsid w:val="38CB4238"/>
    <w:rsid w:val="38CC0FD2"/>
    <w:rsid w:val="38D29897"/>
    <w:rsid w:val="38E09EF9"/>
    <w:rsid w:val="38F277CA"/>
    <w:rsid w:val="38F66514"/>
    <w:rsid w:val="38FEE952"/>
    <w:rsid w:val="38FF5FAA"/>
    <w:rsid w:val="391AB4DC"/>
    <w:rsid w:val="392141DA"/>
    <w:rsid w:val="3925776F"/>
    <w:rsid w:val="39280B7A"/>
    <w:rsid w:val="393EBA07"/>
    <w:rsid w:val="3944C14A"/>
    <w:rsid w:val="394BBA01"/>
    <w:rsid w:val="3951AEEA"/>
    <w:rsid w:val="3952B732"/>
    <w:rsid w:val="397533BD"/>
    <w:rsid w:val="397BBA6F"/>
    <w:rsid w:val="39815300"/>
    <w:rsid w:val="39876545"/>
    <w:rsid w:val="398EB125"/>
    <w:rsid w:val="39A38F4E"/>
    <w:rsid w:val="39BC13BB"/>
    <w:rsid w:val="39E16AFC"/>
    <w:rsid w:val="39E6FDBA"/>
    <w:rsid w:val="39F262CC"/>
    <w:rsid w:val="39F29A2E"/>
    <w:rsid w:val="39FEE78D"/>
    <w:rsid w:val="3A236BF0"/>
    <w:rsid w:val="3A5D83EB"/>
    <w:rsid w:val="3A5F3DB3"/>
    <w:rsid w:val="3A6A2E53"/>
    <w:rsid w:val="3A7D59C7"/>
    <w:rsid w:val="3A8EC281"/>
    <w:rsid w:val="3A9D55FB"/>
    <w:rsid w:val="3AA07A13"/>
    <w:rsid w:val="3AA4DBFF"/>
    <w:rsid w:val="3AA7A6D6"/>
    <w:rsid w:val="3AD63FFE"/>
    <w:rsid w:val="3AD7605C"/>
    <w:rsid w:val="3AE55514"/>
    <w:rsid w:val="3B005C28"/>
    <w:rsid w:val="3B20653E"/>
    <w:rsid w:val="3B22E51B"/>
    <w:rsid w:val="3B31000F"/>
    <w:rsid w:val="3B46A225"/>
    <w:rsid w:val="3B4FD664"/>
    <w:rsid w:val="3B59D161"/>
    <w:rsid w:val="3B690A8E"/>
    <w:rsid w:val="3B7AA9A0"/>
    <w:rsid w:val="3B923F2C"/>
    <w:rsid w:val="3B9A48B0"/>
    <w:rsid w:val="3BA19BE1"/>
    <w:rsid w:val="3BA2AFD4"/>
    <w:rsid w:val="3BA2C82B"/>
    <w:rsid w:val="3BBDE740"/>
    <w:rsid w:val="3BC00953"/>
    <w:rsid w:val="3BCDCBBB"/>
    <w:rsid w:val="3BD35157"/>
    <w:rsid w:val="3BE8AA55"/>
    <w:rsid w:val="3BEB4E08"/>
    <w:rsid w:val="3BEDD8FE"/>
    <w:rsid w:val="3C272B39"/>
    <w:rsid w:val="3C29CB6C"/>
    <w:rsid w:val="3C4A78BC"/>
    <w:rsid w:val="3C57A186"/>
    <w:rsid w:val="3C65417A"/>
    <w:rsid w:val="3C76C780"/>
    <w:rsid w:val="3C9D5C5E"/>
    <w:rsid w:val="3CAADD01"/>
    <w:rsid w:val="3CAB5C63"/>
    <w:rsid w:val="3CB850B3"/>
    <w:rsid w:val="3CB9B085"/>
    <w:rsid w:val="3CC08C65"/>
    <w:rsid w:val="3CC7C999"/>
    <w:rsid w:val="3CCF7D1C"/>
    <w:rsid w:val="3CD27EA6"/>
    <w:rsid w:val="3CEEF204"/>
    <w:rsid w:val="3CF2BEC8"/>
    <w:rsid w:val="3CF47474"/>
    <w:rsid w:val="3CFA70E7"/>
    <w:rsid w:val="3D0A5EC3"/>
    <w:rsid w:val="3D0D0E77"/>
    <w:rsid w:val="3D1939FD"/>
    <w:rsid w:val="3D204C4E"/>
    <w:rsid w:val="3D222CD4"/>
    <w:rsid w:val="3D265BAF"/>
    <w:rsid w:val="3D277D2F"/>
    <w:rsid w:val="3D3A8FA8"/>
    <w:rsid w:val="3D3AE7A0"/>
    <w:rsid w:val="3D3B661B"/>
    <w:rsid w:val="3D5EB9D7"/>
    <w:rsid w:val="3D6AADA2"/>
    <w:rsid w:val="3D6BE706"/>
    <w:rsid w:val="3D7BA9B0"/>
    <w:rsid w:val="3D837267"/>
    <w:rsid w:val="3D8E2002"/>
    <w:rsid w:val="3D92868A"/>
    <w:rsid w:val="3D9DCC81"/>
    <w:rsid w:val="3DA3EA6B"/>
    <w:rsid w:val="3DA83B07"/>
    <w:rsid w:val="3DADFAAA"/>
    <w:rsid w:val="3DB7E9E0"/>
    <w:rsid w:val="3DBEF393"/>
    <w:rsid w:val="3DCEE140"/>
    <w:rsid w:val="3DE46A56"/>
    <w:rsid w:val="3DF55BE4"/>
    <w:rsid w:val="3E1BF818"/>
    <w:rsid w:val="3E1EA02F"/>
    <w:rsid w:val="3E2EF4E5"/>
    <w:rsid w:val="3E36E298"/>
    <w:rsid w:val="3E47B7CD"/>
    <w:rsid w:val="3E4E4F0F"/>
    <w:rsid w:val="3E512ACD"/>
    <w:rsid w:val="3E599F23"/>
    <w:rsid w:val="3E5AD03A"/>
    <w:rsid w:val="3E6666F7"/>
    <w:rsid w:val="3E699C30"/>
    <w:rsid w:val="3E6BC618"/>
    <w:rsid w:val="3E79BE8A"/>
    <w:rsid w:val="3E7D4C6C"/>
    <w:rsid w:val="3E8713FD"/>
    <w:rsid w:val="3E9675C2"/>
    <w:rsid w:val="3E99BF5E"/>
    <w:rsid w:val="3E99E220"/>
    <w:rsid w:val="3E9A3EDB"/>
    <w:rsid w:val="3EB085BB"/>
    <w:rsid w:val="3EB1C2AD"/>
    <w:rsid w:val="3EB68A0F"/>
    <w:rsid w:val="3EBD5000"/>
    <w:rsid w:val="3EC3DD9C"/>
    <w:rsid w:val="3EC4EDE6"/>
    <w:rsid w:val="3EC974B1"/>
    <w:rsid w:val="3ECCD666"/>
    <w:rsid w:val="3ECF5DB3"/>
    <w:rsid w:val="3EE1CABA"/>
    <w:rsid w:val="3EE4A107"/>
    <w:rsid w:val="3EF8E1F7"/>
    <w:rsid w:val="3F03A24A"/>
    <w:rsid w:val="3F1FFD06"/>
    <w:rsid w:val="3F3820E1"/>
    <w:rsid w:val="3F3F5827"/>
    <w:rsid w:val="3F53BD8F"/>
    <w:rsid w:val="3F5F18A3"/>
    <w:rsid w:val="3F60AD3F"/>
    <w:rsid w:val="3F737430"/>
    <w:rsid w:val="3F784E63"/>
    <w:rsid w:val="3F7D3EF7"/>
    <w:rsid w:val="3F86ABFB"/>
    <w:rsid w:val="3F99BA8F"/>
    <w:rsid w:val="3FA51B71"/>
    <w:rsid w:val="3FB15319"/>
    <w:rsid w:val="3FB94145"/>
    <w:rsid w:val="3FCF05F9"/>
    <w:rsid w:val="3FE7F9DE"/>
    <w:rsid w:val="3FEA3730"/>
    <w:rsid w:val="3FFFA68D"/>
    <w:rsid w:val="400DEFBA"/>
    <w:rsid w:val="4014FAE4"/>
    <w:rsid w:val="4020D572"/>
    <w:rsid w:val="40368C43"/>
    <w:rsid w:val="4036EE4B"/>
    <w:rsid w:val="403F2A27"/>
    <w:rsid w:val="403F3C89"/>
    <w:rsid w:val="40408295"/>
    <w:rsid w:val="4042CF12"/>
    <w:rsid w:val="40595894"/>
    <w:rsid w:val="4081AAE3"/>
    <w:rsid w:val="4097C533"/>
    <w:rsid w:val="409ED7A9"/>
    <w:rsid w:val="409F1306"/>
    <w:rsid w:val="40DC4E9F"/>
    <w:rsid w:val="40EEEB7D"/>
    <w:rsid w:val="4115420D"/>
    <w:rsid w:val="412541DD"/>
    <w:rsid w:val="4128963E"/>
    <w:rsid w:val="413D5364"/>
    <w:rsid w:val="413D953B"/>
    <w:rsid w:val="41572639"/>
    <w:rsid w:val="415F4998"/>
    <w:rsid w:val="4169C1FB"/>
    <w:rsid w:val="416CD2C4"/>
    <w:rsid w:val="4171516B"/>
    <w:rsid w:val="4181F0F9"/>
    <w:rsid w:val="41885C4F"/>
    <w:rsid w:val="419C4936"/>
    <w:rsid w:val="41A3A993"/>
    <w:rsid w:val="41A85BAD"/>
    <w:rsid w:val="41ADA514"/>
    <w:rsid w:val="41B1280D"/>
    <w:rsid w:val="41B8F64F"/>
    <w:rsid w:val="41BA37FC"/>
    <w:rsid w:val="41BD306F"/>
    <w:rsid w:val="41C5C069"/>
    <w:rsid w:val="41C7CF80"/>
    <w:rsid w:val="41D3BD5E"/>
    <w:rsid w:val="41D86833"/>
    <w:rsid w:val="41DD3EAE"/>
    <w:rsid w:val="41DDF6CA"/>
    <w:rsid w:val="41DEE620"/>
    <w:rsid w:val="41EF266A"/>
    <w:rsid w:val="41FAD14A"/>
    <w:rsid w:val="41FC6078"/>
    <w:rsid w:val="4203CE6D"/>
    <w:rsid w:val="42043605"/>
    <w:rsid w:val="420D92A3"/>
    <w:rsid w:val="42116217"/>
    <w:rsid w:val="4212EA2E"/>
    <w:rsid w:val="4214A2DF"/>
    <w:rsid w:val="421998F2"/>
    <w:rsid w:val="421C02DE"/>
    <w:rsid w:val="4220BB90"/>
    <w:rsid w:val="423170D0"/>
    <w:rsid w:val="423AF95A"/>
    <w:rsid w:val="4247DE1D"/>
    <w:rsid w:val="4247FC0F"/>
    <w:rsid w:val="42569703"/>
    <w:rsid w:val="42731699"/>
    <w:rsid w:val="427697D2"/>
    <w:rsid w:val="427BD646"/>
    <w:rsid w:val="42A41623"/>
    <w:rsid w:val="42B818EC"/>
    <w:rsid w:val="42BE3665"/>
    <w:rsid w:val="42F2C7AA"/>
    <w:rsid w:val="4327AD4B"/>
    <w:rsid w:val="4331A379"/>
    <w:rsid w:val="433795ED"/>
    <w:rsid w:val="433DEFFC"/>
    <w:rsid w:val="4347E022"/>
    <w:rsid w:val="4349FD13"/>
    <w:rsid w:val="435CE9B7"/>
    <w:rsid w:val="436E4DA7"/>
    <w:rsid w:val="4373A7B0"/>
    <w:rsid w:val="43754903"/>
    <w:rsid w:val="4398945A"/>
    <w:rsid w:val="43A5BB64"/>
    <w:rsid w:val="43AB6B62"/>
    <w:rsid w:val="43C2AFE7"/>
    <w:rsid w:val="43C8BBD0"/>
    <w:rsid w:val="43E812DE"/>
    <w:rsid w:val="43E98397"/>
    <w:rsid w:val="43EAEEA1"/>
    <w:rsid w:val="43F2C881"/>
    <w:rsid w:val="43FAF35A"/>
    <w:rsid w:val="43FCC7AE"/>
    <w:rsid w:val="44040E79"/>
    <w:rsid w:val="4412AA73"/>
    <w:rsid w:val="4421F03E"/>
    <w:rsid w:val="44307DC1"/>
    <w:rsid w:val="443A3E6D"/>
    <w:rsid w:val="4448DE35"/>
    <w:rsid w:val="44573608"/>
    <w:rsid w:val="4459603D"/>
    <w:rsid w:val="4484A2CB"/>
    <w:rsid w:val="449410B4"/>
    <w:rsid w:val="44994CDF"/>
    <w:rsid w:val="44A538CD"/>
    <w:rsid w:val="44AA71D1"/>
    <w:rsid w:val="44C89B46"/>
    <w:rsid w:val="44E8B0F7"/>
    <w:rsid w:val="44F6CD85"/>
    <w:rsid w:val="44FB2A80"/>
    <w:rsid w:val="44FB7CD4"/>
    <w:rsid w:val="450A33EC"/>
    <w:rsid w:val="450B489D"/>
    <w:rsid w:val="4511B6A5"/>
    <w:rsid w:val="45131EF5"/>
    <w:rsid w:val="45155E24"/>
    <w:rsid w:val="451F6133"/>
    <w:rsid w:val="4520BACB"/>
    <w:rsid w:val="452B88C8"/>
    <w:rsid w:val="45367ED0"/>
    <w:rsid w:val="453A3AC0"/>
    <w:rsid w:val="4548D9CF"/>
    <w:rsid w:val="454C5973"/>
    <w:rsid w:val="454E429A"/>
    <w:rsid w:val="45554639"/>
    <w:rsid w:val="4568DCA6"/>
    <w:rsid w:val="456AD72B"/>
    <w:rsid w:val="4572AE87"/>
    <w:rsid w:val="45797047"/>
    <w:rsid w:val="45844137"/>
    <w:rsid w:val="4587BF2D"/>
    <w:rsid w:val="4592881F"/>
    <w:rsid w:val="459AE02F"/>
    <w:rsid w:val="45A45033"/>
    <w:rsid w:val="45A66EF9"/>
    <w:rsid w:val="45C6D554"/>
    <w:rsid w:val="45CBCA12"/>
    <w:rsid w:val="45D4440E"/>
    <w:rsid w:val="45DF3B44"/>
    <w:rsid w:val="460165B2"/>
    <w:rsid w:val="46033929"/>
    <w:rsid w:val="4607BFDF"/>
    <w:rsid w:val="46192882"/>
    <w:rsid w:val="462333BA"/>
    <w:rsid w:val="46247D29"/>
    <w:rsid w:val="4628A123"/>
    <w:rsid w:val="46483D4B"/>
    <w:rsid w:val="46578EC7"/>
    <w:rsid w:val="465C45E6"/>
    <w:rsid w:val="4665EFE7"/>
    <w:rsid w:val="4667EF7C"/>
    <w:rsid w:val="46687264"/>
    <w:rsid w:val="467A73C1"/>
    <w:rsid w:val="467DD5BD"/>
    <w:rsid w:val="468E4BA9"/>
    <w:rsid w:val="46AD53FA"/>
    <w:rsid w:val="46C5A2F7"/>
    <w:rsid w:val="46D5798D"/>
    <w:rsid w:val="46E07500"/>
    <w:rsid w:val="46E3E1A7"/>
    <w:rsid w:val="46E8A040"/>
    <w:rsid w:val="46F720E4"/>
    <w:rsid w:val="46FCF902"/>
    <w:rsid w:val="4707E730"/>
    <w:rsid w:val="470AF544"/>
    <w:rsid w:val="470B9C3F"/>
    <w:rsid w:val="4710838C"/>
    <w:rsid w:val="47228211"/>
    <w:rsid w:val="4748E6AE"/>
    <w:rsid w:val="474E21E9"/>
    <w:rsid w:val="474F54E8"/>
    <w:rsid w:val="4758D02C"/>
    <w:rsid w:val="475DCB4C"/>
    <w:rsid w:val="476C3170"/>
    <w:rsid w:val="47711923"/>
    <w:rsid w:val="479BBFD9"/>
    <w:rsid w:val="479CE3FD"/>
    <w:rsid w:val="479DB3CC"/>
    <w:rsid w:val="47BA723E"/>
    <w:rsid w:val="47C640AC"/>
    <w:rsid w:val="47CC30A8"/>
    <w:rsid w:val="47D92DE6"/>
    <w:rsid w:val="47DA7FFD"/>
    <w:rsid w:val="47E2BD0C"/>
    <w:rsid w:val="47EDC2C5"/>
    <w:rsid w:val="48003E40"/>
    <w:rsid w:val="4812C2C0"/>
    <w:rsid w:val="481BF08E"/>
    <w:rsid w:val="48912110"/>
    <w:rsid w:val="489E2529"/>
    <w:rsid w:val="48A42E36"/>
    <w:rsid w:val="48A875BD"/>
    <w:rsid w:val="48AA3BD8"/>
    <w:rsid w:val="48AAC145"/>
    <w:rsid w:val="48B171B1"/>
    <w:rsid w:val="48CB9041"/>
    <w:rsid w:val="48D5FF65"/>
    <w:rsid w:val="48E77236"/>
    <w:rsid w:val="4902A833"/>
    <w:rsid w:val="49069C0D"/>
    <w:rsid w:val="4909E51C"/>
    <w:rsid w:val="4912C383"/>
    <w:rsid w:val="4931AF30"/>
    <w:rsid w:val="49339228"/>
    <w:rsid w:val="49499017"/>
    <w:rsid w:val="494CF12D"/>
    <w:rsid w:val="4950F528"/>
    <w:rsid w:val="49519C94"/>
    <w:rsid w:val="4954D8F8"/>
    <w:rsid w:val="49556E41"/>
    <w:rsid w:val="4957A35F"/>
    <w:rsid w:val="497170BD"/>
    <w:rsid w:val="4974E0C6"/>
    <w:rsid w:val="4978E66D"/>
    <w:rsid w:val="497C263D"/>
    <w:rsid w:val="4987218E"/>
    <w:rsid w:val="49A43D0E"/>
    <w:rsid w:val="49B851DF"/>
    <w:rsid w:val="49BE079B"/>
    <w:rsid w:val="49C3EE2F"/>
    <w:rsid w:val="49CA378B"/>
    <w:rsid w:val="49CA3E9E"/>
    <w:rsid w:val="49CAA9DB"/>
    <w:rsid w:val="49CDA754"/>
    <w:rsid w:val="49CE730B"/>
    <w:rsid w:val="49D79BF2"/>
    <w:rsid w:val="49DC1CB5"/>
    <w:rsid w:val="4A0EEC3B"/>
    <w:rsid w:val="4A0FA7A7"/>
    <w:rsid w:val="4A154CFB"/>
    <w:rsid w:val="4A164816"/>
    <w:rsid w:val="4A1923D3"/>
    <w:rsid w:val="4A19DB03"/>
    <w:rsid w:val="4A25FA4A"/>
    <w:rsid w:val="4A29887D"/>
    <w:rsid w:val="4A34A030"/>
    <w:rsid w:val="4A39E1BD"/>
    <w:rsid w:val="4A3A6F64"/>
    <w:rsid w:val="4A4183BE"/>
    <w:rsid w:val="4A4B13D5"/>
    <w:rsid w:val="4A5181CE"/>
    <w:rsid w:val="4A5720C8"/>
    <w:rsid w:val="4A63C9BE"/>
    <w:rsid w:val="4A6E28C7"/>
    <w:rsid w:val="4A7B85CF"/>
    <w:rsid w:val="4A8282E6"/>
    <w:rsid w:val="4A89F9B7"/>
    <w:rsid w:val="4A9269AA"/>
    <w:rsid w:val="4A977BDC"/>
    <w:rsid w:val="4A9A03BC"/>
    <w:rsid w:val="4A9BDA4E"/>
    <w:rsid w:val="4AA51F1A"/>
    <w:rsid w:val="4AC32AA2"/>
    <w:rsid w:val="4AC78EF4"/>
    <w:rsid w:val="4ACFB476"/>
    <w:rsid w:val="4AD28CC8"/>
    <w:rsid w:val="4AD8398A"/>
    <w:rsid w:val="4AE052C9"/>
    <w:rsid w:val="4AED45A2"/>
    <w:rsid w:val="4AF12035"/>
    <w:rsid w:val="4AFD1FFA"/>
    <w:rsid w:val="4B063218"/>
    <w:rsid w:val="4B0BBD05"/>
    <w:rsid w:val="4B0E3BA5"/>
    <w:rsid w:val="4B100253"/>
    <w:rsid w:val="4B2BBCD2"/>
    <w:rsid w:val="4B2CDB58"/>
    <w:rsid w:val="4B3F5332"/>
    <w:rsid w:val="4B418E41"/>
    <w:rsid w:val="4B46A9F5"/>
    <w:rsid w:val="4B59070F"/>
    <w:rsid w:val="4B606E48"/>
    <w:rsid w:val="4B8F4EC2"/>
    <w:rsid w:val="4B93CB82"/>
    <w:rsid w:val="4B943721"/>
    <w:rsid w:val="4BA81662"/>
    <w:rsid w:val="4BA88F20"/>
    <w:rsid w:val="4BACCEF2"/>
    <w:rsid w:val="4BC21CD1"/>
    <w:rsid w:val="4BD86EDF"/>
    <w:rsid w:val="4BD97B4B"/>
    <w:rsid w:val="4BEE6711"/>
    <w:rsid w:val="4BF2F72A"/>
    <w:rsid w:val="4BF922AF"/>
    <w:rsid w:val="4C15ACBE"/>
    <w:rsid w:val="4C31253B"/>
    <w:rsid w:val="4C3CCAEA"/>
    <w:rsid w:val="4C405A88"/>
    <w:rsid w:val="4C4FA0EE"/>
    <w:rsid w:val="4C54BB0E"/>
    <w:rsid w:val="4C5CA8A2"/>
    <w:rsid w:val="4C5F0FE8"/>
    <w:rsid w:val="4C6FAC96"/>
    <w:rsid w:val="4C70B1D1"/>
    <w:rsid w:val="4C75FD50"/>
    <w:rsid w:val="4C7F918A"/>
    <w:rsid w:val="4C8BEFDB"/>
    <w:rsid w:val="4C99E1B5"/>
    <w:rsid w:val="4CA3CE4D"/>
    <w:rsid w:val="4CA60D91"/>
    <w:rsid w:val="4CC3475F"/>
    <w:rsid w:val="4CD35D08"/>
    <w:rsid w:val="4CE03488"/>
    <w:rsid w:val="4CE9AE9D"/>
    <w:rsid w:val="4CEDC914"/>
    <w:rsid w:val="4CF6D0D5"/>
    <w:rsid w:val="4CFBA0A3"/>
    <w:rsid w:val="4D1163CA"/>
    <w:rsid w:val="4D445C51"/>
    <w:rsid w:val="4D5E92E1"/>
    <w:rsid w:val="4D6E5EBE"/>
    <w:rsid w:val="4D75C000"/>
    <w:rsid w:val="4D7AD512"/>
    <w:rsid w:val="4D9058E1"/>
    <w:rsid w:val="4D9C0EF8"/>
    <w:rsid w:val="4DAED48E"/>
    <w:rsid w:val="4DCA1197"/>
    <w:rsid w:val="4DCC8208"/>
    <w:rsid w:val="4DE0E351"/>
    <w:rsid w:val="4DE85B0E"/>
    <w:rsid w:val="4E199C1E"/>
    <w:rsid w:val="4E2B9CE5"/>
    <w:rsid w:val="4E2BCEFA"/>
    <w:rsid w:val="4E394A86"/>
    <w:rsid w:val="4E39AA61"/>
    <w:rsid w:val="4E43BC3F"/>
    <w:rsid w:val="4E4D0DAA"/>
    <w:rsid w:val="4E54CF2F"/>
    <w:rsid w:val="4E5557AA"/>
    <w:rsid w:val="4E57F50C"/>
    <w:rsid w:val="4E5C2082"/>
    <w:rsid w:val="4E701345"/>
    <w:rsid w:val="4E7E1319"/>
    <w:rsid w:val="4E884655"/>
    <w:rsid w:val="4E889F87"/>
    <w:rsid w:val="4EC339FA"/>
    <w:rsid w:val="4ECD3B48"/>
    <w:rsid w:val="4ECE69BF"/>
    <w:rsid w:val="4ECE77AB"/>
    <w:rsid w:val="4ED357F2"/>
    <w:rsid w:val="4EF1E1DE"/>
    <w:rsid w:val="4EFE0C70"/>
    <w:rsid w:val="4F038436"/>
    <w:rsid w:val="4F084C43"/>
    <w:rsid w:val="4F1510EB"/>
    <w:rsid w:val="4F317926"/>
    <w:rsid w:val="4F3F102A"/>
    <w:rsid w:val="4F417779"/>
    <w:rsid w:val="4F537EDE"/>
    <w:rsid w:val="4F547E63"/>
    <w:rsid w:val="4F67AC76"/>
    <w:rsid w:val="4F74203A"/>
    <w:rsid w:val="4F79283C"/>
    <w:rsid w:val="4F79BDFB"/>
    <w:rsid w:val="4F7F2605"/>
    <w:rsid w:val="4F8EBF92"/>
    <w:rsid w:val="4F92817A"/>
    <w:rsid w:val="4F9A6C09"/>
    <w:rsid w:val="4F9FC04B"/>
    <w:rsid w:val="4FB01A3B"/>
    <w:rsid w:val="4FB09D66"/>
    <w:rsid w:val="4FB48E3E"/>
    <w:rsid w:val="4FD1D439"/>
    <w:rsid w:val="4FD44CCE"/>
    <w:rsid w:val="4FE625AB"/>
    <w:rsid w:val="4FF47045"/>
    <w:rsid w:val="4FFB4809"/>
    <w:rsid w:val="500F9E7A"/>
    <w:rsid w:val="50103037"/>
    <w:rsid w:val="501F35C2"/>
    <w:rsid w:val="503F1F26"/>
    <w:rsid w:val="5041C134"/>
    <w:rsid w:val="5059ECDB"/>
    <w:rsid w:val="505CC359"/>
    <w:rsid w:val="505CD47C"/>
    <w:rsid w:val="507686DB"/>
    <w:rsid w:val="507C7F9D"/>
    <w:rsid w:val="507E6F20"/>
    <w:rsid w:val="5082E267"/>
    <w:rsid w:val="508589DD"/>
    <w:rsid w:val="50867D81"/>
    <w:rsid w:val="50996CEB"/>
    <w:rsid w:val="509ACC92"/>
    <w:rsid w:val="509D8441"/>
    <w:rsid w:val="50B9F1C5"/>
    <w:rsid w:val="50BCE4FE"/>
    <w:rsid w:val="50BCEFE9"/>
    <w:rsid w:val="50CA0961"/>
    <w:rsid w:val="50CF6751"/>
    <w:rsid w:val="50EA00D9"/>
    <w:rsid w:val="5105FB41"/>
    <w:rsid w:val="510B822B"/>
    <w:rsid w:val="511CA603"/>
    <w:rsid w:val="5122AAE8"/>
    <w:rsid w:val="5127A633"/>
    <w:rsid w:val="512C9AB9"/>
    <w:rsid w:val="512CAFCC"/>
    <w:rsid w:val="513C415D"/>
    <w:rsid w:val="513DAAD2"/>
    <w:rsid w:val="513F729D"/>
    <w:rsid w:val="5149B9AC"/>
    <w:rsid w:val="5156EC66"/>
    <w:rsid w:val="516880F2"/>
    <w:rsid w:val="516909F5"/>
    <w:rsid w:val="516C36C2"/>
    <w:rsid w:val="518AE48E"/>
    <w:rsid w:val="518CFA44"/>
    <w:rsid w:val="5191EE42"/>
    <w:rsid w:val="51ACB76C"/>
    <w:rsid w:val="51BEE7DB"/>
    <w:rsid w:val="51C00433"/>
    <w:rsid w:val="51D141D1"/>
    <w:rsid w:val="51D1D545"/>
    <w:rsid w:val="51F1C3FE"/>
    <w:rsid w:val="520340CD"/>
    <w:rsid w:val="52206B0E"/>
    <w:rsid w:val="52229473"/>
    <w:rsid w:val="522417D9"/>
    <w:rsid w:val="5231F5E9"/>
    <w:rsid w:val="52368685"/>
    <w:rsid w:val="526F0FAC"/>
    <w:rsid w:val="52899459"/>
    <w:rsid w:val="52A09BA3"/>
    <w:rsid w:val="52ADC1A2"/>
    <w:rsid w:val="52AFC0BF"/>
    <w:rsid w:val="52BA50C7"/>
    <w:rsid w:val="52C3C6DB"/>
    <w:rsid w:val="52CCBB97"/>
    <w:rsid w:val="52D68C2C"/>
    <w:rsid w:val="52D715DC"/>
    <w:rsid w:val="52DB67F6"/>
    <w:rsid w:val="5308FDC0"/>
    <w:rsid w:val="53218170"/>
    <w:rsid w:val="533D9B0B"/>
    <w:rsid w:val="5358CE36"/>
    <w:rsid w:val="535DBC6C"/>
    <w:rsid w:val="5367232F"/>
    <w:rsid w:val="536ABC6E"/>
    <w:rsid w:val="537723AB"/>
    <w:rsid w:val="53814ABD"/>
    <w:rsid w:val="53874FB8"/>
    <w:rsid w:val="538D6F0C"/>
    <w:rsid w:val="5392547C"/>
    <w:rsid w:val="5393322A"/>
    <w:rsid w:val="5398ACBD"/>
    <w:rsid w:val="5399E255"/>
    <w:rsid w:val="53A4BCAD"/>
    <w:rsid w:val="53ADD7B0"/>
    <w:rsid w:val="53C50C4F"/>
    <w:rsid w:val="53CCBDFB"/>
    <w:rsid w:val="53CE65CF"/>
    <w:rsid w:val="53E1A599"/>
    <w:rsid w:val="5400F013"/>
    <w:rsid w:val="5403C97B"/>
    <w:rsid w:val="540853F1"/>
    <w:rsid w:val="54409A54"/>
    <w:rsid w:val="54492E51"/>
    <w:rsid w:val="544A7D7B"/>
    <w:rsid w:val="544D2DC9"/>
    <w:rsid w:val="54533C76"/>
    <w:rsid w:val="545383E0"/>
    <w:rsid w:val="5457E707"/>
    <w:rsid w:val="5467AC2D"/>
    <w:rsid w:val="5468D298"/>
    <w:rsid w:val="546B27F7"/>
    <w:rsid w:val="5488E124"/>
    <w:rsid w:val="5495BC32"/>
    <w:rsid w:val="549839E5"/>
    <w:rsid w:val="549D89A4"/>
    <w:rsid w:val="54A63D1E"/>
    <w:rsid w:val="54BC782A"/>
    <w:rsid w:val="54D6DB02"/>
    <w:rsid w:val="54EC3CC9"/>
    <w:rsid w:val="54EFCC71"/>
    <w:rsid w:val="55093F0E"/>
    <w:rsid w:val="5509C289"/>
    <w:rsid w:val="550F4030"/>
    <w:rsid w:val="5517A7B8"/>
    <w:rsid w:val="551F112B"/>
    <w:rsid w:val="5526AB23"/>
    <w:rsid w:val="552D2134"/>
    <w:rsid w:val="55334399"/>
    <w:rsid w:val="553561F6"/>
    <w:rsid w:val="55428AD6"/>
    <w:rsid w:val="554BEFCD"/>
    <w:rsid w:val="5566C31D"/>
    <w:rsid w:val="5569C049"/>
    <w:rsid w:val="5577171E"/>
    <w:rsid w:val="558CD90E"/>
    <w:rsid w:val="55B2A9EC"/>
    <w:rsid w:val="55B2C316"/>
    <w:rsid w:val="55C2F08F"/>
    <w:rsid w:val="55C4B5CD"/>
    <w:rsid w:val="55C51AD5"/>
    <w:rsid w:val="55C96C7A"/>
    <w:rsid w:val="55CB330F"/>
    <w:rsid w:val="55CF1B01"/>
    <w:rsid w:val="55D3892C"/>
    <w:rsid w:val="55D69C4B"/>
    <w:rsid w:val="55E1BCFB"/>
    <w:rsid w:val="55EB9F3D"/>
    <w:rsid w:val="55EFC39C"/>
    <w:rsid w:val="55F6070C"/>
    <w:rsid w:val="55FC2883"/>
    <w:rsid w:val="560B3B3C"/>
    <w:rsid w:val="560BEB85"/>
    <w:rsid w:val="560DFE66"/>
    <w:rsid w:val="561DC201"/>
    <w:rsid w:val="56218BFB"/>
    <w:rsid w:val="562A86EE"/>
    <w:rsid w:val="562E72F8"/>
    <w:rsid w:val="563A9401"/>
    <w:rsid w:val="563B6E6A"/>
    <w:rsid w:val="563D5774"/>
    <w:rsid w:val="563E6F13"/>
    <w:rsid w:val="564A5F33"/>
    <w:rsid w:val="565EFD8B"/>
    <w:rsid w:val="5664A71E"/>
    <w:rsid w:val="5680069A"/>
    <w:rsid w:val="56862750"/>
    <w:rsid w:val="56AA9C5A"/>
    <w:rsid w:val="56B2EBAA"/>
    <w:rsid w:val="56CC7F8F"/>
    <w:rsid w:val="56CE4E27"/>
    <w:rsid w:val="57010C4B"/>
    <w:rsid w:val="571C331B"/>
    <w:rsid w:val="571DB2DF"/>
    <w:rsid w:val="572A9121"/>
    <w:rsid w:val="57401377"/>
    <w:rsid w:val="57451383"/>
    <w:rsid w:val="57495AC1"/>
    <w:rsid w:val="575CA131"/>
    <w:rsid w:val="57649DCD"/>
    <w:rsid w:val="5765AFA3"/>
    <w:rsid w:val="576C5C84"/>
    <w:rsid w:val="5780EDDA"/>
    <w:rsid w:val="579A9590"/>
    <w:rsid w:val="579CFDAA"/>
    <w:rsid w:val="579D31FE"/>
    <w:rsid w:val="579D50B0"/>
    <w:rsid w:val="57A26617"/>
    <w:rsid w:val="57A82BC2"/>
    <w:rsid w:val="57B80E30"/>
    <w:rsid w:val="57B9FC29"/>
    <w:rsid w:val="57BBFD77"/>
    <w:rsid w:val="57C1085A"/>
    <w:rsid w:val="57C23948"/>
    <w:rsid w:val="57C7B3F8"/>
    <w:rsid w:val="57CB4833"/>
    <w:rsid w:val="57D2CCE5"/>
    <w:rsid w:val="57D3179A"/>
    <w:rsid w:val="57DFE4FC"/>
    <w:rsid w:val="57ECA3DC"/>
    <w:rsid w:val="57EF52D4"/>
    <w:rsid w:val="57F8AE83"/>
    <w:rsid w:val="580045C3"/>
    <w:rsid w:val="580606F7"/>
    <w:rsid w:val="580E624B"/>
    <w:rsid w:val="581447C7"/>
    <w:rsid w:val="5824A014"/>
    <w:rsid w:val="5833C393"/>
    <w:rsid w:val="583C23DB"/>
    <w:rsid w:val="58477A7F"/>
    <w:rsid w:val="5849AE1A"/>
    <w:rsid w:val="585B07FB"/>
    <w:rsid w:val="5860BAE3"/>
    <w:rsid w:val="5861A341"/>
    <w:rsid w:val="58666FBF"/>
    <w:rsid w:val="58823B90"/>
    <w:rsid w:val="588ADC3C"/>
    <w:rsid w:val="589897E4"/>
    <w:rsid w:val="58A054EF"/>
    <w:rsid w:val="58ACA0B9"/>
    <w:rsid w:val="58AF509E"/>
    <w:rsid w:val="58BA4811"/>
    <w:rsid w:val="58E24727"/>
    <w:rsid w:val="58E53D0F"/>
    <w:rsid w:val="58EE80D6"/>
    <w:rsid w:val="58FB4D98"/>
    <w:rsid w:val="59284DE8"/>
    <w:rsid w:val="593F90C0"/>
    <w:rsid w:val="594A3A66"/>
    <w:rsid w:val="596173B3"/>
    <w:rsid w:val="598216B3"/>
    <w:rsid w:val="5984FC51"/>
    <w:rsid w:val="598B9150"/>
    <w:rsid w:val="599BBB35"/>
    <w:rsid w:val="599C944D"/>
    <w:rsid w:val="599E1189"/>
    <w:rsid w:val="59A304B1"/>
    <w:rsid w:val="59A7FB42"/>
    <w:rsid w:val="59AD127A"/>
    <w:rsid w:val="59C5871D"/>
    <w:rsid w:val="59CB08A9"/>
    <w:rsid w:val="59FD898E"/>
    <w:rsid w:val="5A0E0B37"/>
    <w:rsid w:val="5A20E542"/>
    <w:rsid w:val="5A2A6C6E"/>
    <w:rsid w:val="5A2A8E1C"/>
    <w:rsid w:val="5A2D9CF6"/>
    <w:rsid w:val="5A2DC4AF"/>
    <w:rsid w:val="5A34332C"/>
    <w:rsid w:val="5A371821"/>
    <w:rsid w:val="5A7045A7"/>
    <w:rsid w:val="5A834C78"/>
    <w:rsid w:val="5A891DC3"/>
    <w:rsid w:val="5A8BD525"/>
    <w:rsid w:val="5A8E390B"/>
    <w:rsid w:val="5AAA64E5"/>
    <w:rsid w:val="5AB3ED97"/>
    <w:rsid w:val="5AC42AD3"/>
    <w:rsid w:val="5AC7D58F"/>
    <w:rsid w:val="5ADD3455"/>
    <w:rsid w:val="5ADF6EFE"/>
    <w:rsid w:val="5AF97986"/>
    <w:rsid w:val="5AFEF8C9"/>
    <w:rsid w:val="5B007274"/>
    <w:rsid w:val="5B024EFE"/>
    <w:rsid w:val="5B02B92E"/>
    <w:rsid w:val="5B06C866"/>
    <w:rsid w:val="5B09B589"/>
    <w:rsid w:val="5B16F034"/>
    <w:rsid w:val="5B1AFC2B"/>
    <w:rsid w:val="5B30D1B9"/>
    <w:rsid w:val="5B34FCDC"/>
    <w:rsid w:val="5B350CD1"/>
    <w:rsid w:val="5B50C045"/>
    <w:rsid w:val="5B562745"/>
    <w:rsid w:val="5B5F3167"/>
    <w:rsid w:val="5B64E195"/>
    <w:rsid w:val="5B6E84D5"/>
    <w:rsid w:val="5B71FA9B"/>
    <w:rsid w:val="5B7DE103"/>
    <w:rsid w:val="5B81E84D"/>
    <w:rsid w:val="5B840492"/>
    <w:rsid w:val="5B868467"/>
    <w:rsid w:val="5B9EFBBE"/>
    <w:rsid w:val="5BC2787A"/>
    <w:rsid w:val="5BC9F71C"/>
    <w:rsid w:val="5BCBBA7B"/>
    <w:rsid w:val="5BCF12A2"/>
    <w:rsid w:val="5BD079FF"/>
    <w:rsid w:val="5BD98CDB"/>
    <w:rsid w:val="5BF929CD"/>
    <w:rsid w:val="5C03A388"/>
    <w:rsid w:val="5C0FEFFF"/>
    <w:rsid w:val="5C157642"/>
    <w:rsid w:val="5C368C94"/>
    <w:rsid w:val="5C3B81BA"/>
    <w:rsid w:val="5C3BD19E"/>
    <w:rsid w:val="5C55E9B5"/>
    <w:rsid w:val="5C5EB830"/>
    <w:rsid w:val="5C6A66CE"/>
    <w:rsid w:val="5C6D1542"/>
    <w:rsid w:val="5C80C8E1"/>
    <w:rsid w:val="5C8219F9"/>
    <w:rsid w:val="5C825372"/>
    <w:rsid w:val="5C842214"/>
    <w:rsid w:val="5C8B1B3B"/>
    <w:rsid w:val="5C9E018B"/>
    <w:rsid w:val="5CBC8FC3"/>
    <w:rsid w:val="5CC59B6A"/>
    <w:rsid w:val="5CD0C07B"/>
    <w:rsid w:val="5CD2089A"/>
    <w:rsid w:val="5CD32C8C"/>
    <w:rsid w:val="5CD967F1"/>
    <w:rsid w:val="5CDCB00C"/>
    <w:rsid w:val="5CDF6693"/>
    <w:rsid w:val="5CEE1779"/>
    <w:rsid w:val="5CF28B09"/>
    <w:rsid w:val="5D298352"/>
    <w:rsid w:val="5D3DB9B7"/>
    <w:rsid w:val="5D3DDD46"/>
    <w:rsid w:val="5D5F7A36"/>
    <w:rsid w:val="5D7D7007"/>
    <w:rsid w:val="5D8425F0"/>
    <w:rsid w:val="5D93A76C"/>
    <w:rsid w:val="5D9F968E"/>
    <w:rsid w:val="5DB4D514"/>
    <w:rsid w:val="5DBF3046"/>
    <w:rsid w:val="5DC12BC3"/>
    <w:rsid w:val="5DDB1220"/>
    <w:rsid w:val="5DDDBBC8"/>
    <w:rsid w:val="5DEA06D8"/>
    <w:rsid w:val="5DEBD758"/>
    <w:rsid w:val="5DF45584"/>
    <w:rsid w:val="5E0943A5"/>
    <w:rsid w:val="5E17E8D1"/>
    <w:rsid w:val="5E1BA2D2"/>
    <w:rsid w:val="5E4573E0"/>
    <w:rsid w:val="5E5C21CD"/>
    <w:rsid w:val="5E606762"/>
    <w:rsid w:val="5E65437B"/>
    <w:rsid w:val="5E68A604"/>
    <w:rsid w:val="5E77C455"/>
    <w:rsid w:val="5E8737E7"/>
    <w:rsid w:val="5E8DD46C"/>
    <w:rsid w:val="5E98B6D8"/>
    <w:rsid w:val="5EA1F3F2"/>
    <w:rsid w:val="5EBDBCA1"/>
    <w:rsid w:val="5EBEE610"/>
    <w:rsid w:val="5EC0D19B"/>
    <w:rsid w:val="5EC3BC56"/>
    <w:rsid w:val="5ECA09DE"/>
    <w:rsid w:val="5ED89CA6"/>
    <w:rsid w:val="5ED938C6"/>
    <w:rsid w:val="5EDBCD39"/>
    <w:rsid w:val="5EDD21F5"/>
    <w:rsid w:val="5EE58E13"/>
    <w:rsid w:val="5EEAB02C"/>
    <w:rsid w:val="5EF844E3"/>
    <w:rsid w:val="5EFE76C0"/>
    <w:rsid w:val="5F156EA3"/>
    <w:rsid w:val="5F35BB90"/>
    <w:rsid w:val="5F39A0D6"/>
    <w:rsid w:val="5F408991"/>
    <w:rsid w:val="5F463B03"/>
    <w:rsid w:val="5F4AD260"/>
    <w:rsid w:val="5F60028F"/>
    <w:rsid w:val="5F673F32"/>
    <w:rsid w:val="5F68B187"/>
    <w:rsid w:val="5F6C9937"/>
    <w:rsid w:val="5F77F160"/>
    <w:rsid w:val="5F7D944B"/>
    <w:rsid w:val="5FA32ADA"/>
    <w:rsid w:val="5FAED7C8"/>
    <w:rsid w:val="5FBFA8D0"/>
    <w:rsid w:val="5FBFE99E"/>
    <w:rsid w:val="5FBFF33F"/>
    <w:rsid w:val="5FEC8953"/>
    <w:rsid w:val="60085262"/>
    <w:rsid w:val="600E65B7"/>
    <w:rsid w:val="600FA1C6"/>
    <w:rsid w:val="6011C996"/>
    <w:rsid w:val="60161EEF"/>
    <w:rsid w:val="6033A955"/>
    <w:rsid w:val="603D08EB"/>
    <w:rsid w:val="604CAC4D"/>
    <w:rsid w:val="6056D0EB"/>
    <w:rsid w:val="605DC450"/>
    <w:rsid w:val="606684AA"/>
    <w:rsid w:val="60771B59"/>
    <w:rsid w:val="60821666"/>
    <w:rsid w:val="608774F8"/>
    <w:rsid w:val="608886E6"/>
    <w:rsid w:val="608D4A41"/>
    <w:rsid w:val="609B449B"/>
    <w:rsid w:val="60AD4A5A"/>
    <w:rsid w:val="60B0CFFE"/>
    <w:rsid w:val="60B1D07D"/>
    <w:rsid w:val="60BB6D18"/>
    <w:rsid w:val="60BD09A9"/>
    <w:rsid w:val="60C29230"/>
    <w:rsid w:val="60C40CDA"/>
    <w:rsid w:val="60DEC081"/>
    <w:rsid w:val="60EF7451"/>
    <w:rsid w:val="610ED489"/>
    <w:rsid w:val="610F898E"/>
    <w:rsid w:val="611BE631"/>
    <w:rsid w:val="612626B1"/>
    <w:rsid w:val="613A47FF"/>
    <w:rsid w:val="6157CA68"/>
    <w:rsid w:val="6167C672"/>
    <w:rsid w:val="618BA042"/>
    <w:rsid w:val="6199B16E"/>
    <w:rsid w:val="61AD53CD"/>
    <w:rsid w:val="61ADDA89"/>
    <w:rsid w:val="61B9E89F"/>
    <w:rsid w:val="61C7DBB4"/>
    <w:rsid w:val="61D95708"/>
    <w:rsid w:val="61E30902"/>
    <w:rsid w:val="61ED1E21"/>
    <w:rsid w:val="61F3FC90"/>
    <w:rsid w:val="61FD9D08"/>
    <w:rsid w:val="620519C6"/>
    <w:rsid w:val="620D938B"/>
    <w:rsid w:val="62134A85"/>
    <w:rsid w:val="6233307D"/>
    <w:rsid w:val="62344C10"/>
    <w:rsid w:val="6236029E"/>
    <w:rsid w:val="623A735E"/>
    <w:rsid w:val="623C310F"/>
    <w:rsid w:val="624D1952"/>
    <w:rsid w:val="625975B7"/>
    <w:rsid w:val="62645A81"/>
    <w:rsid w:val="626AAA87"/>
    <w:rsid w:val="627E63C5"/>
    <w:rsid w:val="629667C1"/>
    <w:rsid w:val="62A7916B"/>
    <w:rsid w:val="62A9DB0D"/>
    <w:rsid w:val="62BF5671"/>
    <w:rsid w:val="62C051CA"/>
    <w:rsid w:val="62CC1D9A"/>
    <w:rsid w:val="62D00258"/>
    <w:rsid w:val="62D2FBCA"/>
    <w:rsid w:val="62DFC250"/>
    <w:rsid w:val="6306AD38"/>
    <w:rsid w:val="630766B0"/>
    <w:rsid w:val="63107C6C"/>
    <w:rsid w:val="632C21C0"/>
    <w:rsid w:val="63382950"/>
    <w:rsid w:val="6340EF43"/>
    <w:rsid w:val="634596CD"/>
    <w:rsid w:val="63499069"/>
    <w:rsid w:val="63583382"/>
    <w:rsid w:val="635D48AA"/>
    <w:rsid w:val="635DF86D"/>
    <w:rsid w:val="6363CE70"/>
    <w:rsid w:val="6378CBC7"/>
    <w:rsid w:val="637E6093"/>
    <w:rsid w:val="6390E0E5"/>
    <w:rsid w:val="63D1C588"/>
    <w:rsid w:val="63E2C5D5"/>
    <w:rsid w:val="63E4F002"/>
    <w:rsid w:val="63FA4DF6"/>
    <w:rsid w:val="63FFC3DD"/>
    <w:rsid w:val="640A3DC5"/>
    <w:rsid w:val="640A426D"/>
    <w:rsid w:val="641057B9"/>
    <w:rsid w:val="64187876"/>
    <w:rsid w:val="642A3310"/>
    <w:rsid w:val="643065DA"/>
    <w:rsid w:val="643621BC"/>
    <w:rsid w:val="643D556A"/>
    <w:rsid w:val="643DFC4C"/>
    <w:rsid w:val="6442DBA2"/>
    <w:rsid w:val="644702B1"/>
    <w:rsid w:val="6447D13E"/>
    <w:rsid w:val="64623175"/>
    <w:rsid w:val="646F4B40"/>
    <w:rsid w:val="647C6F9A"/>
    <w:rsid w:val="648DBBF6"/>
    <w:rsid w:val="648EEC7C"/>
    <w:rsid w:val="64965DC5"/>
    <w:rsid w:val="64AC1811"/>
    <w:rsid w:val="64B0F2E3"/>
    <w:rsid w:val="64B1EFB9"/>
    <w:rsid w:val="64B4F5D1"/>
    <w:rsid w:val="64BE5CCD"/>
    <w:rsid w:val="64CE1852"/>
    <w:rsid w:val="64D39FE0"/>
    <w:rsid w:val="64DCAE62"/>
    <w:rsid w:val="64ED35BD"/>
    <w:rsid w:val="64F571C0"/>
    <w:rsid w:val="65036586"/>
    <w:rsid w:val="65054719"/>
    <w:rsid w:val="6520B2BE"/>
    <w:rsid w:val="6533E864"/>
    <w:rsid w:val="65367D4D"/>
    <w:rsid w:val="65368C77"/>
    <w:rsid w:val="653D4D6D"/>
    <w:rsid w:val="6543BBF6"/>
    <w:rsid w:val="654D158C"/>
    <w:rsid w:val="6551BD4E"/>
    <w:rsid w:val="6551D4C8"/>
    <w:rsid w:val="65523BC2"/>
    <w:rsid w:val="655F3BB1"/>
    <w:rsid w:val="656260AD"/>
    <w:rsid w:val="65694F36"/>
    <w:rsid w:val="656993F2"/>
    <w:rsid w:val="657C4FFD"/>
    <w:rsid w:val="657D5EBA"/>
    <w:rsid w:val="658A888F"/>
    <w:rsid w:val="659558C6"/>
    <w:rsid w:val="65B009B9"/>
    <w:rsid w:val="65BA411E"/>
    <w:rsid w:val="65BD9744"/>
    <w:rsid w:val="65D0B2C4"/>
    <w:rsid w:val="65E59E34"/>
    <w:rsid w:val="65F4A52B"/>
    <w:rsid w:val="65F82B37"/>
    <w:rsid w:val="6612CB69"/>
    <w:rsid w:val="6619F7DB"/>
    <w:rsid w:val="662DC264"/>
    <w:rsid w:val="662E03C1"/>
    <w:rsid w:val="663A5EB0"/>
    <w:rsid w:val="664D465C"/>
    <w:rsid w:val="66578FBB"/>
    <w:rsid w:val="666223B7"/>
    <w:rsid w:val="6664AFB3"/>
    <w:rsid w:val="66683C52"/>
    <w:rsid w:val="666CE4A4"/>
    <w:rsid w:val="6674AE81"/>
    <w:rsid w:val="66985A66"/>
    <w:rsid w:val="66D6CF27"/>
    <w:rsid w:val="66ED8491"/>
    <w:rsid w:val="66FA7872"/>
    <w:rsid w:val="67131C46"/>
    <w:rsid w:val="6713F2FF"/>
    <w:rsid w:val="671C3AE5"/>
    <w:rsid w:val="672ED77B"/>
    <w:rsid w:val="673E97E0"/>
    <w:rsid w:val="6743AC8A"/>
    <w:rsid w:val="674E4E66"/>
    <w:rsid w:val="67542C01"/>
    <w:rsid w:val="6758AD13"/>
    <w:rsid w:val="675AF4A8"/>
    <w:rsid w:val="67655FFF"/>
    <w:rsid w:val="676EAD63"/>
    <w:rsid w:val="67704E7F"/>
    <w:rsid w:val="6770B2A5"/>
    <w:rsid w:val="678194B9"/>
    <w:rsid w:val="6788C816"/>
    <w:rsid w:val="678EA317"/>
    <w:rsid w:val="679325CC"/>
    <w:rsid w:val="679ECCA7"/>
    <w:rsid w:val="67A58F73"/>
    <w:rsid w:val="67B97781"/>
    <w:rsid w:val="67BE520A"/>
    <w:rsid w:val="67C298DF"/>
    <w:rsid w:val="67DE9E74"/>
    <w:rsid w:val="67E1C6B8"/>
    <w:rsid w:val="67E2CA4F"/>
    <w:rsid w:val="67F2295A"/>
    <w:rsid w:val="6810299B"/>
    <w:rsid w:val="68330616"/>
    <w:rsid w:val="685AEB0B"/>
    <w:rsid w:val="68646C29"/>
    <w:rsid w:val="6868C7FA"/>
    <w:rsid w:val="686AD63D"/>
    <w:rsid w:val="686B0117"/>
    <w:rsid w:val="687BC22F"/>
    <w:rsid w:val="688FDDA1"/>
    <w:rsid w:val="689E483C"/>
    <w:rsid w:val="68B160C4"/>
    <w:rsid w:val="68C3FDA1"/>
    <w:rsid w:val="68CE9B83"/>
    <w:rsid w:val="68D6323B"/>
    <w:rsid w:val="68D8B68C"/>
    <w:rsid w:val="68DD10C1"/>
    <w:rsid w:val="68DF31D7"/>
    <w:rsid w:val="68E56E27"/>
    <w:rsid w:val="690487BB"/>
    <w:rsid w:val="690ADFBF"/>
    <w:rsid w:val="691725C0"/>
    <w:rsid w:val="691B72D4"/>
    <w:rsid w:val="691DADA4"/>
    <w:rsid w:val="692107A3"/>
    <w:rsid w:val="692A4BAB"/>
    <w:rsid w:val="692D2714"/>
    <w:rsid w:val="6937D89D"/>
    <w:rsid w:val="695B6ABB"/>
    <w:rsid w:val="696742C8"/>
    <w:rsid w:val="696A8DA0"/>
    <w:rsid w:val="69715B0B"/>
    <w:rsid w:val="69808089"/>
    <w:rsid w:val="6984E911"/>
    <w:rsid w:val="698B3F6F"/>
    <w:rsid w:val="6994F694"/>
    <w:rsid w:val="6998F57F"/>
    <w:rsid w:val="699C93B0"/>
    <w:rsid w:val="699E14E6"/>
    <w:rsid w:val="69A97257"/>
    <w:rsid w:val="69AC9AAA"/>
    <w:rsid w:val="69B12D00"/>
    <w:rsid w:val="69B47A69"/>
    <w:rsid w:val="69B70608"/>
    <w:rsid w:val="69BE169E"/>
    <w:rsid w:val="69D253AD"/>
    <w:rsid w:val="69D3C351"/>
    <w:rsid w:val="69DBFDAA"/>
    <w:rsid w:val="69E26F60"/>
    <w:rsid w:val="69F3550C"/>
    <w:rsid w:val="69F94D43"/>
    <w:rsid w:val="6A11CFF0"/>
    <w:rsid w:val="6A21D451"/>
    <w:rsid w:val="6A23989F"/>
    <w:rsid w:val="6A3B0CE9"/>
    <w:rsid w:val="6A3EF356"/>
    <w:rsid w:val="6A48BACC"/>
    <w:rsid w:val="6A4BB616"/>
    <w:rsid w:val="6A4CBB6A"/>
    <w:rsid w:val="6A63BE38"/>
    <w:rsid w:val="6A83A193"/>
    <w:rsid w:val="6A9052FA"/>
    <w:rsid w:val="6A96232F"/>
    <w:rsid w:val="6A9E22B8"/>
    <w:rsid w:val="6AA09046"/>
    <w:rsid w:val="6ACC03FE"/>
    <w:rsid w:val="6AD17BC7"/>
    <w:rsid w:val="6AD303C5"/>
    <w:rsid w:val="6AE3061C"/>
    <w:rsid w:val="6AF29E42"/>
    <w:rsid w:val="6AF98158"/>
    <w:rsid w:val="6B03523A"/>
    <w:rsid w:val="6B0EEE00"/>
    <w:rsid w:val="6B1EAF1F"/>
    <w:rsid w:val="6B233773"/>
    <w:rsid w:val="6B2BE531"/>
    <w:rsid w:val="6B2F1D81"/>
    <w:rsid w:val="6B4B7355"/>
    <w:rsid w:val="6B4DCA8B"/>
    <w:rsid w:val="6B518F69"/>
    <w:rsid w:val="6B6C66DB"/>
    <w:rsid w:val="6B79896F"/>
    <w:rsid w:val="6B7C822C"/>
    <w:rsid w:val="6B86F9A3"/>
    <w:rsid w:val="6B9F1663"/>
    <w:rsid w:val="6BA0AFAF"/>
    <w:rsid w:val="6BA8C59A"/>
    <w:rsid w:val="6BC21C85"/>
    <w:rsid w:val="6BC51D86"/>
    <w:rsid w:val="6BD571E1"/>
    <w:rsid w:val="6BD786BA"/>
    <w:rsid w:val="6BFF7B98"/>
    <w:rsid w:val="6C0B93EF"/>
    <w:rsid w:val="6C21108B"/>
    <w:rsid w:val="6C25B4A8"/>
    <w:rsid w:val="6C351D00"/>
    <w:rsid w:val="6C3EABDC"/>
    <w:rsid w:val="6C45F532"/>
    <w:rsid w:val="6C78A3A3"/>
    <w:rsid w:val="6C7D8602"/>
    <w:rsid w:val="6CA8084D"/>
    <w:rsid w:val="6CB2892B"/>
    <w:rsid w:val="6CB55582"/>
    <w:rsid w:val="6CC2E0EB"/>
    <w:rsid w:val="6CC4DFC3"/>
    <w:rsid w:val="6CC706B5"/>
    <w:rsid w:val="6CD5A1DA"/>
    <w:rsid w:val="6CECA547"/>
    <w:rsid w:val="6CF2F7A1"/>
    <w:rsid w:val="6D1B90F8"/>
    <w:rsid w:val="6D297229"/>
    <w:rsid w:val="6D3245EB"/>
    <w:rsid w:val="6D3B7F9C"/>
    <w:rsid w:val="6D3E46F5"/>
    <w:rsid w:val="6D45CB4C"/>
    <w:rsid w:val="6D45F0B3"/>
    <w:rsid w:val="6D4E3058"/>
    <w:rsid w:val="6D515EF7"/>
    <w:rsid w:val="6D52CE74"/>
    <w:rsid w:val="6D557508"/>
    <w:rsid w:val="6D582071"/>
    <w:rsid w:val="6D5F39C9"/>
    <w:rsid w:val="6D5F9DB9"/>
    <w:rsid w:val="6D6821E8"/>
    <w:rsid w:val="6D6AB4E5"/>
    <w:rsid w:val="6D6F98B8"/>
    <w:rsid w:val="6D724CAD"/>
    <w:rsid w:val="6DA8E4A0"/>
    <w:rsid w:val="6DB56E83"/>
    <w:rsid w:val="6DCA6C4E"/>
    <w:rsid w:val="6DCAACC8"/>
    <w:rsid w:val="6DD0FD52"/>
    <w:rsid w:val="6DD2C1C2"/>
    <w:rsid w:val="6DDC2C5A"/>
    <w:rsid w:val="6DE24B4D"/>
    <w:rsid w:val="6DE54F80"/>
    <w:rsid w:val="6DF38B52"/>
    <w:rsid w:val="6DFC6DA1"/>
    <w:rsid w:val="6E043449"/>
    <w:rsid w:val="6E062DE8"/>
    <w:rsid w:val="6E0DD398"/>
    <w:rsid w:val="6E182AFC"/>
    <w:rsid w:val="6E1840E2"/>
    <w:rsid w:val="6E4B954B"/>
    <w:rsid w:val="6E685391"/>
    <w:rsid w:val="6E6D344A"/>
    <w:rsid w:val="6E8660FA"/>
    <w:rsid w:val="6E9157DE"/>
    <w:rsid w:val="6EBA8491"/>
    <w:rsid w:val="6EC8E821"/>
    <w:rsid w:val="6EDD0046"/>
    <w:rsid w:val="6EEDE477"/>
    <w:rsid w:val="6EF7DAA9"/>
    <w:rsid w:val="6F083845"/>
    <w:rsid w:val="6F0BB8BA"/>
    <w:rsid w:val="6F0BC96F"/>
    <w:rsid w:val="6F0F1491"/>
    <w:rsid w:val="6F1DD56E"/>
    <w:rsid w:val="6F2A5493"/>
    <w:rsid w:val="6F34302D"/>
    <w:rsid w:val="6F3668AB"/>
    <w:rsid w:val="6F43F021"/>
    <w:rsid w:val="6F4769A6"/>
    <w:rsid w:val="6F4CF109"/>
    <w:rsid w:val="6F4EAE2B"/>
    <w:rsid w:val="6F6D3947"/>
    <w:rsid w:val="6F7BC82B"/>
    <w:rsid w:val="6F8CB5C8"/>
    <w:rsid w:val="6F9361B3"/>
    <w:rsid w:val="6FA5F08A"/>
    <w:rsid w:val="6FC092C7"/>
    <w:rsid w:val="6FC57FF4"/>
    <w:rsid w:val="6FC5914F"/>
    <w:rsid w:val="6FD8A38D"/>
    <w:rsid w:val="6FE2680C"/>
    <w:rsid w:val="6FE5499F"/>
    <w:rsid w:val="6FF17056"/>
    <w:rsid w:val="70078F4C"/>
    <w:rsid w:val="700863EA"/>
    <w:rsid w:val="70359991"/>
    <w:rsid w:val="7048EFC2"/>
    <w:rsid w:val="707031B9"/>
    <w:rsid w:val="707E7570"/>
    <w:rsid w:val="7088B6D6"/>
    <w:rsid w:val="70894F4D"/>
    <w:rsid w:val="709CF910"/>
    <w:rsid w:val="70A15D68"/>
    <w:rsid w:val="70A82013"/>
    <w:rsid w:val="70B9711C"/>
    <w:rsid w:val="70BA328C"/>
    <w:rsid w:val="70BD84E9"/>
    <w:rsid w:val="70C422F7"/>
    <w:rsid w:val="70CD74D2"/>
    <w:rsid w:val="70DCC636"/>
    <w:rsid w:val="70E96FF7"/>
    <w:rsid w:val="70EABC0A"/>
    <w:rsid w:val="70F1A08F"/>
    <w:rsid w:val="70FA92A0"/>
    <w:rsid w:val="7103ADAB"/>
    <w:rsid w:val="710C8FFD"/>
    <w:rsid w:val="710E4D30"/>
    <w:rsid w:val="71272644"/>
    <w:rsid w:val="7139016B"/>
    <w:rsid w:val="713B6FFD"/>
    <w:rsid w:val="7141901C"/>
    <w:rsid w:val="7148D653"/>
    <w:rsid w:val="714DB8C3"/>
    <w:rsid w:val="714FEC7C"/>
    <w:rsid w:val="7151A365"/>
    <w:rsid w:val="7156AA19"/>
    <w:rsid w:val="716E37C8"/>
    <w:rsid w:val="71720905"/>
    <w:rsid w:val="71734B38"/>
    <w:rsid w:val="7181AFB9"/>
    <w:rsid w:val="71835276"/>
    <w:rsid w:val="7185D4A3"/>
    <w:rsid w:val="7190F027"/>
    <w:rsid w:val="71947B21"/>
    <w:rsid w:val="71A5693D"/>
    <w:rsid w:val="71C05309"/>
    <w:rsid w:val="71EBA644"/>
    <w:rsid w:val="71EF8225"/>
    <w:rsid w:val="71F4DCD3"/>
    <w:rsid w:val="71F7A30A"/>
    <w:rsid w:val="71FF7972"/>
    <w:rsid w:val="72106D4C"/>
    <w:rsid w:val="721801F0"/>
    <w:rsid w:val="721B34FB"/>
    <w:rsid w:val="721F9DE1"/>
    <w:rsid w:val="7228F2D2"/>
    <w:rsid w:val="723628F8"/>
    <w:rsid w:val="7238915B"/>
    <w:rsid w:val="72390B24"/>
    <w:rsid w:val="72469BCD"/>
    <w:rsid w:val="724CED05"/>
    <w:rsid w:val="725A36BD"/>
    <w:rsid w:val="727B10D3"/>
    <w:rsid w:val="7283A90F"/>
    <w:rsid w:val="728C02D6"/>
    <w:rsid w:val="728E709F"/>
    <w:rsid w:val="72916725"/>
    <w:rsid w:val="729BBCA0"/>
    <w:rsid w:val="72A7891F"/>
    <w:rsid w:val="72B4FD7C"/>
    <w:rsid w:val="72B8D366"/>
    <w:rsid w:val="72D95137"/>
    <w:rsid w:val="72DBAC34"/>
    <w:rsid w:val="72F506BB"/>
    <w:rsid w:val="7303A54D"/>
    <w:rsid w:val="730D949A"/>
    <w:rsid w:val="731707E8"/>
    <w:rsid w:val="73177A48"/>
    <w:rsid w:val="7319950C"/>
    <w:rsid w:val="73361C70"/>
    <w:rsid w:val="733D67DE"/>
    <w:rsid w:val="7345AFA1"/>
    <w:rsid w:val="734D1698"/>
    <w:rsid w:val="7356A7C5"/>
    <w:rsid w:val="7357F2F9"/>
    <w:rsid w:val="735EE7F1"/>
    <w:rsid w:val="7360224F"/>
    <w:rsid w:val="737CBDAB"/>
    <w:rsid w:val="7385DEE9"/>
    <w:rsid w:val="738BBF70"/>
    <w:rsid w:val="7393849F"/>
    <w:rsid w:val="7395FAD2"/>
    <w:rsid w:val="739666B6"/>
    <w:rsid w:val="73ABAF05"/>
    <w:rsid w:val="73AC0EC3"/>
    <w:rsid w:val="73AF23C2"/>
    <w:rsid w:val="73BCEF38"/>
    <w:rsid w:val="73BF00ED"/>
    <w:rsid w:val="73C4D49E"/>
    <w:rsid w:val="73C4EC19"/>
    <w:rsid w:val="73C733AE"/>
    <w:rsid w:val="73EEE2E7"/>
    <w:rsid w:val="73EF2288"/>
    <w:rsid w:val="740D6189"/>
    <w:rsid w:val="740E3B02"/>
    <w:rsid w:val="74434C4A"/>
    <w:rsid w:val="745D71A6"/>
    <w:rsid w:val="746082C1"/>
    <w:rsid w:val="7462FD3A"/>
    <w:rsid w:val="7465A8E6"/>
    <w:rsid w:val="7467278D"/>
    <w:rsid w:val="74677190"/>
    <w:rsid w:val="74717318"/>
    <w:rsid w:val="7473E361"/>
    <w:rsid w:val="747C3A4B"/>
    <w:rsid w:val="748D80EE"/>
    <w:rsid w:val="7498D11D"/>
    <w:rsid w:val="74A0BDDA"/>
    <w:rsid w:val="74B5BE4A"/>
    <w:rsid w:val="74CB143C"/>
    <w:rsid w:val="74CE5A95"/>
    <w:rsid w:val="74D91D21"/>
    <w:rsid w:val="74EA01FF"/>
    <w:rsid w:val="74FAB56F"/>
    <w:rsid w:val="752122D2"/>
    <w:rsid w:val="7521C8E7"/>
    <w:rsid w:val="7524A052"/>
    <w:rsid w:val="75346C7A"/>
    <w:rsid w:val="75363C9E"/>
    <w:rsid w:val="7538603A"/>
    <w:rsid w:val="75480C76"/>
    <w:rsid w:val="7549862A"/>
    <w:rsid w:val="754F55FB"/>
    <w:rsid w:val="7562DE0C"/>
    <w:rsid w:val="7565D9F6"/>
    <w:rsid w:val="756E8AB9"/>
    <w:rsid w:val="75714576"/>
    <w:rsid w:val="7574298C"/>
    <w:rsid w:val="7579EFA9"/>
    <w:rsid w:val="757E16D7"/>
    <w:rsid w:val="7581538A"/>
    <w:rsid w:val="7583402E"/>
    <w:rsid w:val="75840FB8"/>
    <w:rsid w:val="75900C69"/>
    <w:rsid w:val="759C678D"/>
    <w:rsid w:val="75AA7F08"/>
    <w:rsid w:val="75AF3E0B"/>
    <w:rsid w:val="75B59E8D"/>
    <w:rsid w:val="75C0A1E4"/>
    <w:rsid w:val="75C6EFF9"/>
    <w:rsid w:val="75D10303"/>
    <w:rsid w:val="75E36D27"/>
    <w:rsid w:val="75E3D863"/>
    <w:rsid w:val="75F11E9D"/>
    <w:rsid w:val="7600C436"/>
    <w:rsid w:val="762205B2"/>
    <w:rsid w:val="76302F13"/>
    <w:rsid w:val="76317782"/>
    <w:rsid w:val="763FD7E8"/>
    <w:rsid w:val="764896E8"/>
    <w:rsid w:val="764B6D3B"/>
    <w:rsid w:val="76688C23"/>
    <w:rsid w:val="768232C4"/>
    <w:rsid w:val="769D641F"/>
    <w:rsid w:val="769E4500"/>
    <w:rsid w:val="76A283A5"/>
    <w:rsid w:val="76A439CC"/>
    <w:rsid w:val="76A819BF"/>
    <w:rsid w:val="76B08DA7"/>
    <w:rsid w:val="76B70D3D"/>
    <w:rsid w:val="76BDA09C"/>
    <w:rsid w:val="76C4A41E"/>
    <w:rsid w:val="76CE16FB"/>
    <w:rsid w:val="76DCA73D"/>
    <w:rsid w:val="76E0CB02"/>
    <w:rsid w:val="7710353E"/>
    <w:rsid w:val="77240E42"/>
    <w:rsid w:val="7726D682"/>
    <w:rsid w:val="77270C6E"/>
    <w:rsid w:val="7728666D"/>
    <w:rsid w:val="77345574"/>
    <w:rsid w:val="7736D3C4"/>
    <w:rsid w:val="773C562A"/>
    <w:rsid w:val="7743D10E"/>
    <w:rsid w:val="774FD78C"/>
    <w:rsid w:val="77553A31"/>
    <w:rsid w:val="775E7EFB"/>
    <w:rsid w:val="776B108E"/>
    <w:rsid w:val="776F0F02"/>
    <w:rsid w:val="7777C21B"/>
    <w:rsid w:val="77865D0E"/>
    <w:rsid w:val="778A7232"/>
    <w:rsid w:val="77923BB6"/>
    <w:rsid w:val="779E9344"/>
    <w:rsid w:val="77CF612A"/>
    <w:rsid w:val="77DED310"/>
    <w:rsid w:val="77E9D749"/>
    <w:rsid w:val="77F58CB1"/>
    <w:rsid w:val="7807D11B"/>
    <w:rsid w:val="780E97B9"/>
    <w:rsid w:val="781CAEBF"/>
    <w:rsid w:val="7830B8E8"/>
    <w:rsid w:val="7838D0D3"/>
    <w:rsid w:val="78497A0F"/>
    <w:rsid w:val="784CAC42"/>
    <w:rsid w:val="7856C3ED"/>
    <w:rsid w:val="7888DA46"/>
    <w:rsid w:val="7899F548"/>
    <w:rsid w:val="78A04B6E"/>
    <w:rsid w:val="78B0B137"/>
    <w:rsid w:val="78B4B157"/>
    <w:rsid w:val="78C62701"/>
    <w:rsid w:val="78E4B0C8"/>
    <w:rsid w:val="78EC565C"/>
    <w:rsid w:val="78FDDFF2"/>
    <w:rsid w:val="790239F7"/>
    <w:rsid w:val="79120AB1"/>
    <w:rsid w:val="791FE595"/>
    <w:rsid w:val="7928EEF4"/>
    <w:rsid w:val="793739FF"/>
    <w:rsid w:val="7939FEAA"/>
    <w:rsid w:val="794254BF"/>
    <w:rsid w:val="7947CD0D"/>
    <w:rsid w:val="795AA17A"/>
    <w:rsid w:val="7979EF6A"/>
    <w:rsid w:val="7985ED41"/>
    <w:rsid w:val="7993FCE7"/>
    <w:rsid w:val="79960874"/>
    <w:rsid w:val="79ABC100"/>
    <w:rsid w:val="79AC1E5F"/>
    <w:rsid w:val="79AD3A39"/>
    <w:rsid w:val="79BD5704"/>
    <w:rsid w:val="79CC3C2B"/>
    <w:rsid w:val="79CC6CF6"/>
    <w:rsid w:val="79CFA232"/>
    <w:rsid w:val="79F0D8E6"/>
    <w:rsid w:val="7A03A147"/>
    <w:rsid w:val="7A044A42"/>
    <w:rsid w:val="7A0A97D2"/>
    <w:rsid w:val="7A129DB1"/>
    <w:rsid w:val="7A2FF91F"/>
    <w:rsid w:val="7A3B1019"/>
    <w:rsid w:val="7A3F5D13"/>
    <w:rsid w:val="7A4DCFCF"/>
    <w:rsid w:val="7A4ED77C"/>
    <w:rsid w:val="7A76C5DF"/>
    <w:rsid w:val="7A7F9E51"/>
    <w:rsid w:val="7A9288F9"/>
    <w:rsid w:val="7A9DFBC8"/>
    <w:rsid w:val="7AA98175"/>
    <w:rsid w:val="7ABCAC73"/>
    <w:rsid w:val="7ACD5B15"/>
    <w:rsid w:val="7AD71CB3"/>
    <w:rsid w:val="7AD8F2CD"/>
    <w:rsid w:val="7AE080DB"/>
    <w:rsid w:val="7AE1B5BA"/>
    <w:rsid w:val="7AE40569"/>
    <w:rsid w:val="7AE88696"/>
    <w:rsid w:val="7AF163B3"/>
    <w:rsid w:val="7AF6F101"/>
    <w:rsid w:val="7AF7819A"/>
    <w:rsid w:val="7B0F8EF4"/>
    <w:rsid w:val="7B154662"/>
    <w:rsid w:val="7B1E58A7"/>
    <w:rsid w:val="7B20FA6E"/>
    <w:rsid w:val="7B2CCF24"/>
    <w:rsid w:val="7B2D79D8"/>
    <w:rsid w:val="7B32E10A"/>
    <w:rsid w:val="7B50EC6C"/>
    <w:rsid w:val="7B5521D7"/>
    <w:rsid w:val="7B60C21E"/>
    <w:rsid w:val="7B659920"/>
    <w:rsid w:val="7B6EE421"/>
    <w:rsid w:val="7B8208DA"/>
    <w:rsid w:val="7B8DF4C7"/>
    <w:rsid w:val="7BD50DF1"/>
    <w:rsid w:val="7BF00139"/>
    <w:rsid w:val="7BF41B65"/>
    <w:rsid w:val="7BF5B9E6"/>
    <w:rsid w:val="7BF88229"/>
    <w:rsid w:val="7C14152A"/>
    <w:rsid w:val="7C16B082"/>
    <w:rsid w:val="7C228F81"/>
    <w:rsid w:val="7C333AAB"/>
    <w:rsid w:val="7C3DD74D"/>
    <w:rsid w:val="7C46F9D0"/>
    <w:rsid w:val="7C5E2B62"/>
    <w:rsid w:val="7C7FF97C"/>
    <w:rsid w:val="7C98D1A6"/>
    <w:rsid w:val="7C9BEC3A"/>
    <w:rsid w:val="7CA41B85"/>
    <w:rsid w:val="7CA8882A"/>
    <w:rsid w:val="7CAB2543"/>
    <w:rsid w:val="7CB626B5"/>
    <w:rsid w:val="7CBA0F1C"/>
    <w:rsid w:val="7CC57167"/>
    <w:rsid w:val="7CCACDFE"/>
    <w:rsid w:val="7CD1A819"/>
    <w:rsid w:val="7CD83D69"/>
    <w:rsid w:val="7CD8963B"/>
    <w:rsid w:val="7CDB99B4"/>
    <w:rsid w:val="7CDCE283"/>
    <w:rsid w:val="7CDD019E"/>
    <w:rsid w:val="7CE48390"/>
    <w:rsid w:val="7CE5DFAD"/>
    <w:rsid w:val="7CE769B0"/>
    <w:rsid w:val="7CF5499D"/>
    <w:rsid w:val="7CFC83D4"/>
    <w:rsid w:val="7CFF848D"/>
    <w:rsid w:val="7D010EFA"/>
    <w:rsid w:val="7D0A28E1"/>
    <w:rsid w:val="7D1A30B7"/>
    <w:rsid w:val="7D1F0C3D"/>
    <w:rsid w:val="7D300B64"/>
    <w:rsid w:val="7D3088DD"/>
    <w:rsid w:val="7D3539F3"/>
    <w:rsid w:val="7D35EF03"/>
    <w:rsid w:val="7D3F0D04"/>
    <w:rsid w:val="7D471E1D"/>
    <w:rsid w:val="7D5F9A69"/>
    <w:rsid w:val="7D64BF95"/>
    <w:rsid w:val="7D8B483B"/>
    <w:rsid w:val="7D9A9826"/>
    <w:rsid w:val="7DA397F6"/>
    <w:rsid w:val="7DA41577"/>
    <w:rsid w:val="7DAD35F4"/>
    <w:rsid w:val="7DB0F87A"/>
    <w:rsid w:val="7DB89647"/>
    <w:rsid w:val="7DB8D211"/>
    <w:rsid w:val="7DBAA847"/>
    <w:rsid w:val="7DCBD616"/>
    <w:rsid w:val="7DD7F8F7"/>
    <w:rsid w:val="7DF43D43"/>
    <w:rsid w:val="7E0A17C3"/>
    <w:rsid w:val="7E1DBF27"/>
    <w:rsid w:val="7E1E3F86"/>
    <w:rsid w:val="7E1FAABF"/>
    <w:rsid w:val="7E26154F"/>
    <w:rsid w:val="7E2CFAAE"/>
    <w:rsid w:val="7E44EC35"/>
    <w:rsid w:val="7E4F76EF"/>
    <w:rsid w:val="7E521A89"/>
    <w:rsid w:val="7E630F17"/>
    <w:rsid w:val="7E662883"/>
    <w:rsid w:val="7E6C5FE1"/>
    <w:rsid w:val="7E748C62"/>
    <w:rsid w:val="7E793624"/>
    <w:rsid w:val="7E843759"/>
    <w:rsid w:val="7E86A197"/>
    <w:rsid w:val="7E97B530"/>
    <w:rsid w:val="7E9C16DF"/>
    <w:rsid w:val="7EA34176"/>
    <w:rsid w:val="7EA442C1"/>
    <w:rsid w:val="7EAF878C"/>
    <w:rsid w:val="7EB8789F"/>
    <w:rsid w:val="7EBF183A"/>
    <w:rsid w:val="7EC68A15"/>
    <w:rsid w:val="7EDA821C"/>
    <w:rsid w:val="7EE658C4"/>
    <w:rsid w:val="7EF45064"/>
    <w:rsid w:val="7EF8B8A7"/>
    <w:rsid w:val="7F0FCEB3"/>
    <w:rsid w:val="7F27878C"/>
    <w:rsid w:val="7F28E8AE"/>
    <w:rsid w:val="7F4254B5"/>
    <w:rsid w:val="7F4C7DD7"/>
    <w:rsid w:val="7F4EFC00"/>
    <w:rsid w:val="7F649E0B"/>
    <w:rsid w:val="7F674F26"/>
    <w:rsid w:val="7F6F20EA"/>
    <w:rsid w:val="7F786928"/>
    <w:rsid w:val="7F827D03"/>
    <w:rsid w:val="7F89E271"/>
    <w:rsid w:val="7FA26B41"/>
    <w:rsid w:val="7FAA7745"/>
    <w:rsid w:val="7FAB6E00"/>
    <w:rsid w:val="7FACAD1E"/>
    <w:rsid w:val="7FC55375"/>
    <w:rsid w:val="7FC5ECEC"/>
    <w:rsid w:val="7FCF344F"/>
    <w:rsid w:val="7FDA8B1D"/>
    <w:rsid w:val="7FE3D116"/>
    <w:rsid w:val="7FF2E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DCFE"/>
  <w15:docId w15:val="{CEEEAE94-1F3C-7247-A84C-29FDE4E6B60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7657C1"/>
    <w:rPr>
      <w:rFonts w:ascii="Book Antiqua" w:hAnsi="Book Antiqua"/>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3"/>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4"/>
      </w:numPr>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customStyle="1" w:styleId="UnresolvedMention1">
    <w:name w:val="Unresolved Mention1"/>
    <w:basedOn w:val="DefaultParagraphFont"/>
    <w:uiPriority w:val="99"/>
    <w:semiHidden/>
    <w:unhideWhenUsed/>
    <w:rsid w:val="00A805BE"/>
    <w:rPr>
      <w:color w:val="605E5C"/>
      <w:shd w:val="clear" w:color="auto" w:fill="E1DFDD"/>
    </w:rPr>
  </w:style>
  <w:style w:type="character" w:styleId="FollowedHyperlink">
    <w:name w:val="FollowedHyperlink"/>
    <w:basedOn w:val="DefaultParagraphFont"/>
    <w:uiPriority w:val="99"/>
    <w:semiHidden/>
    <w:unhideWhenUsed/>
    <w:rsid w:val="00A76F98"/>
    <w:rPr>
      <w:color w:val="954F72" w:themeColor="followedHyperlink"/>
      <w:u w:val="single"/>
    </w:rPr>
  </w:style>
  <w:style w:type="character" w:styleId="CommentReference">
    <w:name w:val="annotation reference"/>
    <w:basedOn w:val="DefaultParagraphFont"/>
    <w:uiPriority w:val="99"/>
    <w:unhideWhenUsed/>
    <w:rsid w:val="007257DE"/>
    <w:rPr>
      <w:sz w:val="16"/>
      <w:szCs w:val="16"/>
    </w:rPr>
  </w:style>
  <w:style w:type="paragraph" w:styleId="CommentText">
    <w:name w:val="annotation text"/>
    <w:basedOn w:val="Normal"/>
    <w:link w:val="CommentTextChar"/>
    <w:uiPriority w:val="99"/>
    <w:unhideWhenUsed/>
    <w:rsid w:val="007257DE"/>
    <w:pPr>
      <w:spacing w:line="240" w:lineRule="auto"/>
    </w:pPr>
    <w:rPr>
      <w:sz w:val="20"/>
      <w:szCs w:val="20"/>
    </w:rPr>
  </w:style>
  <w:style w:type="character" w:customStyle="1" w:styleId="CommentTextChar">
    <w:name w:val="Comment Text Char"/>
    <w:basedOn w:val="DefaultParagraphFont"/>
    <w:link w:val="CommentText"/>
    <w:uiPriority w:val="99"/>
    <w:rsid w:val="007257D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257DE"/>
    <w:rPr>
      <w:b/>
      <w:bCs/>
    </w:rPr>
  </w:style>
  <w:style w:type="character" w:customStyle="1" w:styleId="CommentSubjectChar">
    <w:name w:val="Comment Subject Char"/>
    <w:basedOn w:val="CommentTextChar"/>
    <w:link w:val="CommentSubject"/>
    <w:uiPriority w:val="99"/>
    <w:semiHidden/>
    <w:rsid w:val="007257DE"/>
    <w:rPr>
      <w:rFonts w:ascii="Book Antiqua" w:hAnsi="Book Antiqua"/>
      <w:b/>
      <w:bCs/>
      <w:sz w:val="20"/>
      <w:szCs w:val="20"/>
    </w:rPr>
  </w:style>
  <w:style w:type="paragraph" w:styleId="ListParagraph">
    <w:name w:val="List Paragraph"/>
    <w:basedOn w:val="Normal"/>
    <w:uiPriority w:val="34"/>
    <w:qFormat/>
    <w:rsid w:val="00EC4A00"/>
    <w:pPr>
      <w:ind w:left="720"/>
      <w:contextualSpacing/>
    </w:pPr>
  </w:style>
  <w:style w:type="paragraph" w:styleId="Revision">
    <w:name w:val="Revision"/>
    <w:hidden/>
    <w:uiPriority w:val="99"/>
    <w:semiHidden/>
    <w:rsid w:val="00A94FA2"/>
    <w:pPr>
      <w:spacing w:after="0" w:line="240" w:lineRule="auto"/>
    </w:pPr>
    <w:rPr>
      <w:rFonts w:ascii="Book Antiqua" w:hAnsi="Book Antiqua"/>
      <w:sz w:val="26"/>
    </w:rPr>
  </w:style>
  <w:style w:type="paragraph" w:customStyle="1" w:styleId="standard0">
    <w:name w:val="standard"/>
    <w:basedOn w:val="Normal"/>
    <w:link w:val="standardChar"/>
    <w:rsid w:val="00042000"/>
    <w:rPr>
      <w:rFonts w:ascii="Palatino" w:eastAsia="Times New Roman" w:hAnsi="Palatino" w:cs="Times New Roman"/>
      <w:szCs w:val="20"/>
    </w:rPr>
  </w:style>
  <w:style w:type="character" w:customStyle="1" w:styleId="standardChar">
    <w:name w:val="standard Char"/>
    <w:link w:val="standard0"/>
    <w:rsid w:val="00042000"/>
    <w:rPr>
      <w:rFonts w:ascii="Palatino" w:eastAsia="Times New Roman" w:hAnsi="Palatino" w:cs="Times New Roman"/>
      <w:sz w:val="26"/>
      <w:szCs w:val="20"/>
    </w:rPr>
  </w:style>
  <w:style w:type="paragraph" w:customStyle="1" w:styleId="content">
    <w:name w:val="content"/>
    <w:basedOn w:val="Normal"/>
    <w:link w:val="contentChar"/>
    <w:rsid w:val="00042000"/>
    <w:pPr>
      <w:spacing w:before="100" w:beforeAutospacing="1" w:after="100" w:afterAutospacing="1" w:line="240" w:lineRule="auto"/>
      <w:ind w:firstLine="0"/>
    </w:pPr>
    <w:rPr>
      <w:rFonts w:ascii="Times New Roman" w:eastAsia="Times New Roman" w:hAnsi="Times New Roman" w:cs="Times New Roman"/>
      <w:color w:val="000000"/>
      <w:sz w:val="19"/>
      <w:szCs w:val="20"/>
      <w:lang w:val="x-none" w:eastAsia="x-none"/>
    </w:rPr>
  </w:style>
  <w:style w:type="character" w:customStyle="1" w:styleId="contentChar">
    <w:name w:val="content Char"/>
    <w:link w:val="content"/>
    <w:locked/>
    <w:rsid w:val="00042000"/>
    <w:rPr>
      <w:rFonts w:ascii="Times New Roman" w:eastAsia="Times New Roman" w:hAnsi="Times New Roman" w:cs="Times New Roman"/>
      <w:color w:val="000000"/>
      <w:sz w:val="19"/>
      <w:szCs w:val="20"/>
      <w:lang w:val="x-none" w:eastAsia="x-none"/>
    </w:rPr>
  </w:style>
  <w:style w:type="paragraph" w:customStyle="1" w:styleId="BodyA">
    <w:name w:val="Body A"/>
    <w:rsid w:val="000420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Palatino" w:eastAsia="Times New Roman" w:hAnsi="Arial Unicode MS" w:cs="Arial Unicode MS"/>
      <w:color w:val="000000"/>
      <w:sz w:val="26"/>
      <w:szCs w:val="26"/>
      <w:u w:color="000000"/>
    </w:rPr>
  </w:style>
  <w:style w:type="character" w:styleId="UnresolvedMention">
    <w:name w:val="Unresolved Mention"/>
    <w:basedOn w:val="DefaultParagraphFont"/>
    <w:uiPriority w:val="99"/>
    <w:semiHidden/>
    <w:unhideWhenUsed/>
    <w:rsid w:val="001E05D9"/>
    <w:rPr>
      <w:color w:val="605E5C"/>
      <w:shd w:val="clear" w:color="auto" w:fill="E1DFDD"/>
    </w:rPr>
  </w:style>
  <w:style w:type="character" w:styleId="Mention">
    <w:name w:val="Mention"/>
    <w:basedOn w:val="DefaultParagraphFont"/>
    <w:uiPriority w:val="99"/>
    <w:unhideWhenUsed/>
    <w:rsid w:val="00167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305">
      <w:bodyDiv w:val="1"/>
      <w:marLeft w:val="0"/>
      <w:marRight w:val="0"/>
      <w:marTop w:val="0"/>
      <w:marBottom w:val="0"/>
      <w:divBdr>
        <w:top w:val="none" w:sz="0" w:space="0" w:color="auto"/>
        <w:left w:val="none" w:sz="0" w:space="0" w:color="auto"/>
        <w:bottom w:val="none" w:sz="0" w:space="0" w:color="auto"/>
        <w:right w:val="none" w:sz="0" w:space="0" w:color="auto"/>
      </w:divBdr>
    </w:div>
    <w:div w:id="669528517">
      <w:bodyDiv w:val="1"/>
      <w:marLeft w:val="0"/>
      <w:marRight w:val="0"/>
      <w:marTop w:val="0"/>
      <w:marBottom w:val="0"/>
      <w:divBdr>
        <w:top w:val="none" w:sz="0" w:space="0" w:color="auto"/>
        <w:left w:val="none" w:sz="0" w:space="0" w:color="auto"/>
        <w:bottom w:val="none" w:sz="0" w:space="0" w:color="auto"/>
        <w:right w:val="none" w:sz="0" w:space="0" w:color="auto"/>
      </w:divBdr>
    </w:div>
    <w:div w:id="1106732758">
      <w:bodyDiv w:val="1"/>
      <w:marLeft w:val="0"/>
      <w:marRight w:val="0"/>
      <w:marTop w:val="0"/>
      <w:marBottom w:val="0"/>
      <w:divBdr>
        <w:top w:val="none" w:sz="0" w:space="0" w:color="auto"/>
        <w:left w:val="none" w:sz="0" w:space="0" w:color="auto"/>
        <w:bottom w:val="none" w:sz="0" w:space="0" w:color="auto"/>
        <w:right w:val="none" w:sz="0" w:space="0" w:color="auto"/>
      </w:divBdr>
    </w:div>
    <w:div w:id="1268804509">
      <w:bodyDiv w:val="1"/>
      <w:marLeft w:val="0"/>
      <w:marRight w:val="0"/>
      <w:marTop w:val="0"/>
      <w:marBottom w:val="0"/>
      <w:divBdr>
        <w:top w:val="none" w:sz="0" w:space="0" w:color="auto"/>
        <w:left w:val="none" w:sz="0" w:space="0" w:color="auto"/>
        <w:bottom w:val="none" w:sz="0" w:space="0" w:color="auto"/>
        <w:right w:val="none" w:sz="0" w:space="0" w:color="auto"/>
      </w:divBdr>
    </w:div>
    <w:div w:id="1557427255">
      <w:bodyDiv w:val="1"/>
      <w:marLeft w:val="0"/>
      <w:marRight w:val="0"/>
      <w:marTop w:val="0"/>
      <w:marBottom w:val="0"/>
      <w:divBdr>
        <w:top w:val="none" w:sz="0" w:space="0" w:color="auto"/>
        <w:left w:val="none" w:sz="0" w:space="0" w:color="auto"/>
        <w:bottom w:val="none" w:sz="0" w:space="0" w:color="auto"/>
        <w:right w:val="none" w:sz="0" w:space="0" w:color="auto"/>
      </w:divBdr>
    </w:div>
    <w:div w:id="17058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about:blank" TargetMode="Externa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yperlink" Target="about:blank" TargetMode="Externa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footer" Target="footer5.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A23110EFCFB44A0DD1723F423C5B9" ma:contentTypeVersion="7" ma:contentTypeDescription="Create a new document." ma:contentTypeScope="" ma:versionID="04af5b9a86ac745ab64788b41178b8e1">
  <xsd:schema xmlns:xsd="http://www.w3.org/2001/XMLSchema" xmlns:xs="http://www.w3.org/2001/XMLSchema" xmlns:p="http://schemas.microsoft.com/office/2006/metadata/properties" xmlns:ns3="d7f6a029-0ec9-4e6b-a82b-732e986637c6" xmlns:ns4="ca646bdc-e648-4eeb-b885-474cb1039dde" targetNamespace="http://schemas.microsoft.com/office/2006/metadata/properties" ma:root="true" ma:fieldsID="fe09c8e0e358c3c23149aa1ef2005fc9" ns3:_="" ns4:_="">
    <xsd:import namespace="d7f6a029-0ec9-4e6b-a82b-732e986637c6"/>
    <xsd:import namespace="ca646bdc-e648-4eeb-b885-474cb1039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a029-0ec9-4e6b-a82b-732e98663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6bdc-e648-4eeb-b885-474cb1039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FD341-306C-4429-A051-0796D40B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a029-0ec9-4e6b-a82b-732e986637c6"/>
    <ds:schemaRef ds:uri="ca646bdc-e648-4eeb-b885-474cb103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A8509-ECF3-42D9-9400-51BBCED9C23C}">
  <ds:schemaRefs>
    <ds:schemaRef ds:uri="http://schemas.openxmlformats.org/officeDocument/2006/bibliography"/>
  </ds:schemaRefs>
</ds:datastoreItem>
</file>

<file path=customXml/itemProps3.xml><?xml version="1.0" encoding="utf-8"?>
<ds:datastoreItem xmlns:ds="http://schemas.openxmlformats.org/officeDocument/2006/customXml" ds:itemID="{C120B22C-D257-4FF2-8E91-F33068C1516B}">
  <ds:schemaRefs>
    <ds:schemaRef ds:uri="http://schemas.microsoft.com/sharepoint/v3/contenttype/forms"/>
  </ds:schemaRefs>
</ds:datastoreItem>
</file>

<file path=customXml/itemProps4.xml><?xml version="1.0" encoding="utf-8"?>
<ds:datastoreItem xmlns:ds="http://schemas.openxmlformats.org/officeDocument/2006/customXml" ds:itemID="{4F7BD20C-3674-4233-B229-63CCC14697C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59</ap:Pages>
  <ap:Words>12389</ap:Words>
  <ap:Characters>70621</ap:Characters>
  <ap:Application>Microsoft Office Word</ap:Application>
  <ap:DocSecurity>0</ap:DocSecurity>
  <ap:Lines>588</ap:Lines>
  <ap:Paragraphs>165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82845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2020-06-22T18:12:00Z</cp:lastPrinted>
  <dcterms:created xsi:type="dcterms:W3CDTF">2020-08-11T09:50:11Z</dcterms:created>
  <dcterms:modified xsi:type="dcterms:W3CDTF">2020-08-11T09:50:11Z</dcterms:modified>
</cp:coreProperties>
</file>