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4315" w:rsidR="00127F22" w:rsidP="00867844" w:rsidRDefault="00DB6F33" w14:paraId="423B0A6A" w14:textId="0D00DD5B">
      <w:pPr>
        <w:tabs>
          <w:tab w:val="left" w:pos="2520"/>
          <w:tab w:val="center" w:pos="4680"/>
          <w:tab w:val="right" w:pos="9360"/>
        </w:tabs>
        <w:rPr>
          <w:b/>
        </w:rPr>
      </w:pPr>
      <w:r>
        <w:t>ALJ/GK1/gp2</w:t>
      </w:r>
      <w:r>
        <w:tab/>
      </w:r>
      <w:r w:rsidR="00867844">
        <w:rPr>
          <w:b/>
        </w:rPr>
        <w:tab/>
      </w:r>
      <w:r w:rsidR="00867844">
        <w:rPr>
          <w:b/>
        </w:rPr>
        <w:tab/>
        <w:t>Date of Issuance:  8/11/2020</w:t>
      </w:r>
    </w:p>
    <w:p w:rsidRPr="00952B34" w:rsidR="00B30FF9" w:rsidRDefault="00B30FF9" w14:paraId="1ACF920D" w14:textId="77777777">
      <w:pPr>
        <w:rPr>
          <w:rFonts w:ascii="Book Antiqua" w:hAnsi="Book Antiqua"/>
        </w:rPr>
      </w:pPr>
    </w:p>
    <w:p w:rsidRPr="00867844" w:rsidR="00B30FF9" w:rsidP="007E6E0C" w:rsidRDefault="00B30FF9" w14:paraId="2822BCDD" w14:textId="2E753CA0">
      <w:pPr>
        <w:tabs>
          <w:tab w:val="left" w:pos="2880"/>
        </w:tabs>
        <w:suppressAutoHyphens/>
        <w:rPr>
          <w:rFonts w:ascii="Book Antiqua" w:hAnsi="Book Antiqua"/>
          <w:sz w:val="20"/>
        </w:rPr>
      </w:pPr>
      <w:r w:rsidRPr="00952B34">
        <w:rPr>
          <w:rFonts w:ascii="Book Antiqua" w:hAnsi="Book Antiqua"/>
        </w:rPr>
        <w:t xml:space="preserve">Decision </w:t>
      </w:r>
      <w:r w:rsidRPr="00867844" w:rsidR="00867844">
        <w:rPr>
          <w:rFonts w:ascii="Book Antiqua" w:hAnsi="Book Antiqua"/>
        </w:rPr>
        <w:t>20-08-</w:t>
      </w:r>
      <w:proofErr w:type="gramStart"/>
      <w:r w:rsidRPr="00867844" w:rsidR="00867844">
        <w:rPr>
          <w:rFonts w:ascii="Book Antiqua" w:hAnsi="Book Antiqua"/>
        </w:rPr>
        <w:t>003</w:t>
      </w:r>
      <w:r w:rsidR="00867844">
        <w:rPr>
          <w:rFonts w:ascii="Book Antiqua" w:hAnsi="Book Antiqua"/>
        </w:rPr>
        <w:t xml:space="preserve">  August</w:t>
      </w:r>
      <w:proofErr w:type="gramEnd"/>
      <w:r w:rsidR="00867844">
        <w:rPr>
          <w:rFonts w:ascii="Book Antiqua" w:hAnsi="Book Antiqua"/>
        </w:rPr>
        <w:t xml:space="preserve"> 6, 2020</w:t>
      </w:r>
    </w:p>
    <w:p w:rsidRPr="00952B34" w:rsidR="00B30FF9" w:rsidRDefault="00B30FF9" w14:paraId="57B43058" w14:textId="77777777">
      <w:pPr>
        <w:rPr>
          <w:rFonts w:ascii="Book Antiqua" w:hAnsi="Book Antiqua"/>
        </w:rPr>
      </w:pPr>
    </w:p>
    <w:p w:rsidRPr="00EC4C04" w:rsidR="00B30FF9" w:rsidRDefault="00B30FF9" w14:paraId="36AF7371" w14:textId="77777777">
      <w:pPr>
        <w:rPr>
          <w:rFonts w:ascii="Arial" w:hAnsi="Arial"/>
          <w:b/>
          <w:bCs/>
          <w:sz w:val="24"/>
        </w:rPr>
      </w:pPr>
      <w:r w:rsidRPr="00EC4C04">
        <w:rPr>
          <w:rFonts w:ascii="Arial" w:hAnsi="Arial"/>
          <w:b/>
          <w:bCs/>
          <w:sz w:val="24"/>
        </w:rPr>
        <w:t xml:space="preserve">BEFORE THE PUBLIC UTILITIES COMMISSION OF THE STATE OF </w:t>
      </w:r>
      <w:smartTag w:uri="urn:schemas-microsoft-com:office:smarttags" w:element="State">
        <w:smartTag w:uri="urn:schemas-microsoft-com:office:smarttags" w:element="place">
          <w:r w:rsidRPr="00EC4C04">
            <w:rPr>
              <w:rFonts w:ascii="Arial" w:hAnsi="Arial"/>
              <w:b/>
              <w:bCs/>
              <w:sz w:val="24"/>
            </w:rPr>
            <w:t>CALIFORNIA</w:t>
          </w:r>
        </w:smartTag>
      </w:smartTag>
    </w:p>
    <w:p w:rsidR="00B30FF9" w:rsidRDefault="00B30FF9" w14:paraId="03EC76DE" w14:textId="77777777">
      <w:pPr>
        <w:suppressAutoHyphens/>
      </w:pPr>
    </w:p>
    <w:tbl>
      <w:tblPr>
        <w:tblW w:w="0" w:type="auto"/>
        <w:tblLayout w:type="fixed"/>
        <w:tblLook w:val="0000" w:firstRow="0" w:lastRow="0" w:firstColumn="0" w:lastColumn="0" w:noHBand="0" w:noVBand="0"/>
      </w:tblPr>
      <w:tblGrid>
        <w:gridCol w:w="5148"/>
        <w:gridCol w:w="4320"/>
      </w:tblGrid>
      <w:tr w:rsidRPr="00952B34" w:rsidR="00B30FF9" w:rsidTr="008A4FEA" w14:paraId="0DAAF93E" w14:textId="77777777">
        <w:tc>
          <w:tcPr>
            <w:tcW w:w="5148" w:type="dxa"/>
            <w:tcBorders>
              <w:bottom w:val="single" w:color="auto" w:sz="4" w:space="0"/>
              <w:right w:val="single" w:color="auto" w:sz="6" w:space="0"/>
            </w:tcBorders>
          </w:tcPr>
          <w:p w:rsidRPr="00952B34" w:rsidR="008A4FEA" w:rsidP="008A4FEA" w:rsidRDefault="005E11AA" w14:paraId="6871361F" w14:textId="77777777">
            <w:pPr>
              <w:rPr>
                <w:rFonts w:ascii="Book Antiqua" w:hAnsi="Book Antiqua"/>
              </w:rPr>
            </w:pPr>
            <w:r w:rsidRPr="00952B34">
              <w:rPr>
                <w:rFonts w:ascii="Book Antiqua" w:hAnsi="Book Antiqua"/>
              </w:rPr>
              <w:t>Leisure Lake Homeowners Association,</w:t>
            </w:r>
          </w:p>
          <w:p w:rsidRPr="00952B34" w:rsidR="008A4FEA" w:rsidP="008A4FEA" w:rsidRDefault="008A4FEA" w14:paraId="6D964B9C" w14:textId="77777777">
            <w:pPr>
              <w:rPr>
                <w:rFonts w:ascii="Book Antiqua" w:hAnsi="Book Antiqua"/>
              </w:rPr>
            </w:pPr>
          </w:p>
          <w:p w:rsidRPr="00952B34" w:rsidR="005E11AA" w:rsidP="008A4FEA" w:rsidRDefault="005E11AA" w14:paraId="000AB36A" w14:textId="5A363B85">
            <w:pPr>
              <w:ind w:right="345"/>
              <w:jc w:val="right"/>
              <w:rPr>
                <w:rFonts w:ascii="Book Antiqua" w:hAnsi="Book Antiqua"/>
              </w:rPr>
            </w:pPr>
            <w:r w:rsidRPr="00952B34">
              <w:rPr>
                <w:rFonts w:ascii="Book Antiqua" w:hAnsi="Book Antiqua"/>
              </w:rPr>
              <w:t>Complainants,</w:t>
            </w:r>
          </w:p>
          <w:p w:rsidRPr="00952B34" w:rsidR="008A4FEA" w:rsidP="008A4FEA" w:rsidRDefault="008A4FEA" w14:paraId="739B72AB" w14:textId="77777777">
            <w:pPr>
              <w:rPr>
                <w:rFonts w:ascii="Book Antiqua" w:hAnsi="Book Antiqua"/>
              </w:rPr>
            </w:pPr>
          </w:p>
          <w:p w:rsidRPr="00952B34" w:rsidR="005E11AA" w:rsidP="0088700E" w:rsidRDefault="005E11AA" w14:paraId="35918755" w14:textId="2D8B0574">
            <w:pPr>
              <w:jc w:val="center"/>
              <w:rPr>
                <w:rFonts w:ascii="Book Antiqua" w:hAnsi="Book Antiqua"/>
              </w:rPr>
            </w:pPr>
            <w:r w:rsidRPr="00952B34">
              <w:rPr>
                <w:rFonts w:ascii="Book Antiqua" w:hAnsi="Book Antiqua"/>
              </w:rPr>
              <w:t>vs.</w:t>
            </w:r>
          </w:p>
          <w:p w:rsidRPr="00952B34" w:rsidR="008A4FEA" w:rsidP="0088700E" w:rsidRDefault="008A4FEA" w14:paraId="495D0C61" w14:textId="77777777">
            <w:pPr>
              <w:jc w:val="center"/>
              <w:rPr>
                <w:rFonts w:ascii="Book Antiqua" w:hAnsi="Book Antiqua"/>
              </w:rPr>
            </w:pPr>
          </w:p>
          <w:p w:rsidRPr="00952B34" w:rsidR="008A4FEA" w:rsidP="008A4FEA" w:rsidRDefault="005E11AA" w14:paraId="49C60A12" w14:textId="77777777">
            <w:pPr>
              <w:rPr>
                <w:rFonts w:ascii="Book Antiqua" w:hAnsi="Book Antiqua"/>
              </w:rPr>
            </w:pPr>
            <w:r w:rsidRPr="00952B34">
              <w:rPr>
                <w:rFonts w:ascii="Book Antiqua" w:hAnsi="Book Antiqua"/>
              </w:rPr>
              <w:t>Clan Keith Real Estate Investments, LLC d/b/a</w:t>
            </w:r>
            <w:r w:rsidRPr="00952B34" w:rsidR="009C35B1">
              <w:rPr>
                <w:rFonts w:ascii="Book Antiqua" w:hAnsi="Book Antiqua"/>
              </w:rPr>
              <w:t xml:space="preserve"> </w:t>
            </w:r>
            <w:r w:rsidRPr="00952B34">
              <w:rPr>
                <w:rFonts w:ascii="Book Antiqua" w:hAnsi="Book Antiqua"/>
              </w:rPr>
              <w:t>Leisure Lake Mobile Estates,</w:t>
            </w:r>
            <w:r w:rsidRPr="00952B34" w:rsidR="008A4FEA">
              <w:rPr>
                <w:rFonts w:ascii="Book Antiqua" w:hAnsi="Book Antiqua"/>
              </w:rPr>
              <w:t xml:space="preserve"> </w:t>
            </w:r>
          </w:p>
          <w:p w:rsidRPr="00952B34" w:rsidR="008A4FEA" w:rsidP="008A4FEA" w:rsidRDefault="008A4FEA" w14:paraId="57B3A209" w14:textId="77777777">
            <w:pPr>
              <w:rPr>
                <w:rFonts w:ascii="Book Antiqua" w:hAnsi="Book Antiqua"/>
              </w:rPr>
            </w:pPr>
          </w:p>
          <w:p w:rsidRPr="00952B34" w:rsidR="00B30FF9" w:rsidP="008A4FEA" w:rsidRDefault="005E11AA" w14:paraId="6D959A4A" w14:textId="77777777">
            <w:pPr>
              <w:ind w:right="345"/>
              <w:jc w:val="right"/>
              <w:rPr>
                <w:rFonts w:ascii="Book Antiqua" w:hAnsi="Book Antiqua"/>
              </w:rPr>
            </w:pPr>
            <w:r w:rsidRPr="00952B34">
              <w:rPr>
                <w:rFonts w:ascii="Book Antiqua" w:hAnsi="Book Antiqua"/>
              </w:rPr>
              <w:t>Defe</w:t>
            </w:r>
            <w:r w:rsidRPr="00952B34" w:rsidR="0064183D">
              <w:rPr>
                <w:rFonts w:ascii="Book Antiqua" w:hAnsi="Book Antiqua"/>
              </w:rPr>
              <w:t>ndants</w:t>
            </w:r>
            <w:r w:rsidRPr="00952B34" w:rsidR="008A4FEA">
              <w:rPr>
                <w:rFonts w:ascii="Book Antiqua" w:hAnsi="Book Antiqua"/>
              </w:rPr>
              <w:t>.</w:t>
            </w:r>
          </w:p>
          <w:p w:rsidRPr="00952B34" w:rsidR="008A4FEA" w:rsidP="008A4FEA" w:rsidRDefault="008A4FEA" w14:paraId="2142CA63" w14:textId="03EE71EF">
            <w:pPr>
              <w:ind w:right="345"/>
              <w:jc w:val="right"/>
              <w:rPr>
                <w:rFonts w:ascii="Book Antiqua" w:hAnsi="Book Antiqua"/>
              </w:rPr>
            </w:pPr>
          </w:p>
        </w:tc>
        <w:tc>
          <w:tcPr>
            <w:tcW w:w="4320" w:type="dxa"/>
            <w:tcBorders>
              <w:left w:val="nil"/>
            </w:tcBorders>
            <w:vAlign w:val="center"/>
          </w:tcPr>
          <w:p w:rsidRPr="00952B34" w:rsidR="00B30FF9" w:rsidP="008A4FEA" w:rsidRDefault="000D558A" w14:paraId="193126D2" w14:textId="1F4CF921">
            <w:pPr>
              <w:jc w:val="center"/>
              <w:rPr>
                <w:rFonts w:ascii="Book Antiqua" w:hAnsi="Book Antiqua"/>
              </w:rPr>
            </w:pPr>
            <w:r w:rsidRPr="00952B34">
              <w:rPr>
                <w:rFonts w:ascii="Book Antiqua" w:hAnsi="Book Antiqua"/>
              </w:rPr>
              <w:t>Case 19-0</w:t>
            </w:r>
            <w:r w:rsidRPr="00952B34" w:rsidR="005E11AA">
              <w:rPr>
                <w:rFonts w:ascii="Book Antiqua" w:hAnsi="Book Antiqua"/>
              </w:rPr>
              <w:t>5-004</w:t>
            </w:r>
          </w:p>
        </w:tc>
      </w:tr>
    </w:tbl>
    <w:p w:rsidR="00B30FF9" w:rsidRDefault="00B30FF9" w14:paraId="732886C7" w14:textId="77777777">
      <w:pPr>
        <w:suppressAutoHyphens/>
      </w:pPr>
    </w:p>
    <w:p w:rsidR="00B30FF9" w:rsidRDefault="00B30FF9" w14:paraId="74C77687" w14:textId="77777777">
      <w:pPr>
        <w:suppressAutoHyphens/>
      </w:pPr>
    </w:p>
    <w:p w:rsidRPr="00EC4C04" w:rsidR="00C147F4" w:rsidP="00134E7B" w:rsidRDefault="000D558A" w14:paraId="72A2E70E" w14:textId="571C9CA7">
      <w:pPr>
        <w:pStyle w:val="Heading1"/>
        <w:numPr>
          <w:ilvl w:val="0"/>
          <w:numId w:val="0"/>
        </w:numPr>
        <w:ind w:left="720" w:hanging="720"/>
        <w:jc w:val="center"/>
        <w:rPr>
          <w:rFonts w:ascii="Arial" w:hAnsi="Arial"/>
        </w:rPr>
        <w:sectPr w:rsidRPr="00EC4C04" w:rsidR="00C147F4">
          <w:headerReference w:type="default" r:id="rId8"/>
          <w:footerReference w:type="first" r:id="rId9"/>
          <w:pgSz w:w="12240" w:h="15840" w:code="1"/>
          <w:pgMar w:top="1152" w:right="1440" w:bottom="1440" w:left="1440" w:header="720" w:footer="720" w:gutter="0"/>
          <w:pgNumType w:start="1"/>
          <w:cols w:space="720"/>
          <w:titlePg/>
        </w:sectPr>
      </w:pPr>
      <w:bookmarkStart w:name="_Toc43914757" w:id="0"/>
      <w:r w:rsidRPr="00EC4C04">
        <w:rPr>
          <w:rFonts w:ascii="Arial" w:hAnsi="Arial"/>
        </w:rPr>
        <w:t xml:space="preserve">DECISION </w:t>
      </w:r>
      <w:r w:rsidRPr="00EC4C04" w:rsidR="009564AB">
        <w:rPr>
          <w:rFonts w:ascii="Arial" w:hAnsi="Arial"/>
        </w:rPr>
        <w:t>DENYING</w:t>
      </w:r>
      <w:r w:rsidRPr="00EC4C04" w:rsidR="009D5C9E">
        <w:rPr>
          <w:rFonts w:ascii="Arial" w:hAnsi="Arial"/>
        </w:rPr>
        <w:t xml:space="preserve"> THE</w:t>
      </w:r>
      <w:r w:rsidRPr="00EC4C04">
        <w:rPr>
          <w:rFonts w:ascii="Arial" w:hAnsi="Arial"/>
        </w:rPr>
        <w:t xml:space="preserve"> COMPLAINT </w:t>
      </w:r>
      <w:r w:rsidRPr="00EC4C04" w:rsidR="005E11AA">
        <w:rPr>
          <w:rFonts w:ascii="Arial" w:hAnsi="Arial"/>
        </w:rPr>
        <w:t xml:space="preserve">OF LEISURE </w:t>
      </w:r>
      <w:r w:rsidR="00DB6F33">
        <w:rPr>
          <w:rFonts w:ascii="Arial" w:hAnsi="Arial"/>
        </w:rPr>
        <w:br/>
      </w:r>
      <w:r w:rsidRPr="00EC4C04" w:rsidR="005E11AA">
        <w:rPr>
          <w:rFonts w:ascii="Arial" w:hAnsi="Arial"/>
        </w:rPr>
        <w:t>LAKE HOMEOWNERS’ ASSOCIATION</w:t>
      </w:r>
      <w:bookmarkEnd w:id="0"/>
    </w:p>
    <w:p w:rsidRPr="001E2A62" w:rsidR="00C147F4" w:rsidP="00C147F4" w:rsidRDefault="00C147F4" w14:paraId="1240C636" w14:textId="77777777">
      <w:pPr>
        <w:pStyle w:val="Main0"/>
        <w:rPr>
          <w:rFonts w:ascii="Book Antiqua" w:hAnsi="Book Antiqua"/>
        </w:rPr>
      </w:pPr>
      <w:r w:rsidRPr="001E2A62">
        <w:rPr>
          <w:rFonts w:ascii="Book Antiqua" w:hAnsi="Book Antiqua"/>
        </w:rPr>
        <w:lastRenderedPageBreak/>
        <w:t>TABLE OF CONTENTS</w:t>
      </w:r>
    </w:p>
    <w:p w:rsidRPr="00C147F4" w:rsidR="00C147F4" w:rsidP="00C147F4" w:rsidRDefault="00C147F4" w14:paraId="5A00B1E6" w14:textId="77777777">
      <w:pPr>
        <w:tabs>
          <w:tab w:val="right" w:pos="9360"/>
        </w:tabs>
        <w:rPr>
          <w:rFonts w:ascii="Book Antiqua" w:hAnsi="Book Antiqua"/>
        </w:rPr>
      </w:pPr>
      <w:r w:rsidRPr="00D50119">
        <w:rPr>
          <w:b/>
        </w:rPr>
        <w:t>Tit</w:t>
      </w:r>
      <w:r w:rsidRPr="00C147F4">
        <w:rPr>
          <w:rFonts w:ascii="Book Antiqua" w:hAnsi="Book Antiqua"/>
          <w:b/>
        </w:rPr>
        <w:t>le</w:t>
      </w:r>
      <w:r w:rsidRPr="00C147F4">
        <w:rPr>
          <w:rFonts w:ascii="Book Antiqua" w:hAnsi="Book Antiqua"/>
        </w:rPr>
        <w:tab/>
      </w:r>
      <w:r w:rsidRPr="00C147F4">
        <w:rPr>
          <w:rFonts w:ascii="Book Antiqua" w:hAnsi="Book Antiqua"/>
          <w:b/>
        </w:rPr>
        <w:t>Page</w:t>
      </w:r>
    </w:p>
    <w:sdt>
      <w:sdtPr>
        <w:rPr>
          <w:rFonts w:ascii="Book Antiqua" w:hAnsi="Book Antiqua"/>
        </w:rPr>
        <w:id w:val="-1224440197"/>
        <w:docPartObj>
          <w:docPartGallery w:val="Table of Contents"/>
          <w:docPartUnique/>
        </w:docPartObj>
      </w:sdtPr>
      <w:sdtEndPr>
        <w:rPr>
          <w:rFonts w:ascii="Palatino" w:hAnsi="Palatino"/>
          <w:b/>
          <w:bCs/>
        </w:rPr>
      </w:sdtEndPr>
      <w:sdtContent>
        <w:p w:rsidRPr="00B27B59" w:rsidR="00654618" w:rsidRDefault="00C147F4" w14:paraId="0F47CB10" w14:textId="13ED47DA">
          <w:pPr>
            <w:pStyle w:val="TOC1"/>
            <w:rPr>
              <w:rFonts w:ascii="Book Antiqua" w:hAnsi="Book Antiqua" w:eastAsiaTheme="minorEastAsia" w:cstheme="minorBidi"/>
              <w:sz w:val="22"/>
              <w:szCs w:val="22"/>
            </w:rPr>
          </w:pPr>
          <w:r>
            <w:rPr>
              <w:rFonts w:ascii="Book Antiqua" w:hAnsi="Book Antiqua"/>
              <w:sz w:val="22"/>
            </w:rPr>
            <w:fldChar w:fldCharType="begin"/>
          </w:r>
          <w:r>
            <w:rPr>
              <w:rFonts w:ascii="Book Antiqua" w:hAnsi="Book Antiqua"/>
              <w:sz w:val="22"/>
            </w:rPr>
            <w:instrText xml:space="preserve"> TOC \o "1-3" \h \z \t "mainex,1" </w:instrText>
          </w:r>
          <w:r>
            <w:rPr>
              <w:rFonts w:ascii="Book Antiqua" w:hAnsi="Book Antiqua"/>
              <w:sz w:val="22"/>
            </w:rPr>
            <w:fldChar w:fldCharType="separate"/>
          </w:r>
          <w:hyperlink w:history="1" w:anchor="_Toc43914757"/>
          <w:hyperlink w:history="1" w:anchor="_Toc43914758">
            <w:r w:rsidRPr="00B27B59" w:rsidR="00654618">
              <w:rPr>
                <w:rStyle w:val="Hyperlink"/>
                <w:rFonts w:ascii="Book Antiqua" w:hAnsi="Book Antiqua"/>
              </w:rPr>
              <w:t>DECISION DENYING THE COMPLAINT  OF LEISURE LAKE HOMEOWNERS’ ASSOCIATION</w:t>
            </w:r>
            <w:r w:rsidRPr="00B27B59" w:rsidR="00654618">
              <w:rPr>
                <w:rFonts w:ascii="Book Antiqua" w:hAnsi="Book Antiqua"/>
                <w:webHidden/>
              </w:rPr>
              <w:tab/>
            </w:r>
            <w:r w:rsidRPr="00B27B59" w:rsidR="00654618">
              <w:rPr>
                <w:rFonts w:ascii="Book Antiqua" w:hAnsi="Book Antiqua"/>
                <w:webHidden/>
              </w:rPr>
              <w:fldChar w:fldCharType="begin"/>
            </w:r>
            <w:r w:rsidRPr="00B27B59" w:rsidR="00654618">
              <w:rPr>
                <w:rFonts w:ascii="Book Antiqua" w:hAnsi="Book Antiqua"/>
                <w:webHidden/>
              </w:rPr>
              <w:instrText xml:space="preserve"> PAGEREF _Toc43914758 \h </w:instrText>
            </w:r>
            <w:r w:rsidRPr="00B27B59" w:rsidR="00654618">
              <w:rPr>
                <w:rFonts w:ascii="Book Antiqua" w:hAnsi="Book Antiqua"/>
                <w:webHidden/>
              </w:rPr>
            </w:r>
            <w:r w:rsidRPr="00B27B59" w:rsidR="00654618">
              <w:rPr>
                <w:rFonts w:ascii="Book Antiqua" w:hAnsi="Book Antiqua"/>
                <w:webHidden/>
              </w:rPr>
              <w:fldChar w:fldCharType="separate"/>
            </w:r>
            <w:r w:rsidR="00A76278">
              <w:rPr>
                <w:rFonts w:ascii="Book Antiqua" w:hAnsi="Book Antiqua"/>
                <w:webHidden/>
              </w:rPr>
              <w:t>2</w:t>
            </w:r>
            <w:r w:rsidRPr="00B27B59" w:rsidR="00654618">
              <w:rPr>
                <w:rFonts w:ascii="Book Antiqua" w:hAnsi="Book Antiqua"/>
                <w:webHidden/>
              </w:rPr>
              <w:fldChar w:fldCharType="end"/>
            </w:r>
          </w:hyperlink>
        </w:p>
        <w:p w:rsidRPr="00B27B59" w:rsidR="00654618" w:rsidRDefault="008924A8" w14:paraId="5045EA45" w14:textId="50A926B7">
          <w:pPr>
            <w:pStyle w:val="TOC1"/>
            <w:rPr>
              <w:rFonts w:ascii="Book Antiqua" w:hAnsi="Book Antiqua" w:eastAsiaTheme="minorEastAsia" w:cstheme="minorBidi"/>
              <w:sz w:val="22"/>
              <w:szCs w:val="22"/>
            </w:rPr>
          </w:pPr>
          <w:hyperlink w:history="1" w:anchor="_Toc43914759">
            <w:r w:rsidRPr="00B27B59" w:rsidR="00654618">
              <w:rPr>
                <w:rStyle w:val="Hyperlink"/>
                <w:rFonts w:ascii="Book Antiqua" w:hAnsi="Book Antiqua"/>
              </w:rPr>
              <w:t>Summary</w:t>
            </w:r>
            <w:r w:rsidRPr="00B27B59" w:rsidR="00654618">
              <w:rPr>
                <w:rFonts w:ascii="Book Antiqua" w:hAnsi="Book Antiqua"/>
                <w:webHidden/>
              </w:rPr>
              <w:tab/>
            </w:r>
            <w:r w:rsidRPr="00B27B59" w:rsidR="00654618">
              <w:rPr>
                <w:rFonts w:ascii="Book Antiqua" w:hAnsi="Book Antiqua"/>
                <w:webHidden/>
              </w:rPr>
              <w:fldChar w:fldCharType="begin"/>
            </w:r>
            <w:r w:rsidRPr="00B27B59" w:rsidR="00654618">
              <w:rPr>
                <w:rFonts w:ascii="Book Antiqua" w:hAnsi="Book Antiqua"/>
                <w:webHidden/>
              </w:rPr>
              <w:instrText xml:space="preserve"> PAGEREF _Toc43914759 \h </w:instrText>
            </w:r>
            <w:r w:rsidRPr="00B27B59" w:rsidR="00654618">
              <w:rPr>
                <w:rFonts w:ascii="Book Antiqua" w:hAnsi="Book Antiqua"/>
                <w:webHidden/>
              </w:rPr>
            </w:r>
            <w:r w:rsidRPr="00B27B59" w:rsidR="00654618">
              <w:rPr>
                <w:rFonts w:ascii="Book Antiqua" w:hAnsi="Book Antiqua"/>
                <w:webHidden/>
              </w:rPr>
              <w:fldChar w:fldCharType="separate"/>
            </w:r>
            <w:r w:rsidR="00A76278">
              <w:rPr>
                <w:rFonts w:ascii="Book Antiqua" w:hAnsi="Book Antiqua"/>
                <w:webHidden/>
              </w:rPr>
              <w:t>2</w:t>
            </w:r>
            <w:r w:rsidRPr="00B27B59" w:rsidR="00654618">
              <w:rPr>
                <w:rFonts w:ascii="Book Antiqua" w:hAnsi="Book Antiqua"/>
                <w:webHidden/>
              </w:rPr>
              <w:fldChar w:fldCharType="end"/>
            </w:r>
          </w:hyperlink>
        </w:p>
        <w:p w:rsidRPr="00B27B59" w:rsidR="00654618" w:rsidRDefault="008924A8" w14:paraId="25394185" w14:textId="01DBEC66">
          <w:pPr>
            <w:pStyle w:val="TOC1"/>
            <w:rPr>
              <w:rFonts w:ascii="Book Antiqua" w:hAnsi="Book Antiqua" w:eastAsiaTheme="minorEastAsia" w:cstheme="minorBidi"/>
              <w:sz w:val="22"/>
              <w:szCs w:val="22"/>
            </w:rPr>
          </w:pPr>
          <w:hyperlink w:history="1" w:anchor="_Toc43914760">
            <w:r w:rsidRPr="00B27B59" w:rsidR="00654618">
              <w:rPr>
                <w:rStyle w:val="Hyperlink"/>
                <w:rFonts w:ascii="Book Antiqua" w:hAnsi="Book Antiqua"/>
              </w:rPr>
              <w:t>1.</w:t>
            </w:r>
            <w:r w:rsidRPr="00B27B59" w:rsidR="00654618">
              <w:rPr>
                <w:rFonts w:ascii="Book Antiqua" w:hAnsi="Book Antiqua" w:eastAsiaTheme="minorEastAsia" w:cstheme="minorBidi"/>
                <w:sz w:val="22"/>
                <w:szCs w:val="22"/>
              </w:rPr>
              <w:tab/>
            </w:r>
            <w:r w:rsidRPr="00B27B59" w:rsidR="00654618">
              <w:rPr>
                <w:rStyle w:val="Hyperlink"/>
                <w:rFonts w:ascii="Book Antiqua" w:hAnsi="Book Antiqua"/>
              </w:rPr>
              <w:t>Factual and Procedural Background</w:t>
            </w:r>
            <w:r w:rsidRPr="00B27B59" w:rsidR="00654618">
              <w:rPr>
                <w:rFonts w:ascii="Book Antiqua" w:hAnsi="Book Antiqua"/>
                <w:webHidden/>
              </w:rPr>
              <w:tab/>
            </w:r>
            <w:r w:rsidRPr="00B27B59" w:rsidR="00654618">
              <w:rPr>
                <w:rFonts w:ascii="Book Antiqua" w:hAnsi="Book Antiqua"/>
                <w:webHidden/>
              </w:rPr>
              <w:fldChar w:fldCharType="begin"/>
            </w:r>
            <w:r w:rsidRPr="00B27B59" w:rsidR="00654618">
              <w:rPr>
                <w:rFonts w:ascii="Book Antiqua" w:hAnsi="Book Antiqua"/>
                <w:webHidden/>
              </w:rPr>
              <w:instrText xml:space="preserve"> PAGEREF _Toc43914760 \h </w:instrText>
            </w:r>
            <w:r w:rsidRPr="00B27B59" w:rsidR="00654618">
              <w:rPr>
                <w:rFonts w:ascii="Book Antiqua" w:hAnsi="Book Antiqua"/>
                <w:webHidden/>
              </w:rPr>
            </w:r>
            <w:r w:rsidRPr="00B27B59" w:rsidR="00654618">
              <w:rPr>
                <w:rFonts w:ascii="Book Antiqua" w:hAnsi="Book Antiqua"/>
                <w:webHidden/>
              </w:rPr>
              <w:fldChar w:fldCharType="separate"/>
            </w:r>
            <w:r w:rsidR="00A76278">
              <w:rPr>
                <w:rFonts w:ascii="Book Antiqua" w:hAnsi="Book Antiqua"/>
                <w:webHidden/>
              </w:rPr>
              <w:t>2</w:t>
            </w:r>
            <w:r w:rsidRPr="00B27B59" w:rsidR="00654618">
              <w:rPr>
                <w:rFonts w:ascii="Book Antiqua" w:hAnsi="Book Antiqua"/>
                <w:webHidden/>
              </w:rPr>
              <w:fldChar w:fldCharType="end"/>
            </w:r>
          </w:hyperlink>
        </w:p>
        <w:p w:rsidRPr="00B27B59" w:rsidR="00654618" w:rsidRDefault="008924A8" w14:paraId="209346BD" w14:textId="010F5CEE">
          <w:pPr>
            <w:pStyle w:val="TOC1"/>
            <w:rPr>
              <w:rFonts w:ascii="Book Antiqua" w:hAnsi="Book Antiqua" w:eastAsiaTheme="minorEastAsia" w:cstheme="minorBidi"/>
              <w:sz w:val="22"/>
              <w:szCs w:val="22"/>
            </w:rPr>
          </w:pPr>
          <w:hyperlink w:history="1" w:anchor="_Toc43914761">
            <w:r w:rsidRPr="00B27B59" w:rsidR="00654618">
              <w:rPr>
                <w:rStyle w:val="Hyperlink"/>
                <w:rFonts w:ascii="Book Antiqua" w:hAnsi="Book Antiqua"/>
              </w:rPr>
              <w:t>2.</w:t>
            </w:r>
            <w:r w:rsidRPr="00B27B59" w:rsidR="00654618">
              <w:rPr>
                <w:rFonts w:ascii="Book Antiqua" w:hAnsi="Book Antiqua" w:eastAsiaTheme="minorEastAsia" w:cstheme="minorBidi"/>
                <w:sz w:val="22"/>
                <w:szCs w:val="22"/>
              </w:rPr>
              <w:tab/>
            </w:r>
            <w:r w:rsidRPr="00B27B59" w:rsidR="00654618">
              <w:rPr>
                <w:rStyle w:val="Hyperlink"/>
                <w:rFonts w:ascii="Book Antiqua" w:hAnsi="Book Antiqua"/>
              </w:rPr>
              <w:t>Scope of Jurisdiction</w:t>
            </w:r>
            <w:r w:rsidRPr="00B27B59" w:rsidR="00654618">
              <w:rPr>
                <w:rFonts w:ascii="Book Antiqua" w:hAnsi="Book Antiqua"/>
                <w:webHidden/>
              </w:rPr>
              <w:tab/>
            </w:r>
            <w:r w:rsidRPr="00B27B59" w:rsidR="00654618">
              <w:rPr>
                <w:rFonts w:ascii="Book Antiqua" w:hAnsi="Book Antiqua"/>
                <w:webHidden/>
              </w:rPr>
              <w:fldChar w:fldCharType="begin"/>
            </w:r>
            <w:r w:rsidRPr="00B27B59" w:rsidR="00654618">
              <w:rPr>
                <w:rFonts w:ascii="Book Antiqua" w:hAnsi="Book Antiqua"/>
                <w:webHidden/>
              </w:rPr>
              <w:instrText xml:space="preserve"> PAGEREF _Toc43914761 \h </w:instrText>
            </w:r>
            <w:r w:rsidRPr="00B27B59" w:rsidR="00654618">
              <w:rPr>
                <w:rFonts w:ascii="Book Antiqua" w:hAnsi="Book Antiqua"/>
                <w:webHidden/>
              </w:rPr>
            </w:r>
            <w:r w:rsidRPr="00B27B59" w:rsidR="00654618">
              <w:rPr>
                <w:rFonts w:ascii="Book Antiqua" w:hAnsi="Book Antiqua"/>
                <w:webHidden/>
              </w:rPr>
              <w:fldChar w:fldCharType="separate"/>
            </w:r>
            <w:r w:rsidR="00A76278">
              <w:rPr>
                <w:rFonts w:ascii="Book Antiqua" w:hAnsi="Book Antiqua"/>
                <w:webHidden/>
              </w:rPr>
              <w:t>5</w:t>
            </w:r>
            <w:r w:rsidRPr="00B27B59" w:rsidR="00654618">
              <w:rPr>
                <w:rFonts w:ascii="Book Antiqua" w:hAnsi="Book Antiqua"/>
                <w:webHidden/>
              </w:rPr>
              <w:fldChar w:fldCharType="end"/>
            </w:r>
          </w:hyperlink>
        </w:p>
        <w:p w:rsidRPr="00B27B59" w:rsidR="00654618" w:rsidRDefault="008924A8" w14:paraId="4D0D75B5" w14:textId="7BED3271">
          <w:pPr>
            <w:pStyle w:val="TOC1"/>
            <w:rPr>
              <w:rFonts w:ascii="Book Antiqua" w:hAnsi="Book Antiqua" w:eastAsiaTheme="minorEastAsia" w:cstheme="minorBidi"/>
              <w:sz w:val="22"/>
              <w:szCs w:val="22"/>
            </w:rPr>
          </w:pPr>
          <w:hyperlink w:history="1" w:anchor="_Toc43914762">
            <w:r w:rsidRPr="00B27B59" w:rsidR="00654618">
              <w:rPr>
                <w:rStyle w:val="Hyperlink"/>
                <w:rFonts w:ascii="Book Antiqua" w:hAnsi="Book Antiqua" w:cs="Arial"/>
              </w:rPr>
              <w:t>3.</w:t>
            </w:r>
            <w:r w:rsidRPr="00B27B59" w:rsidR="00654618">
              <w:rPr>
                <w:rFonts w:ascii="Book Antiqua" w:hAnsi="Book Antiqua" w:eastAsiaTheme="minorEastAsia" w:cstheme="minorBidi"/>
                <w:sz w:val="22"/>
                <w:szCs w:val="22"/>
              </w:rPr>
              <w:tab/>
            </w:r>
            <w:r w:rsidRPr="00B27B59" w:rsidR="00654618">
              <w:rPr>
                <w:rStyle w:val="Hyperlink"/>
                <w:rFonts w:ascii="Book Antiqua" w:hAnsi="Book Antiqua" w:cs="Arial"/>
              </w:rPr>
              <w:t>Motion to Dismiss</w:t>
            </w:r>
            <w:r w:rsidRPr="00B27B59" w:rsidR="00654618">
              <w:rPr>
                <w:rFonts w:ascii="Book Antiqua" w:hAnsi="Book Antiqua"/>
                <w:webHidden/>
              </w:rPr>
              <w:tab/>
            </w:r>
            <w:r w:rsidRPr="00B27B59" w:rsidR="00654618">
              <w:rPr>
                <w:rFonts w:ascii="Book Antiqua" w:hAnsi="Book Antiqua"/>
                <w:webHidden/>
              </w:rPr>
              <w:fldChar w:fldCharType="begin"/>
            </w:r>
            <w:r w:rsidRPr="00B27B59" w:rsidR="00654618">
              <w:rPr>
                <w:rFonts w:ascii="Book Antiqua" w:hAnsi="Book Antiqua"/>
                <w:webHidden/>
              </w:rPr>
              <w:instrText xml:space="preserve"> PAGEREF _Toc43914762 \h </w:instrText>
            </w:r>
            <w:r w:rsidRPr="00B27B59" w:rsidR="00654618">
              <w:rPr>
                <w:rFonts w:ascii="Book Antiqua" w:hAnsi="Book Antiqua"/>
                <w:webHidden/>
              </w:rPr>
            </w:r>
            <w:r w:rsidRPr="00B27B59" w:rsidR="00654618">
              <w:rPr>
                <w:rFonts w:ascii="Book Antiqua" w:hAnsi="Book Antiqua"/>
                <w:webHidden/>
              </w:rPr>
              <w:fldChar w:fldCharType="separate"/>
            </w:r>
            <w:r w:rsidR="00A76278">
              <w:rPr>
                <w:rFonts w:ascii="Book Antiqua" w:hAnsi="Book Antiqua"/>
                <w:webHidden/>
              </w:rPr>
              <w:t>6</w:t>
            </w:r>
            <w:r w:rsidRPr="00B27B59" w:rsidR="00654618">
              <w:rPr>
                <w:rFonts w:ascii="Book Antiqua" w:hAnsi="Book Antiqua"/>
                <w:webHidden/>
              </w:rPr>
              <w:fldChar w:fldCharType="end"/>
            </w:r>
          </w:hyperlink>
        </w:p>
        <w:p w:rsidRPr="00B27B59" w:rsidR="00654618" w:rsidRDefault="008924A8" w14:paraId="186991AC" w14:textId="1CCAE4A4">
          <w:pPr>
            <w:pStyle w:val="TOC2"/>
            <w:rPr>
              <w:rFonts w:ascii="Book Antiqua" w:hAnsi="Book Antiqua" w:eastAsiaTheme="minorEastAsia" w:cstheme="minorBidi"/>
              <w:sz w:val="22"/>
              <w:szCs w:val="22"/>
            </w:rPr>
          </w:pPr>
          <w:hyperlink w:history="1" w:anchor="_Toc43914763">
            <w:r w:rsidRPr="00B27B59" w:rsidR="00654618">
              <w:rPr>
                <w:rStyle w:val="Hyperlink"/>
                <w:rFonts w:ascii="Book Antiqua" w:hAnsi="Book Antiqua"/>
              </w:rPr>
              <w:t>3.1</w:t>
            </w:r>
            <w:r w:rsidRPr="00B27B59" w:rsidR="00654618">
              <w:rPr>
                <w:rFonts w:ascii="Book Antiqua" w:hAnsi="Book Antiqua" w:eastAsiaTheme="minorEastAsia" w:cstheme="minorBidi"/>
                <w:sz w:val="22"/>
                <w:szCs w:val="22"/>
              </w:rPr>
              <w:tab/>
            </w:r>
            <w:r w:rsidRPr="00B27B59" w:rsidR="00654618">
              <w:rPr>
                <w:rStyle w:val="Hyperlink"/>
                <w:rFonts w:ascii="Book Antiqua" w:hAnsi="Book Antiqua"/>
              </w:rPr>
              <w:t>Discussion</w:t>
            </w:r>
            <w:r w:rsidRPr="00B27B59" w:rsidR="00654618">
              <w:rPr>
                <w:rFonts w:ascii="Book Antiqua" w:hAnsi="Book Antiqua"/>
                <w:webHidden/>
              </w:rPr>
              <w:tab/>
            </w:r>
            <w:r w:rsidRPr="00B27B59" w:rsidR="00654618">
              <w:rPr>
                <w:rFonts w:ascii="Book Antiqua" w:hAnsi="Book Antiqua"/>
                <w:webHidden/>
              </w:rPr>
              <w:fldChar w:fldCharType="begin"/>
            </w:r>
            <w:r w:rsidRPr="00B27B59" w:rsidR="00654618">
              <w:rPr>
                <w:rFonts w:ascii="Book Antiqua" w:hAnsi="Book Antiqua"/>
                <w:webHidden/>
              </w:rPr>
              <w:instrText xml:space="preserve"> PAGEREF _Toc43914763 \h </w:instrText>
            </w:r>
            <w:r w:rsidRPr="00B27B59" w:rsidR="00654618">
              <w:rPr>
                <w:rFonts w:ascii="Book Antiqua" w:hAnsi="Book Antiqua"/>
                <w:webHidden/>
              </w:rPr>
            </w:r>
            <w:r w:rsidRPr="00B27B59" w:rsidR="00654618">
              <w:rPr>
                <w:rFonts w:ascii="Book Antiqua" w:hAnsi="Book Antiqua"/>
                <w:webHidden/>
              </w:rPr>
              <w:fldChar w:fldCharType="separate"/>
            </w:r>
            <w:r w:rsidR="00A76278">
              <w:rPr>
                <w:rFonts w:ascii="Book Antiqua" w:hAnsi="Book Antiqua"/>
                <w:webHidden/>
              </w:rPr>
              <w:t>7</w:t>
            </w:r>
            <w:r w:rsidRPr="00B27B59" w:rsidR="00654618">
              <w:rPr>
                <w:rFonts w:ascii="Book Antiqua" w:hAnsi="Book Antiqua"/>
                <w:webHidden/>
              </w:rPr>
              <w:fldChar w:fldCharType="end"/>
            </w:r>
          </w:hyperlink>
        </w:p>
        <w:p w:rsidRPr="00B27B59" w:rsidR="00654618" w:rsidRDefault="008924A8" w14:paraId="2506430F" w14:textId="0257532B">
          <w:pPr>
            <w:pStyle w:val="TOC1"/>
            <w:rPr>
              <w:rFonts w:ascii="Book Antiqua" w:hAnsi="Book Antiqua" w:eastAsiaTheme="minorEastAsia" w:cstheme="minorBidi"/>
              <w:sz w:val="22"/>
              <w:szCs w:val="22"/>
            </w:rPr>
          </w:pPr>
          <w:hyperlink w:history="1" w:anchor="_Toc43914764">
            <w:r w:rsidRPr="00B27B59" w:rsidR="00654618">
              <w:rPr>
                <w:rStyle w:val="Hyperlink"/>
                <w:rFonts w:ascii="Book Antiqua" w:hAnsi="Book Antiqua"/>
              </w:rPr>
              <w:t>4.</w:t>
            </w:r>
            <w:r w:rsidRPr="00B27B59" w:rsidR="00654618">
              <w:rPr>
                <w:rFonts w:ascii="Book Antiqua" w:hAnsi="Book Antiqua" w:eastAsiaTheme="minorEastAsia" w:cstheme="minorBidi"/>
                <w:sz w:val="22"/>
                <w:szCs w:val="22"/>
              </w:rPr>
              <w:tab/>
            </w:r>
            <w:r w:rsidRPr="00B27B59" w:rsidR="00654618">
              <w:rPr>
                <w:rStyle w:val="Hyperlink"/>
                <w:rFonts w:ascii="Book Antiqua" w:hAnsi="Book Antiqua"/>
              </w:rPr>
              <w:t>Reasonableness of Water Service Rates</w:t>
            </w:r>
            <w:r w:rsidRPr="00B27B59" w:rsidR="00654618">
              <w:rPr>
                <w:rFonts w:ascii="Book Antiqua" w:hAnsi="Book Antiqua"/>
                <w:webHidden/>
              </w:rPr>
              <w:tab/>
            </w:r>
            <w:r w:rsidRPr="00B27B59" w:rsidR="00654618">
              <w:rPr>
                <w:rFonts w:ascii="Book Antiqua" w:hAnsi="Book Antiqua"/>
                <w:webHidden/>
              </w:rPr>
              <w:fldChar w:fldCharType="begin"/>
            </w:r>
            <w:r w:rsidRPr="00B27B59" w:rsidR="00654618">
              <w:rPr>
                <w:rFonts w:ascii="Book Antiqua" w:hAnsi="Book Antiqua"/>
                <w:webHidden/>
              </w:rPr>
              <w:instrText xml:space="preserve"> PAGEREF _Toc43914764 \h </w:instrText>
            </w:r>
            <w:r w:rsidRPr="00B27B59" w:rsidR="00654618">
              <w:rPr>
                <w:rFonts w:ascii="Book Antiqua" w:hAnsi="Book Antiqua"/>
                <w:webHidden/>
              </w:rPr>
            </w:r>
            <w:r w:rsidRPr="00B27B59" w:rsidR="00654618">
              <w:rPr>
                <w:rFonts w:ascii="Book Antiqua" w:hAnsi="Book Antiqua"/>
                <w:webHidden/>
              </w:rPr>
              <w:fldChar w:fldCharType="separate"/>
            </w:r>
            <w:r w:rsidR="00A76278">
              <w:rPr>
                <w:rFonts w:ascii="Book Antiqua" w:hAnsi="Book Antiqua"/>
                <w:webHidden/>
              </w:rPr>
              <w:t>8</w:t>
            </w:r>
            <w:r w:rsidRPr="00B27B59" w:rsidR="00654618">
              <w:rPr>
                <w:rFonts w:ascii="Book Antiqua" w:hAnsi="Book Antiqua"/>
                <w:webHidden/>
              </w:rPr>
              <w:fldChar w:fldCharType="end"/>
            </w:r>
          </w:hyperlink>
        </w:p>
        <w:p w:rsidRPr="00B27B59" w:rsidR="00654618" w:rsidRDefault="008924A8" w14:paraId="7C476C8A" w14:textId="0188AD39">
          <w:pPr>
            <w:pStyle w:val="TOC2"/>
            <w:rPr>
              <w:rFonts w:ascii="Book Antiqua" w:hAnsi="Book Antiqua" w:eastAsiaTheme="minorEastAsia" w:cstheme="minorBidi"/>
              <w:sz w:val="22"/>
              <w:szCs w:val="22"/>
            </w:rPr>
          </w:pPr>
          <w:hyperlink w:history="1" w:anchor="_Toc43914765">
            <w:r w:rsidRPr="00B27B59" w:rsidR="00654618">
              <w:rPr>
                <w:rStyle w:val="Hyperlink"/>
                <w:rFonts w:ascii="Book Antiqua" w:hAnsi="Book Antiqua"/>
              </w:rPr>
              <w:t>4.1</w:t>
            </w:r>
            <w:r w:rsidRPr="00B27B59" w:rsidR="00654618">
              <w:rPr>
                <w:rFonts w:ascii="Book Antiqua" w:hAnsi="Book Antiqua" w:eastAsiaTheme="minorEastAsia" w:cstheme="minorBidi"/>
                <w:sz w:val="22"/>
                <w:szCs w:val="22"/>
              </w:rPr>
              <w:tab/>
            </w:r>
            <w:r w:rsidRPr="00B27B59" w:rsidR="00654618">
              <w:rPr>
                <w:rStyle w:val="Hyperlink"/>
                <w:rFonts w:ascii="Book Antiqua" w:hAnsi="Book Antiqua"/>
              </w:rPr>
              <w:t>Position of Complainants</w:t>
            </w:r>
            <w:r w:rsidRPr="00B27B59" w:rsidR="00654618">
              <w:rPr>
                <w:rFonts w:ascii="Book Antiqua" w:hAnsi="Book Antiqua"/>
                <w:webHidden/>
              </w:rPr>
              <w:tab/>
            </w:r>
            <w:r w:rsidRPr="00B27B59" w:rsidR="00654618">
              <w:rPr>
                <w:rFonts w:ascii="Book Antiqua" w:hAnsi="Book Antiqua"/>
                <w:webHidden/>
              </w:rPr>
              <w:fldChar w:fldCharType="begin"/>
            </w:r>
            <w:r w:rsidRPr="00B27B59" w:rsidR="00654618">
              <w:rPr>
                <w:rFonts w:ascii="Book Antiqua" w:hAnsi="Book Antiqua"/>
                <w:webHidden/>
              </w:rPr>
              <w:instrText xml:space="preserve"> PAGEREF _Toc43914765 \h </w:instrText>
            </w:r>
            <w:r w:rsidRPr="00B27B59" w:rsidR="00654618">
              <w:rPr>
                <w:rFonts w:ascii="Book Antiqua" w:hAnsi="Book Antiqua"/>
                <w:webHidden/>
              </w:rPr>
            </w:r>
            <w:r w:rsidRPr="00B27B59" w:rsidR="00654618">
              <w:rPr>
                <w:rFonts w:ascii="Book Antiqua" w:hAnsi="Book Antiqua"/>
                <w:webHidden/>
              </w:rPr>
              <w:fldChar w:fldCharType="separate"/>
            </w:r>
            <w:r w:rsidR="00A76278">
              <w:rPr>
                <w:rFonts w:ascii="Book Antiqua" w:hAnsi="Book Antiqua"/>
                <w:webHidden/>
              </w:rPr>
              <w:t>8</w:t>
            </w:r>
            <w:r w:rsidRPr="00B27B59" w:rsidR="00654618">
              <w:rPr>
                <w:rFonts w:ascii="Book Antiqua" w:hAnsi="Book Antiqua"/>
                <w:webHidden/>
              </w:rPr>
              <w:fldChar w:fldCharType="end"/>
            </w:r>
          </w:hyperlink>
        </w:p>
        <w:p w:rsidRPr="00B27B59" w:rsidR="00654618" w:rsidRDefault="008924A8" w14:paraId="5B1BDF05" w14:textId="4573157E">
          <w:pPr>
            <w:pStyle w:val="TOC2"/>
            <w:rPr>
              <w:rFonts w:ascii="Book Antiqua" w:hAnsi="Book Antiqua" w:eastAsiaTheme="minorEastAsia" w:cstheme="minorBidi"/>
              <w:sz w:val="22"/>
              <w:szCs w:val="22"/>
            </w:rPr>
          </w:pPr>
          <w:hyperlink w:history="1" w:anchor="_Toc43914766">
            <w:r w:rsidRPr="00B27B59" w:rsidR="00654618">
              <w:rPr>
                <w:rStyle w:val="Hyperlink"/>
                <w:rFonts w:ascii="Book Antiqua" w:hAnsi="Book Antiqua"/>
              </w:rPr>
              <w:t>4.2</w:t>
            </w:r>
            <w:r w:rsidRPr="00B27B59" w:rsidR="00654618">
              <w:rPr>
                <w:rFonts w:ascii="Book Antiqua" w:hAnsi="Book Antiqua" w:eastAsiaTheme="minorEastAsia" w:cstheme="minorBidi"/>
                <w:sz w:val="22"/>
                <w:szCs w:val="22"/>
              </w:rPr>
              <w:tab/>
            </w:r>
            <w:r w:rsidRPr="00B27B59" w:rsidR="00654618">
              <w:rPr>
                <w:rStyle w:val="Hyperlink"/>
                <w:rFonts w:ascii="Book Antiqua" w:hAnsi="Book Antiqua"/>
              </w:rPr>
              <w:t>Position of Defendant</w:t>
            </w:r>
            <w:r w:rsidRPr="00B27B59" w:rsidR="00654618">
              <w:rPr>
                <w:rFonts w:ascii="Book Antiqua" w:hAnsi="Book Antiqua"/>
                <w:webHidden/>
              </w:rPr>
              <w:tab/>
            </w:r>
            <w:r w:rsidRPr="00B27B59" w:rsidR="00654618">
              <w:rPr>
                <w:rFonts w:ascii="Book Antiqua" w:hAnsi="Book Antiqua"/>
                <w:webHidden/>
              </w:rPr>
              <w:fldChar w:fldCharType="begin"/>
            </w:r>
            <w:r w:rsidRPr="00B27B59" w:rsidR="00654618">
              <w:rPr>
                <w:rFonts w:ascii="Book Antiqua" w:hAnsi="Book Antiqua"/>
                <w:webHidden/>
              </w:rPr>
              <w:instrText xml:space="preserve"> PAGEREF _Toc43914766 \h </w:instrText>
            </w:r>
            <w:r w:rsidRPr="00B27B59" w:rsidR="00654618">
              <w:rPr>
                <w:rFonts w:ascii="Book Antiqua" w:hAnsi="Book Antiqua"/>
                <w:webHidden/>
              </w:rPr>
            </w:r>
            <w:r w:rsidRPr="00B27B59" w:rsidR="00654618">
              <w:rPr>
                <w:rFonts w:ascii="Book Antiqua" w:hAnsi="Book Antiqua"/>
                <w:webHidden/>
              </w:rPr>
              <w:fldChar w:fldCharType="separate"/>
            </w:r>
            <w:r w:rsidR="00A76278">
              <w:rPr>
                <w:rFonts w:ascii="Book Antiqua" w:hAnsi="Book Antiqua"/>
                <w:webHidden/>
              </w:rPr>
              <w:t>10</w:t>
            </w:r>
            <w:r w:rsidRPr="00B27B59" w:rsidR="00654618">
              <w:rPr>
                <w:rFonts w:ascii="Book Antiqua" w:hAnsi="Book Antiqua"/>
                <w:webHidden/>
              </w:rPr>
              <w:fldChar w:fldCharType="end"/>
            </w:r>
          </w:hyperlink>
        </w:p>
        <w:p w:rsidRPr="00B27B59" w:rsidR="00654618" w:rsidRDefault="008924A8" w14:paraId="5747AA71" w14:textId="544404F7">
          <w:pPr>
            <w:pStyle w:val="TOC2"/>
            <w:rPr>
              <w:rFonts w:ascii="Book Antiqua" w:hAnsi="Book Antiqua" w:eastAsiaTheme="minorEastAsia" w:cstheme="minorBidi"/>
              <w:sz w:val="22"/>
              <w:szCs w:val="22"/>
            </w:rPr>
          </w:pPr>
          <w:hyperlink w:history="1" w:anchor="_Toc43914767">
            <w:r w:rsidRPr="00B27B59" w:rsidR="00654618">
              <w:rPr>
                <w:rStyle w:val="Hyperlink"/>
                <w:rFonts w:ascii="Book Antiqua" w:hAnsi="Book Antiqua"/>
              </w:rPr>
              <w:t>4.3</w:t>
            </w:r>
            <w:r w:rsidRPr="00B27B59" w:rsidR="00654618">
              <w:rPr>
                <w:rFonts w:ascii="Book Antiqua" w:hAnsi="Book Antiqua" w:eastAsiaTheme="minorEastAsia" w:cstheme="minorBidi"/>
                <w:sz w:val="22"/>
                <w:szCs w:val="22"/>
              </w:rPr>
              <w:tab/>
            </w:r>
            <w:r w:rsidRPr="00B27B59" w:rsidR="00654618">
              <w:rPr>
                <w:rStyle w:val="Hyperlink"/>
                <w:rFonts w:ascii="Book Antiqua" w:hAnsi="Book Antiqua"/>
              </w:rPr>
              <w:t>Discussion</w:t>
            </w:r>
            <w:r w:rsidRPr="00B27B59" w:rsidR="00654618">
              <w:rPr>
                <w:rFonts w:ascii="Book Antiqua" w:hAnsi="Book Antiqua"/>
                <w:webHidden/>
              </w:rPr>
              <w:tab/>
            </w:r>
            <w:r w:rsidRPr="00B27B59" w:rsidR="00654618">
              <w:rPr>
                <w:rFonts w:ascii="Book Antiqua" w:hAnsi="Book Antiqua"/>
                <w:webHidden/>
              </w:rPr>
              <w:fldChar w:fldCharType="begin"/>
            </w:r>
            <w:r w:rsidRPr="00B27B59" w:rsidR="00654618">
              <w:rPr>
                <w:rFonts w:ascii="Book Antiqua" w:hAnsi="Book Antiqua"/>
                <w:webHidden/>
              </w:rPr>
              <w:instrText xml:space="preserve"> PAGEREF _Toc43914767 \h </w:instrText>
            </w:r>
            <w:r w:rsidRPr="00B27B59" w:rsidR="00654618">
              <w:rPr>
                <w:rFonts w:ascii="Book Antiqua" w:hAnsi="Book Antiqua"/>
                <w:webHidden/>
              </w:rPr>
            </w:r>
            <w:r w:rsidRPr="00B27B59" w:rsidR="00654618">
              <w:rPr>
                <w:rFonts w:ascii="Book Antiqua" w:hAnsi="Book Antiqua"/>
                <w:webHidden/>
              </w:rPr>
              <w:fldChar w:fldCharType="separate"/>
            </w:r>
            <w:r w:rsidR="00A76278">
              <w:rPr>
                <w:rFonts w:ascii="Book Antiqua" w:hAnsi="Book Antiqua"/>
                <w:webHidden/>
              </w:rPr>
              <w:t>11</w:t>
            </w:r>
            <w:r w:rsidRPr="00B27B59" w:rsidR="00654618">
              <w:rPr>
                <w:rFonts w:ascii="Book Antiqua" w:hAnsi="Book Antiqua"/>
                <w:webHidden/>
              </w:rPr>
              <w:fldChar w:fldCharType="end"/>
            </w:r>
          </w:hyperlink>
        </w:p>
        <w:p w:rsidRPr="00B27B59" w:rsidR="00654618" w:rsidRDefault="008924A8" w14:paraId="736292E8" w14:textId="40941243">
          <w:pPr>
            <w:pStyle w:val="TOC1"/>
            <w:rPr>
              <w:rFonts w:ascii="Book Antiqua" w:hAnsi="Book Antiqua" w:eastAsiaTheme="minorEastAsia" w:cstheme="minorBidi"/>
              <w:sz w:val="22"/>
              <w:szCs w:val="22"/>
            </w:rPr>
          </w:pPr>
          <w:hyperlink w:history="1" w:anchor="_Toc43914768">
            <w:r w:rsidRPr="00B27B59" w:rsidR="00654618">
              <w:rPr>
                <w:rStyle w:val="Hyperlink"/>
                <w:rFonts w:ascii="Book Antiqua" w:hAnsi="Book Antiqua"/>
              </w:rPr>
              <w:t>5.</w:t>
            </w:r>
            <w:r w:rsidRPr="00B27B59" w:rsidR="00654618">
              <w:rPr>
                <w:rFonts w:ascii="Book Antiqua" w:hAnsi="Book Antiqua" w:eastAsiaTheme="minorEastAsia" w:cstheme="minorBidi"/>
                <w:sz w:val="22"/>
                <w:szCs w:val="22"/>
              </w:rPr>
              <w:tab/>
            </w:r>
            <w:r w:rsidRPr="00B27B59" w:rsidR="00654618">
              <w:rPr>
                <w:rStyle w:val="Hyperlink"/>
                <w:rFonts w:ascii="Book Antiqua" w:hAnsi="Book Antiqua"/>
              </w:rPr>
              <w:t>Requirements for Notices to Mobile Home Park Tenants</w:t>
            </w:r>
            <w:r w:rsidRPr="00B27B59" w:rsidR="00654618">
              <w:rPr>
                <w:rFonts w:ascii="Book Antiqua" w:hAnsi="Book Antiqua"/>
                <w:webHidden/>
              </w:rPr>
              <w:tab/>
            </w:r>
            <w:r w:rsidRPr="00B27B59" w:rsidR="00654618">
              <w:rPr>
                <w:rFonts w:ascii="Book Antiqua" w:hAnsi="Book Antiqua"/>
                <w:webHidden/>
              </w:rPr>
              <w:fldChar w:fldCharType="begin"/>
            </w:r>
            <w:r w:rsidRPr="00B27B59" w:rsidR="00654618">
              <w:rPr>
                <w:rFonts w:ascii="Book Antiqua" w:hAnsi="Book Antiqua"/>
                <w:webHidden/>
              </w:rPr>
              <w:instrText xml:space="preserve"> PAGEREF _Toc43914768 \h </w:instrText>
            </w:r>
            <w:r w:rsidRPr="00B27B59" w:rsidR="00654618">
              <w:rPr>
                <w:rFonts w:ascii="Book Antiqua" w:hAnsi="Book Antiqua"/>
                <w:webHidden/>
              </w:rPr>
            </w:r>
            <w:r w:rsidRPr="00B27B59" w:rsidR="00654618">
              <w:rPr>
                <w:rFonts w:ascii="Book Antiqua" w:hAnsi="Book Antiqua"/>
                <w:webHidden/>
              </w:rPr>
              <w:fldChar w:fldCharType="separate"/>
            </w:r>
            <w:r w:rsidR="00A76278">
              <w:rPr>
                <w:rFonts w:ascii="Book Antiqua" w:hAnsi="Book Antiqua"/>
                <w:webHidden/>
              </w:rPr>
              <w:t>18</w:t>
            </w:r>
            <w:r w:rsidRPr="00B27B59" w:rsidR="00654618">
              <w:rPr>
                <w:rFonts w:ascii="Book Antiqua" w:hAnsi="Book Antiqua"/>
                <w:webHidden/>
              </w:rPr>
              <w:fldChar w:fldCharType="end"/>
            </w:r>
          </w:hyperlink>
        </w:p>
        <w:p w:rsidRPr="00B27B59" w:rsidR="00654618" w:rsidRDefault="008924A8" w14:paraId="27AAB0AA" w14:textId="4ABA788A">
          <w:pPr>
            <w:pStyle w:val="TOC2"/>
            <w:rPr>
              <w:rFonts w:ascii="Book Antiqua" w:hAnsi="Book Antiqua" w:eastAsiaTheme="minorEastAsia" w:cstheme="minorBidi"/>
              <w:sz w:val="22"/>
              <w:szCs w:val="22"/>
            </w:rPr>
          </w:pPr>
          <w:hyperlink w:history="1" w:anchor="_Toc43914769">
            <w:r w:rsidRPr="00B27B59" w:rsidR="00654618">
              <w:rPr>
                <w:rStyle w:val="Hyperlink"/>
                <w:rFonts w:ascii="Book Antiqua" w:hAnsi="Book Antiqua"/>
              </w:rPr>
              <w:t>5.1</w:t>
            </w:r>
            <w:r w:rsidRPr="00B27B59" w:rsidR="00654618">
              <w:rPr>
                <w:rFonts w:ascii="Book Antiqua" w:hAnsi="Book Antiqua" w:eastAsiaTheme="minorEastAsia" w:cstheme="minorBidi"/>
                <w:sz w:val="22"/>
                <w:szCs w:val="22"/>
              </w:rPr>
              <w:tab/>
            </w:r>
            <w:r w:rsidRPr="00B27B59" w:rsidR="00654618">
              <w:rPr>
                <w:rStyle w:val="Hyperlink"/>
                <w:rFonts w:ascii="Book Antiqua" w:hAnsi="Book Antiqua"/>
              </w:rPr>
              <w:t>Discussion</w:t>
            </w:r>
            <w:r w:rsidRPr="00B27B59" w:rsidR="00654618">
              <w:rPr>
                <w:rFonts w:ascii="Book Antiqua" w:hAnsi="Book Antiqua"/>
                <w:webHidden/>
              </w:rPr>
              <w:tab/>
            </w:r>
            <w:r w:rsidRPr="00B27B59" w:rsidR="00654618">
              <w:rPr>
                <w:rFonts w:ascii="Book Antiqua" w:hAnsi="Book Antiqua"/>
                <w:webHidden/>
              </w:rPr>
              <w:fldChar w:fldCharType="begin"/>
            </w:r>
            <w:r w:rsidRPr="00B27B59" w:rsidR="00654618">
              <w:rPr>
                <w:rFonts w:ascii="Book Antiqua" w:hAnsi="Book Antiqua"/>
                <w:webHidden/>
              </w:rPr>
              <w:instrText xml:space="preserve"> PAGEREF _Toc43914769 \h </w:instrText>
            </w:r>
            <w:r w:rsidRPr="00B27B59" w:rsidR="00654618">
              <w:rPr>
                <w:rFonts w:ascii="Book Antiqua" w:hAnsi="Book Antiqua"/>
                <w:webHidden/>
              </w:rPr>
            </w:r>
            <w:r w:rsidRPr="00B27B59" w:rsidR="00654618">
              <w:rPr>
                <w:rFonts w:ascii="Book Antiqua" w:hAnsi="Book Antiqua"/>
                <w:webHidden/>
              </w:rPr>
              <w:fldChar w:fldCharType="separate"/>
            </w:r>
            <w:r w:rsidR="00A76278">
              <w:rPr>
                <w:rFonts w:ascii="Book Antiqua" w:hAnsi="Book Antiqua"/>
                <w:webHidden/>
              </w:rPr>
              <w:t>19</w:t>
            </w:r>
            <w:r w:rsidRPr="00B27B59" w:rsidR="00654618">
              <w:rPr>
                <w:rFonts w:ascii="Book Antiqua" w:hAnsi="Book Antiqua"/>
                <w:webHidden/>
              </w:rPr>
              <w:fldChar w:fldCharType="end"/>
            </w:r>
          </w:hyperlink>
        </w:p>
        <w:p w:rsidRPr="00B27B59" w:rsidR="00654618" w:rsidRDefault="008924A8" w14:paraId="5A483044" w14:textId="4FE8DF70">
          <w:pPr>
            <w:pStyle w:val="TOC1"/>
            <w:rPr>
              <w:rFonts w:ascii="Book Antiqua" w:hAnsi="Book Antiqua" w:eastAsiaTheme="minorEastAsia" w:cstheme="minorBidi"/>
              <w:sz w:val="22"/>
              <w:szCs w:val="22"/>
            </w:rPr>
          </w:pPr>
          <w:hyperlink w:history="1" w:anchor="_Toc43914770">
            <w:r w:rsidRPr="00B27B59" w:rsidR="00654618">
              <w:rPr>
                <w:rStyle w:val="Hyperlink"/>
                <w:rFonts w:ascii="Book Antiqua" w:hAnsi="Book Antiqua"/>
              </w:rPr>
              <w:t>6.</w:t>
            </w:r>
            <w:r w:rsidRPr="00B27B59" w:rsidR="00654618">
              <w:rPr>
                <w:rFonts w:ascii="Book Antiqua" w:hAnsi="Book Antiqua" w:eastAsiaTheme="minorEastAsia" w:cstheme="minorBidi"/>
                <w:sz w:val="22"/>
                <w:szCs w:val="22"/>
              </w:rPr>
              <w:tab/>
            </w:r>
            <w:r w:rsidRPr="00B27B59" w:rsidR="00654618">
              <w:rPr>
                <w:rStyle w:val="Hyperlink"/>
                <w:rFonts w:ascii="Book Antiqua" w:hAnsi="Book Antiqua"/>
              </w:rPr>
              <w:t>Safety Issues</w:t>
            </w:r>
            <w:r w:rsidRPr="00B27B59" w:rsidR="00654618">
              <w:rPr>
                <w:rFonts w:ascii="Book Antiqua" w:hAnsi="Book Antiqua"/>
                <w:webHidden/>
              </w:rPr>
              <w:tab/>
            </w:r>
            <w:r w:rsidRPr="00B27B59" w:rsidR="00654618">
              <w:rPr>
                <w:rFonts w:ascii="Book Antiqua" w:hAnsi="Book Antiqua"/>
                <w:webHidden/>
              </w:rPr>
              <w:fldChar w:fldCharType="begin"/>
            </w:r>
            <w:r w:rsidRPr="00B27B59" w:rsidR="00654618">
              <w:rPr>
                <w:rFonts w:ascii="Book Antiqua" w:hAnsi="Book Antiqua"/>
                <w:webHidden/>
              </w:rPr>
              <w:instrText xml:space="preserve"> PAGEREF _Toc43914770 \h </w:instrText>
            </w:r>
            <w:r w:rsidRPr="00B27B59" w:rsidR="00654618">
              <w:rPr>
                <w:rFonts w:ascii="Book Antiqua" w:hAnsi="Book Antiqua"/>
                <w:webHidden/>
              </w:rPr>
            </w:r>
            <w:r w:rsidRPr="00B27B59" w:rsidR="00654618">
              <w:rPr>
                <w:rFonts w:ascii="Book Antiqua" w:hAnsi="Book Antiqua"/>
                <w:webHidden/>
              </w:rPr>
              <w:fldChar w:fldCharType="separate"/>
            </w:r>
            <w:r w:rsidR="00A76278">
              <w:rPr>
                <w:rFonts w:ascii="Book Antiqua" w:hAnsi="Book Antiqua"/>
                <w:webHidden/>
              </w:rPr>
              <w:t>20</w:t>
            </w:r>
            <w:r w:rsidRPr="00B27B59" w:rsidR="00654618">
              <w:rPr>
                <w:rFonts w:ascii="Book Antiqua" w:hAnsi="Book Antiqua"/>
                <w:webHidden/>
              </w:rPr>
              <w:fldChar w:fldCharType="end"/>
            </w:r>
          </w:hyperlink>
        </w:p>
        <w:p w:rsidRPr="00B27B59" w:rsidR="00654618" w:rsidRDefault="008924A8" w14:paraId="1E70779F" w14:textId="67F1EC20">
          <w:pPr>
            <w:pStyle w:val="TOC1"/>
            <w:rPr>
              <w:rFonts w:ascii="Book Antiqua" w:hAnsi="Book Antiqua" w:eastAsiaTheme="minorEastAsia" w:cstheme="minorBidi"/>
              <w:sz w:val="22"/>
              <w:szCs w:val="22"/>
            </w:rPr>
          </w:pPr>
          <w:hyperlink w:history="1" w:anchor="_Toc43914771">
            <w:r w:rsidRPr="00B27B59" w:rsidR="00654618">
              <w:rPr>
                <w:rStyle w:val="Hyperlink"/>
                <w:rFonts w:ascii="Book Antiqua" w:hAnsi="Book Antiqua"/>
              </w:rPr>
              <w:t>7.</w:t>
            </w:r>
            <w:r w:rsidRPr="00B27B59" w:rsidR="00654618">
              <w:rPr>
                <w:rFonts w:ascii="Book Antiqua" w:hAnsi="Book Antiqua" w:eastAsiaTheme="minorEastAsia" w:cstheme="minorBidi"/>
                <w:sz w:val="22"/>
                <w:szCs w:val="22"/>
              </w:rPr>
              <w:tab/>
            </w:r>
            <w:r w:rsidRPr="00B27B59" w:rsidR="00654618">
              <w:rPr>
                <w:rStyle w:val="Hyperlink"/>
                <w:rFonts w:ascii="Book Antiqua" w:hAnsi="Book Antiqua"/>
              </w:rPr>
              <w:t>Comments</w:t>
            </w:r>
            <w:r w:rsidRPr="00B27B59" w:rsidR="00654618">
              <w:rPr>
                <w:rFonts w:ascii="Book Antiqua" w:hAnsi="Book Antiqua"/>
                <w:webHidden/>
              </w:rPr>
              <w:tab/>
            </w:r>
            <w:r w:rsidRPr="00B27B59" w:rsidR="00654618">
              <w:rPr>
                <w:rFonts w:ascii="Book Antiqua" w:hAnsi="Book Antiqua"/>
                <w:webHidden/>
              </w:rPr>
              <w:fldChar w:fldCharType="begin"/>
            </w:r>
            <w:r w:rsidRPr="00B27B59" w:rsidR="00654618">
              <w:rPr>
                <w:rFonts w:ascii="Book Antiqua" w:hAnsi="Book Antiqua"/>
                <w:webHidden/>
              </w:rPr>
              <w:instrText xml:space="preserve"> PAGEREF _Toc43914771 \h </w:instrText>
            </w:r>
            <w:r w:rsidRPr="00B27B59" w:rsidR="00654618">
              <w:rPr>
                <w:rFonts w:ascii="Book Antiqua" w:hAnsi="Book Antiqua"/>
                <w:webHidden/>
              </w:rPr>
            </w:r>
            <w:r w:rsidRPr="00B27B59" w:rsidR="00654618">
              <w:rPr>
                <w:rFonts w:ascii="Book Antiqua" w:hAnsi="Book Antiqua"/>
                <w:webHidden/>
              </w:rPr>
              <w:fldChar w:fldCharType="separate"/>
            </w:r>
            <w:r w:rsidR="00A76278">
              <w:rPr>
                <w:rFonts w:ascii="Book Antiqua" w:hAnsi="Book Antiqua"/>
                <w:webHidden/>
              </w:rPr>
              <w:t>20</w:t>
            </w:r>
            <w:r w:rsidRPr="00B27B59" w:rsidR="00654618">
              <w:rPr>
                <w:rFonts w:ascii="Book Antiqua" w:hAnsi="Book Antiqua"/>
                <w:webHidden/>
              </w:rPr>
              <w:fldChar w:fldCharType="end"/>
            </w:r>
          </w:hyperlink>
        </w:p>
        <w:p w:rsidRPr="00B27B59" w:rsidR="00654618" w:rsidRDefault="008924A8" w14:paraId="5BA9DD36" w14:textId="5D618AD0">
          <w:pPr>
            <w:pStyle w:val="TOC1"/>
            <w:rPr>
              <w:rFonts w:ascii="Book Antiqua" w:hAnsi="Book Antiqua" w:eastAsiaTheme="minorEastAsia" w:cstheme="minorBidi"/>
              <w:sz w:val="22"/>
              <w:szCs w:val="22"/>
            </w:rPr>
          </w:pPr>
          <w:hyperlink w:history="1" w:anchor="_Toc43914772">
            <w:r w:rsidRPr="00B27B59" w:rsidR="00654618">
              <w:rPr>
                <w:rStyle w:val="Hyperlink"/>
                <w:rFonts w:ascii="Book Antiqua" w:hAnsi="Book Antiqua"/>
              </w:rPr>
              <w:t>8.</w:t>
            </w:r>
            <w:r w:rsidRPr="00B27B59" w:rsidR="00654618">
              <w:rPr>
                <w:rFonts w:ascii="Book Antiqua" w:hAnsi="Book Antiqua" w:eastAsiaTheme="minorEastAsia" w:cstheme="minorBidi"/>
                <w:sz w:val="22"/>
                <w:szCs w:val="22"/>
              </w:rPr>
              <w:tab/>
            </w:r>
            <w:r w:rsidRPr="00B27B59" w:rsidR="00654618">
              <w:rPr>
                <w:rStyle w:val="Hyperlink"/>
                <w:rFonts w:ascii="Book Antiqua" w:hAnsi="Book Antiqua"/>
              </w:rPr>
              <w:t>Assignment of Proceeding</w:t>
            </w:r>
            <w:r w:rsidRPr="00B27B59" w:rsidR="00654618">
              <w:rPr>
                <w:rFonts w:ascii="Book Antiqua" w:hAnsi="Book Antiqua"/>
                <w:webHidden/>
              </w:rPr>
              <w:tab/>
            </w:r>
            <w:r w:rsidRPr="00B27B59" w:rsidR="00654618">
              <w:rPr>
                <w:rFonts w:ascii="Book Antiqua" w:hAnsi="Book Antiqua"/>
                <w:webHidden/>
              </w:rPr>
              <w:fldChar w:fldCharType="begin"/>
            </w:r>
            <w:r w:rsidRPr="00B27B59" w:rsidR="00654618">
              <w:rPr>
                <w:rFonts w:ascii="Book Antiqua" w:hAnsi="Book Antiqua"/>
                <w:webHidden/>
              </w:rPr>
              <w:instrText xml:space="preserve"> PAGEREF _Toc43914772 \h </w:instrText>
            </w:r>
            <w:r w:rsidRPr="00B27B59" w:rsidR="00654618">
              <w:rPr>
                <w:rFonts w:ascii="Book Antiqua" w:hAnsi="Book Antiqua"/>
                <w:webHidden/>
              </w:rPr>
            </w:r>
            <w:r w:rsidRPr="00B27B59" w:rsidR="00654618">
              <w:rPr>
                <w:rFonts w:ascii="Book Antiqua" w:hAnsi="Book Antiqua"/>
                <w:webHidden/>
              </w:rPr>
              <w:fldChar w:fldCharType="separate"/>
            </w:r>
            <w:r w:rsidR="00A76278">
              <w:rPr>
                <w:rFonts w:ascii="Book Antiqua" w:hAnsi="Book Antiqua"/>
                <w:webHidden/>
              </w:rPr>
              <w:t>20</w:t>
            </w:r>
            <w:r w:rsidRPr="00B27B59" w:rsidR="00654618">
              <w:rPr>
                <w:rFonts w:ascii="Book Antiqua" w:hAnsi="Book Antiqua"/>
                <w:webHidden/>
              </w:rPr>
              <w:fldChar w:fldCharType="end"/>
            </w:r>
          </w:hyperlink>
        </w:p>
        <w:p w:rsidRPr="00B27B59" w:rsidR="00654618" w:rsidRDefault="008924A8" w14:paraId="1E984147" w14:textId="4E29E243">
          <w:pPr>
            <w:pStyle w:val="TOC1"/>
            <w:rPr>
              <w:rFonts w:ascii="Book Antiqua" w:hAnsi="Book Antiqua" w:eastAsiaTheme="minorEastAsia" w:cstheme="minorBidi"/>
              <w:sz w:val="22"/>
              <w:szCs w:val="22"/>
            </w:rPr>
          </w:pPr>
          <w:hyperlink w:history="1" w:anchor="_Toc43914773">
            <w:r w:rsidRPr="00B27B59" w:rsidR="00654618">
              <w:rPr>
                <w:rStyle w:val="Hyperlink"/>
                <w:rFonts w:ascii="Book Antiqua" w:hAnsi="Book Antiqua"/>
              </w:rPr>
              <w:t>Findings of Fact</w:t>
            </w:r>
            <w:r w:rsidRPr="00B27B59" w:rsidR="00654618">
              <w:rPr>
                <w:rFonts w:ascii="Book Antiqua" w:hAnsi="Book Antiqua"/>
                <w:webHidden/>
              </w:rPr>
              <w:tab/>
            </w:r>
            <w:r w:rsidRPr="00B27B59" w:rsidR="00654618">
              <w:rPr>
                <w:rFonts w:ascii="Book Antiqua" w:hAnsi="Book Antiqua"/>
                <w:webHidden/>
              </w:rPr>
              <w:fldChar w:fldCharType="begin"/>
            </w:r>
            <w:r w:rsidRPr="00B27B59" w:rsidR="00654618">
              <w:rPr>
                <w:rFonts w:ascii="Book Antiqua" w:hAnsi="Book Antiqua"/>
                <w:webHidden/>
              </w:rPr>
              <w:instrText xml:space="preserve"> PAGEREF _Toc43914773 \h </w:instrText>
            </w:r>
            <w:r w:rsidRPr="00B27B59" w:rsidR="00654618">
              <w:rPr>
                <w:rFonts w:ascii="Book Antiqua" w:hAnsi="Book Antiqua"/>
                <w:webHidden/>
              </w:rPr>
            </w:r>
            <w:r w:rsidRPr="00B27B59" w:rsidR="00654618">
              <w:rPr>
                <w:rFonts w:ascii="Book Antiqua" w:hAnsi="Book Antiqua"/>
                <w:webHidden/>
              </w:rPr>
              <w:fldChar w:fldCharType="separate"/>
            </w:r>
            <w:r w:rsidR="00A76278">
              <w:rPr>
                <w:rFonts w:ascii="Book Antiqua" w:hAnsi="Book Antiqua"/>
                <w:webHidden/>
              </w:rPr>
              <w:t>24</w:t>
            </w:r>
            <w:r w:rsidRPr="00B27B59" w:rsidR="00654618">
              <w:rPr>
                <w:rFonts w:ascii="Book Antiqua" w:hAnsi="Book Antiqua"/>
                <w:webHidden/>
              </w:rPr>
              <w:fldChar w:fldCharType="end"/>
            </w:r>
          </w:hyperlink>
        </w:p>
        <w:p w:rsidRPr="00B27B59" w:rsidR="00654618" w:rsidRDefault="008924A8" w14:paraId="520D0068" w14:textId="3FF65F07">
          <w:pPr>
            <w:pStyle w:val="TOC1"/>
            <w:rPr>
              <w:rFonts w:ascii="Book Antiqua" w:hAnsi="Book Antiqua" w:eastAsiaTheme="minorEastAsia" w:cstheme="minorBidi"/>
              <w:sz w:val="22"/>
              <w:szCs w:val="22"/>
            </w:rPr>
          </w:pPr>
          <w:hyperlink w:history="1" w:anchor="_Toc43914774">
            <w:r w:rsidRPr="00B27B59" w:rsidR="00654618">
              <w:rPr>
                <w:rStyle w:val="Hyperlink"/>
                <w:rFonts w:ascii="Book Antiqua" w:hAnsi="Book Antiqua"/>
              </w:rPr>
              <w:t>Conclusions of Law</w:t>
            </w:r>
            <w:r w:rsidRPr="00B27B59" w:rsidR="00654618">
              <w:rPr>
                <w:rFonts w:ascii="Book Antiqua" w:hAnsi="Book Antiqua"/>
                <w:webHidden/>
              </w:rPr>
              <w:tab/>
            </w:r>
            <w:r w:rsidRPr="00B27B59" w:rsidR="00654618">
              <w:rPr>
                <w:rFonts w:ascii="Book Antiqua" w:hAnsi="Book Antiqua"/>
                <w:webHidden/>
              </w:rPr>
              <w:fldChar w:fldCharType="begin"/>
            </w:r>
            <w:r w:rsidRPr="00B27B59" w:rsidR="00654618">
              <w:rPr>
                <w:rFonts w:ascii="Book Antiqua" w:hAnsi="Book Antiqua"/>
                <w:webHidden/>
              </w:rPr>
              <w:instrText xml:space="preserve"> PAGEREF _Toc43914774 \h </w:instrText>
            </w:r>
            <w:r w:rsidRPr="00B27B59" w:rsidR="00654618">
              <w:rPr>
                <w:rFonts w:ascii="Book Antiqua" w:hAnsi="Book Antiqua"/>
                <w:webHidden/>
              </w:rPr>
            </w:r>
            <w:r w:rsidRPr="00B27B59" w:rsidR="00654618">
              <w:rPr>
                <w:rFonts w:ascii="Book Antiqua" w:hAnsi="Book Antiqua"/>
                <w:webHidden/>
              </w:rPr>
              <w:fldChar w:fldCharType="separate"/>
            </w:r>
            <w:r w:rsidR="00A76278">
              <w:rPr>
                <w:rFonts w:ascii="Book Antiqua" w:hAnsi="Book Antiqua"/>
                <w:webHidden/>
              </w:rPr>
              <w:t>26</w:t>
            </w:r>
            <w:r w:rsidRPr="00B27B59" w:rsidR="00654618">
              <w:rPr>
                <w:rFonts w:ascii="Book Antiqua" w:hAnsi="Book Antiqua"/>
                <w:webHidden/>
              </w:rPr>
              <w:fldChar w:fldCharType="end"/>
            </w:r>
          </w:hyperlink>
        </w:p>
        <w:p w:rsidR="00654618" w:rsidRDefault="008924A8" w14:paraId="57D577C9" w14:textId="7989ECAE">
          <w:pPr>
            <w:pStyle w:val="TOC1"/>
            <w:rPr>
              <w:rFonts w:asciiTheme="minorHAnsi" w:hAnsiTheme="minorHAnsi" w:eastAsiaTheme="minorEastAsia" w:cstheme="minorBidi"/>
              <w:sz w:val="22"/>
              <w:szCs w:val="22"/>
            </w:rPr>
          </w:pPr>
          <w:hyperlink w:history="1" w:anchor="_Toc43914775">
            <w:r w:rsidRPr="00B27B59" w:rsidR="00654618">
              <w:rPr>
                <w:rStyle w:val="Hyperlink"/>
                <w:rFonts w:ascii="Book Antiqua" w:hAnsi="Book Antiqua"/>
              </w:rPr>
              <w:t>ORDER</w:t>
            </w:r>
            <w:r w:rsidRPr="00B27B59" w:rsidR="00654618">
              <w:rPr>
                <w:rFonts w:ascii="Book Antiqua" w:hAnsi="Book Antiqua"/>
                <w:webHidden/>
              </w:rPr>
              <w:tab/>
              <w:t>………………………………………………………………………………...</w:t>
            </w:r>
            <w:r w:rsidRPr="00B27B59" w:rsidR="00654618">
              <w:rPr>
                <w:rFonts w:ascii="Book Antiqua" w:hAnsi="Book Antiqua"/>
                <w:webHidden/>
              </w:rPr>
              <w:fldChar w:fldCharType="begin"/>
            </w:r>
            <w:r w:rsidRPr="00B27B59" w:rsidR="00654618">
              <w:rPr>
                <w:rFonts w:ascii="Book Antiqua" w:hAnsi="Book Antiqua"/>
                <w:webHidden/>
              </w:rPr>
              <w:instrText xml:space="preserve"> PAGEREF _Toc43914775 \h </w:instrText>
            </w:r>
            <w:r w:rsidRPr="00B27B59" w:rsidR="00654618">
              <w:rPr>
                <w:rFonts w:ascii="Book Antiqua" w:hAnsi="Book Antiqua"/>
                <w:webHidden/>
              </w:rPr>
            </w:r>
            <w:r w:rsidRPr="00B27B59" w:rsidR="00654618">
              <w:rPr>
                <w:rFonts w:ascii="Book Antiqua" w:hAnsi="Book Antiqua"/>
                <w:webHidden/>
              </w:rPr>
              <w:fldChar w:fldCharType="separate"/>
            </w:r>
            <w:r w:rsidR="00A76278">
              <w:rPr>
                <w:rFonts w:ascii="Book Antiqua" w:hAnsi="Book Antiqua"/>
                <w:webHidden/>
              </w:rPr>
              <w:t>26</w:t>
            </w:r>
            <w:r w:rsidRPr="00B27B59" w:rsidR="00654618">
              <w:rPr>
                <w:rFonts w:ascii="Book Antiqua" w:hAnsi="Book Antiqua"/>
                <w:webHidden/>
              </w:rPr>
              <w:fldChar w:fldCharType="end"/>
            </w:r>
          </w:hyperlink>
        </w:p>
        <w:p w:rsidR="00C147F4" w:rsidP="00C147F4" w:rsidRDefault="00C147F4" w14:paraId="7EE403EA" w14:textId="33614A57">
          <w:pPr>
            <w:pStyle w:val="TOC1"/>
          </w:pPr>
          <w:r>
            <w:rPr>
              <w:rFonts w:ascii="Book Antiqua" w:hAnsi="Book Antiqua"/>
              <w:sz w:val="22"/>
            </w:rPr>
            <w:fldChar w:fldCharType="end"/>
          </w:r>
        </w:p>
      </w:sdtContent>
    </w:sdt>
    <w:p w:rsidR="00C147F4" w:rsidP="00134E7B" w:rsidRDefault="00C147F4" w14:paraId="48D9C960" w14:textId="77777777">
      <w:pPr>
        <w:pStyle w:val="Heading1"/>
        <w:numPr>
          <w:ilvl w:val="0"/>
          <w:numId w:val="0"/>
        </w:numPr>
        <w:ind w:left="720" w:hanging="720"/>
        <w:jc w:val="center"/>
        <w:rPr>
          <w:b w:val="0"/>
        </w:rPr>
        <w:sectPr w:rsidR="00C147F4" w:rsidSect="00C147F4">
          <w:headerReference w:type="first" r:id="rId10"/>
          <w:footerReference w:type="first" r:id="rId11"/>
          <w:pgSz w:w="12240" w:h="15840" w:code="1"/>
          <w:pgMar w:top="1152" w:right="1440" w:bottom="1440" w:left="1440" w:header="720" w:footer="720" w:gutter="0"/>
          <w:pgNumType w:fmt="lowerRoman" w:start="1"/>
          <w:cols w:space="720"/>
          <w:titlePg/>
        </w:sectPr>
      </w:pPr>
    </w:p>
    <w:p w:rsidRPr="00EC4C04" w:rsidR="00134E7B" w:rsidP="00C147F4" w:rsidRDefault="00C147F4" w14:paraId="76967599" w14:textId="6E31C40E">
      <w:pPr>
        <w:pStyle w:val="Heading1"/>
        <w:numPr>
          <w:ilvl w:val="0"/>
          <w:numId w:val="0"/>
        </w:numPr>
        <w:spacing w:before="0"/>
        <w:ind w:left="720" w:hanging="720"/>
        <w:jc w:val="center"/>
        <w:rPr>
          <w:rFonts w:ascii="Arial" w:hAnsi="Arial"/>
          <w:b w:val="0"/>
        </w:rPr>
      </w:pPr>
      <w:bookmarkStart w:name="_Toc43914758" w:id="1"/>
      <w:r w:rsidRPr="00EC4C04">
        <w:rPr>
          <w:rFonts w:ascii="Arial" w:hAnsi="Arial"/>
        </w:rPr>
        <w:lastRenderedPageBreak/>
        <w:t xml:space="preserve">DECISION DENYING THE COMPLAINT OF LEISURE </w:t>
      </w:r>
      <w:r w:rsidR="00B27B59">
        <w:rPr>
          <w:rFonts w:ascii="Arial" w:hAnsi="Arial"/>
        </w:rPr>
        <w:br/>
      </w:r>
      <w:r w:rsidRPr="00EC4C04">
        <w:rPr>
          <w:rFonts w:ascii="Arial" w:hAnsi="Arial"/>
        </w:rPr>
        <w:t>LAKE HOMEOWNERS’ ASSOCIATION</w:t>
      </w:r>
      <w:bookmarkEnd w:id="1"/>
    </w:p>
    <w:p w:rsidRPr="00EC4C04" w:rsidR="007E72FD" w:rsidP="007E72FD" w:rsidRDefault="007E72FD" w14:paraId="052A6B0B" w14:textId="77777777">
      <w:pPr>
        <w:pStyle w:val="Heading1"/>
        <w:numPr>
          <w:ilvl w:val="0"/>
          <w:numId w:val="0"/>
        </w:numPr>
        <w:ind w:left="720" w:hanging="720"/>
        <w:rPr>
          <w:rFonts w:ascii="Arial" w:hAnsi="Arial"/>
        </w:rPr>
      </w:pPr>
      <w:bookmarkStart w:name="_Toc43914759" w:id="2"/>
      <w:r w:rsidRPr="00EC4C04">
        <w:rPr>
          <w:rFonts w:ascii="Arial" w:hAnsi="Arial"/>
        </w:rPr>
        <w:t>Summary</w:t>
      </w:r>
      <w:bookmarkEnd w:id="2"/>
    </w:p>
    <w:p w:rsidRPr="00952B34" w:rsidR="005E11AA" w:rsidP="005C71DD" w:rsidRDefault="008C3457" w14:paraId="380DDF8D" w14:textId="20789916">
      <w:pPr>
        <w:pStyle w:val="standard"/>
        <w:rPr>
          <w:rFonts w:ascii="Book Antiqua" w:hAnsi="Book Antiqua"/>
        </w:rPr>
      </w:pPr>
      <w:bookmarkStart w:name="_Hlk31031339" w:id="3"/>
      <w:r w:rsidRPr="00952B34">
        <w:rPr>
          <w:rFonts w:ascii="Book Antiqua" w:hAnsi="Book Antiqua"/>
        </w:rPr>
        <w:t xml:space="preserve">This decision </w:t>
      </w:r>
      <w:r w:rsidRPr="00952B34" w:rsidR="00F82802">
        <w:rPr>
          <w:rFonts w:ascii="Book Antiqua" w:hAnsi="Book Antiqua"/>
        </w:rPr>
        <w:t>denies</w:t>
      </w:r>
      <w:r w:rsidRPr="00952B34">
        <w:rPr>
          <w:rFonts w:ascii="Book Antiqua" w:hAnsi="Book Antiqua"/>
        </w:rPr>
        <w:t xml:space="preserve"> the complaint filed </w:t>
      </w:r>
      <w:r w:rsidRPr="00952B34" w:rsidR="005C71DD">
        <w:rPr>
          <w:rFonts w:ascii="Book Antiqua" w:hAnsi="Book Antiqua"/>
        </w:rPr>
        <w:t xml:space="preserve">May 7, 2019, </w:t>
      </w:r>
      <w:bookmarkStart w:name="_Hlk29982496" w:id="4"/>
      <w:r w:rsidRPr="00952B34">
        <w:rPr>
          <w:rFonts w:ascii="Book Antiqua" w:hAnsi="Book Antiqua"/>
        </w:rPr>
        <w:t xml:space="preserve">by </w:t>
      </w:r>
      <w:r w:rsidRPr="00952B34" w:rsidR="005C71DD">
        <w:rPr>
          <w:rFonts w:ascii="Book Antiqua" w:hAnsi="Book Antiqua"/>
        </w:rPr>
        <w:t>Leisure Lake Homeowners’ Association</w:t>
      </w:r>
      <w:r w:rsidRPr="00952B34" w:rsidR="0005024B">
        <w:rPr>
          <w:rFonts w:ascii="Book Antiqua" w:hAnsi="Book Antiqua"/>
        </w:rPr>
        <w:t xml:space="preserve"> (Complainant)</w:t>
      </w:r>
      <w:bookmarkEnd w:id="3"/>
      <w:r w:rsidRPr="00952B34">
        <w:rPr>
          <w:rFonts w:ascii="Book Antiqua" w:hAnsi="Book Antiqua"/>
        </w:rPr>
        <w:t xml:space="preserve"> versus</w:t>
      </w:r>
      <w:r w:rsidRPr="00952B34" w:rsidR="0084549F">
        <w:rPr>
          <w:rFonts w:ascii="Book Antiqua" w:hAnsi="Book Antiqua"/>
        </w:rPr>
        <w:t xml:space="preserve"> </w:t>
      </w:r>
      <w:bookmarkStart w:name="_Hlk31811121" w:id="5"/>
      <w:bookmarkStart w:name="_Hlk31031462" w:id="6"/>
      <w:r w:rsidRPr="00952B34" w:rsidR="005C71DD">
        <w:rPr>
          <w:rFonts w:ascii="Book Antiqua" w:hAnsi="Book Antiqua"/>
        </w:rPr>
        <w:t>Clan Keith Real Estate Investments, LLC</w:t>
      </w:r>
      <w:r w:rsidRPr="00952B34" w:rsidR="0005024B">
        <w:rPr>
          <w:rFonts w:ascii="Book Antiqua" w:hAnsi="Book Antiqua"/>
        </w:rPr>
        <w:t xml:space="preserve"> </w:t>
      </w:r>
      <w:r w:rsidRPr="00952B34" w:rsidR="00D6215A">
        <w:rPr>
          <w:rFonts w:ascii="Book Antiqua" w:hAnsi="Book Antiqua"/>
        </w:rPr>
        <w:t xml:space="preserve">doing business as Leisure Lake Mobile Estates </w:t>
      </w:r>
      <w:bookmarkEnd w:id="5"/>
      <w:r w:rsidRPr="00952B34" w:rsidR="0005024B">
        <w:rPr>
          <w:rFonts w:ascii="Book Antiqua" w:hAnsi="Book Antiqua"/>
        </w:rPr>
        <w:t>(</w:t>
      </w:r>
      <w:r w:rsidRPr="00952B34" w:rsidR="00395561">
        <w:rPr>
          <w:rFonts w:ascii="Book Antiqua" w:hAnsi="Book Antiqua"/>
        </w:rPr>
        <w:t xml:space="preserve">Leisure Lake ME or </w:t>
      </w:r>
      <w:r w:rsidRPr="00952B34" w:rsidR="0005024B">
        <w:rPr>
          <w:rFonts w:ascii="Book Antiqua" w:hAnsi="Book Antiqua"/>
        </w:rPr>
        <w:t>Defendant)</w:t>
      </w:r>
      <w:r w:rsidRPr="00952B34" w:rsidR="005C71DD">
        <w:rPr>
          <w:rFonts w:ascii="Book Antiqua" w:hAnsi="Book Antiqua"/>
        </w:rPr>
        <w:t>.</w:t>
      </w:r>
      <w:bookmarkEnd w:id="6"/>
      <w:r w:rsidRPr="00952B34" w:rsidR="008A4FEA">
        <w:rPr>
          <w:rFonts w:ascii="Book Antiqua" w:hAnsi="Book Antiqua"/>
        </w:rPr>
        <w:t xml:space="preserve"> </w:t>
      </w:r>
      <w:r w:rsidRPr="00952B34" w:rsidR="005C71DD">
        <w:rPr>
          <w:rFonts w:ascii="Book Antiqua" w:hAnsi="Book Antiqua"/>
        </w:rPr>
        <w:t xml:space="preserve"> </w:t>
      </w:r>
      <w:bookmarkEnd w:id="4"/>
      <w:r w:rsidRPr="00952B34" w:rsidR="00395561">
        <w:rPr>
          <w:rFonts w:ascii="Book Antiqua" w:hAnsi="Book Antiqua"/>
        </w:rPr>
        <w:t xml:space="preserve">Leisure Lake ME provides water and sewer service to tenants </w:t>
      </w:r>
      <w:r w:rsidRPr="00952B34">
        <w:rPr>
          <w:rFonts w:ascii="Book Antiqua" w:hAnsi="Book Antiqua"/>
        </w:rPr>
        <w:t xml:space="preserve">of </w:t>
      </w:r>
      <w:r w:rsidRPr="00952B34" w:rsidR="00F63733">
        <w:rPr>
          <w:rFonts w:ascii="Book Antiqua" w:hAnsi="Book Antiqua"/>
        </w:rPr>
        <w:t xml:space="preserve">the </w:t>
      </w:r>
      <w:r w:rsidRPr="00952B34" w:rsidR="00395561">
        <w:rPr>
          <w:rFonts w:ascii="Book Antiqua" w:hAnsi="Book Antiqua"/>
        </w:rPr>
        <w:t xml:space="preserve">mobile home park, </w:t>
      </w:r>
      <w:r w:rsidRPr="00952B34">
        <w:rPr>
          <w:rFonts w:ascii="Book Antiqua" w:hAnsi="Book Antiqua"/>
        </w:rPr>
        <w:t>represented by Complainant</w:t>
      </w:r>
      <w:r w:rsidRPr="00952B34" w:rsidR="00395561">
        <w:rPr>
          <w:rFonts w:ascii="Book Antiqua" w:hAnsi="Book Antiqua"/>
        </w:rPr>
        <w:t xml:space="preserve">. </w:t>
      </w:r>
      <w:r w:rsidRPr="00952B34" w:rsidR="008A4FEA">
        <w:rPr>
          <w:rFonts w:ascii="Book Antiqua" w:hAnsi="Book Antiqua"/>
        </w:rPr>
        <w:t xml:space="preserve"> </w:t>
      </w:r>
      <w:r w:rsidRPr="00952B34" w:rsidR="005C71DD">
        <w:rPr>
          <w:rFonts w:ascii="Book Antiqua" w:hAnsi="Book Antiqua"/>
        </w:rPr>
        <w:t>The Complain</w:t>
      </w:r>
      <w:r w:rsidRPr="00952B34">
        <w:rPr>
          <w:rFonts w:ascii="Book Antiqua" w:hAnsi="Book Antiqua"/>
        </w:rPr>
        <w:t xml:space="preserve">t alleges </w:t>
      </w:r>
      <w:r w:rsidRPr="00952B34" w:rsidR="00F63733">
        <w:rPr>
          <w:rFonts w:ascii="Book Antiqua" w:hAnsi="Book Antiqua"/>
        </w:rPr>
        <w:t xml:space="preserve">that Leisure Lake ME </w:t>
      </w:r>
      <w:r w:rsidRPr="00952B34" w:rsidR="005E11AA">
        <w:rPr>
          <w:rFonts w:ascii="Book Antiqua" w:hAnsi="Book Antiqua"/>
        </w:rPr>
        <w:t xml:space="preserve">is in violation of </w:t>
      </w:r>
      <w:r w:rsidRPr="00952B34" w:rsidR="00D6215A">
        <w:rPr>
          <w:rFonts w:ascii="Book Antiqua" w:hAnsi="Book Antiqua"/>
        </w:rPr>
        <w:t>Pub</w:t>
      </w:r>
      <w:r w:rsidRPr="00952B34" w:rsidR="0088700E">
        <w:rPr>
          <w:rFonts w:ascii="Book Antiqua" w:hAnsi="Book Antiqua"/>
        </w:rPr>
        <w:t xml:space="preserve">lic Utilities </w:t>
      </w:r>
      <w:r w:rsidRPr="00952B34" w:rsidR="00D6215A">
        <w:rPr>
          <w:rFonts w:ascii="Book Antiqua" w:hAnsi="Book Antiqua"/>
        </w:rPr>
        <w:t xml:space="preserve">Code </w:t>
      </w:r>
      <w:r w:rsidRPr="00952B34" w:rsidR="0088700E">
        <w:rPr>
          <w:rFonts w:ascii="Book Antiqua" w:hAnsi="Book Antiqua"/>
        </w:rPr>
        <w:t>§</w:t>
      </w:r>
      <w:r w:rsidRPr="00952B34" w:rsidR="00D6215A">
        <w:rPr>
          <w:rFonts w:ascii="Book Antiqua" w:hAnsi="Book Antiqua"/>
        </w:rPr>
        <w:t xml:space="preserve">  2705.6 </w:t>
      </w:r>
      <w:r w:rsidRPr="00952B34" w:rsidR="00EE3FED">
        <w:rPr>
          <w:rFonts w:ascii="Book Antiqua" w:hAnsi="Book Antiqua"/>
        </w:rPr>
        <w:t xml:space="preserve">by </w:t>
      </w:r>
      <w:r w:rsidRPr="00952B34" w:rsidR="00831F98">
        <w:rPr>
          <w:rFonts w:ascii="Book Antiqua" w:hAnsi="Book Antiqua"/>
        </w:rPr>
        <w:t>(a)</w:t>
      </w:r>
      <w:r w:rsidRPr="00952B34" w:rsidR="008A4FEA">
        <w:rPr>
          <w:rFonts w:ascii="Book Antiqua" w:hAnsi="Book Antiqua"/>
        </w:rPr>
        <w:t> </w:t>
      </w:r>
      <w:r w:rsidRPr="00952B34" w:rsidR="00D6215A">
        <w:rPr>
          <w:rFonts w:ascii="Book Antiqua" w:hAnsi="Book Antiqua"/>
        </w:rPr>
        <w:t xml:space="preserve">charging a rate </w:t>
      </w:r>
      <w:r w:rsidRPr="00952B34" w:rsidR="009553CB">
        <w:rPr>
          <w:rFonts w:ascii="Book Antiqua" w:hAnsi="Book Antiqua"/>
        </w:rPr>
        <w:t xml:space="preserve">for water and sewer service </w:t>
      </w:r>
      <w:r w:rsidRPr="00952B34" w:rsidR="00D6215A">
        <w:rPr>
          <w:rFonts w:ascii="Book Antiqua" w:hAnsi="Book Antiqua"/>
        </w:rPr>
        <w:t>that is excessive</w:t>
      </w:r>
      <w:r w:rsidRPr="00952B34" w:rsidR="00831F98">
        <w:rPr>
          <w:rFonts w:ascii="Book Antiqua" w:hAnsi="Book Antiqua"/>
        </w:rPr>
        <w:t xml:space="preserve"> in proportion to the cost of service, (b) failing to provide notices to </w:t>
      </w:r>
      <w:bookmarkStart w:name="_Hlk32401855" w:id="7"/>
      <w:r w:rsidRPr="00952B34">
        <w:rPr>
          <w:rFonts w:ascii="Book Antiqua" w:hAnsi="Book Antiqua"/>
        </w:rPr>
        <w:t xml:space="preserve">tenants </w:t>
      </w:r>
      <w:r w:rsidRPr="00952B34" w:rsidR="00831F98">
        <w:rPr>
          <w:rFonts w:ascii="Book Antiqua" w:hAnsi="Book Antiqua"/>
        </w:rPr>
        <w:t xml:space="preserve">of their rights to complain about changes in rate levels, </w:t>
      </w:r>
      <w:bookmarkEnd w:id="7"/>
      <w:r w:rsidRPr="00952B34" w:rsidR="005E11AA">
        <w:rPr>
          <w:rFonts w:ascii="Book Antiqua" w:hAnsi="Book Antiqua"/>
        </w:rPr>
        <w:t xml:space="preserve">and </w:t>
      </w:r>
      <w:r w:rsidRPr="00952B34" w:rsidR="00831F98">
        <w:rPr>
          <w:rFonts w:ascii="Book Antiqua" w:hAnsi="Book Antiqua"/>
        </w:rPr>
        <w:t xml:space="preserve">(c) failing to properly apply </w:t>
      </w:r>
      <w:r w:rsidRPr="00952B34" w:rsidR="00D6215A">
        <w:rPr>
          <w:rFonts w:ascii="Book Antiqua" w:hAnsi="Book Antiqua"/>
        </w:rPr>
        <w:t>low</w:t>
      </w:r>
      <w:r w:rsidRPr="00952B34" w:rsidR="008A4FEA">
        <w:rPr>
          <w:rFonts w:ascii="Book Antiqua" w:hAnsi="Book Antiqua"/>
        </w:rPr>
        <w:noBreakHyphen/>
      </w:r>
      <w:r w:rsidRPr="00952B34" w:rsidR="00D6215A">
        <w:rPr>
          <w:rFonts w:ascii="Book Antiqua" w:hAnsi="Book Antiqua"/>
        </w:rPr>
        <w:t xml:space="preserve">income </w:t>
      </w:r>
      <w:r w:rsidRPr="00952B34" w:rsidR="005E11AA">
        <w:rPr>
          <w:rFonts w:ascii="Book Antiqua" w:hAnsi="Book Antiqua"/>
        </w:rPr>
        <w:t>credits on</w:t>
      </w:r>
      <w:r w:rsidRPr="00952B34">
        <w:rPr>
          <w:rFonts w:ascii="Book Antiqua" w:hAnsi="Book Antiqua"/>
        </w:rPr>
        <w:t xml:space="preserve"> customer </w:t>
      </w:r>
      <w:r w:rsidRPr="00952B34" w:rsidR="005E11AA">
        <w:rPr>
          <w:rFonts w:ascii="Book Antiqua" w:hAnsi="Book Antiqua"/>
        </w:rPr>
        <w:t>bills.</w:t>
      </w:r>
    </w:p>
    <w:p w:rsidRPr="00952B34" w:rsidR="007E72FD" w:rsidP="00A7488D" w:rsidRDefault="00597055" w14:paraId="6B58423F" w14:textId="7C95D46C">
      <w:pPr>
        <w:pStyle w:val="standard"/>
        <w:rPr>
          <w:rFonts w:ascii="Book Antiqua" w:hAnsi="Book Antiqua"/>
        </w:rPr>
      </w:pPr>
      <w:r w:rsidRPr="00952B34">
        <w:rPr>
          <w:rFonts w:ascii="Book Antiqua" w:hAnsi="Book Antiqua"/>
        </w:rPr>
        <w:t>There is</w:t>
      </w:r>
      <w:r w:rsidRPr="00952B34" w:rsidR="00831F98">
        <w:rPr>
          <w:rFonts w:ascii="Book Antiqua" w:hAnsi="Book Antiqua"/>
        </w:rPr>
        <w:t xml:space="preserve"> no evidence that Defendant </w:t>
      </w:r>
      <w:r w:rsidRPr="00952B34" w:rsidR="009553CB">
        <w:rPr>
          <w:rFonts w:ascii="Book Antiqua" w:hAnsi="Book Antiqua"/>
        </w:rPr>
        <w:t xml:space="preserve">Leisure Lake ME </w:t>
      </w:r>
      <w:r w:rsidRPr="00952B34" w:rsidR="00621319">
        <w:rPr>
          <w:rFonts w:ascii="Book Antiqua" w:hAnsi="Book Antiqua"/>
        </w:rPr>
        <w:t xml:space="preserve">has violated </w:t>
      </w:r>
      <w:r w:rsidRPr="00952B34" w:rsidR="008C3457">
        <w:rPr>
          <w:rFonts w:ascii="Book Antiqua" w:hAnsi="Book Antiqua"/>
        </w:rPr>
        <w:t xml:space="preserve">provisions of </w:t>
      </w:r>
      <w:r w:rsidRPr="00952B34" w:rsidR="00621319">
        <w:rPr>
          <w:rFonts w:ascii="Book Antiqua" w:hAnsi="Book Antiqua"/>
        </w:rPr>
        <w:t>Public Utilities</w:t>
      </w:r>
      <w:r w:rsidRPr="00952B34" w:rsidR="0084549F">
        <w:rPr>
          <w:rFonts w:ascii="Book Antiqua" w:hAnsi="Book Antiqua"/>
        </w:rPr>
        <w:t xml:space="preserve"> </w:t>
      </w:r>
      <w:r w:rsidRPr="00952B34" w:rsidR="0088700E">
        <w:rPr>
          <w:rFonts w:ascii="Book Antiqua" w:hAnsi="Book Antiqua"/>
        </w:rPr>
        <w:t xml:space="preserve">(Pub. Util.) </w:t>
      </w:r>
      <w:r w:rsidRPr="00952B34" w:rsidR="00621319">
        <w:rPr>
          <w:rFonts w:ascii="Book Antiqua" w:hAnsi="Book Antiqua"/>
        </w:rPr>
        <w:t xml:space="preserve">Code </w:t>
      </w:r>
      <w:r w:rsidRPr="00952B34" w:rsidR="0088700E">
        <w:rPr>
          <w:rFonts w:ascii="Book Antiqua" w:hAnsi="Book Antiqua"/>
        </w:rPr>
        <w:t>§</w:t>
      </w:r>
      <w:r w:rsidRPr="00952B34" w:rsidR="00621319">
        <w:rPr>
          <w:rFonts w:ascii="Book Antiqua" w:hAnsi="Book Antiqua"/>
        </w:rPr>
        <w:t xml:space="preserve"> 2705.6</w:t>
      </w:r>
      <w:r w:rsidRPr="00952B34" w:rsidR="004868EF">
        <w:rPr>
          <w:rFonts w:ascii="Book Antiqua" w:hAnsi="Book Antiqua"/>
        </w:rPr>
        <w:t>, as alleged by Complainant</w:t>
      </w:r>
      <w:r w:rsidRPr="00952B34" w:rsidR="00992A73">
        <w:rPr>
          <w:rFonts w:ascii="Book Antiqua" w:hAnsi="Book Antiqua"/>
        </w:rPr>
        <w:t xml:space="preserve">. </w:t>
      </w:r>
      <w:r w:rsidRPr="00952B34" w:rsidR="00CB5F8A">
        <w:rPr>
          <w:rFonts w:ascii="Book Antiqua" w:hAnsi="Book Antiqua"/>
        </w:rPr>
        <w:t xml:space="preserve">  </w:t>
      </w:r>
      <w:r w:rsidRPr="00952B34">
        <w:rPr>
          <w:rFonts w:ascii="Book Antiqua" w:hAnsi="Book Antiqua"/>
        </w:rPr>
        <w:t>Therefore, there is no basis upon which the Complaint may be granted by the Commission</w:t>
      </w:r>
      <w:r w:rsidRPr="00952B34" w:rsidR="00EE3FED">
        <w:rPr>
          <w:rFonts w:ascii="Book Antiqua" w:hAnsi="Book Antiqua"/>
        </w:rPr>
        <w:t xml:space="preserve">.  </w:t>
      </w:r>
      <w:r w:rsidRPr="00952B34" w:rsidR="009D5C9E">
        <w:rPr>
          <w:rFonts w:ascii="Book Antiqua" w:hAnsi="Book Antiqua"/>
        </w:rPr>
        <w:t xml:space="preserve">The complaint is </w:t>
      </w:r>
      <w:r w:rsidRPr="00952B34" w:rsidR="00F82802">
        <w:rPr>
          <w:rFonts w:ascii="Book Antiqua" w:hAnsi="Book Antiqua"/>
        </w:rPr>
        <w:t>denied,</w:t>
      </w:r>
      <w:r w:rsidRPr="00952B34" w:rsidR="009D5C9E">
        <w:rPr>
          <w:rFonts w:ascii="Book Antiqua" w:hAnsi="Book Antiqua"/>
        </w:rPr>
        <w:t xml:space="preserve"> and t</w:t>
      </w:r>
      <w:r w:rsidRPr="00952B34" w:rsidR="00EE3FED">
        <w:rPr>
          <w:rFonts w:ascii="Book Antiqua" w:hAnsi="Book Antiqua"/>
        </w:rPr>
        <w:t xml:space="preserve">his proceeding is closed. </w:t>
      </w:r>
      <w:r w:rsidRPr="00952B34" w:rsidR="0084549F">
        <w:rPr>
          <w:rFonts w:ascii="Book Antiqua" w:hAnsi="Book Antiqua"/>
        </w:rPr>
        <w:t xml:space="preserve"> </w:t>
      </w:r>
    </w:p>
    <w:p w:rsidRPr="00EC4C04" w:rsidR="007E72FD" w:rsidP="00E900D9" w:rsidRDefault="00950C2A" w14:paraId="33F25E5A" w14:textId="3738AD2A">
      <w:pPr>
        <w:pStyle w:val="Heading1"/>
        <w:keepNext w:val="0"/>
        <w:numPr>
          <w:ilvl w:val="0"/>
          <w:numId w:val="17"/>
        </w:numPr>
        <w:tabs>
          <w:tab w:val="left" w:pos="450"/>
          <w:tab w:val="left" w:pos="630"/>
        </w:tabs>
        <w:spacing w:before="0" w:after="0" w:line="360" w:lineRule="auto"/>
        <w:ind w:left="360"/>
        <w:rPr>
          <w:rFonts w:ascii="Arial" w:hAnsi="Arial"/>
        </w:rPr>
      </w:pPr>
      <w:bookmarkStart w:name="_Toc43914760" w:id="8"/>
      <w:r w:rsidRPr="00EC4C04">
        <w:rPr>
          <w:rFonts w:ascii="Arial" w:hAnsi="Arial"/>
        </w:rPr>
        <w:t xml:space="preserve">Factual and Procedural </w:t>
      </w:r>
      <w:r w:rsidRPr="00EC4C04" w:rsidR="007E72FD">
        <w:rPr>
          <w:rFonts w:ascii="Arial" w:hAnsi="Arial"/>
        </w:rPr>
        <w:t>Background</w:t>
      </w:r>
      <w:bookmarkEnd w:id="8"/>
    </w:p>
    <w:p w:rsidRPr="00952B34" w:rsidR="005D127A" w:rsidP="00A7488D" w:rsidRDefault="005D127A" w14:paraId="6FC8A6BA" w14:textId="211A325E">
      <w:pPr>
        <w:pStyle w:val="standard"/>
        <w:rPr>
          <w:rFonts w:ascii="Book Antiqua" w:hAnsi="Book Antiqua"/>
        </w:rPr>
      </w:pPr>
      <w:r w:rsidRPr="00952B34">
        <w:rPr>
          <w:rFonts w:ascii="Book Antiqua" w:hAnsi="Book Antiqua"/>
        </w:rPr>
        <w:t xml:space="preserve">On May 7, 2019, </w:t>
      </w:r>
      <w:bookmarkStart w:name="_Hlk31811204" w:id="9"/>
      <w:r w:rsidRPr="00952B34">
        <w:rPr>
          <w:rFonts w:ascii="Book Antiqua" w:hAnsi="Book Antiqua"/>
        </w:rPr>
        <w:t>Leisure Lakes Homeowners Association (Complainant)</w:t>
      </w:r>
    </w:p>
    <w:p w:rsidRPr="00952B34" w:rsidR="00A12CC7" w:rsidP="00A12CC7" w:rsidRDefault="005D127A" w14:paraId="1478348E" w14:textId="761A274F">
      <w:pPr>
        <w:pStyle w:val="standard"/>
        <w:ind w:firstLine="0"/>
        <w:rPr>
          <w:rFonts w:ascii="Book Antiqua" w:hAnsi="Book Antiqua"/>
        </w:rPr>
      </w:pPr>
      <w:r w:rsidRPr="00952B34">
        <w:rPr>
          <w:rFonts w:ascii="Book Antiqua" w:hAnsi="Book Antiqua"/>
        </w:rPr>
        <w:t xml:space="preserve">filed </w:t>
      </w:r>
      <w:r w:rsidRPr="00952B34" w:rsidR="00C3561A">
        <w:rPr>
          <w:rFonts w:ascii="Book Antiqua" w:hAnsi="Book Antiqua"/>
        </w:rPr>
        <w:t xml:space="preserve">the instant </w:t>
      </w:r>
      <w:r w:rsidRPr="00952B34">
        <w:rPr>
          <w:rFonts w:ascii="Book Antiqua" w:hAnsi="Book Antiqua"/>
        </w:rPr>
        <w:t>complaint</w:t>
      </w:r>
      <w:bookmarkEnd w:id="9"/>
      <w:r w:rsidRPr="00952B34">
        <w:rPr>
          <w:rFonts w:ascii="Book Antiqua" w:hAnsi="Book Antiqua"/>
        </w:rPr>
        <w:t xml:space="preserve"> </w:t>
      </w:r>
      <w:r w:rsidRPr="00952B34" w:rsidR="00C3561A">
        <w:rPr>
          <w:rFonts w:ascii="Book Antiqua" w:hAnsi="Book Antiqua"/>
        </w:rPr>
        <w:t>(C</w:t>
      </w:r>
      <w:r w:rsidRPr="00952B34" w:rsidR="008A4FEA">
        <w:rPr>
          <w:rFonts w:ascii="Book Antiqua" w:hAnsi="Book Antiqua"/>
        </w:rPr>
        <w:t>ase (C</w:t>
      </w:r>
      <w:r w:rsidRPr="00952B34" w:rsidR="00C3561A">
        <w:rPr>
          <w:rFonts w:ascii="Book Antiqua" w:hAnsi="Book Antiqua"/>
        </w:rPr>
        <w:t>.</w:t>
      </w:r>
      <w:r w:rsidRPr="00952B34" w:rsidR="008A4FEA">
        <w:rPr>
          <w:rFonts w:ascii="Book Antiqua" w:hAnsi="Book Antiqua"/>
        </w:rPr>
        <w:t>)</w:t>
      </w:r>
      <w:r w:rsidRPr="00952B34" w:rsidR="00C3561A">
        <w:rPr>
          <w:rFonts w:ascii="Book Antiqua" w:hAnsi="Book Antiqua"/>
        </w:rPr>
        <w:t xml:space="preserve"> 19-05-044)</w:t>
      </w:r>
      <w:r w:rsidRPr="00952B34" w:rsidR="00845B8F">
        <w:rPr>
          <w:rFonts w:ascii="Book Antiqua" w:hAnsi="Book Antiqua"/>
        </w:rPr>
        <w:t xml:space="preserve">. </w:t>
      </w:r>
      <w:r w:rsidRPr="00952B34" w:rsidR="008A4FEA">
        <w:rPr>
          <w:rFonts w:ascii="Book Antiqua" w:hAnsi="Book Antiqua"/>
        </w:rPr>
        <w:t xml:space="preserve"> </w:t>
      </w:r>
      <w:r w:rsidRPr="00952B34" w:rsidR="00EE3FED">
        <w:rPr>
          <w:rFonts w:ascii="Book Antiqua" w:hAnsi="Book Antiqua"/>
        </w:rPr>
        <w:t xml:space="preserve">The Defendant in this action is </w:t>
      </w:r>
      <w:r w:rsidRPr="00952B34" w:rsidR="00845B8F">
        <w:rPr>
          <w:rFonts w:ascii="Book Antiqua" w:hAnsi="Book Antiqua"/>
        </w:rPr>
        <w:t>Clan Keith Real Estate Investments, LLC doing business as Leisure Lake Mobile Estates</w:t>
      </w:r>
      <w:r w:rsidRPr="00952B34" w:rsidR="00C3561A">
        <w:rPr>
          <w:rFonts w:ascii="Book Antiqua" w:hAnsi="Book Antiqua"/>
        </w:rPr>
        <w:t xml:space="preserve"> (Leisure Lake ME or Defendant</w:t>
      </w:r>
      <w:r w:rsidRPr="00952B34" w:rsidR="008A4FEA">
        <w:rPr>
          <w:rFonts w:ascii="Book Antiqua" w:hAnsi="Book Antiqua"/>
        </w:rPr>
        <w:t xml:space="preserve"> </w:t>
      </w:r>
      <w:r w:rsidRPr="00952B34" w:rsidR="004868EF">
        <w:rPr>
          <w:rFonts w:ascii="Book Antiqua" w:hAnsi="Book Antiqua"/>
        </w:rPr>
        <w:t xml:space="preserve">Leisure Lake ME provides water and sewer service to the resident tenants of </w:t>
      </w:r>
      <w:r w:rsidRPr="00952B34" w:rsidR="00CB5F8A">
        <w:rPr>
          <w:rFonts w:ascii="Book Antiqua" w:hAnsi="Book Antiqua"/>
        </w:rPr>
        <w:t xml:space="preserve">its </w:t>
      </w:r>
      <w:r w:rsidRPr="00952B34" w:rsidR="004868EF">
        <w:rPr>
          <w:rFonts w:ascii="Book Antiqua" w:hAnsi="Book Antiqua"/>
        </w:rPr>
        <w:t>mobile home park</w:t>
      </w:r>
      <w:r w:rsidRPr="00952B34" w:rsidR="00A12CC7">
        <w:rPr>
          <w:rFonts w:ascii="Book Antiqua" w:hAnsi="Book Antiqua"/>
        </w:rPr>
        <w:t xml:space="preserve">, serving 211 water service connections.  </w:t>
      </w:r>
    </w:p>
    <w:p w:rsidRPr="00952B34" w:rsidR="00A7488D" w:rsidP="00A7488D" w:rsidRDefault="005D127A" w14:paraId="15B76EFB" w14:textId="75BD4BAC">
      <w:pPr>
        <w:pStyle w:val="standard"/>
        <w:rPr>
          <w:rFonts w:ascii="Book Antiqua" w:hAnsi="Book Antiqua"/>
        </w:rPr>
      </w:pPr>
      <w:r w:rsidRPr="00952B34">
        <w:rPr>
          <w:rFonts w:ascii="Book Antiqua" w:hAnsi="Book Antiqua"/>
        </w:rPr>
        <w:lastRenderedPageBreak/>
        <w:t>The</w:t>
      </w:r>
      <w:r w:rsidRPr="00952B34" w:rsidR="0005024B">
        <w:rPr>
          <w:rFonts w:ascii="Book Antiqua" w:hAnsi="Book Antiqua"/>
        </w:rPr>
        <w:t xml:space="preserve"> Complain</w:t>
      </w:r>
      <w:r w:rsidRPr="00952B34" w:rsidR="00EE3FED">
        <w:rPr>
          <w:rFonts w:ascii="Book Antiqua" w:hAnsi="Book Antiqua"/>
        </w:rPr>
        <w:t>ant</w:t>
      </w:r>
      <w:r w:rsidRPr="00952B34" w:rsidR="00CE50C9">
        <w:rPr>
          <w:rFonts w:ascii="Book Antiqua" w:hAnsi="Book Antiqua"/>
        </w:rPr>
        <w:t xml:space="preserve"> (</w:t>
      </w:r>
      <w:r w:rsidRPr="00952B34" w:rsidR="00EE3FED">
        <w:rPr>
          <w:rFonts w:ascii="Book Antiqua" w:hAnsi="Book Antiqua"/>
        </w:rPr>
        <w:t>consist</w:t>
      </w:r>
      <w:r w:rsidRPr="00952B34" w:rsidR="00CB5F8A">
        <w:rPr>
          <w:rFonts w:ascii="Book Antiqua" w:hAnsi="Book Antiqua"/>
        </w:rPr>
        <w:t xml:space="preserve">ing </w:t>
      </w:r>
      <w:r w:rsidRPr="00952B34" w:rsidR="00EE3FED">
        <w:rPr>
          <w:rFonts w:ascii="Book Antiqua" w:hAnsi="Book Antiqua"/>
        </w:rPr>
        <w:t xml:space="preserve">of </w:t>
      </w:r>
      <w:r w:rsidRPr="00952B34" w:rsidR="0005024B">
        <w:rPr>
          <w:rFonts w:ascii="Book Antiqua" w:hAnsi="Book Antiqua"/>
        </w:rPr>
        <w:t xml:space="preserve">about </w:t>
      </w:r>
      <w:r w:rsidRPr="00952B34" w:rsidR="00ED1EF4">
        <w:rPr>
          <w:rFonts w:ascii="Book Antiqua" w:hAnsi="Book Antiqua"/>
        </w:rPr>
        <w:t>10</w:t>
      </w:r>
      <w:r w:rsidRPr="00952B34" w:rsidR="008A4FEA">
        <w:rPr>
          <w:rFonts w:ascii="Book Antiqua" w:hAnsi="Book Antiqua"/>
        </w:rPr>
        <w:t xml:space="preserve"> percent</w:t>
      </w:r>
      <w:r w:rsidRPr="00952B34" w:rsidR="00ED1EF4">
        <w:rPr>
          <w:rFonts w:ascii="Book Antiqua" w:hAnsi="Book Antiqua"/>
        </w:rPr>
        <w:t xml:space="preserve"> </w:t>
      </w:r>
      <w:r w:rsidRPr="00952B34" w:rsidR="0005024B">
        <w:rPr>
          <w:rFonts w:ascii="Book Antiqua" w:hAnsi="Book Antiqua"/>
        </w:rPr>
        <w:t>of the resident</w:t>
      </w:r>
      <w:r w:rsidRPr="00952B34" w:rsidR="004868EF">
        <w:rPr>
          <w:rFonts w:ascii="Book Antiqua" w:hAnsi="Book Antiqua"/>
        </w:rPr>
        <w:t xml:space="preserve"> tenant</w:t>
      </w:r>
      <w:r w:rsidRPr="00952B34" w:rsidR="0005024B">
        <w:rPr>
          <w:rFonts w:ascii="Book Antiqua" w:hAnsi="Book Antiqua"/>
        </w:rPr>
        <w:t>s of Leisure Lake ME</w:t>
      </w:r>
      <w:r w:rsidRPr="00952B34" w:rsidR="00CE50C9">
        <w:rPr>
          <w:rFonts w:ascii="Book Antiqua" w:hAnsi="Book Antiqua"/>
        </w:rPr>
        <w:t>)</w:t>
      </w:r>
      <w:r w:rsidRPr="00952B34" w:rsidR="0005024B">
        <w:rPr>
          <w:rStyle w:val="FootnoteReference"/>
          <w:rFonts w:ascii="Book Antiqua" w:hAnsi="Book Antiqua"/>
        </w:rPr>
        <w:footnoteReference w:id="2"/>
      </w:r>
      <w:r w:rsidRPr="00952B34" w:rsidR="0005024B">
        <w:rPr>
          <w:rFonts w:ascii="Book Antiqua" w:hAnsi="Book Antiqua"/>
        </w:rPr>
        <w:t xml:space="preserve"> </w:t>
      </w:r>
      <w:r w:rsidRPr="00952B34" w:rsidR="00CB5F8A">
        <w:rPr>
          <w:rFonts w:ascii="Book Antiqua" w:hAnsi="Book Antiqua"/>
        </w:rPr>
        <w:t xml:space="preserve">claims </w:t>
      </w:r>
      <w:r w:rsidRPr="00952B34" w:rsidR="00F16CE7">
        <w:rPr>
          <w:rFonts w:ascii="Book Antiqua" w:hAnsi="Book Antiqua"/>
        </w:rPr>
        <w:t xml:space="preserve">that the rates </w:t>
      </w:r>
      <w:r w:rsidRPr="00952B34" w:rsidR="0005024B">
        <w:rPr>
          <w:rFonts w:ascii="Book Antiqua" w:hAnsi="Book Antiqua"/>
        </w:rPr>
        <w:t xml:space="preserve">charged </w:t>
      </w:r>
      <w:r w:rsidRPr="00952B34" w:rsidR="00CB5F8A">
        <w:rPr>
          <w:rFonts w:ascii="Book Antiqua" w:hAnsi="Book Antiqua"/>
        </w:rPr>
        <w:t xml:space="preserve">for water and sewer service </w:t>
      </w:r>
      <w:r w:rsidRPr="00952B34" w:rsidR="00F16CE7">
        <w:rPr>
          <w:rFonts w:ascii="Book Antiqua" w:hAnsi="Book Antiqua"/>
        </w:rPr>
        <w:t xml:space="preserve">are too high in proportion to </w:t>
      </w:r>
      <w:r w:rsidRPr="00952B34" w:rsidR="00CB5F8A">
        <w:rPr>
          <w:rFonts w:ascii="Book Antiqua" w:hAnsi="Book Antiqua"/>
        </w:rPr>
        <w:t xml:space="preserve">the owner’s </w:t>
      </w:r>
      <w:r w:rsidRPr="00952B34" w:rsidR="00F16CE7">
        <w:rPr>
          <w:rFonts w:ascii="Book Antiqua" w:hAnsi="Book Antiqua"/>
        </w:rPr>
        <w:t xml:space="preserve">costs and that this is effectively a financial constructive eviction. </w:t>
      </w:r>
      <w:r w:rsidRPr="00952B34" w:rsidR="0005024B">
        <w:rPr>
          <w:rFonts w:ascii="Book Antiqua" w:hAnsi="Book Antiqua"/>
        </w:rPr>
        <w:t xml:space="preserve">Complainants </w:t>
      </w:r>
      <w:r w:rsidRPr="00952B34" w:rsidR="00F16CE7">
        <w:rPr>
          <w:rFonts w:ascii="Book Antiqua" w:hAnsi="Book Antiqua"/>
        </w:rPr>
        <w:t xml:space="preserve">also contend that the Defendant has not provided tenants with proper notices </w:t>
      </w:r>
      <w:r w:rsidRPr="00952B34" w:rsidR="004868EF">
        <w:rPr>
          <w:rFonts w:ascii="Book Antiqua" w:hAnsi="Book Antiqua"/>
        </w:rPr>
        <w:t xml:space="preserve">as </w:t>
      </w:r>
      <w:r w:rsidRPr="00952B34" w:rsidR="00F16CE7">
        <w:rPr>
          <w:rFonts w:ascii="Book Antiqua" w:hAnsi="Book Antiqua"/>
        </w:rPr>
        <w:t xml:space="preserve">required </w:t>
      </w:r>
      <w:r w:rsidRPr="00952B34" w:rsidR="00A759F0">
        <w:rPr>
          <w:rFonts w:ascii="Book Antiqua" w:hAnsi="Book Antiqua"/>
        </w:rPr>
        <w:t xml:space="preserve">under </w:t>
      </w:r>
      <w:r w:rsidRPr="00952B34" w:rsidR="00CE50C9">
        <w:rPr>
          <w:rFonts w:ascii="Book Antiqua" w:hAnsi="Book Antiqua"/>
        </w:rPr>
        <w:t>Pub</w:t>
      </w:r>
      <w:r w:rsidRPr="00952B34" w:rsidR="0088700E">
        <w:rPr>
          <w:rFonts w:ascii="Book Antiqua" w:hAnsi="Book Antiqua"/>
        </w:rPr>
        <w:t>. Util.</w:t>
      </w:r>
      <w:r w:rsidRPr="00952B34" w:rsidR="00CE50C9">
        <w:rPr>
          <w:rFonts w:ascii="Book Antiqua" w:hAnsi="Book Antiqua"/>
        </w:rPr>
        <w:t xml:space="preserve"> Code </w:t>
      </w:r>
      <w:r w:rsidRPr="00952B34" w:rsidR="0088700E">
        <w:rPr>
          <w:rFonts w:ascii="Book Antiqua" w:hAnsi="Book Antiqua"/>
        </w:rPr>
        <w:t>§</w:t>
      </w:r>
      <w:r w:rsidRPr="00952B34" w:rsidR="00A759F0">
        <w:rPr>
          <w:rFonts w:ascii="Book Antiqua" w:hAnsi="Book Antiqua"/>
        </w:rPr>
        <w:t xml:space="preserve"> 2705.6</w:t>
      </w:r>
      <w:r w:rsidRPr="00952B34" w:rsidR="00B862C0">
        <w:rPr>
          <w:rFonts w:ascii="Book Antiqua" w:hAnsi="Book Antiqua"/>
        </w:rPr>
        <w:t>(c)</w:t>
      </w:r>
      <w:r w:rsidRPr="00952B34" w:rsidR="00950C2A">
        <w:rPr>
          <w:rStyle w:val="FootnoteReference"/>
          <w:rFonts w:ascii="Book Antiqua" w:hAnsi="Book Antiqua"/>
        </w:rPr>
        <w:footnoteReference w:id="3"/>
      </w:r>
      <w:r w:rsidRPr="00952B34" w:rsidR="00A12CC7">
        <w:rPr>
          <w:rFonts w:ascii="Book Antiqua" w:hAnsi="Book Antiqua"/>
        </w:rPr>
        <w:t xml:space="preserve"> </w:t>
      </w:r>
      <w:r w:rsidRPr="00952B34" w:rsidR="00A759F0">
        <w:rPr>
          <w:rFonts w:ascii="Book Antiqua" w:hAnsi="Book Antiqua"/>
        </w:rPr>
        <w:t xml:space="preserve">and </w:t>
      </w:r>
      <w:r w:rsidRPr="00952B34" w:rsidR="00F16CE7">
        <w:rPr>
          <w:rFonts w:ascii="Book Antiqua" w:hAnsi="Book Antiqua"/>
        </w:rPr>
        <w:t>Assembly Bill (AB) 1830.</w:t>
      </w:r>
      <w:r w:rsidRPr="00952B34" w:rsidR="00ED1EF4">
        <w:rPr>
          <w:rFonts w:ascii="Book Antiqua" w:hAnsi="Book Antiqua"/>
        </w:rPr>
        <w:t xml:space="preserve"> </w:t>
      </w:r>
      <w:r w:rsidRPr="00952B34" w:rsidR="00A7488D">
        <w:rPr>
          <w:rFonts w:ascii="Book Antiqua" w:hAnsi="Book Antiqua"/>
        </w:rPr>
        <w:t xml:space="preserve"> </w:t>
      </w:r>
      <w:r w:rsidRPr="00952B34" w:rsidR="00F16CE7">
        <w:rPr>
          <w:rFonts w:ascii="Book Antiqua" w:hAnsi="Book Antiqua"/>
        </w:rPr>
        <w:t xml:space="preserve">Additionally, </w:t>
      </w:r>
      <w:r w:rsidRPr="00952B34" w:rsidR="00A12CC7">
        <w:rPr>
          <w:rFonts w:ascii="Book Antiqua" w:hAnsi="Book Antiqua"/>
        </w:rPr>
        <w:t xml:space="preserve">Complainants </w:t>
      </w:r>
      <w:r w:rsidRPr="00952B34" w:rsidR="00F16CE7">
        <w:rPr>
          <w:rFonts w:ascii="Book Antiqua" w:hAnsi="Book Antiqua"/>
        </w:rPr>
        <w:t xml:space="preserve">allege that the Defendant is not providing appropriate rates for low income residents. </w:t>
      </w:r>
    </w:p>
    <w:p w:rsidRPr="00952B34" w:rsidR="00560ACC" w:rsidP="00A7488D" w:rsidRDefault="00A12CC7" w14:paraId="7B4BCB16" w14:textId="7DAEE500">
      <w:pPr>
        <w:pStyle w:val="standard"/>
        <w:rPr>
          <w:rFonts w:ascii="Book Antiqua" w:hAnsi="Book Antiqua"/>
        </w:rPr>
      </w:pPr>
      <w:r w:rsidRPr="00952B34">
        <w:rPr>
          <w:rFonts w:ascii="Book Antiqua" w:hAnsi="Book Antiqua"/>
        </w:rPr>
        <w:t>The C</w:t>
      </w:r>
      <w:r w:rsidRPr="00952B34" w:rsidR="00F16CE7">
        <w:rPr>
          <w:rFonts w:ascii="Book Antiqua" w:hAnsi="Book Antiqua"/>
        </w:rPr>
        <w:t>omplaint seek</w:t>
      </w:r>
      <w:r w:rsidRPr="00952B34">
        <w:rPr>
          <w:rFonts w:ascii="Book Antiqua" w:hAnsi="Book Antiqua"/>
        </w:rPr>
        <w:t>s</w:t>
      </w:r>
      <w:r w:rsidRPr="00952B34" w:rsidR="00F16CE7">
        <w:rPr>
          <w:rFonts w:ascii="Book Antiqua" w:hAnsi="Book Antiqua"/>
        </w:rPr>
        <w:t xml:space="preserve"> </w:t>
      </w:r>
      <w:r w:rsidRPr="00952B34" w:rsidR="00560ACC">
        <w:rPr>
          <w:rFonts w:ascii="Book Antiqua" w:hAnsi="Book Antiqua"/>
        </w:rPr>
        <w:t xml:space="preserve">(a) </w:t>
      </w:r>
      <w:r w:rsidRPr="00952B34" w:rsidR="00F16CE7">
        <w:rPr>
          <w:rFonts w:ascii="Book Antiqua" w:hAnsi="Book Antiqua"/>
        </w:rPr>
        <w:t>an injunction on all charges until the complaint is resolved</w:t>
      </w:r>
      <w:r w:rsidRPr="00952B34" w:rsidR="00560ACC">
        <w:rPr>
          <w:rFonts w:ascii="Book Antiqua" w:hAnsi="Book Antiqua"/>
        </w:rPr>
        <w:t>;</w:t>
      </w:r>
      <w:r w:rsidRPr="00952B34" w:rsidR="00F16CE7">
        <w:rPr>
          <w:rStyle w:val="FootnoteReference"/>
          <w:rFonts w:ascii="Book Antiqua" w:hAnsi="Book Antiqua"/>
        </w:rPr>
        <w:footnoteReference w:id="4"/>
      </w:r>
      <w:bookmarkStart w:name="_Hlk31033405" w:id="11"/>
      <w:r w:rsidRPr="00952B34" w:rsidR="00560ACC">
        <w:rPr>
          <w:rFonts w:ascii="Book Antiqua" w:hAnsi="Book Antiqua"/>
        </w:rPr>
        <w:t xml:space="preserve"> </w:t>
      </w:r>
      <w:r w:rsidR="00952B34">
        <w:rPr>
          <w:rFonts w:ascii="Book Antiqua" w:hAnsi="Book Antiqua"/>
        </w:rPr>
        <w:t xml:space="preserve"> </w:t>
      </w:r>
      <w:r w:rsidRPr="00952B34" w:rsidR="00560ACC">
        <w:rPr>
          <w:rFonts w:ascii="Book Antiqua" w:hAnsi="Book Antiqua"/>
        </w:rPr>
        <w:t xml:space="preserve">(b) discounted low-income water and sewer charges be imposed; </w:t>
      </w:r>
      <w:r w:rsidR="00952B34">
        <w:rPr>
          <w:rFonts w:ascii="Book Antiqua" w:hAnsi="Book Antiqua"/>
        </w:rPr>
        <w:t xml:space="preserve"> </w:t>
      </w:r>
      <w:r w:rsidRPr="00952B34" w:rsidR="00560ACC">
        <w:rPr>
          <w:rFonts w:ascii="Book Antiqua" w:hAnsi="Book Antiqua"/>
        </w:rPr>
        <w:t>(c)</w:t>
      </w:r>
      <w:r w:rsidR="00952B34">
        <w:rPr>
          <w:rFonts w:ascii="Book Antiqua" w:hAnsi="Book Antiqua"/>
        </w:rPr>
        <w:t> </w:t>
      </w:r>
      <w:r w:rsidRPr="00952B34" w:rsidR="00560ACC">
        <w:rPr>
          <w:rFonts w:ascii="Book Antiqua" w:hAnsi="Book Antiqua"/>
        </w:rPr>
        <w:t xml:space="preserve">water rates </w:t>
      </w:r>
      <w:r w:rsidRPr="00952B34" w:rsidR="00CE50C9">
        <w:rPr>
          <w:rFonts w:ascii="Book Antiqua" w:hAnsi="Book Antiqua"/>
        </w:rPr>
        <w:t xml:space="preserve">be </w:t>
      </w:r>
      <w:r w:rsidRPr="00952B34" w:rsidR="00560ACC">
        <w:rPr>
          <w:rFonts w:ascii="Book Antiqua" w:hAnsi="Book Antiqua"/>
        </w:rPr>
        <w:t>align</w:t>
      </w:r>
      <w:r w:rsidRPr="00952B34" w:rsidR="00CE50C9">
        <w:rPr>
          <w:rFonts w:ascii="Book Antiqua" w:hAnsi="Book Antiqua"/>
        </w:rPr>
        <w:t>ed</w:t>
      </w:r>
      <w:r w:rsidRPr="00952B34" w:rsidR="00560ACC">
        <w:rPr>
          <w:rFonts w:ascii="Book Antiqua" w:hAnsi="Book Antiqua"/>
        </w:rPr>
        <w:t xml:space="preserve"> with</w:t>
      </w:r>
      <w:r w:rsidRPr="00952B34" w:rsidR="00CE50C9">
        <w:rPr>
          <w:rFonts w:ascii="Book Antiqua" w:hAnsi="Book Antiqua"/>
        </w:rPr>
        <w:t xml:space="preserve"> </w:t>
      </w:r>
      <w:r w:rsidRPr="00952B34" w:rsidR="00560ACC">
        <w:rPr>
          <w:rFonts w:ascii="Book Antiqua" w:hAnsi="Book Antiqua"/>
        </w:rPr>
        <w:t xml:space="preserve">costs </w:t>
      </w:r>
      <w:r w:rsidRPr="00952B34" w:rsidR="00CE50C9">
        <w:rPr>
          <w:rFonts w:ascii="Book Antiqua" w:hAnsi="Book Antiqua"/>
        </w:rPr>
        <w:t xml:space="preserve">of </w:t>
      </w:r>
      <w:r w:rsidRPr="00952B34">
        <w:rPr>
          <w:rFonts w:ascii="Book Antiqua" w:hAnsi="Book Antiqua"/>
        </w:rPr>
        <w:t>service</w:t>
      </w:r>
      <w:r w:rsidRPr="00952B34" w:rsidR="00560ACC">
        <w:rPr>
          <w:rFonts w:ascii="Book Antiqua" w:hAnsi="Book Antiqua"/>
        </w:rPr>
        <w:t xml:space="preserve">; </w:t>
      </w:r>
      <w:r w:rsidR="00952B34">
        <w:rPr>
          <w:rFonts w:ascii="Book Antiqua" w:hAnsi="Book Antiqua"/>
        </w:rPr>
        <w:t xml:space="preserve"> </w:t>
      </w:r>
      <w:r w:rsidRPr="00952B34" w:rsidR="00560ACC">
        <w:rPr>
          <w:rFonts w:ascii="Book Antiqua" w:hAnsi="Book Antiqua"/>
        </w:rPr>
        <w:t xml:space="preserve">and, </w:t>
      </w:r>
      <w:r w:rsidRPr="00952B34" w:rsidR="006275DA">
        <w:rPr>
          <w:rFonts w:ascii="Book Antiqua" w:hAnsi="Book Antiqua"/>
        </w:rPr>
        <w:t>(d)</w:t>
      </w:r>
      <w:r w:rsidRPr="00952B34" w:rsidR="00560ACC">
        <w:rPr>
          <w:rFonts w:ascii="Book Antiqua" w:hAnsi="Book Antiqua"/>
        </w:rPr>
        <w:t xml:space="preserve"> that </w:t>
      </w:r>
      <w:r w:rsidRPr="00952B34" w:rsidR="00CE50C9">
        <w:rPr>
          <w:rFonts w:ascii="Book Antiqua" w:hAnsi="Book Antiqua"/>
        </w:rPr>
        <w:t>D</w:t>
      </w:r>
      <w:r w:rsidRPr="00952B34" w:rsidR="00560ACC">
        <w:rPr>
          <w:rFonts w:ascii="Book Antiqua" w:hAnsi="Book Antiqua"/>
        </w:rPr>
        <w:t xml:space="preserve">efendant be fined as </w:t>
      </w:r>
      <w:r w:rsidRPr="00952B34" w:rsidR="00CE50C9">
        <w:rPr>
          <w:rFonts w:ascii="Book Antiqua" w:hAnsi="Book Antiqua"/>
        </w:rPr>
        <w:t xml:space="preserve">prescribed </w:t>
      </w:r>
      <w:r w:rsidRPr="00952B34" w:rsidR="00560ACC">
        <w:rPr>
          <w:rFonts w:ascii="Book Antiqua" w:hAnsi="Book Antiqua"/>
        </w:rPr>
        <w:t>in A</w:t>
      </w:r>
      <w:r w:rsidRPr="00952B34" w:rsidR="006275DA">
        <w:rPr>
          <w:rFonts w:ascii="Book Antiqua" w:hAnsi="Book Antiqua"/>
        </w:rPr>
        <w:t xml:space="preserve">B </w:t>
      </w:r>
      <w:r w:rsidRPr="00952B34" w:rsidR="00560ACC">
        <w:rPr>
          <w:rFonts w:ascii="Book Antiqua" w:hAnsi="Book Antiqua"/>
        </w:rPr>
        <w:t xml:space="preserve">1830 for </w:t>
      </w:r>
      <w:r w:rsidRPr="00952B34" w:rsidR="00831F98">
        <w:rPr>
          <w:rFonts w:ascii="Book Antiqua" w:hAnsi="Book Antiqua"/>
        </w:rPr>
        <w:t xml:space="preserve">not </w:t>
      </w:r>
      <w:r w:rsidRPr="00952B34" w:rsidR="00560ACC">
        <w:rPr>
          <w:rFonts w:ascii="Book Antiqua" w:hAnsi="Book Antiqua"/>
        </w:rPr>
        <w:t>providing notice to tenants in the mobile home park</w:t>
      </w:r>
      <w:r w:rsidRPr="00952B34" w:rsidR="00B65E39">
        <w:rPr>
          <w:rFonts w:ascii="Book Antiqua" w:hAnsi="Book Antiqua"/>
        </w:rPr>
        <w:t xml:space="preserve"> of their rights to complain about rate level</w:t>
      </w:r>
      <w:r w:rsidRPr="00952B34" w:rsidR="00DE0378">
        <w:rPr>
          <w:rFonts w:ascii="Book Antiqua" w:hAnsi="Book Antiqua"/>
        </w:rPr>
        <w:t xml:space="preserve"> change</w:t>
      </w:r>
      <w:r w:rsidRPr="00952B34" w:rsidR="00B65E39">
        <w:rPr>
          <w:rFonts w:ascii="Book Antiqua" w:hAnsi="Book Antiqua"/>
        </w:rPr>
        <w:t>s</w:t>
      </w:r>
      <w:r w:rsidRPr="00952B34" w:rsidR="00560ACC">
        <w:rPr>
          <w:rFonts w:ascii="Book Antiqua" w:hAnsi="Book Antiqua"/>
        </w:rPr>
        <w:t xml:space="preserve">. </w:t>
      </w:r>
    </w:p>
    <w:bookmarkEnd w:id="11"/>
    <w:p w:rsidRPr="00952B34" w:rsidR="00AE4902" w:rsidP="00952B34" w:rsidRDefault="005D127A" w14:paraId="178B3EDA" w14:textId="6796F403">
      <w:pPr>
        <w:pStyle w:val="standard"/>
        <w:rPr>
          <w:rFonts w:ascii="Book Antiqua" w:hAnsi="Book Antiqua"/>
        </w:rPr>
      </w:pPr>
      <w:r w:rsidRPr="00952B34">
        <w:rPr>
          <w:rFonts w:ascii="Book Antiqua" w:hAnsi="Book Antiqua"/>
        </w:rPr>
        <w:t xml:space="preserve">Instructions to Answer were served on June 3, 2019.  </w:t>
      </w:r>
      <w:r w:rsidRPr="00952B34" w:rsidR="00AE4902">
        <w:rPr>
          <w:rFonts w:ascii="Book Antiqua" w:hAnsi="Book Antiqua"/>
        </w:rPr>
        <w:t xml:space="preserve">On July 1, 2019, </w:t>
      </w:r>
      <w:r w:rsidRPr="00952B34" w:rsidR="00A759F0">
        <w:rPr>
          <w:rFonts w:ascii="Book Antiqua" w:hAnsi="Book Antiqua"/>
        </w:rPr>
        <w:t>D</w:t>
      </w:r>
      <w:r w:rsidRPr="00952B34" w:rsidR="00AE4902">
        <w:rPr>
          <w:rFonts w:ascii="Book Antiqua" w:hAnsi="Book Antiqua"/>
        </w:rPr>
        <w:t xml:space="preserve">efendant requested </w:t>
      </w:r>
      <w:r w:rsidRPr="00952B34" w:rsidR="00DE0378">
        <w:rPr>
          <w:rFonts w:ascii="Book Antiqua" w:hAnsi="Book Antiqua"/>
        </w:rPr>
        <w:t xml:space="preserve">more </w:t>
      </w:r>
      <w:r w:rsidRPr="00952B34" w:rsidR="00AE4902">
        <w:rPr>
          <w:rFonts w:ascii="Book Antiqua" w:hAnsi="Book Antiqua"/>
        </w:rPr>
        <w:t xml:space="preserve">time to file </w:t>
      </w:r>
      <w:r w:rsidRPr="00952B34" w:rsidR="00950C2A">
        <w:rPr>
          <w:rFonts w:ascii="Book Antiqua" w:hAnsi="Book Antiqua"/>
        </w:rPr>
        <w:t>its A</w:t>
      </w:r>
      <w:r w:rsidRPr="00952B34" w:rsidR="00AE4902">
        <w:rPr>
          <w:rFonts w:ascii="Book Antiqua" w:hAnsi="Book Antiqua"/>
        </w:rPr>
        <w:t>nswer</w:t>
      </w:r>
      <w:r w:rsidRPr="00952B34" w:rsidR="00E42C7F">
        <w:rPr>
          <w:rFonts w:ascii="Book Antiqua" w:hAnsi="Book Antiqua"/>
        </w:rPr>
        <w:t xml:space="preserve"> </w:t>
      </w:r>
      <w:r w:rsidRPr="00952B34" w:rsidR="00950C2A">
        <w:rPr>
          <w:rFonts w:ascii="Book Antiqua" w:hAnsi="Book Antiqua"/>
        </w:rPr>
        <w:t>(</w:t>
      </w:r>
      <w:r w:rsidRPr="00952B34" w:rsidR="00E42C7F">
        <w:rPr>
          <w:rFonts w:ascii="Book Antiqua" w:hAnsi="Book Antiqua"/>
        </w:rPr>
        <w:t xml:space="preserve">which </w:t>
      </w:r>
      <w:r w:rsidRPr="00952B34" w:rsidR="00A759F0">
        <w:rPr>
          <w:rFonts w:ascii="Book Antiqua" w:hAnsi="Book Antiqua"/>
        </w:rPr>
        <w:t xml:space="preserve">was </w:t>
      </w:r>
      <w:r w:rsidRPr="00952B34" w:rsidR="00AE4902">
        <w:rPr>
          <w:rFonts w:ascii="Book Antiqua" w:hAnsi="Book Antiqua"/>
        </w:rPr>
        <w:t>gran</w:t>
      </w:r>
      <w:r w:rsidRPr="00952B34" w:rsidR="00E42C7F">
        <w:rPr>
          <w:rFonts w:ascii="Book Antiqua" w:hAnsi="Book Antiqua"/>
        </w:rPr>
        <w:t>ted</w:t>
      </w:r>
      <w:r w:rsidRPr="00952B34" w:rsidR="00AE4902">
        <w:rPr>
          <w:rFonts w:ascii="Book Antiqua" w:hAnsi="Book Antiqua"/>
        </w:rPr>
        <w:t xml:space="preserve"> July</w:t>
      </w:r>
      <w:r w:rsidR="00952B34">
        <w:rPr>
          <w:rFonts w:ascii="Book Antiqua" w:hAnsi="Book Antiqua"/>
        </w:rPr>
        <w:t> </w:t>
      </w:r>
      <w:r w:rsidRPr="00952B34" w:rsidR="00AE4902">
        <w:rPr>
          <w:rFonts w:ascii="Book Antiqua" w:hAnsi="Book Antiqua"/>
        </w:rPr>
        <w:t>2,</w:t>
      </w:r>
      <w:r w:rsidR="00952B34">
        <w:rPr>
          <w:rFonts w:ascii="Book Antiqua" w:hAnsi="Book Antiqua"/>
        </w:rPr>
        <w:t> </w:t>
      </w:r>
      <w:r w:rsidRPr="00952B34" w:rsidR="00AE4902">
        <w:rPr>
          <w:rFonts w:ascii="Book Antiqua" w:hAnsi="Book Antiqua"/>
        </w:rPr>
        <w:t>2019</w:t>
      </w:r>
      <w:r w:rsidRPr="00952B34" w:rsidR="00950C2A">
        <w:rPr>
          <w:rFonts w:ascii="Book Antiqua" w:hAnsi="Book Antiqua"/>
        </w:rPr>
        <w:t>)</w:t>
      </w:r>
      <w:r w:rsidRPr="00952B34" w:rsidR="005E255D">
        <w:rPr>
          <w:rFonts w:ascii="Book Antiqua" w:hAnsi="Book Antiqua"/>
        </w:rPr>
        <w:t xml:space="preserve">.  </w:t>
      </w:r>
      <w:r w:rsidRPr="00952B34" w:rsidR="00DE0378">
        <w:rPr>
          <w:rFonts w:ascii="Book Antiqua" w:hAnsi="Book Antiqua"/>
        </w:rPr>
        <w:t xml:space="preserve">An </w:t>
      </w:r>
      <w:r w:rsidRPr="00952B34" w:rsidR="00620B52">
        <w:rPr>
          <w:rFonts w:ascii="Book Antiqua" w:hAnsi="Book Antiqua"/>
        </w:rPr>
        <w:t xml:space="preserve">Answer </w:t>
      </w:r>
      <w:r w:rsidRPr="00952B34" w:rsidR="00DE0378">
        <w:rPr>
          <w:rFonts w:ascii="Book Antiqua" w:hAnsi="Book Antiqua"/>
        </w:rPr>
        <w:t xml:space="preserve">was filed </w:t>
      </w:r>
      <w:r w:rsidRPr="00952B34" w:rsidR="00AE4902">
        <w:rPr>
          <w:rFonts w:ascii="Book Antiqua" w:hAnsi="Book Antiqua"/>
        </w:rPr>
        <w:t>on July 22,</w:t>
      </w:r>
      <w:r w:rsidRPr="00952B34" w:rsidR="005E255D">
        <w:rPr>
          <w:rFonts w:ascii="Book Antiqua" w:hAnsi="Book Antiqua"/>
        </w:rPr>
        <w:t xml:space="preserve"> </w:t>
      </w:r>
      <w:r w:rsidRPr="00952B34" w:rsidR="00AE4902">
        <w:rPr>
          <w:rFonts w:ascii="Book Antiqua" w:hAnsi="Book Antiqua"/>
        </w:rPr>
        <w:t>2019.</w:t>
      </w:r>
      <w:r w:rsidRPr="00952B34" w:rsidR="00E42C7F">
        <w:rPr>
          <w:rFonts w:ascii="Book Antiqua" w:hAnsi="Book Antiqua"/>
        </w:rPr>
        <w:t xml:space="preserve">  </w:t>
      </w:r>
      <w:r w:rsidRPr="00952B34">
        <w:rPr>
          <w:rFonts w:ascii="Book Antiqua" w:hAnsi="Book Antiqua"/>
        </w:rPr>
        <w:t>By email o</w:t>
      </w:r>
      <w:r w:rsidRPr="00952B34" w:rsidR="00AE4902">
        <w:rPr>
          <w:rFonts w:ascii="Book Antiqua" w:hAnsi="Book Antiqua"/>
        </w:rPr>
        <w:t xml:space="preserve">n July 23, </w:t>
      </w:r>
      <w:r w:rsidR="00952B34">
        <w:rPr>
          <w:rFonts w:ascii="Book Antiqua" w:hAnsi="Book Antiqua"/>
        </w:rPr>
        <w:t xml:space="preserve">2019, </w:t>
      </w:r>
      <w:r w:rsidRPr="00952B34" w:rsidR="00A759F0">
        <w:rPr>
          <w:rFonts w:ascii="Book Antiqua" w:hAnsi="Book Antiqua"/>
        </w:rPr>
        <w:t xml:space="preserve">Complainants </w:t>
      </w:r>
      <w:r w:rsidRPr="00952B34" w:rsidR="005E255D">
        <w:rPr>
          <w:rFonts w:ascii="Book Antiqua" w:hAnsi="Book Antiqua"/>
        </w:rPr>
        <w:t>request</w:t>
      </w:r>
      <w:r w:rsidRPr="00952B34">
        <w:rPr>
          <w:rFonts w:ascii="Book Antiqua" w:hAnsi="Book Antiqua"/>
        </w:rPr>
        <w:t>ed</w:t>
      </w:r>
      <w:r w:rsidRPr="00952B34" w:rsidR="005E255D">
        <w:rPr>
          <w:rFonts w:ascii="Book Antiqua" w:hAnsi="Book Antiqua"/>
        </w:rPr>
        <w:t xml:space="preserve"> permission to </w:t>
      </w:r>
      <w:r w:rsidRPr="00952B34" w:rsidR="00AE4902">
        <w:rPr>
          <w:rFonts w:ascii="Book Antiqua" w:hAnsi="Book Antiqua"/>
        </w:rPr>
        <w:t xml:space="preserve">file </w:t>
      </w:r>
      <w:r w:rsidRPr="00952B34" w:rsidR="00DE0378">
        <w:rPr>
          <w:rFonts w:ascii="Book Antiqua" w:hAnsi="Book Antiqua"/>
        </w:rPr>
        <w:t>a</w:t>
      </w:r>
      <w:r w:rsidRPr="00952B34" w:rsidR="005E255D">
        <w:rPr>
          <w:rFonts w:ascii="Book Antiqua" w:hAnsi="Book Antiqua"/>
        </w:rPr>
        <w:t xml:space="preserve"> </w:t>
      </w:r>
      <w:r w:rsidRPr="00952B34" w:rsidR="00AE4902">
        <w:rPr>
          <w:rFonts w:ascii="Book Antiqua" w:hAnsi="Book Antiqua"/>
        </w:rPr>
        <w:t>reply.</w:t>
      </w:r>
      <w:r w:rsidRPr="00952B34" w:rsidR="00CF7615">
        <w:rPr>
          <w:rFonts w:ascii="Book Antiqua" w:hAnsi="Book Antiqua"/>
        </w:rPr>
        <w:t xml:space="preserve"> </w:t>
      </w:r>
      <w:r w:rsidR="00952B34">
        <w:rPr>
          <w:rFonts w:ascii="Book Antiqua" w:hAnsi="Book Antiqua"/>
        </w:rPr>
        <w:t xml:space="preserve"> </w:t>
      </w:r>
      <w:r w:rsidRPr="00952B34" w:rsidR="00CF7615">
        <w:rPr>
          <w:rFonts w:ascii="Book Antiqua" w:hAnsi="Book Antiqua"/>
        </w:rPr>
        <w:t>Th</w:t>
      </w:r>
      <w:r w:rsidRPr="00952B34" w:rsidR="009553CB">
        <w:rPr>
          <w:rFonts w:ascii="Book Antiqua" w:hAnsi="Book Antiqua"/>
        </w:rPr>
        <w:t xml:space="preserve">e </w:t>
      </w:r>
      <w:r w:rsidR="00630545">
        <w:rPr>
          <w:rFonts w:ascii="Book Antiqua" w:hAnsi="Book Antiqua"/>
        </w:rPr>
        <w:t>Administrative Law Judge</w:t>
      </w:r>
      <w:r w:rsidR="00E649A1">
        <w:rPr>
          <w:rFonts w:ascii="Book Antiqua" w:hAnsi="Book Antiqua"/>
        </w:rPr>
        <w:t xml:space="preserve"> </w:t>
      </w:r>
      <w:r w:rsidRPr="00952B34" w:rsidR="009553CB">
        <w:rPr>
          <w:rFonts w:ascii="Book Antiqua" w:hAnsi="Book Antiqua"/>
        </w:rPr>
        <w:t xml:space="preserve">ALJ denied this </w:t>
      </w:r>
      <w:r w:rsidRPr="00952B34" w:rsidR="00CF7615">
        <w:rPr>
          <w:rFonts w:ascii="Book Antiqua" w:hAnsi="Book Antiqua"/>
        </w:rPr>
        <w:t>request.</w:t>
      </w:r>
    </w:p>
    <w:p w:rsidRPr="00952B34" w:rsidR="00CF7615" w:rsidP="002E1440" w:rsidRDefault="00AE4902" w14:paraId="0A4E52FA" w14:textId="3439F5B6">
      <w:pPr>
        <w:pStyle w:val="standard"/>
        <w:rPr>
          <w:rFonts w:ascii="Book Antiqua" w:hAnsi="Book Antiqua"/>
        </w:rPr>
      </w:pPr>
      <w:r w:rsidRPr="00952B34">
        <w:rPr>
          <w:rFonts w:ascii="Book Antiqua" w:hAnsi="Book Antiqua"/>
        </w:rPr>
        <w:lastRenderedPageBreak/>
        <w:t>A prehearing conference (PHC) was held starting at 10:30 a.m.</w:t>
      </w:r>
      <w:r w:rsidRPr="00952B34" w:rsidR="00DE0378">
        <w:rPr>
          <w:rFonts w:ascii="Book Antiqua" w:hAnsi="Book Antiqua"/>
        </w:rPr>
        <w:t xml:space="preserve">, </w:t>
      </w:r>
      <w:r w:rsidRPr="00952B34">
        <w:rPr>
          <w:rFonts w:ascii="Book Antiqua" w:hAnsi="Book Antiqua"/>
        </w:rPr>
        <w:t>August</w:t>
      </w:r>
      <w:r w:rsidR="00952B34">
        <w:rPr>
          <w:rFonts w:ascii="Book Antiqua" w:hAnsi="Book Antiqua"/>
        </w:rPr>
        <w:t> </w:t>
      </w:r>
      <w:r w:rsidRPr="00952B34">
        <w:rPr>
          <w:rFonts w:ascii="Book Antiqua" w:hAnsi="Book Antiqua"/>
        </w:rPr>
        <w:t>12,</w:t>
      </w:r>
      <w:r w:rsidR="00952B34">
        <w:rPr>
          <w:rFonts w:ascii="Book Antiqua" w:hAnsi="Book Antiqua"/>
        </w:rPr>
        <w:t> </w:t>
      </w:r>
      <w:r w:rsidRPr="00952B34">
        <w:rPr>
          <w:rFonts w:ascii="Book Antiqua" w:hAnsi="Book Antiqua"/>
        </w:rPr>
        <w:t xml:space="preserve">2019 at </w:t>
      </w:r>
      <w:proofErr w:type="spellStart"/>
      <w:r w:rsidRPr="00952B34">
        <w:rPr>
          <w:rFonts w:ascii="Book Antiqua" w:hAnsi="Book Antiqua"/>
        </w:rPr>
        <w:t>Chimbole</w:t>
      </w:r>
      <w:proofErr w:type="spellEnd"/>
      <w:r w:rsidRPr="00952B34">
        <w:rPr>
          <w:rFonts w:ascii="Book Antiqua" w:hAnsi="Book Antiqua"/>
        </w:rPr>
        <w:t xml:space="preserve"> Cultural Center – Sage Room, 38350 Sierra Highway, Palmdale, California 93550.</w:t>
      </w:r>
      <w:r w:rsidR="00952B34">
        <w:rPr>
          <w:rFonts w:ascii="Book Antiqua" w:hAnsi="Book Antiqua"/>
        </w:rPr>
        <w:t xml:space="preserve"> </w:t>
      </w:r>
      <w:r w:rsidRPr="00952B34">
        <w:rPr>
          <w:rFonts w:ascii="Book Antiqua" w:hAnsi="Book Antiqua"/>
        </w:rPr>
        <w:t xml:space="preserve"> The PHC addressed the status, scope and schedule of this proceeding.  </w:t>
      </w:r>
      <w:r w:rsidRPr="00952B34" w:rsidR="002E1440">
        <w:rPr>
          <w:rFonts w:ascii="Book Antiqua" w:hAnsi="Book Antiqua"/>
        </w:rPr>
        <w:t xml:space="preserve">By bench ruling at the PHC, the </w:t>
      </w:r>
      <w:r w:rsidRPr="00952B34" w:rsidR="00F82802">
        <w:rPr>
          <w:rFonts w:ascii="Book Antiqua" w:hAnsi="Book Antiqua"/>
        </w:rPr>
        <w:t>assigned</w:t>
      </w:r>
      <w:r w:rsidRPr="00952B34" w:rsidR="007F2B7E">
        <w:rPr>
          <w:rFonts w:ascii="Book Antiqua" w:hAnsi="Book Antiqua"/>
        </w:rPr>
        <w:t xml:space="preserve"> </w:t>
      </w:r>
      <w:r w:rsidRPr="00952B34" w:rsidR="002E1440">
        <w:rPr>
          <w:rFonts w:ascii="Book Antiqua" w:hAnsi="Book Antiqua"/>
        </w:rPr>
        <w:t xml:space="preserve">ALJ denied Defendant’s request to dismiss the case, noting that </w:t>
      </w:r>
      <w:bookmarkStart w:name="_Hlk33019480" w:id="12"/>
      <w:r w:rsidRPr="00952B34" w:rsidR="00950C2A">
        <w:rPr>
          <w:rFonts w:ascii="Book Antiqua" w:hAnsi="Book Antiqua"/>
        </w:rPr>
        <w:t>Complainants</w:t>
      </w:r>
      <w:r w:rsidRPr="00952B34" w:rsidR="002E1440">
        <w:rPr>
          <w:rFonts w:ascii="Book Antiqua" w:hAnsi="Book Antiqua"/>
        </w:rPr>
        <w:t xml:space="preserve"> had made an initial showing that the Commission should conduct an investigation to determine whether the rates </w:t>
      </w:r>
      <w:r w:rsidRPr="00952B34" w:rsidR="009553CB">
        <w:rPr>
          <w:rFonts w:ascii="Book Antiqua" w:hAnsi="Book Antiqua"/>
        </w:rPr>
        <w:t xml:space="preserve">for water service </w:t>
      </w:r>
      <w:r w:rsidRPr="00952B34" w:rsidR="002E1440">
        <w:rPr>
          <w:rFonts w:ascii="Book Antiqua" w:hAnsi="Book Antiqua"/>
        </w:rPr>
        <w:t>are reasonable</w:t>
      </w:r>
      <w:bookmarkEnd w:id="12"/>
      <w:r w:rsidRPr="00952B34" w:rsidR="002E1440">
        <w:rPr>
          <w:rFonts w:ascii="Book Antiqua" w:hAnsi="Book Antiqua"/>
        </w:rPr>
        <w:t>.</w:t>
      </w:r>
      <w:r w:rsidRPr="00952B34" w:rsidR="002E1440">
        <w:rPr>
          <w:rFonts w:ascii="Book Antiqua" w:hAnsi="Book Antiqua"/>
          <w:vertAlign w:val="superscript"/>
        </w:rPr>
        <w:footnoteReference w:id="5"/>
      </w:r>
    </w:p>
    <w:p w:rsidRPr="00952B34" w:rsidR="001A02F9" w:rsidP="001A02F9" w:rsidRDefault="001A02F9" w14:paraId="4015EEF0" w14:textId="2E941232">
      <w:pPr>
        <w:pStyle w:val="standard"/>
        <w:rPr>
          <w:rFonts w:ascii="Book Antiqua" w:hAnsi="Book Antiqua"/>
        </w:rPr>
      </w:pPr>
      <w:r w:rsidRPr="00952B34">
        <w:rPr>
          <w:rFonts w:ascii="Book Antiqua" w:hAnsi="Book Antiqua"/>
        </w:rPr>
        <w:t xml:space="preserve">On September 6, 2019, Defendant filed a </w:t>
      </w:r>
      <w:r w:rsidRPr="00952B34" w:rsidR="00950C2A">
        <w:rPr>
          <w:rFonts w:ascii="Book Antiqua" w:hAnsi="Book Antiqua"/>
        </w:rPr>
        <w:t xml:space="preserve">subsequent </w:t>
      </w:r>
      <w:r w:rsidRPr="00952B34">
        <w:rPr>
          <w:rFonts w:ascii="Book Antiqua" w:hAnsi="Book Antiqua"/>
        </w:rPr>
        <w:t xml:space="preserve">Motion to Dismiss.  On September 16, 2019, Complainants filed an Opposition to the Motion.  Pursuant to e-mail ruling of </w:t>
      </w:r>
      <w:r w:rsidRPr="00952B34" w:rsidR="002950C7">
        <w:rPr>
          <w:rFonts w:ascii="Book Antiqua" w:hAnsi="Book Antiqua"/>
        </w:rPr>
        <w:t xml:space="preserve">the </w:t>
      </w:r>
      <w:r w:rsidRPr="00952B34">
        <w:rPr>
          <w:rFonts w:ascii="Book Antiqua" w:hAnsi="Book Antiqua"/>
        </w:rPr>
        <w:t>ALJ o</w:t>
      </w:r>
      <w:r w:rsidRPr="00952B34" w:rsidR="00950C2A">
        <w:rPr>
          <w:rFonts w:ascii="Book Antiqua" w:hAnsi="Book Antiqua"/>
        </w:rPr>
        <w:t>n</w:t>
      </w:r>
      <w:r w:rsidRPr="00952B34">
        <w:rPr>
          <w:rFonts w:ascii="Book Antiqua" w:hAnsi="Book Antiqua"/>
        </w:rPr>
        <w:t xml:space="preserve"> October 15, 2019, Defendant filed an Amended Motion to Dismiss with Prejudice</w:t>
      </w:r>
      <w:r w:rsidRPr="00952B34" w:rsidR="00950C2A">
        <w:rPr>
          <w:rFonts w:ascii="Book Antiqua" w:hAnsi="Book Antiqua"/>
        </w:rPr>
        <w:t xml:space="preserve"> on October 29, 2019</w:t>
      </w:r>
      <w:r w:rsidRPr="00952B34">
        <w:rPr>
          <w:rFonts w:ascii="Book Antiqua" w:hAnsi="Book Antiqua"/>
        </w:rPr>
        <w:t>.</w:t>
      </w:r>
      <w:r w:rsidR="00952B34">
        <w:rPr>
          <w:rFonts w:ascii="Book Antiqua" w:hAnsi="Book Antiqua"/>
        </w:rPr>
        <w:t xml:space="preserve"> </w:t>
      </w:r>
      <w:r w:rsidRPr="00952B34">
        <w:rPr>
          <w:rFonts w:ascii="Book Antiqua" w:hAnsi="Book Antiqua"/>
        </w:rPr>
        <w:t xml:space="preserve"> Defendant incorporated by reference its previous Motion to Dismiss and requested that Complainants be fined $10,000.  On </w:t>
      </w:r>
      <w:r w:rsidRPr="00952B34" w:rsidR="002950C7">
        <w:rPr>
          <w:rFonts w:ascii="Book Antiqua" w:hAnsi="Book Antiqua"/>
        </w:rPr>
        <w:t>November 6, 2019</w:t>
      </w:r>
      <w:r w:rsidRPr="00952B34">
        <w:rPr>
          <w:rFonts w:ascii="Book Antiqua" w:hAnsi="Book Antiqua"/>
        </w:rPr>
        <w:t xml:space="preserve">, Complainants filed a response.  </w:t>
      </w:r>
      <w:r w:rsidRPr="00952B34" w:rsidR="00950C2A">
        <w:rPr>
          <w:rFonts w:ascii="Book Antiqua" w:hAnsi="Book Antiqua"/>
        </w:rPr>
        <w:t>D</w:t>
      </w:r>
      <w:r w:rsidRPr="00952B34" w:rsidR="00A976F2">
        <w:rPr>
          <w:rFonts w:ascii="Book Antiqua" w:hAnsi="Book Antiqua"/>
        </w:rPr>
        <w:t>isposition of the Motion</w:t>
      </w:r>
      <w:r w:rsidRPr="00952B34" w:rsidR="002950C7">
        <w:rPr>
          <w:rFonts w:ascii="Book Antiqua" w:hAnsi="Book Antiqua"/>
        </w:rPr>
        <w:t xml:space="preserve"> </w:t>
      </w:r>
      <w:r w:rsidRPr="00952B34" w:rsidR="00A976F2">
        <w:rPr>
          <w:rFonts w:ascii="Book Antiqua" w:hAnsi="Book Antiqua"/>
        </w:rPr>
        <w:t xml:space="preserve">is discussed </w:t>
      </w:r>
      <w:r w:rsidRPr="00952B34" w:rsidR="00DE0378">
        <w:rPr>
          <w:rFonts w:ascii="Book Antiqua" w:hAnsi="Book Antiqua"/>
        </w:rPr>
        <w:t xml:space="preserve">separately </w:t>
      </w:r>
      <w:r w:rsidRPr="00952B34" w:rsidR="00A976F2">
        <w:rPr>
          <w:rFonts w:ascii="Book Antiqua" w:hAnsi="Book Antiqua"/>
        </w:rPr>
        <w:t xml:space="preserve">below. </w:t>
      </w:r>
    </w:p>
    <w:p w:rsidRPr="00952B34" w:rsidR="00CF7615" w:rsidP="00952B34" w:rsidRDefault="001A02F9" w14:paraId="2B597926" w14:textId="7F7F38B5">
      <w:pPr>
        <w:pStyle w:val="standard"/>
        <w:rPr>
          <w:rFonts w:ascii="Book Antiqua" w:hAnsi="Book Antiqua"/>
        </w:rPr>
      </w:pPr>
      <w:r w:rsidRPr="00952B34">
        <w:rPr>
          <w:rFonts w:ascii="Book Antiqua" w:hAnsi="Book Antiqua"/>
        </w:rPr>
        <w:t xml:space="preserve">The assigned Commissioner’s Scoping Memo and Ruling was issued September 26, 2019.  </w:t>
      </w:r>
      <w:r w:rsidRPr="00952B34" w:rsidR="00CF7615">
        <w:rPr>
          <w:rFonts w:ascii="Book Antiqua" w:hAnsi="Book Antiqua"/>
        </w:rPr>
        <w:t>Because th</w:t>
      </w:r>
      <w:r w:rsidRPr="00952B34" w:rsidR="002950C7">
        <w:rPr>
          <w:rFonts w:ascii="Book Antiqua" w:hAnsi="Book Antiqua"/>
        </w:rPr>
        <w:t>is</w:t>
      </w:r>
      <w:r w:rsidRPr="00952B34" w:rsidR="005D127A">
        <w:rPr>
          <w:rFonts w:ascii="Book Antiqua" w:hAnsi="Book Antiqua"/>
        </w:rPr>
        <w:t xml:space="preserve"> </w:t>
      </w:r>
      <w:r w:rsidRPr="00952B34" w:rsidR="00CF7615">
        <w:rPr>
          <w:rFonts w:ascii="Book Antiqua" w:hAnsi="Book Antiqua"/>
        </w:rPr>
        <w:t xml:space="preserve">proceeding concerns the reasonableness of rates, the Scoping Memo changed the preliminary categorization from adjudicatory to </w:t>
      </w:r>
      <w:proofErr w:type="spellStart"/>
      <w:r w:rsidRPr="00952B34" w:rsidR="00CF7615">
        <w:rPr>
          <w:rFonts w:ascii="Book Antiqua" w:hAnsi="Book Antiqua"/>
        </w:rPr>
        <w:t>ratesetting</w:t>
      </w:r>
      <w:proofErr w:type="spellEnd"/>
      <w:r w:rsidRPr="00952B34" w:rsidR="00CF7615">
        <w:rPr>
          <w:rFonts w:ascii="Book Antiqua" w:hAnsi="Book Antiqua"/>
        </w:rPr>
        <w:t>.</w:t>
      </w:r>
      <w:r w:rsidRPr="00952B34" w:rsidR="000E5903">
        <w:rPr>
          <w:rFonts w:ascii="Book Antiqua" w:hAnsi="Book Antiqua"/>
        </w:rPr>
        <w:t xml:space="preserve"> </w:t>
      </w:r>
      <w:r w:rsidRPr="00952B34" w:rsidR="00620B52">
        <w:rPr>
          <w:rFonts w:ascii="Book Antiqua" w:hAnsi="Book Antiqua"/>
        </w:rPr>
        <w:t xml:space="preserve"> Accordingly,</w:t>
      </w:r>
      <w:r w:rsidRPr="00952B34" w:rsidR="000E5903">
        <w:rPr>
          <w:rFonts w:ascii="Book Antiqua" w:hAnsi="Book Antiqua"/>
        </w:rPr>
        <w:t xml:space="preserve"> </w:t>
      </w:r>
      <w:r w:rsidRPr="00952B34" w:rsidR="00620B52">
        <w:rPr>
          <w:rFonts w:ascii="Book Antiqua" w:hAnsi="Book Antiqua"/>
          <w:i/>
          <w:iCs/>
        </w:rPr>
        <w:t>e</w:t>
      </w:r>
      <w:r w:rsidRPr="00952B34" w:rsidR="00CF7615">
        <w:rPr>
          <w:rFonts w:ascii="Book Antiqua" w:hAnsi="Book Antiqua"/>
          <w:i/>
          <w:iCs/>
        </w:rPr>
        <w:t xml:space="preserve">x </w:t>
      </w:r>
      <w:proofErr w:type="spellStart"/>
      <w:r w:rsidRPr="00952B34" w:rsidR="00CF7615">
        <w:rPr>
          <w:rFonts w:ascii="Book Antiqua" w:hAnsi="Book Antiqua"/>
          <w:i/>
          <w:iCs/>
        </w:rPr>
        <w:t>parte</w:t>
      </w:r>
      <w:proofErr w:type="spellEnd"/>
      <w:r w:rsidRPr="00952B34" w:rsidR="00CF7615">
        <w:rPr>
          <w:rFonts w:ascii="Book Antiqua" w:hAnsi="Book Antiqua"/>
          <w:i/>
          <w:iCs/>
        </w:rPr>
        <w:t xml:space="preserve"> </w:t>
      </w:r>
      <w:r w:rsidRPr="00952B34" w:rsidR="00CF7615">
        <w:rPr>
          <w:rFonts w:ascii="Book Antiqua" w:hAnsi="Book Antiqua"/>
        </w:rPr>
        <w:t xml:space="preserve">communications </w:t>
      </w:r>
      <w:r w:rsidRPr="00952B34" w:rsidR="00620B52">
        <w:rPr>
          <w:rFonts w:ascii="Book Antiqua" w:hAnsi="Book Antiqua"/>
        </w:rPr>
        <w:t xml:space="preserve">in this proceeding </w:t>
      </w:r>
      <w:r w:rsidRPr="00952B34" w:rsidR="00CF7615">
        <w:rPr>
          <w:rFonts w:ascii="Book Antiqua" w:hAnsi="Book Antiqua"/>
        </w:rPr>
        <w:t>are governed by Article 8 of the Commission’s Rules</w:t>
      </w:r>
      <w:r w:rsidRPr="00952B34" w:rsidR="000E5903">
        <w:rPr>
          <w:rFonts w:ascii="Book Antiqua" w:hAnsi="Book Antiqua"/>
        </w:rPr>
        <w:t xml:space="preserve"> </w:t>
      </w:r>
      <w:r w:rsidRPr="00952B34" w:rsidR="00620B52">
        <w:rPr>
          <w:rFonts w:ascii="Book Antiqua" w:hAnsi="Book Antiqua"/>
        </w:rPr>
        <w:t xml:space="preserve">for </w:t>
      </w:r>
      <w:r w:rsidRPr="00952B34" w:rsidR="000E5903">
        <w:rPr>
          <w:rFonts w:ascii="Book Antiqua" w:hAnsi="Book Antiqua"/>
        </w:rPr>
        <w:t xml:space="preserve">a </w:t>
      </w:r>
      <w:proofErr w:type="spellStart"/>
      <w:r w:rsidRPr="00952B34" w:rsidR="000E5903">
        <w:rPr>
          <w:rFonts w:ascii="Book Antiqua" w:hAnsi="Book Antiqua"/>
        </w:rPr>
        <w:t>ratesetting</w:t>
      </w:r>
      <w:proofErr w:type="spellEnd"/>
      <w:r w:rsidRPr="00952B34" w:rsidR="000E5903">
        <w:rPr>
          <w:rFonts w:ascii="Book Antiqua" w:hAnsi="Book Antiqua"/>
        </w:rPr>
        <w:t xml:space="preserve"> proceeding</w:t>
      </w:r>
      <w:r w:rsidRPr="00952B34" w:rsidR="00CF7615">
        <w:rPr>
          <w:rFonts w:ascii="Book Antiqua" w:hAnsi="Book Antiqua"/>
        </w:rPr>
        <w:t>.</w:t>
      </w:r>
      <w:r w:rsidRPr="00952B34" w:rsidR="00A45A7C">
        <w:rPr>
          <w:rFonts w:ascii="Book Antiqua" w:hAnsi="Book Antiqua"/>
        </w:rPr>
        <w:t xml:space="preserve"> </w:t>
      </w:r>
    </w:p>
    <w:p w:rsidRPr="00952B34" w:rsidR="00E42C7F" w:rsidP="00952B34" w:rsidRDefault="00A45A7C" w14:paraId="21983BE1" w14:textId="74C17D16">
      <w:pPr>
        <w:pStyle w:val="standard"/>
        <w:rPr>
          <w:rFonts w:ascii="Book Antiqua" w:hAnsi="Book Antiqua"/>
        </w:rPr>
      </w:pPr>
      <w:r w:rsidRPr="00952B34">
        <w:rPr>
          <w:rFonts w:ascii="Book Antiqua" w:hAnsi="Book Antiqua"/>
        </w:rPr>
        <w:t xml:space="preserve">The Scoping Memo indicated </w:t>
      </w:r>
      <w:r w:rsidRPr="00952B34" w:rsidR="00B862C0">
        <w:rPr>
          <w:rFonts w:ascii="Book Antiqua" w:hAnsi="Book Antiqua"/>
        </w:rPr>
        <w:t xml:space="preserve">no </w:t>
      </w:r>
      <w:r w:rsidRPr="00952B34">
        <w:rPr>
          <w:rFonts w:ascii="Book Antiqua" w:hAnsi="Book Antiqua"/>
        </w:rPr>
        <w:t>evidentiary hearings w</w:t>
      </w:r>
      <w:r w:rsidRPr="00952B34" w:rsidR="00B862C0">
        <w:rPr>
          <w:rFonts w:ascii="Book Antiqua" w:hAnsi="Book Antiqua"/>
        </w:rPr>
        <w:t xml:space="preserve">ere </w:t>
      </w:r>
      <w:r w:rsidRPr="00952B34">
        <w:rPr>
          <w:rFonts w:ascii="Book Antiqua" w:hAnsi="Book Antiqua"/>
        </w:rPr>
        <w:t xml:space="preserve">needed, but </w:t>
      </w:r>
      <w:r w:rsidRPr="00952B34" w:rsidR="002950C7">
        <w:rPr>
          <w:rFonts w:ascii="Book Antiqua" w:hAnsi="Book Antiqua"/>
        </w:rPr>
        <w:t xml:space="preserve">directed </w:t>
      </w:r>
      <w:r w:rsidRPr="00952B34" w:rsidR="001A02F9">
        <w:rPr>
          <w:rFonts w:ascii="Book Antiqua" w:hAnsi="Book Antiqua"/>
        </w:rPr>
        <w:t xml:space="preserve">the </w:t>
      </w:r>
      <w:r w:rsidRPr="00952B34">
        <w:rPr>
          <w:rFonts w:ascii="Book Antiqua" w:hAnsi="Book Antiqua"/>
        </w:rPr>
        <w:t>Commission’s Water Division</w:t>
      </w:r>
      <w:r w:rsidRPr="00952B34" w:rsidR="001A02F9">
        <w:rPr>
          <w:rFonts w:ascii="Book Antiqua" w:hAnsi="Book Antiqua"/>
        </w:rPr>
        <w:t xml:space="preserve"> </w:t>
      </w:r>
      <w:r w:rsidRPr="00952B34" w:rsidR="00614E8A">
        <w:rPr>
          <w:rFonts w:ascii="Book Antiqua" w:hAnsi="Book Antiqua"/>
        </w:rPr>
        <w:t xml:space="preserve">(WD) </w:t>
      </w:r>
      <w:r w:rsidRPr="00952B34" w:rsidR="00CF7615">
        <w:rPr>
          <w:rFonts w:ascii="Book Antiqua" w:hAnsi="Book Antiqua"/>
        </w:rPr>
        <w:t xml:space="preserve">to perform a study of </w:t>
      </w:r>
      <w:r w:rsidRPr="00952B34" w:rsidR="00A759F0">
        <w:rPr>
          <w:rFonts w:ascii="Book Antiqua" w:hAnsi="Book Antiqua"/>
        </w:rPr>
        <w:t xml:space="preserve">retail </w:t>
      </w:r>
      <w:r w:rsidRPr="00952B34" w:rsidR="00B862C0">
        <w:rPr>
          <w:rFonts w:ascii="Book Antiqua" w:hAnsi="Book Antiqua"/>
        </w:rPr>
        <w:t xml:space="preserve">water </w:t>
      </w:r>
      <w:r w:rsidRPr="00952B34" w:rsidR="00CF7615">
        <w:rPr>
          <w:rFonts w:ascii="Book Antiqua" w:hAnsi="Book Antiqua"/>
        </w:rPr>
        <w:t xml:space="preserve">rates </w:t>
      </w:r>
      <w:r w:rsidRPr="00952B34" w:rsidR="00B862C0">
        <w:rPr>
          <w:rFonts w:ascii="Book Antiqua" w:hAnsi="Book Antiqua"/>
        </w:rPr>
        <w:t xml:space="preserve">charged </w:t>
      </w:r>
      <w:r w:rsidRPr="00952B34" w:rsidR="00845B8F">
        <w:rPr>
          <w:rFonts w:ascii="Book Antiqua" w:hAnsi="Book Antiqua"/>
        </w:rPr>
        <w:t xml:space="preserve">to </w:t>
      </w:r>
      <w:r w:rsidRPr="00952B34" w:rsidR="009553CB">
        <w:rPr>
          <w:rFonts w:ascii="Book Antiqua" w:hAnsi="Book Antiqua"/>
        </w:rPr>
        <w:t xml:space="preserve">residents of </w:t>
      </w:r>
      <w:r w:rsidRPr="00952B34" w:rsidR="00845B8F">
        <w:rPr>
          <w:rFonts w:ascii="Book Antiqua" w:hAnsi="Book Antiqua"/>
        </w:rPr>
        <w:t xml:space="preserve">Leisure </w:t>
      </w:r>
      <w:r w:rsidRPr="00952B34" w:rsidR="00B862C0">
        <w:rPr>
          <w:rFonts w:ascii="Book Antiqua" w:hAnsi="Book Antiqua"/>
        </w:rPr>
        <w:t xml:space="preserve">Lake </w:t>
      </w:r>
      <w:r w:rsidRPr="00952B34" w:rsidR="00845B8F">
        <w:rPr>
          <w:rFonts w:ascii="Book Antiqua" w:hAnsi="Book Antiqua"/>
        </w:rPr>
        <w:t xml:space="preserve">Mobile Home Park </w:t>
      </w:r>
      <w:r w:rsidRPr="00952B34" w:rsidR="00CF7615">
        <w:rPr>
          <w:rFonts w:ascii="Book Antiqua" w:hAnsi="Book Antiqua"/>
        </w:rPr>
        <w:t xml:space="preserve">pursuant to </w:t>
      </w:r>
      <w:r w:rsidRPr="00952B34" w:rsidR="0088700E">
        <w:rPr>
          <w:rFonts w:ascii="Book Antiqua" w:hAnsi="Book Antiqua"/>
        </w:rPr>
        <w:t>§</w:t>
      </w:r>
      <w:r w:rsidR="00952B34">
        <w:rPr>
          <w:rFonts w:ascii="Book Antiqua" w:hAnsi="Book Antiqua"/>
        </w:rPr>
        <w:t> </w:t>
      </w:r>
      <w:r w:rsidRPr="00952B34" w:rsidR="00CF7615">
        <w:rPr>
          <w:rFonts w:ascii="Book Antiqua" w:hAnsi="Book Antiqua"/>
        </w:rPr>
        <w:t>2705.6.</w:t>
      </w:r>
      <w:r w:rsidRPr="00952B34" w:rsidR="00614E8A">
        <w:rPr>
          <w:rFonts w:ascii="Book Antiqua" w:hAnsi="Book Antiqua"/>
        </w:rPr>
        <w:t xml:space="preserve">  </w:t>
      </w:r>
      <w:r w:rsidRPr="00952B34" w:rsidR="00ED1EF4">
        <w:rPr>
          <w:rFonts w:ascii="Book Antiqua" w:hAnsi="Book Antiqua"/>
        </w:rPr>
        <w:t>To facilitate</w:t>
      </w:r>
      <w:r w:rsidRPr="00952B34" w:rsidR="00A759F0">
        <w:rPr>
          <w:rFonts w:ascii="Book Antiqua" w:hAnsi="Book Antiqua"/>
        </w:rPr>
        <w:t xml:space="preserve"> the </w:t>
      </w:r>
      <w:r w:rsidRPr="00952B34" w:rsidR="007E1485">
        <w:rPr>
          <w:rFonts w:ascii="Book Antiqua" w:hAnsi="Book Antiqua"/>
        </w:rPr>
        <w:t xml:space="preserve">investigation, </w:t>
      </w:r>
      <w:r w:rsidRPr="00952B34" w:rsidR="001A02F9">
        <w:rPr>
          <w:rFonts w:ascii="Book Antiqua" w:hAnsi="Book Antiqua"/>
        </w:rPr>
        <w:t xml:space="preserve">by </w:t>
      </w:r>
      <w:r w:rsidRPr="00952B34" w:rsidR="007E1485">
        <w:rPr>
          <w:rFonts w:ascii="Book Antiqua" w:hAnsi="Book Antiqua"/>
        </w:rPr>
        <w:t xml:space="preserve">ruling on August 26, 2019, </w:t>
      </w:r>
      <w:r w:rsidRPr="00952B34" w:rsidR="001A02F9">
        <w:rPr>
          <w:rFonts w:ascii="Book Antiqua" w:hAnsi="Book Antiqua"/>
        </w:rPr>
        <w:t xml:space="preserve">the ALJ directed Defendant to provide </w:t>
      </w:r>
      <w:r w:rsidRPr="00952B34" w:rsidR="007E1485">
        <w:rPr>
          <w:rFonts w:ascii="Book Antiqua" w:hAnsi="Book Antiqua"/>
        </w:rPr>
        <w:t>specified data</w:t>
      </w:r>
      <w:r w:rsidRPr="00952B34" w:rsidR="00D964B2">
        <w:rPr>
          <w:rFonts w:ascii="Book Antiqua" w:hAnsi="Book Antiqua"/>
        </w:rPr>
        <w:t xml:space="preserve"> to </w:t>
      </w:r>
      <w:r w:rsidRPr="00952B34" w:rsidR="007B6A14">
        <w:rPr>
          <w:rFonts w:ascii="Book Antiqua" w:hAnsi="Book Antiqua"/>
        </w:rPr>
        <w:t xml:space="preserve">the </w:t>
      </w:r>
      <w:r w:rsidRPr="00952B34" w:rsidR="001A02F9">
        <w:rPr>
          <w:rFonts w:ascii="Book Antiqua" w:hAnsi="Book Antiqua"/>
        </w:rPr>
        <w:t xml:space="preserve">WD, to be </w:t>
      </w:r>
      <w:r w:rsidRPr="00952B34" w:rsidR="007E1485">
        <w:rPr>
          <w:rFonts w:ascii="Book Antiqua" w:hAnsi="Book Antiqua"/>
        </w:rPr>
        <w:t xml:space="preserve">served on parties </w:t>
      </w:r>
      <w:r w:rsidRPr="00952B34" w:rsidR="007E1485">
        <w:rPr>
          <w:rFonts w:ascii="Book Antiqua" w:hAnsi="Book Antiqua"/>
        </w:rPr>
        <w:lastRenderedPageBreak/>
        <w:t xml:space="preserve">within 30 days. </w:t>
      </w:r>
      <w:r w:rsidR="00952B34">
        <w:rPr>
          <w:rFonts w:ascii="Book Antiqua" w:hAnsi="Book Antiqua"/>
        </w:rPr>
        <w:t xml:space="preserve"> </w:t>
      </w:r>
      <w:r w:rsidRPr="00952B34" w:rsidR="003312C6">
        <w:rPr>
          <w:rFonts w:ascii="Book Antiqua" w:hAnsi="Book Antiqua"/>
        </w:rPr>
        <w:t>On September 25, 2019, Defendant</w:t>
      </w:r>
      <w:r w:rsidRPr="00952B34" w:rsidR="00D13998">
        <w:rPr>
          <w:rFonts w:ascii="Book Antiqua" w:hAnsi="Book Antiqua"/>
        </w:rPr>
        <w:t xml:space="preserve"> </w:t>
      </w:r>
      <w:r w:rsidRPr="00952B34" w:rsidR="003312C6">
        <w:rPr>
          <w:rFonts w:ascii="Book Antiqua" w:hAnsi="Book Antiqua"/>
        </w:rPr>
        <w:t xml:space="preserve">submitted </w:t>
      </w:r>
      <w:r w:rsidRPr="00952B34" w:rsidR="00CC6BDB">
        <w:rPr>
          <w:rFonts w:ascii="Book Antiqua" w:hAnsi="Book Antiqua"/>
        </w:rPr>
        <w:t>responsive data</w:t>
      </w:r>
      <w:r w:rsidRPr="00952B34" w:rsidR="001A02F9">
        <w:rPr>
          <w:rFonts w:ascii="Book Antiqua" w:hAnsi="Book Antiqua"/>
        </w:rPr>
        <w:t>, consisting</w:t>
      </w:r>
      <w:r w:rsidRPr="00952B34" w:rsidR="00CC6BDB">
        <w:rPr>
          <w:rFonts w:ascii="Book Antiqua" w:hAnsi="Book Antiqua"/>
        </w:rPr>
        <w:t xml:space="preserve"> of </w:t>
      </w:r>
      <w:r w:rsidRPr="00952B34" w:rsidR="003312C6">
        <w:rPr>
          <w:rFonts w:ascii="Book Antiqua" w:hAnsi="Book Antiqua"/>
        </w:rPr>
        <w:t>11 emails with 24 attachments.</w:t>
      </w:r>
      <w:r w:rsidR="00952B34">
        <w:rPr>
          <w:rFonts w:ascii="Book Antiqua" w:hAnsi="Book Antiqua"/>
        </w:rPr>
        <w:t xml:space="preserve"> </w:t>
      </w:r>
      <w:r w:rsidRPr="00952B34" w:rsidR="003312C6">
        <w:rPr>
          <w:rFonts w:ascii="Book Antiqua" w:hAnsi="Book Antiqua"/>
        </w:rPr>
        <w:t xml:space="preserve"> </w:t>
      </w:r>
      <w:r w:rsidRPr="00952B34" w:rsidR="00E42C7F">
        <w:rPr>
          <w:rFonts w:ascii="Book Antiqua" w:hAnsi="Book Antiqua"/>
        </w:rPr>
        <w:t xml:space="preserve">On October 2, 2019, </w:t>
      </w:r>
      <w:r w:rsidRPr="00952B34" w:rsidR="00D13998">
        <w:rPr>
          <w:rFonts w:ascii="Book Antiqua" w:hAnsi="Book Antiqua"/>
        </w:rPr>
        <w:t xml:space="preserve">Complainants </w:t>
      </w:r>
      <w:r w:rsidRPr="00952B34" w:rsidR="00E42C7F">
        <w:rPr>
          <w:rFonts w:ascii="Book Antiqua" w:hAnsi="Book Antiqua"/>
        </w:rPr>
        <w:t xml:space="preserve">filed comments </w:t>
      </w:r>
      <w:r w:rsidRPr="00952B34" w:rsidR="00EE6D18">
        <w:rPr>
          <w:rFonts w:ascii="Book Antiqua" w:hAnsi="Book Antiqua"/>
        </w:rPr>
        <w:t xml:space="preserve">regarding the submission of data </w:t>
      </w:r>
      <w:r w:rsidRPr="00952B34" w:rsidR="00E42C7F">
        <w:rPr>
          <w:rFonts w:ascii="Book Antiqua" w:hAnsi="Book Antiqua"/>
        </w:rPr>
        <w:t xml:space="preserve">in </w:t>
      </w:r>
      <w:r w:rsidRPr="00952B34" w:rsidR="00D13998">
        <w:rPr>
          <w:rFonts w:ascii="Book Antiqua" w:hAnsi="Book Antiqua"/>
        </w:rPr>
        <w:t>r</w:t>
      </w:r>
      <w:r w:rsidRPr="00952B34" w:rsidR="00E42C7F">
        <w:rPr>
          <w:rFonts w:ascii="Book Antiqua" w:hAnsi="Book Antiqua"/>
        </w:rPr>
        <w:t xml:space="preserve">esponse to </w:t>
      </w:r>
      <w:r w:rsidRPr="00952B34" w:rsidR="00EE6D18">
        <w:rPr>
          <w:rFonts w:ascii="Book Antiqua" w:hAnsi="Book Antiqua"/>
        </w:rPr>
        <w:t xml:space="preserve">the </w:t>
      </w:r>
      <w:r w:rsidRPr="00952B34" w:rsidR="00E42C7F">
        <w:rPr>
          <w:rFonts w:ascii="Book Antiqua" w:hAnsi="Book Antiqua"/>
        </w:rPr>
        <w:t>ALJ</w:t>
      </w:r>
      <w:r w:rsidRPr="00952B34" w:rsidR="00EE6D18">
        <w:rPr>
          <w:rFonts w:ascii="Book Antiqua" w:hAnsi="Book Antiqua"/>
        </w:rPr>
        <w:t xml:space="preserve">’s ruling. </w:t>
      </w:r>
    </w:p>
    <w:p w:rsidRPr="00952B34" w:rsidR="00D13998" w:rsidP="00D13998" w:rsidRDefault="00621319" w14:paraId="23F4405D" w14:textId="3DE8B7E4">
      <w:pPr>
        <w:pStyle w:val="standard"/>
        <w:rPr>
          <w:rFonts w:ascii="Book Antiqua" w:hAnsi="Book Antiqua"/>
        </w:rPr>
      </w:pPr>
      <w:r w:rsidRPr="00952B34">
        <w:rPr>
          <w:rFonts w:ascii="Book Antiqua" w:hAnsi="Book Antiqua"/>
        </w:rPr>
        <w:t xml:space="preserve">On December 5, 2019, </w:t>
      </w:r>
      <w:r w:rsidRPr="00952B34" w:rsidR="007B6A14">
        <w:rPr>
          <w:rFonts w:ascii="Book Antiqua" w:hAnsi="Book Antiqua"/>
        </w:rPr>
        <w:t xml:space="preserve">the </w:t>
      </w:r>
      <w:r w:rsidRPr="00952B34" w:rsidR="00845B8F">
        <w:rPr>
          <w:rFonts w:ascii="Book Antiqua" w:hAnsi="Book Antiqua"/>
        </w:rPr>
        <w:t xml:space="preserve">WD </w:t>
      </w:r>
      <w:r w:rsidRPr="00952B34">
        <w:rPr>
          <w:rFonts w:ascii="Book Antiqua" w:hAnsi="Book Antiqua"/>
        </w:rPr>
        <w:t xml:space="preserve">completed its analysis </w:t>
      </w:r>
      <w:r w:rsidRPr="00952B34" w:rsidR="00B862C0">
        <w:rPr>
          <w:rFonts w:ascii="Book Antiqua" w:hAnsi="Book Antiqua"/>
        </w:rPr>
        <w:t xml:space="preserve">of rates </w:t>
      </w:r>
      <w:r w:rsidRPr="00952B34">
        <w:rPr>
          <w:rFonts w:ascii="Book Antiqua" w:hAnsi="Book Antiqua"/>
        </w:rPr>
        <w:t>and</w:t>
      </w:r>
      <w:r w:rsidRPr="00952B34" w:rsidR="00CF7615">
        <w:rPr>
          <w:rFonts w:ascii="Book Antiqua" w:hAnsi="Book Antiqua"/>
        </w:rPr>
        <w:t xml:space="preserve"> </w:t>
      </w:r>
      <w:r w:rsidRPr="00952B34">
        <w:rPr>
          <w:rFonts w:ascii="Book Antiqua" w:hAnsi="Book Antiqua"/>
        </w:rPr>
        <w:t xml:space="preserve">returned a document titled “Rate Analysis Report” </w:t>
      </w:r>
      <w:r w:rsidRPr="00952B34" w:rsidR="00DE0378">
        <w:rPr>
          <w:rFonts w:ascii="Book Antiqua" w:hAnsi="Book Antiqua"/>
        </w:rPr>
        <w:t xml:space="preserve">(WD Report) </w:t>
      </w:r>
      <w:r w:rsidRPr="00952B34">
        <w:rPr>
          <w:rFonts w:ascii="Book Antiqua" w:hAnsi="Book Antiqua"/>
        </w:rPr>
        <w:t xml:space="preserve">to the assigned </w:t>
      </w:r>
      <w:r w:rsidRPr="00952B34" w:rsidR="00D13998">
        <w:rPr>
          <w:rFonts w:ascii="Book Antiqua" w:hAnsi="Book Antiqua"/>
        </w:rPr>
        <w:t>ALJ</w:t>
      </w:r>
      <w:r w:rsidRPr="00952B34">
        <w:rPr>
          <w:rFonts w:ascii="Book Antiqua" w:hAnsi="Book Antiqua"/>
        </w:rPr>
        <w:t xml:space="preserve">. </w:t>
      </w:r>
      <w:r w:rsidR="00952B34">
        <w:rPr>
          <w:rFonts w:ascii="Book Antiqua" w:hAnsi="Book Antiqua"/>
        </w:rPr>
        <w:t xml:space="preserve"> </w:t>
      </w:r>
      <w:r w:rsidRPr="00952B34">
        <w:rPr>
          <w:rFonts w:ascii="Book Antiqua" w:hAnsi="Book Antiqua"/>
        </w:rPr>
        <w:t xml:space="preserve">By </w:t>
      </w:r>
      <w:r w:rsidRPr="00952B34" w:rsidR="00B862C0">
        <w:rPr>
          <w:rFonts w:ascii="Book Antiqua" w:hAnsi="Book Antiqua"/>
        </w:rPr>
        <w:t xml:space="preserve">ALJ </w:t>
      </w:r>
      <w:r w:rsidRPr="00952B34">
        <w:rPr>
          <w:rFonts w:ascii="Book Antiqua" w:hAnsi="Book Antiqua"/>
        </w:rPr>
        <w:t xml:space="preserve">ruling </w:t>
      </w:r>
      <w:r w:rsidRPr="00952B34" w:rsidR="00D13998">
        <w:rPr>
          <w:rFonts w:ascii="Book Antiqua" w:hAnsi="Book Antiqua"/>
        </w:rPr>
        <w:t xml:space="preserve">on </w:t>
      </w:r>
      <w:r w:rsidRPr="00952B34">
        <w:rPr>
          <w:rFonts w:ascii="Book Antiqua" w:hAnsi="Book Antiqua"/>
        </w:rPr>
        <w:t xml:space="preserve">December 12, 2019, the </w:t>
      </w:r>
      <w:r w:rsidRPr="00952B34" w:rsidR="00D13998">
        <w:rPr>
          <w:rFonts w:ascii="Book Antiqua" w:hAnsi="Book Antiqua"/>
        </w:rPr>
        <w:t xml:space="preserve">WD </w:t>
      </w:r>
      <w:r w:rsidRPr="00952B34" w:rsidR="0024473B">
        <w:rPr>
          <w:rFonts w:ascii="Book Antiqua" w:hAnsi="Book Antiqua"/>
        </w:rPr>
        <w:t>R</w:t>
      </w:r>
      <w:r w:rsidRPr="00952B34">
        <w:rPr>
          <w:rFonts w:ascii="Book Antiqua" w:hAnsi="Book Antiqua"/>
        </w:rPr>
        <w:t>eport was entered into the record</w:t>
      </w:r>
      <w:r w:rsidRPr="00952B34" w:rsidR="007E1485">
        <w:rPr>
          <w:rFonts w:ascii="Book Antiqua" w:hAnsi="Book Antiqua"/>
        </w:rPr>
        <w:t xml:space="preserve"> and served on parties</w:t>
      </w:r>
      <w:r w:rsidRPr="00952B34" w:rsidR="00B862C0">
        <w:rPr>
          <w:rFonts w:ascii="Book Antiqua" w:hAnsi="Book Antiqua"/>
        </w:rPr>
        <w:t xml:space="preserve"> for review and comment</w:t>
      </w:r>
      <w:r w:rsidRPr="00952B34">
        <w:rPr>
          <w:rFonts w:ascii="Book Antiqua" w:hAnsi="Book Antiqua"/>
        </w:rPr>
        <w:t xml:space="preserve">. </w:t>
      </w:r>
      <w:r w:rsidRPr="00952B34" w:rsidR="007E1485">
        <w:rPr>
          <w:rFonts w:ascii="Book Antiqua" w:hAnsi="Book Antiqua"/>
        </w:rPr>
        <w:t xml:space="preserve"> </w:t>
      </w:r>
      <w:r w:rsidRPr="00952B34" w:rsidR="00D13998">
        <w:rPr>
          <w:rFonts w:ascii="Book Antiqua" w:hAnsi="Book Antiqua"/>
        </w:rPr>
        <w:t xml:space="preserve"> </w:t>
      </w:r>
    </w:p>
    <w:p w:rsidRPr="00952B34" w:rsidR="00442915" w:rsidP="00597055" w:rsidRDefault="00D13998" w14:paraId="02E3A668" w14:textId="51F02092">
      <w:pPr>
        <w:pStyle w:val="standard"/>
        <w:rPr>
          <w:rFonts w:ascii="Book Antiqua" w:hAnsi="Book Antiqua"/>
        </w:rPr>
      </w:pPr>
      <w:r w:rsidRPr="00952B34">
        <w:rPr>
          <w:rFonts w:ascii="Book Antiqua" w:hAnsi="Book Antiqua"/>
        </w:rPr>
        <w:t xml:space="preserve">Complainants </w:t>
      </w:r>
      <w:r w:rsidRPr="00952B34" w:rsidR="00621319">
        <w:rPr>
          <w:rFonts w:ascii="Book Antiqua" w:hAnsi="Book Antiqua"/>
        </w:rPr>
        <w:t xml:space="preserve">filed and served </w:t>
      </w:r>
      <w:r w:rsidRPr="00952B34" w:rsidR="00614E8A">
        <w:rPr>
          <w:rFonts w:ascii="Book Antiqua" w:hAnsi="Book Antiqua"/>
        </w:rPr>
        <w:t xml:space="preserve">an opening brief </w:t>
      </w:r>
      <w:r w:rsidRPr="00952B34" w:rsidR="00621319">
        <w:rPr>
          <w:rFonts w:ascii="Book Antiqua" w:hAnsi="Book Antiqua"/>
        </w:rPr>
        <w:t xml:space="preserve">on December 31, 2019.  </w:t>
      </w:r>
      <w:r w:rsidRPr="00952B34">
        <w:rPr>
          <w:rFonts w:ascii="Book Antiqua" w:hAnsi="Book Antiqua"/>
        </w:rPr>
        <w:t xml:space="preserve">Defendant </w:t>
      </w:r>
      <w:r w:rsidRPr="00952B34" w:rsidR="00372845">
        <w:rPr>
          <w:rFonts w:ascii="Book Antiqua" w:hAnsi="Book Antiqua"/>
        </w:rPr>
        <w:t xml:space="preserve">filed </w:t>
      </w:r>
      <w:r w:rsidRPr="00952B34" w:rsidR="00B862C0">
        <w:rPr>
          <w:rFonts w:ascii="Book Antiqua" w:hAnsi="Book Antiqua"/>
        </w:rPr>
        <w:t xml:space="preserve">and served a reply brief </w:t>
      </w:r>
      <w:r w:rsidRPr="00952B34" w:rsidR="00372845">
        <w:rPr>
          <w:rFonts w:ascii="Book Antiqua" w:hAnsi="Book Antiqua"/>
        </w:rPr>
        <w:t xml:space="preserve">on January 6, 2020. </w:t>
      </w:r>
      <w:r w:rsidRPr="00952B34" w:rsidR="00B862C0">
        <w:rPr>
          <w:rFonts w:ascii="Book Antiqua" w:hAnsi="Book Antiqua"/>
        </w:rPr>
        <w:t xml:space="preserve"> </w:t>
      </w:r>
      <w:r w:rsidRPr="00952B34" w:rsidR="00597055">
        <w:rPr>
          <w:rFonts w:ascii="Book Antiqua" w:hAnsi="Book Antiqua"/>
        </w:rPr>
        <w:t>This</w:t>
      </w:r>
      <w:r w:rsidRPr="00952B34" w:rsidR="00B862C0">
        <w:rPr>
          <w:rFonts w:ascii="Book Antiqua" w:hAnsi="Book Antiqua"/>
        </w:rPr>
        <w:t xml:space="preserve"> decision is issued based upon the record, </w:t>
      </w:r>
      <w:r w:rsidRPr="00952B34" w:rsidR="00DE0378">
        <w:rPr>
          <w:rFonts w:ascii="Book Antiqua" w:hAnsi="Book Antiqua"/>
        </w:rPr>
        <w:t xml:space="preserve">as described herein, </w:t>
      </w:r>
      <w:r w:rsidRPr="00952B34" w:rsidR="00B862C0">
        <w:rPr>
          <w:rFonts w:ascii="Book Antiqua" w:hAnsi="Book Antiqua"/>
        </w:rPr>
        <w:t xml:space="preserve">including the WD Report and </w:t>
      </w:r>
      <w:r w:rsidRPr="00952B34" w:rsidR="009553CB">
        <w:rPr>
          <w:rFonts w:ascii="Book Antiqua" w:hAnsi="Book Antiqua"/>
        </w:rPr>
        <w:t xml:space="preserve">parties’ </w:t>
      </w:r>
      <w:r w:rsidRPr="00952B34" w:rsidR="00B862C0">
        <w:rPr>
          <w:rFonts w:ascii="Book Antiqua" w:hAnsi="Book Antiqua"/>
        </w:rPr>
        <w:t xml:space="preserve">respective pleadings </w:t>
      </w:r>
      <w:r w:rsidRPr="00952B34" w:rsidR="009553CB">
        <w:rPr>
          <w:rFonts w:ascii="Book Antiqua" w:hAnsi="Book Antiqua"/>
        </w:rPr>
        <w:t>relating thereto</w:t>
      </w:r>
      <w:r w:rsidRPr="00952B34" w:rsidR="00B862C0">
        <w:rPr>
          <w:rFonts w:ascii="Book Antiqua" w:hAnsi="Book Antiqua"/>
        </w:rPr>
        <w:t xml:space="preserve">. </w:t>
      </w:r>
    </w:p>
    <w:p w:rsidRPr="00EC4C04" w:rsidR="00B30FF9" w:rsidP="00D21ECA" w:rsidRDefault="00B65E39" w14:paraId="727393E2" w14:textId="7FB88225">
      <w:pPr>
        <w:pStyle w:val="Heading1"/>
        <w:numPr>
          <w:ilvl w:val="0"/>
          <w:numId w:val="17"/>
        </w:numPr>
        <w:ind w:left="360"/>
        <w:rPr>
          <w:rFonts w:ascii="Arial" w:hAnsi="Arial"/>
        </w:rPr>
      </w:pPr>
      <w:bookmarkStart w:name="_Toc43914761" w:id="13"/>
      <w:r w:rsidRPr="00EC4C04">
        <w:rPr>
          <w:rFonts w:ascii="Arial" w:hAnsi="Arial"/>
        </w:rPr>
        <w:t xml:space="preserve">Scope of </w:t>
      </w:r>
      <w:r w:rsidRPr="00EC4C04" w:rsidR="00B30FF9">
        <w:rPr>
          <w:rFonts w:ascii="Arial" w:hAnsi="Arial"/>
        </w:rPr>
        <w:t>Jurisdiction</w:t>
      </w:r>
      <w:bookmarkEnd w:id="13"/>
      <w:r w:rsidRPr="00EC4C04" w:rsidR="00B30FF9">
        <w:rPr>
          <w:rFonts w:ascii="Arial" w:hAnsi="Arial"/>
        </w:rPr>
        <w:t xml:space="preserve"> </w:t>
      </w:r>
    </w:p>
    <w:p w:rsidRPr="00952B34" w:rsidR="00D964B2" w:rsidP="00D964B2" w:rsidRDefault="001A02F9" w14:paraId="60026551" w14:textId="57CC6F89">
      <w:pPr>
        <w:pStyle w:val="standard"/>
        <w:rPr>
          <w:rFonts w:ascii="Book Antiqua" w:hAnsi="Book Antiqua"/>
          <w:szCs w:val="26"/>
        </w:rPr>
      </w:pPr>
      <w:r w:rsidRPr="00952B34">
        <w:rPr>
          <w:rFonts w:ascii="Book Antiqua" w:hAnsi="Book Antiqua"/>
          <w:szCs w:val="26"/>
        </w:rPr>
        <w:t xml:space="preserve">Since this Complaint relates to rates and service provided by a mobile home park that serves </w:t>
      </w:r>
      <w:r w:rsidRPr="00952B34" w:rsidR="00DE0378">
        <w:rPr>
          <w:rFonts w:ascii="Book Antiqua" w:hAnsi="Book Antiqua"/>
          <w:szCs w:val="26"/>
        </w:rPr>
        <w:t xml:space="preserve">only </w:t>
      </w:r>
      <w:r w:rsidRPr="00952B34">
        <w:rPr>
          <w:rFonts w:ascii="Book Antiqua" w:hAnsi="Book Antiqua"/>
          <w:szCs w:val="26"/>
        </w:rPr>
        <w:t xml:space="preserve">its own tenants, </w:t>
      </w:r>
      <w:r w:rsidRPr="00952B34" w:rsidR="00D964B2">
        <w:rPr>
          <w:rFonts w:ascii="Book Antiqua" w:hAnsi="Book Antiqua"/>
          <w:szCs w:val="26"/>
        </w:rPr>
        <w:t xml:space="preserve">Commission jurisdiction </w:t>
      </w:r>
      <w:r w:rsidRPr="00952B34">
        <w:rPr>
          <w:rFonts w:ascii="Book Antiqua" w:hAnsi="Book Antiqua"/>
          <w:szCs w:val="26"/>
        </w:rPr>
        <w:t xml:space="preserve">is limited </w:t>
      </w:r>
      <w:r w:rsidRPr="00952B34" w:rsidR="00D964B2">
        <w:rPr>
          <w:rFonts w:ascii="Book Antiqua" w:hAnsi="Book Antiqua"/>
          <w:szCs w:val="26"/>
        </w:rPr>
        <w:t xml:space="preserve">to the extent delegated in </w:t>
      </w:r>
      <w:r w:rsidRPr="00952B34" w:rsidR="0088700E">
        <w:rPr>
          <w:rFonts w:ascii="Book Antiqua" w:hAnsi="Book Antiqua"/>
          <w:szCs w:val="26"/>
        </w:rPr>
        <w:t>§</w:t>
      </w:r>
      <w:r w:rsidRPr="00952B34" w:rsidR="00D964B2">
        <w:rPr>
          <w:rFonts w:ascii="Book Antiqua" w:hAnsi="Book Antiqua"/>
          <w:szCs w:val="26"/>
        </w:rPr>
        <w:t xml:space="preserve"> 2705.6 of the Public Utilities Code</w:t>
      </w:r>
      <w:r w:rsidRPr="00952B34" w:rsidR="00DE0378">
        <w:rPr>
          <w:rFonts w:ascii="Book Antiqua" w:hAnsi="Book Antiqua"/>
          <w:szCs w:val="26"/>
        </w:rPr>
        <w:t xml:space="preserve"> which states</w:t>
      </w:r>
      <w:r w:rsidRPr="00952B34" w:rsidR="00D964B2">
        <w:rPr>
          <w:rFonts w:ascii="Book Antiqua" w:hAnsi="Book Antiqua"/>
          <w:szCs w:val="26"/>
        </w:rPr>
        <w:t xml:space="preserve">: </w:t>
      </w:r>
    </w:p>
    <w:p w:rsidRPr="00D21ECA" w:rsidR="00F82802" w:rsidP="00D21ECA" w:rsidRDefault="00D964B2" w14:paraId="510ADF80" w14:textId="00C521B7">
      <w:pPr>
        <w:pStyle w:val="standard"/>
        <w:spacing w:after="120" w:line="240" w:lineRule="auto"/>
        <w:ind w:left="720" w:right="1440" w:firstLine="0"/>
        <w:rPr>
          <w:rFonts w:ascii="Book Antiqua" w:hAnsi="Book Antiqua" w:cs="Arial"/>
          <w:szCs w:val="26"/>
          <w:lang w:val="en"/>
        </w:rPr>
      </w:pPr>
      <w:bookmarkStart w:name="_Hlk30599424" w:id="14"/>
      <w:r w:rsidRPr="00952B34">
        <w:rPr>
          <w:rFonts w:ascii="Book Antiqua" w:hAnsi="Book Antiqua" w:cs="Arial"/>
          <w:szCs w:val="26"/>
          <w:lang w:val="en"/>
        </w:rPr>
        <w:t xml:space="preserve">A </w:t>
      </w:r>
      <w:proofErr w:type="spellStart"/>
      <w:r w:rsidRPr="00952B34">
        <w:rPr>
          <w:rFonts w:ascii="Book Antiqua" w:hAnsi="Book Antiqua" w:cs="Arial"/>
          <w:szCs w:val="26"/>
          <w:lang w:val="en"/>
        </w:rPr>
        <w:t>mobilehome</w:t>
      </w:r>
      <w:proofErr w:type="spellEnd"/>
      <w:r w:rsidRPr="00952B34">
        <w:rPr>
          <w:rFonts w:ascii="Book Antiqua" w:hAnsi="Book Antiqua" w:cs="Arial"/>
          <w:szCs w:val="26"/>
          <w:lang w:val="en"/>
        </w:rPr>
        <w:t xml:space="preserve"> park that provides water service only to its tenants from water supplies and facilities that it owns, not otherwise dedicated to public service, is not a water corporation. However, if a complaint is filed with the commission by tenants of the </w:t>
      </w:r>
      <w:proofErr w:type="spellStart"/>
      <w:r w:rsidRPr="00952B34">
        <w:rPr>
          <w:rFonts w:ascii="Book Antiqua" w:hAnsi="Book Antiqua" w:cs="Arial"/>
          <w:szCs w:val="26"/>
          <w:lang w:val="en"/>
        </w:rPr>
        <w:t>mobilehome</w:t>
      </w:r>
      <w:proofErr w:type="spellEnd"/>
      <w:r w:rsidRPr="00952B34">
        <w:rPr>
          <w:rFonts w:ascii="Book Antiqua" w:hAnsi="Book Antiqua" w:cs="Arial"/>
          <w:szCs w:val="26"/>
          <w:lang w:val="en"/>
        </w:rPr>
        <w:t xml:space="preserve"> park that represent 10 percent or more of the park’s water service connections during any 12-month period, claiming that the water rates charged by the park are not just and reasonable or that the service is inadequate, the commission shall have jurisdiction to determine the merits of the complaint and shall determine, based on all the facts and circumstances, whether the rates charged are just and reasonable and whether the service provided is adequate.</w:t>
      </w:r>
    </w:p>
    <w:p w:rsidRPr="00952B34" w:rsidR="00B30FF9" w:rsidP="00B65E39" w:rsidRDefault="001A02F9" w14:paraId="46306FDD" w14:textId="066A92D9">
      <w:pPr>
        <w:pStyle w:val="standard"/>
        <w:rPr>
          <w:rFonts w:ascii="Book Antiqua" w:hAnsi="Book Antiqua"/>
          <w:szCs w:val="26"/>
        </w:rPr>
      </w:pPr>
      <w:r w:rsidRPr="00952B34">
        <w:rPr>
          <w:rFonts w:ascii="Book Antiqua" w:hAnsi="Book Antiqua"/>
          <w:szCs w:val="26"/>
        </w:rPr>
        <w:t>Accordingly,</w:t>
      </w:r>
      <w:r w:rsidRPr="00952B34" w:rsidR="00DE0378">
        <w:rPr>
          <w:rFonts w:ascii="Book Antiqua" w:hAnsi="Book Antiqua"/>
          <w:szCs w:val="26"/>
        </w:rPr>
        <w:t xml:space="preserve"> </w:t>
      </w:r>
      <w:r w:rsidRPr="00952B34" w:rsidR="0088700E">
        <w:rPr>
          <w:rFonts w:ascii="Book Antiqua" w:hAnsi="Book Antiqua"/>
          <w:szCs w:val="26"/>
        </w:rPr>
        <w:t>§</w:t>
      </w:r>
      <w:r w:rsidRPr="00952B34" w:rsidR="00B862C0">
        <w:rPr>
          <w:rFonts w:ascii="Book Antiqua" w:hAnsi="Book Antiqua"/>
          <w:szCs w:val="26"/>
        </w:rPr>
        <w:t xml:space="preserve"> </w:t>
      </w:r>
      <w:r w:rsidRPr="00952B34" w:rsidR="00D964B2">
        <w:rPr>
          <w:rFonts w:ascii="Book Antiqua" w:hAnsi="Book Antiqua"/>
          <w:szCs w:val="26"/>
        </w:rPr>
        <w:t xml:space="preserve">2705.6 provides for the Commission to </w:t>
      </w:r>
      <w:r w:rsidRPr="00952B34" w:rsidR="00B65E39">
        <w:rPr>
          <w:rFonts w:ascii="Book Antiqua" w:hAnsi="Book Antiqua"/>
          <w:szCs w:val="26"/>
        </w:rPr>
        <w:t>adjudicate the issues</w:t>
      </w:r>
      <w:r w:rsidRPr="00952B34" w:rsidR="00DE0378">
        <w:rPr>
          <w:rFonts w:ascii="Book Antiqua" w:hAnsi="Book Antiqua"/>
          <w:szCs w:val="26"/>
        </w:rPr>
        <w:t xml:space="preserve"> </w:t>
      </w:r>
      <w:r w:rsidRPr="00952B34" w:rsidR="00B65E39">
        <w:rPr>
          <w:rFonts w:ascii="Book Antiqua" w:hAnsi="Book Antiqua"/>
          <w:szCs w:val="26"/>
        </w:rPr>
        <w:t>as identified in the Scoping Memo</w:t>
      </w:r>
      <w:r w:rsidRPr="00952B34" w:rsidR="0093240B">
        <w:rPr>
          <w:rFonts w:ascii="Book Antiqua" w:hAnsi="Book Antiqua"/>
          <w:szCs w:val="26"/>
        </w:rPr>
        <w:t xml:space="preserve">. </w:t>
      </w:r>
      <w:r w:rsidR="00D21ECA">
        <w:rPr>
          <w:rFonts w:ascii="Book Antiqua" w:hAnsi="Book Antiqua"/>
          <w:szCs w:val="26"/>
        </w:rPr>
        <w:t xml:space="preserve"> </w:t>
      </w:r>
      <w:r w:rsidRPr="00952B34" w:rsidR="00D964B2">
        <w:rPr>
          <w:rFonts w:ascii="Book Antiqua" w:hAnsi="Book Antiqua"/>
          <w:szCs w:val="26"/>
        </w:rPr>
        <w:t xml:space="preserve">The Commission does not have jurisdiction, however, to evaluate the rates </w:t>
      </w:r>
      <w:r w:rsidRPr="00952B34" w:rsidR="00561AE3">
        <w:rPr>
          <w:rFonts w:ascii="Book Antiqua" w:hAnsi="Book Antiqua"/>
          <w:szCs w:val="26"/>
        </w:rPr>
        <w:t xml:space="preserve">that Leisure Lake ME </w:t>
      </w:r>
      <w:r w:rsidRPr="00952B34" w:rsidR="00D964B2">
        <w:rPr>
          <w:rFonts w:ascii="Book Antiqua" w:hAnsi="Book Antiqua"/>
          <w:szCs w:val="26"/>
        </w:rPr>
        <w:t>charge</w:t>
      </w:r>
      <w:r w:rsidRPr="00952B34" w:rsidR="00561AE3">
        <w:rPr>
          <w:rFonts w:ascii="Book Antiqua" w:hAnsi="Book Antiqua"/>
          <w:szCs w:val="26"/>
        </w:rPr>
        <w:t>s</w:t>
      </w:r>
      <w:r w:rsidRPr="00952B34" w:rsidR="00D964B2">
        <w:rPr>
          <w:rFonts w:ascii="Book Antiqua" w:hAnsi="Book Antiqua"/>
          <w:szCs w:val="26"/>
        </w:rPr>
        <w:t xml:space="preserve"> for sewer service, </w:t>
      </w:r>
      <w:r w:rsidRPr="00952B34" w:rsidR="00561AE3">
        <w:rPr>
          <w:rFonts w:ascii="Book Antiqua" w:hAnsi="Book Antiqua"/>
          <w:szCs w:val="26"/>
        </w:rPr>
        <w:lastRenderedPageBreak/>
        <w:t xml:space="preserve">nor </w:t>
      </w:r>
      <w:r w:rsidRPr="00952B34" w:rsidR="00B65E39">
        <w:rPr>
          <w:rFonts w:ascii="Book Antiqua" w:hAnsi="Book Antiqua"/>
          <w:szCs w:val="26"/>
        </w:rPr>
        <w:t>t</w:t>
      </w:r>
      <w:r w:rsidRPr="00952B34" w:rsidR="00D964B2">
        <w:rPr>
          <w:rFonts w:ascii="Book Antiqua" w:hAnsi="Book Antiqua"/>
          <w:szCs w:val="26"/>
        </w:rPr>
        <w:t>o evaluate whether Defendant is providing appropriate low-income rates to eligible tenants.</w:t>
      </w:r>
      <w:r w:rsidRPr="00952B34" w:rsidR="00560ACC">
        <w:rPr>
          <w:rFonts w:ascii="Book Antiqua" w:hAnsi="Book Antiqua"/>
          <w:szCs w:val="26"/>
        </w:rPr>
        <w:t xml:space="preserve">  </w:t>
      </w:r>
      <w:r w:rsidRPr="00952B34" w:rsidR="0093240B">
        <w:rPr>
          <w:rFonts w:ascii="Book Antiqua" w:hAnsi="Book Antiqua"/>
          <w:szCs w:val="26"/>
        </w:rPr>
        <w:t xml:space="preserve">Also, as discussed below, rent control and tenants issues are beyond the scope of the proceeding.  </w:t>
      </w:r>
      <w:r w:rsidRPr="00952B34" w:rsidR="00560ACC">
        <w:rPr>
          <w:rFonts w:ascii="Book Antiqua" w:hAnsi="Book Antiqua"/>
          <w:szCs w:val="26"/>
        </w:rPr>
        <w:t xml:space="preserve">Accordingly, </w:t>
      </w:r>
      <w:r w:rsidRPr="00952B34" w:rsidR="00597055">
        <w:rPr>
          <w:rFonts w:ascii="Book Antiqua" w:hAnsi="Book Antiqua"/>
          <w:szCs w:val="26"/>
        </w:rPr>
        <w:t xml:space="preserve">this decision </w:t>
      </w:r>
      <w:r w:rsidRPr="00952B34" w:rsidR="00560ACC">
        <w:rPr>
          <w:rFonts w:ascii="Book Antiqua" w:hAnsi="Book Antiqua"/>
          <w:szCs w:val="26"/>
        </w:rPr>
        <w:t>make</w:t>
      </w:r>
      <w:r w:rsidRPr="00952B34" w:rsidR="00597055">
        <w:rPr>
          <w:rFonts w:ascii="Book Antiqua" w:hAnsi="Book Antiqua"/>
          <w:szCs w:val="26"/>
        </w:rPr>
        <w:t>s</w:t>
      </w:r>
      <w:r w:rsidRPr="00952B34" w:rsidR="00560ACC">
        <w:rPr>
          <w:rFonts w:ascii="Book Antiqua" w:hAnsi="Book Antiqua"/>
          <w:szCs w:val="26"/>
        </w:rPr>
        <w:t xml:space="preserve"> no findings or disposition with respect to claims</w:t>
      </w:r>
      <w:r w:rsidRPr="00952B34" w:rsidR="0093240B">
        <w:rPr>
          <w:rFonts w:ascii="Book Antiqua" w:hAnsi="Book Antiqua"/>
          <w:szCs w:val="26"/>
        </w:rPr>
        <w:t xml:space="preserve"> dealing with such issues</w:t>
      </w:r>
      <w:r w:rsidRPr="00952B34" w:rsidR="00560ACC">
        <w:rPr>
          <w:rFonts w:ascii="Book Antiqua" w:hAnsi="Book Antiqua"/>
          <w:szCs w:val="26"/>
        </w:rPr>
        <w:t>.</w:t>
      </w:r>
      <w:bookmarkEnd w:id="14"/>
    </w:p>
    <w:p w:rsidRPr="00952B34" w:rsidR="00CF7615" w:rsidP="00A7488D" w:rsidRDefault="00C41A25" w14:paraId="0E340432" w14:textId="26EF0B17">
      <w:pPr>
        <w:pStyle w:val="standard"/>
        <w:rPr>
          <w:rFonts w:ascii="Book Antiqua" w:hAnsi="Book Antiqua" w:cs="LiberationMono"/>
          <w:color w:val="000000"/>
          <w:szCs w:val="26"/>
        </w:rPr>
      </w:pPr>
      <w:r w:rsidRPr="00952B34">
        <w:rPr>
          <w:rFonts w:ascii="Book Antiqua" w:hAnsi="Book Antiqua"/>
          <w:szCs w:val="26"/>
        </w:rPr>
        <w:t>As identified in the Scoping Memo, t</w:t>
      </w:r>
      <w:r w:rsidRPr="00952B34" w:rsidR="00CF7615">
        <w:rPr>
          <w:rFonts w:ascii="Book Antiqua" w:hAnsi="Book Antiqua"/>
          <w:szCs w:val="26"/>
        </w:rPr>
        <w:t xml:space="preserve">he </w:t>
      </w:r>
      <w:r w:rsidRPr="00952B34" w:rsidR="00B65E39">
        <w:rPr>
          <w:rFonts w:ascii="Book Antiqua" w:hAnsi="Book Antiqua"/>
          <w:szCs w:val="26"/>
        </w:rPr>
        <w:t xml:space="preserve">relevant </w:t>
      </w:r>
      <w:r w:rsidRPr="00952B34" w:rsidR="00CF7615">
        <w:rPr>
          <w:rFonts w:ascii="Book Antiqua" w:hAnsi="Book Antiqua"/>
          <w:szCs w:val="26"/>
        </w:rPr>
        <w:t xml:space="preserve">issues to be </w:t>
      </w:r>
      <w:r w:rsidRPr="00952B34" w:rsidR="00B65E39">
        <w:rPr>
          <w:rFonts w:ascii="Book Antiqua" w:hAnsi="Book Antiqua"/>
          <w:szCs w:val="26"/>
        </w:rPr>
        <w:t xml:space="preserve">resolved </w:t>
      </w:r>
      <w:r w:rsidRPr="00952B34" w:rsidR="00A7488D">
        <w:rPr>
          <w:rFonts w:ascii="Book Antiqua" w:hAnsi="Book Antiqua"/>
          <w:szCs w:val="26"/>
        </w:rPr>
        <w:t xml:space="preserve">in this proceeding </w:t>
      </w:r>
      <w:r w:rsidRPr="00952B34" w:rsidR="00CF7615">
        <w:rPr>
          <w:rFonts w:ascii="Book Antiqua" w:hAnsi="Book Antiqua"/>
          <w:szCs w:val="26"/>
        </w:rPr>
        <w:t>are</w:t>
      </w:r>
      <w:r w:rsidRPr="00952B34" w:rsidR="0093240B">
        <w:rPr>
          <w:rFonts w:ascii="Book Antiqua" w:hAnsi="Book Antiqua"/>
          <w:szCs w:val="26"/>
        </w:rPr>
        <w:t xml:space="preserve"> limited to the following</w:t>
      </w:r>
      <w:r w:rsidRPr="00952B34" w:rsidR="00CF7615">
        <w:rPr>
          <w:rFonts w:ascii="Book Antiqua" w:hAnsi="Book Antiqua"/>
          <w:szCs w:val="26"/>
        </w:rPr>
        <w:t>:</w:t>
      </w:r>
    </w:p>
    <w:p w:rsidRPr="00D21ECA" w:rsidR="00CF7615" w:rsidP="00D21ECA" w:rsidRDefault="00267952" w14:paraId="7D387778" w14:textId="3BD245BC">
      <w:pPr>
        <w:pStyle w:val="standard"/>
        <w:numPr>
          <w:ilvl w:val="0"/>
          <w:numId w:val="18"/>
        </w:numPr>
        <w:spacing w:after="120" w:line="240" w:lineRule="auto"/>
        <w:ind w:left="1080" w:right="1440"/>
        <w:rPr>
          <w:rFonts w:ascii="Book Antiqua" w:hAnsi="Book Antiqua"/>
          <w:szCs w:val="26"/>
        </w:rPr>
      </w:pPr>
      <w:r w:rsidRPr="00D21ECA">
        <w:rPr>
          <w:rFonts w:ascii="Book Antiqua" w:hAnsi="Book Antiqua"/>
          <w:szCs w:val="26"/>
        </w:rPr>
        <w:t xml:space="preserve">Are </w:t>
      </w:r>
      <w:r w:rsidRPr="00D21ECA" w:rsidR="00CF7615">
        <w:rPr>
          <w:rFonts w:ascii="Book Antiqua" w:hAnsi="Book Antiqua"/>
          <w:szCs w:val="26"/>
        </w:rPr>
        <w:t xml:space="preserve">the water rates charged by Leisure Lakes </w:t>
      </w:r>
      <w:r w:rsidRPr="00D21ECA" w:rsidR="00C41A25">
        <w:rPr>
          <w:rFonts w:ascii="Book Antiqua" w:hAnsi="Book Antiqua"/>
          <w:szCs w:val="26"/>
        </w:rPr>
        <w:t xml:space="preserve">ME </w:t>
      </w:r>
      <w:r w:rsidRPr="00D21ECA" w:rsidR="00CF7615">
        <w:rPr>
          <w:rFonts w:ascii="Book Antiqua" w:hAnsi="Book Antiqua"/>
          <w:szCs w:val="26"/>
        </w:rPr>
        <w:t>just</w:t>
      </w:r>
      <w:r w:rsidRPr="00D21ECA" w:rsidR="00D21ECA">
        <w:rPr>
          <w:rFonts w:ascii="Book Antiqua" w:hAnsi="Book Antiqua"/>
          <w:szCs w:val="26"/>
        </w:rPr>
        <w:t xml:space="preserve"> </w:t>
      </w:r>
      <w:r w:rsidRPr="00D21ECA" w:rsidR="00CF7615">
        <w:rPr>
          <w:rFonts w:ascii="Book Antiqua" w:hAnsi="Book Antiqua"/>
          <w:szCs w:val="26"/>
        </w:rPr>
        <w:t>and reasonable?</w:t>
      </w:r>
    </w:p>
    <w:p w:rsidRPr="00D21ECA" w:rsidR="00267952" w:rsidP="00D21ECA" w:rsidRDefault="00267952" w14:paraId="740956A1" w14:textId="7922DD36">
      <w:pPr>
        <w:pStyle w:val="standard"/>
        <w:numPr>
          <w:ilvl w:val="0"/>
          <w:numId w:val="18"/>
        </w:numPr>
        <w:spacing w:after="120" w:line="240" w:lineRule="auto"/>
        <w:ind w:left="1080" w:right="1440"/>
        <w:rPr>
          <w:rFonts w:ascii="Book Antiqua" w:hAnsi="Book Antiqua"/>
          <w:szCs w:val="26"/>
        </w:rPr>
      </w:pPr>
      <w:r w:rsidRPr="00D21ECA">
        <w:rPr>
          <w:rFonts w:ascii="Book Antiqua" w:hAnsi="Book Antiqua"/>
          <w:szCs w:val="26"/>
        </w:rPr>
        <w:t xml:space="preserve">Should </w:t>
      </w:r>
      <w:r w:rsidRPr="00D21ECA" w:rsidR="00CF7615">
        <w:rPr>
          <w:rFonts w:ascii="Book Antiqua" w:hAnsi="Book Antiqua"/>
          <w:szCs w:val="26"/>
        </w:rPr>
        <w:t xml:space="preserve">the rates charged by Leisure Lakes </w:t>
      </w:r>
      <w:r w:rsidRPr="00D21ECA" w:rsidR="00C41A25">
        <w:rPr>
          <w:rFonts w:ascii="Book Antiqua" w:hAnsi="Book Antiqua"/>
          <w:szCs w:val="26"/>
        </w:rPr>
        <w:t xml:space="preserve">ME </w:t>
      </w:r>
      <w:r w:rsidRPr="00D21ECA" w:rsidR="00CF7615">
        <w:rPr>
          <w:rFonts w:ascii="Book Antiqua" w:hAnsi="Book Antiqua"/>
          <w:szCs w:val="26"/>
        </w:rPr>
        <w:t>be</w:t>
      </w:r>
      <w:r w:rsidRPr="00D21ECA" w:rsidR="00D21ECA">
        <w:rPr>
          <w:rFonts w:ascii="Book Antiqua" w:hAnsi="Book Antiqua"/>
          <w:szCs w:val="26"/>
        </w:rPr>
        <w:t xml:space="preserve"> </w:t>
      </w:r>
      <w:r w:rsidRPr="00D21ECA" w:rsidR="00CF7615">
        <w:rPr>
          <w:rFonts w:ascii="Book Antiqua" w:hAnsi="Book Antiqua"/>
          <w:szCs w:val="26"/>
        </w:rPr>
        <w:t>modified?</w:t>
      </w:r>
    </w:p>
    <w:p w:rsidRPr="00D21ECA" w:rsidR="00F82802" w:rsidP="00D21ECA" w:rsidRDefault="00267952" w14:paraId="03F4187B" w14:textId="10AA62F2">
      <w:pPr>
        <w:pStyle w:val="standard"/>
        <w:numPr>
          <w:ilvl w:val="0"/>
          <w:numId w:val="18"/>
        </w:numPr>
        <w:spacing w:after="120" w:line="240" w:lineRule="auto"/>
        <w:ind w:left="1080" w:right="1440"/>
        <w:rPr>
          <w:rFonts w:ascii="Book Antiqua" w:hAnsi="Book Antiqua"/>
          <w:szCs w:val="26"/>
        </w:rPr>
      </w:pPr>
      <w:r w:rsidRPr="00D21ECA">
        <w:rPr>
          <w:rFonts w:ascii="Book Antiqua" w:hAnsi="Book Antiqua"/>
          <w:szCs w:val="26"/>
        </w:rPr>
        <w:t>Are</w:t>
      </w:r>
      <w:r w:rsidRPr="00D21ECA" w:rsidR="00CF7615">
        <w:rPr>
          <w:rFonts w:ascii="Book Antiqua" w:hAnsi="Book Antiqua"/>
          <w:szCs w:val="26"/>
        </w:rPr>
        <w:t xml:space="preserve"> complainants due any reimbursement due to</w:t>
      </w:r>
      <w:r w:rsidRPr="00D21ECA" w:rsidR="00D21ECA">
        <w:rPr>
          <w:rFonts w:ascii="Book Antiqua" w:hAnsi="Book Antiqua"/>
          <w:szCs w:val="26"/>
        </w:rPr>
        <w:t xml:space="preserve"> </w:t>
      </w:r>
      <w:r w:rsidRPr="00D21ECA" w:rsidR="00CF7615">
        <w:rPr>
          <w:rFonts w:ascii="Book Antiqua" w:hAnsi="Book Antiqua"/>
          <w:szCs w:val="26"/>
        </w:rPr>
        <w:t>excessive rates and if so, in what amounts?</w:t>
      </w:r>
    </w:p>
    <w:p w:rsidRPr="00D21ECA" w:rsidR="00267952" w:rsidP="00D21ECA" w:rsidRDefault="00267952" w14:paraId="3D70ED14" w14:textId="41451B9C">
      <w:pPr>
        <w:pStyle w:val="standard"/>
        <w:numPr>
          <w:ilvl w:val="0"/>
          <w:numId w:val="18"/>
        </w:numPr>
        <w:spacing w:after="120" w:line="240" w:lineRule="auto"/>
        <w:ind w:left="1080" w:right="1440"/>
        <w:rPr>
          <w:rFonts w:ascii="Book Antiqua" w:hAnsi="Book Antiqua"/>
          <w:szCs w:val="26"/>
        </w:rPr>
      </w:pPr>
      <w:r w:rsidRPr="00D21ECA">
        <w:rPr>
          <w:rFonts w:ascii="Book Antiqua" w:hAnsi="Book Antiqua"/>
          <w:szCs w:val="26"/>
        </w:rPr>
        <w:t xml:space="preserve">Has </w:t>
      </w:r>
      <w:r w:rsidRPr="00D21ECA" w:rsidR="00CF7615">
        <w:rPr>
          <w:rFonts w:ascii="Book Antiqua" w:hAnsi="Book Antiqua"/>
          <w:szCs w:val="26"/>
        </w:rPr>
        <w:t>Leisure Lakes violated provisions of</w:t>
      </w:r>
      <w:r w:rsidRPr="00D21ECA" w:rsidR="000E4509">
        <w:rPr>
          <w:rFonts w:ascii="Book Antiqua" w:hAnsi="Book Antiqua"/>
          <w:szCs w:val="26"/>
        </w:rPr>
        <w:t xml:space="preserve"> </w:t>
      </w:r>
      <w:r w:rsidRPr="00D21ECA" w:rsidR="0088700E">
        <w:rPr>
          <w:rFonts w:ascii="Book Antiqua" w:hAnsi="Book Antiqua"/>
          <w:szCs w:val="26"/>
        </w:rPr>
        <w:t>Pub. Util. Code §</w:t>
      </w:r>
      <w:r w:rsidR="00D21ECA">
        <w:rPr>
          <w:rFonts w:ascii="Book Antiqua" w:hAnsi="Book Antiqua"/>
          <w:szCs w:val="26"/>
        </w:rPr>
        <w:t> </w:t>
      </w:r>
      <w:r w:rsidRPr="00D21ECA" w:rsidR="00CF7615">
        <w:rPr>
          <w:rFonts w:ascii="Book Antiqua" w:hAnsi="Book Antiqua"/>
          <w:szCs w:val="26"/>
        </w:rPr>
        <w:t>2705.6 by failing to provide notices to new tenants</w:t>
      </w:r>
      <w:r w:rsidRPr="00D21ECA" w:rsidR="000E4509">
        <w:rPr>
          <w:rFonts w:ascii="Book Antiqua" w:hAnsi="Book Antiqua"/>
          <w:szCs w:val="26"/>
        </w:rPr>
        <w:t xml:space="preserve"> </w:t>
      </w:r>
      <w:r w:rsidRPr="00D21ECA" w:rsidR="00CF7615">
        <w:rPr>
          <w:rFonts w:ascii="Book Antiqua" w:hAnsi="Book Antiqua"/>
          <w:szCs w:val="26"/>
        </w:rPr>
        <w:t>at the time they establish service and each time that Leisure</w:t>
      </w:r>
      <w:r w:rsidRPr="00D21ECA" w:rsidR="000E4509">
        <w:rPr>
          <w:rFonts w:ascii="Book Antiqua" w:hAnsi="Book Antiqua"/>
          <w:szCs w:val="26"/>
        </w:rPr>
        <w:t xml:space="preserve"> </w:t>
      </w:r>
      <w:r w:rsidRPr="00D21ECA" w:rsidR="00CF7615">
        <w:rPr>
          <w:rFonts w:ascii="Book Antiqua" w:hAnsi="Book Antiqua"/>
          <w:szCs w:val="26"/>
        </w:rPr>
        <w:t>Lakes changes water service or rates</w:t>
      </w:r>
      <w:r w:rsidRPr="00D21ECA">
        <w:rPr>
          <w:rFonts w:ascii="Book Antiqua" w:hAnsi="Book Antiqua"/>
          <w:szCs w:val="26"/>
        </w:rPr>
        <w:t xml:space="preserve">?  If </w:t>
      </w:r>
      <w:r w:rsidRPr="00D21ECA" w:rsidR="00CF7615">
        <w:rPr>
          <w:rFonts w:ascii="Book Antiqua" w:hAnsi="Book Antiqua"/>
          <w:szCs w:val="26"/>
        </w:rPr>
        <w:t>so, should</w:t>
      </w:r>
      <w:r w:rsidRPr="00D21ECA" w:rsidR="008638FC">
        <w:rPr>
          <w:rFonts w:ascii="Book Antiqua" w:hAnsi="Book Antiqua"/>
          <w:szCs w:val="26"/>
        </w:rPr>
        <w:t xml:space="preserve"> Leisure Lakes be subject to a fine and if so, what amount?</w:t>
      </w:r>
    </w:p>
    <w:p w:rsidRPr="00D21ECA" w:rsidR="00395561" w:rsidP="00D21ECA" w:rsidRDefault="00267952" w14:paraId="12F33FBB" w14:textId="0E9CCBA5">
      <w:pPr>
        <w:pStyle w:val="standard"/>
        <w:numPr>
          <w:ilvl w:val="0"/>
          <w:numId w:val="18"/>
        </w:numPr>
        <w:spacing w:after="120" w:line="240" w:lineRule="auto"/>
        <w:ind w:left="1080" w:right="1440"/>
        <w:rPr>
          <w:rFonts w:ascii="Book Antiqua" w:hAnsi="Book Antiqua"/>
          <w:szCs w:val="26"/>
        </w:rPr>
      </w:pPr>
      <w:r w:rsidRPr="00D21ECA">
        <w:rPr>
          <w:rFonts w:ascii="Book Antiqua" w:hAnsi="Book Antiqua"/>
          <w:szCs w:val="26"/>
        </w:rPr>
        <w:t xml:space="preserve">Has </w:t>
      </w:r>
      <w:r w:rsidRPr="00D21ECA" w:rsidR="00CF7615">
        <w:rPr>
          <w:rFonts w:ascii="Book Antiqua" w:hAnsi="Book Antiqua"/>
          <w:szCs w:val="26"/>
        </w:rPr>
        <w:t>Leisure Lakes</w:t>
      </w:r>
      <w:r w:rsidRPr="00D21ECA" w:rsidR="00CF7615">
        <w:rPr>
          <w:rFonts w:ascii="Book Antiqua" w:hAnsi="Book Antiqua" w:cs="BookAntiqua"/>
          <w:szCs w:val="26"/>
        </w:rPr>
        <w:t xml:space="preserve"> </w:t>
      </w:r>
      <w:r w:rsidRPr="00D21ECA" w:rsidR="00CF7615">
        <w:rPr>
          <w:rFonts w:ascii="Book Antiqua" w:hAnsi="Book Antiqua"/>
          <w:szCs w:val="26"/>
        </w:rPr>
        <w:t>violated the provisions of</w:t>
      </w:r>
      <w:r w:rsidRPr="00D21ECA" w:rsidR="000E4509">
        <w:rPr>
          <w:rFonts w:ascii="Book Antiqua" w:hAnsi="Book Antiqua"/>
          <w:szCs w:val="26"/>
        </w:rPr>
        <w:t xml:space="preserve"> </w:t>
      </w:r>
      <w:r w:rsidRPr="00D21ECA" w:rsidR="0088700E">
        <w:rPr>
          <w:rFonts w:ascii="Book Antiqua" w:hAnsi="Book Antiqua"/>
          <w:szCs w:val="26"/>
        </w:rPr>
        <w:t>Pub. Util. Code §</w:t>
      </w:r>
      <w:r w:rsidRPr="00D21ECA" w:rsidR="00CF7615">
        <w:rPr>
          <w:rFonts w:ascii="Book Antiqua" w:hAnsi="Book Antiqua"/>
          <w:szCs w:val="26"/>
        </w:rPr>
        <w:t xml:space="preserve"> 2705.6 by failing to provide tenants of their right to</w:t>
      </w:r>
      <w:r w:rsidRPr="00D21ECA" w:rsidR="000E4509">
        <w:rPr>
          <w:rFonts w:ascii="Book Antiqua" w:hAnsi="Book Antiqua"/>
          <w:szCs w:val="26"/>
        </w:rPr>
        <w:t xml:space="preserve"> </w:t>
      </w:r>
      <w:r w:rsidRPr="00D21ECA" w:rsidR="00CF7615">
        <w:rPr>
          <w:rFonts w:ascii="Book Antiqua" w:hAnsi="Book Antiqua"/>
          <w:szCs w:val="26"/>
        </w:rPr>
        <w:t xml:space="preserve">file a complaint with the </w:t>
      </w:r>
      <w:r w:rsidRPr="00D21ECA">
        <w:rPr>
          <w:rFonts w:ascii="Book Antiqua" w:hAnsi="Book Antiqua"/>
          <w:szCs w:val="26"/>
        </w:rPr>
        <w:t xml:space="preserve">Commission?  If </w:t>
      </w:r>
      <w:r w:rsidRPr="00D21ECA" w:rsidR="00CF7615">
        <w:rPr>
          <w:rFonts w:ascii="Book Antiqua" w:hAnsi="Book Antiqua"/>
          <w:szCs w:val="26"/>
        </w:rPr>
        <w:t>so, should Leisure Lakes be subject to a fine and</w:t>
      </w:r>
      <w:r w:rsidRPr="00D21ECA">
        <w:rPr>
          <w:rFonts w:ascii="Book Antiqua" w:hAnsi="Book Antiqua"/>
          <w:szCs w:val="26"/>
        </w:rPr>
        <w:t xml:space="preserve"> of what amount</w:t>
      </w:r>
      <w:r w:rsidRPr="00D21ECA" w:rsidR="00CF7615">
        <w:rPr>
          <w:rFonts w:ascii="Book Antiqua" w:hAnsi="Book Antiqua"/>
          <w:szCs w:val="26"/>
        </w:rPr>
        <w:t>?</w:t>
      </w:r>
    </w:p>
    <w:p w:rsidRPr="00D21ECA" w:rsidR="00CC6BDB" w:rsidP="00D21ECA" w:rsidRDefault="00267952" w14:paraId="14FF423C" w14:textId="406A4006">
      <w:pPr>
        <w:pStyle w:val="standard"/>
        <w:numPr>
          <w:ilvl w:val="0"/>
          <w:numId w:val="18"/>
        </w:numPr>
        <w:spacing w:after="120" w:line="240" w:lineRule="auto"/>
        <w:ind w:left="1080" w:right="1440"/>
        <w:rPr>
          <w:rFonts w:ascii="Book Antiqua" w:hAnsi="Book Antiqua"/>
          <w:szCs w:val="26"/>
        </w:rPr>
      </w:pPr>
      <w:r w:rsidRPr="00D21ECA">
        <w:rPr>
          <w:rFonts w:ascii="Book Antiqua" w:hAnsi="Book Antiqua"/>
          <w:szCs w:val="26"/>
        </w:rPr>
        <w:t xml:space="preserve">Do </w:t>
      </w:r>
      <w:r w:rsidRPr="00D21ECA" w:rsidR="00CF7615">
        <w:rPr>
          <w:rFonts w:ascii="Book Antiqua" w:hAnsi="Book Antiqua"/>
          <w:szCs w:val="26"/>
        </w:rPr>
        <w:t>any safety issues need to be</w:t>
      </w:r>
      <w:r w:rsidRPr="00D21ECA" w:rsidR="005E1C07">
        <w:rPr>
          <w:rFonts w:ascii="Book Antiqua" w:hAnsi="Book Antiqua"/>
          <w:szCs w:val="26"/>
        </w:rPr>
        <w:t xml:space="preserve"> </w:t>
      </w:r>
      <w:r w:rsidRPr="00D21ECA" w:rsidR="00CF7615">
        <w:rPr>
          <w:rFonts w:ascii="Book Antiqua" w:hAnsi="Book Antiqua"/>
          <w:szCs w:val="26"/>
        </w:rPr>
        <w:t xml:space="preserve">addressed pursuant to </w:t>
      </w:r>
      <w:r w:rsidRPr="00D21ECA" w:rsidR="0088700E">
        <w:rPr>
          <w:rFonts w:ascii="Book Antiqua" w:hAnsi="Book Antiqua"/>
          <w:szCs w:val="26"/>
        </w:rPr>
        <w:t>Pub.</w:t>
      </w:r>
      <w:r w:rsidR="00D21ECA">
        <w:rPr>
          <w:rFonts w:ascii="Book Antiqua" w:hAnsi="Book Antiqua"/>
          <w:szCs w:val="26"/>
        </w:rPr>
        <w:t> </w:t>
      </w:r>
      <w:r w:rsidRPr="00D21ECA" w:rsidR="0088700E">
        <w:rPr>
          <w:rFonts w:ascii="Book Antiqua" w:hAnsi="Book Antiqua"/>
          <w:szCs w:val="26"/>
        </w:rPr>
        <w:t>Util. Code §</w:t>
      </w:r>
      <w:r w:rsidRPr="00D21ECA" w:rsidR="00CF7615">
        <w:rPr>
          <w:rFonts w:ascii="Book Antiqua" w:hAnsi="Book Antiqua"/>
          <w:szCs w:val="26"/>
        </w:rPr>
        <w:t xml:space="preserve"> 451</w:t>
      </w:r>
      <w:r w:rsidRPr="00D21ECA">
        <w:rPr>
          <w:rFonts w:ascii="Book Antiqua" w:hAnsi="Book Antiqua"/>
          <w:szCs w:val="26"/>
        </w:rPr>
        <w:t>?</w:t>
      </w:r>
    </w:p>
    <w:p w:rsidRPr="00D21ECA" w:rsidR="00CC6BDB" w:rsidP="00D21ECA" w:rsidRDefault="00CC6BDB" w14:paraId="57B1361E" w14:textId="094E41E1">
      <w:pPr>
        <w:pStyle w:val="Heading1"/>
        <w:numPr>
          <w:ilvl w:val="0"/>
          <w:numId w:val="17"/>
        </w:numPr>
        <w:spacing w:before="0"/>
        <w:ind w:left="360" w:right="1440"/>
        <w:rPr>
          <w:rFonts w:ascii="Arial" w:hAnsi="Arial" w:cs="Arial"/>
        </w:rPr>
      </w:pPr>
      <w:bookmarkStart w:name="_Toc43914762" w:id="15"/>
      <w:r w:rsidRPr="00D21ECA">
        <w:rPr>
          <w:rFonts w:ascii="Arial" w:hAnsi="Arial" w:cs="Arial"/>
        </w:rPr>
        <w:t>Motion to Dismiss</w:t>
      </w:r>
      <w:bookmarkEnd w:id="15"/>
      <w:r w:rsidRPr="00D21ECA">
        <w:rPr>
          <w:rFonts w:ascii="Arial" w:hAnsi="Arial" w:cs="Arial"/>
        </w:rPr>
        <w:t xml:space="preserve"> </w:t>
      </w:r>
    </w:p>
    <w:p w:rsidRPr="00952B34" w:rsidR="009C2214" w:rsidP="0063008B" w:rsidRDefault="00A976F2" w14:paraId="0B49652A" w14:textId="1B802D55">
      <w:pPr>
        <w:pStyle w:val="standard"/>
        <w:rPr>
          <w:rFonts w:ascii="Book Antiqua" w:hAnsi="Book Antiqua"/>
          <w:szCs w:val="26"/>
        </w:rPr>
      </w:pPr>
      <w:r w:rsidRPr="00952B34">
        <w:rPr>
          <w:rFonts w:ascii="Book Antiqua" w:hAnsi="Book Antiqua"/>
          <w:szCs w:val="26"/>
        </w:rPr>
        <w:t xml:space="preserve">As noted above, </w:t>
      </w:r>
      <w:r w:rsidRPr="00952B34" w:rsidR="000E5903">
        <w:rPr>
          <w:rFonts w:ascii="Book Antiqua" w:hAnsi="Book Antiqua"/>
          <w:szCs w:val="26"/>
        </w:rPr>
        <w:t xml:space="preserve">Defendant </w:t>
      </w:r>
      <w:r w:rsidRPr="00952B34" w:rsidR="00267952">
        <w:rPr>
          <w:rFonts w:ascii="Book Antiqua" w:hAnsi="Book Antiqua"/>
          <w:szCs w:val="26"/>
        </w:rPr>
        <w:t xml:space="preserve">filed a Motion </w:t>
      </w:r>
      <w:r w:rsidRPr="00952B34" w:rsidR="00B65E39">
        <w:rPr>
          <w:rFonts w:ascii="Book Antiqua" w:hAnsi="Book Antiqua"/>
          <w:szCs w:val="26"/>
        </w:rPr>
        <w:t>to Dismis</w:t>
      </w:r>
      <w:r w:rsidRPr="00952B34" w:rsidR="00DE0378">
        <w:rPr>
          <w:rFonts w:ascii="Book Antiqua" w:hAnsi="Book Antiqua"/>
          <w:szCs w:val="26"/>
        </w:rPr>
        <w:t>s</w:t>
      </w:r>
      <w:r w:rsidRPr="00952B34" w:rsidR="00267952">
        <w:rPr>
          <w:rFonts w:ascii="Book Antiqua" w:hAnsi="Book Antiqua"/>
          <w:szCs w:val="26"/>
        </w:rPr>
        <w:t xml:space="preserve"> based on allegations regarding Complainants’ behavior</w:t>
      </w:r>
      <w:r w:rsidRPr="00952B34" w:rsidR="005A63E8">
        <w:rPr>
          <w:rFonts w:ascii="Book Antiqua" w:hAnsi="Book Antiqua"/>
          <w:szCs w:val="26"/>
        </w:rPr>
        <w:t xml:space="preserve">.  Defendant </w:t>
      </w:r>
      <w:r w:rsidRPr="00952B34" w:rsidR="000E5903">
        <w:rPr>
          <w:rFonts w:ascii="Book Antiqua" w:hAnsi="Book Antiqua"/>
          <w:szCs w:val="26"/>
        </w:rPr>
        <w:t xml:space="preserve">argues that </w:t>
      </w:r>
      <w:r w:rsidRPr="00952B34" w:rsidR="00B65E39">
        <w:rPr>
          <w:rFonts w:ascii="Book Antiqua" w:hAnsi="Book Antiqua"/>
          <w:szCs w:val="26"/>
        </w:rPr>
        <w:t xml:space="preserve">summary dismissal with prejudice is warranted based on </w:t>
      </w:r>
      <w:r w:rsidRPr="00952B34" w:rsidR="00267952">
        <w:rPr>
          <w:rFonts w:ascii="Book Antiqua" w:hAnsi="Book Antiqua"/>
          <w:szCs w:val="26"/>
        </w:rPr>
        <w:t xml:space="preserve">Complainants </w:t>
      </w:r>
      <w:r w:rsidRPr="00952B34" w:rsidR="00B65E39">
        <w:rPr>
          <w:rFonts w:ascii="Book Antiqua" w:hAnsi="Book Antiqua"/>
          <w:szCs w:val="26"/>
        </w:rPr>
        <w:t xml:space="preserve">behavior.  Defendant claims Complainants </w:t>
      </w:r>
      <w:r w:rsidRPr="00952B34" w:rsidR="000E5903">
        <w:rPr>
          <w:rFonts w:ascii="Book Antiqua" w:hAnsi="Book Antiqua"/>
          <w:szCs w:val="26"/>
        </w:rPr>
        <w:t xml:space="preserve">ignored repeated warnings from Commission </w:t>
      </w:r>
      <w:r w:rsidRPr="00952B34" w:rsidR="00803FFC">
        <w:rPr>
          <w:rFonts w:ascii="Book Antiqua" w:hAnsi="Book Antiqua"/>
          <w:szCs w:val="26"/>
        </w:rPr>
        <w:t xml:space="preserve">staff </w:t>
      </w:r>
      <w:r w:rsidRPr="00952B34" w:rsidR="000E5903">
        <w:rPr>
          <w:rFonts w:ascii="Book Antiqua" w:hAnsi="Book Antiqua"/>
          <w:szCs w:val="26"/>
        </w:rPr>
        <w:t xml:space="preserve">and </w:t>
      </w:r>
      <w:r w:rsidRPr="00952B34" w:rsidR="00803FFC">
        <w:rPr>
          <w:rFonts w:ascii="Book Antiqua" w:hAnsi="Book Antiqua"/>
          <w:szCs w:val="26"/>
        </w:rPr>
        <w:t xml:space="preserve">the assigned </w:t>
      </w:r>
      <w:r w:rsidRPr="00952B34" w:rsidR="000E5903">
        <w:rPr>
          <w:rFonts w:ascii="Book Antiqua" w:hAnsi="Book Antiqua"/>
          <w:szCs w:val="26"/>
        </w:rPr>
        <w:t xml:space="preserve">ALJ regarding improper communications. </w:t>
      </w:r>
      <w:r w:rsidR="00D21ECA">
        <w:rPr>
          <w:rFonts w:ascii="Book Antiqua" w:hAnsi="Book Antiqua"/>
          <w:szCs w:val="26"/>
        </w:rPr>
        <w:t xml:space="preserve"> </w:t>
      </w:r>
      <w:r w:rsidRPr="00952B34" w:rsidR="009C2214">
        <w:rPr>
          <w:rFonts w:ascii="Book Antiqua" w:hAnsi="Book Antiqua"/>
          <w:szCs w:val="26"/>
        </w:rPr>
        <w:t xml:space="preserve">Defendant </w:t>
      </w:r>
      <w:r w:rsidRPr="00952B34" w:rsidR="00803FFC">
        <w:rPr>
          <w:rFonts w:ascii="Book Antiqua" w:hAnsi="Book Antiqua"/>
          <w:szCs w:val="26"/>
        </w:rPr>
        <w:t xml:space="preserve">also </w:t>
      </w:r>
      <w:r w:rsidRPr="00952B34" w:rsidR="009C2214">
        <w:rPr>
          <w:rFonts w:ascii="Book Antiqua" w:hAnsi="Book Antiqua"/>
          <w:szCs w:val="26"/>
        </w:rPr>
        <w:t xml:space="preserve">claims that </w:t>
      </w:r>
      <w:r w:rsidRPr="00952B34" w:rsidR="00561AE3">
        <w:rPr>
          <w:rFonts w:ascii="Book Antiqua" w:hAnsi="Book Antiqua"/>
          <w:szCs w:val="26"/>
        </w:rPr>
        <w:t>Complainants</w:t>
      </w:r>
      <w:r w:rsidRPr="00952B34" w:rsidR="000E5903">
        <w:rPr>
          <w:rFonts w:ascii="Book Antiqua" w:hAnsi="Book Antiqua"/>
          <w:szCs w:val="26"/>
        </w:rPr>
        <w:t xml:space="preserve"> </w:t>
      </w:r>
      <w:r w:rsidRPr="00952B34" w:rsidR="00267952">
        <w:rPr>
          <w:rFonts w:ascii="Book Antiqua" w:hAnsi="Book Antiqua"/>
          <w:szCs w:val="26"/>
        </w:rPr>
        <w:t xml:space="preserve">used </w:t>
      </w:r>
      <w:r w:rsidRPr="00952B34" w:rsidR="000E5903">
        <w:rPr>
          <w:rFonts w:ascii="Book Antiqua" w:hAnsi="Book Antiqua"/>
          <w:szCs w:val="26"/>
        </w:rPr>
        <w:t xml:space="preserve">an administrative procedure to </w:t>
      </w:r>
      <w:r w:rsidRPr="00952B34" w:rsidR="00395561">
        <w:rPr>
          <w:rFonts w:ascii="Book Antiqua" w:hAnsi="Book Antiqua"/>
          <w:szCs w:val="26"/>
        </w:rPr>
        <w:t>“</w:t>
      </w:r>
      <w:r w:rsidRPr="00952B34" w:rsidR="000E5903">
        <w:rPr>
          <w:rFonts w:ascii="Book Antiqua" w:hAnsi="Book Antiqua"/>
          <w:szCs w:val="26"/>
        </w:rPr>
        <w:t>harass</w:t>
      </w:r>
      <w:r w:rsidRPr="00952B34" w:rsidR="009C2214">
        <w:rPr>
          <w:rFonts w:ascii="Book Antiqua" w:hAnsi="Book Antiqua"/>
          <w:szCs w:val="26"/>
        </w:rPr>
        <w:t xml:space="preserve"> </w:t>
      </w:r>
      <w:r w:rsidRPr="00952B34" w:rsidR="000E5903">
        <w:rPr>
          <w:rFonts w:ascii="Book Antiqua" w:hAnsi="Book Antiqua"/>
          <w:szCs w:val="26"/>
        </w:rPr>
        <w:t>and disparage</w:t>
      </w:r>
      <w:r w:rsidRPr="00952B34" w:rsidR="00395561">
        <w:rPr>
          <w:rFonts w:ascii="Book Antiqua" w:hAnsi="Book Antiqua"/>
          <w:szCs w:val="26"/>
        </w:rPr>
        <w:t xml:space="preserve">” </w:t>
      </w:r>
      <w:r w:rsidRPr="00952B34" w:rsidR="00CC6BDB">
        <w:rPr>
          <w:rFonts w:ascii="Book Antiqua" w:hAnsi="Book Antiqua"/>
          <w:szCs w:val="26"/>
        </w:rPr>
        <w:t xml:space="preserve">Defendant </w:t>
      </w:r>
      <w:r w:rsidRPr="00952B34" w:rsidR="000E5903">
        <w:rPr>
          <w:rFonts w:ascii="Book Antiqua" w:hAnsi="Book Antiqua"/>
          <w:szCs w:val="26"/>
        </w:rPr>
        <w:t xml:space="preserve">without regard to procedural rules. </w:t>
      </w:r>
      <w:r w:rsidRPr="00952B34" w:rsidR="00CC6BDB">
        <w:rPr>
          <w:rFonts w:ascii="Book Antiqua" w:hAnsi="Book Antiqua"/>
          <w:szCs w:val="26"/>
        </w:rPr>
        <w:t xml:space="preserve"> Defendant </w:t>
      </w:r>
      <w:r w:rsidRPr="00952B34" w:rsidR="00F82802">
        <w:rPr>
          <w:rFonts w:ascii="Book Antiqua" w:hAnsi="Book Antiqua"/>
          <w:szCs w:val="26"/>
        </w:rPr>
        <w:t>additionally</w:t>
      </w:r>
      <w:r w:rsidRPr="00952B34" w:rsidR="00803FFC">
        <w:rPr>
          <w:rFonts w:ascii="Book Antiqua" w:hAnsi="Book Antiqua"/>
          <w:szCs w:val="26"/>
        </w:rPr>
        <w:t xml:space="preserve"> </w:t>
      </w:r>
      <w:r w:rsidRPr="00952B34" w:rsidR="00CC6BDB">
        <w:rPr>
          <w:rFonts w:ascii="Book Antiqua" w:hAnsi="Book Antiqua"/>
          <w:szCs w:val="26"/>
        </w:rPr>
        <w:t xml:space="preserve">claims </w:t>
      </w:r>
      <w:r w:rsidRPr="00952B34" w:rsidR="00CC6BDB">
        <w:rPr>
          <w:rFonts w:ascii="Book Antiqua" w:hAnsi="Book Antiqua"/>
          <w:szCs w:val="26"/>
        </w:rPr>
        <w:lastRenderedPageBreak/>
        <w:t xml:space="preserve">that </w:t>
      </w:r>
      <w:r w:rsidRPr="00952B34" w:rsidR="00561AE3">
        <w:rPr>
          <w:rFonts w:ascii="Book Antiqua" w:hAnsi="Book Antiqua"/>
          <w:szCs w:val="26"/>
        </w:rPr>
        <w:t>Complainants</w:t>
      </w:r>
      <w:r w:rsidRPr="00952B34" w:rsidR="000E5903">
        <w:rPr>
          <w:rFonts w:ascii="Book Antiqua" w:hAnsi="Book Antiqua"/>
          <w:szCs w:val="26"/>
        </w:rPr>
        <w:t xml:space="preserve"> repeatedly tried to present their case in improper</w:t>
      </w:r>
      <w:r w:rsidRPr="00952B34" w:rsidR="009C2214">
        <w:rPr>
          <w:rFonts w:ascii="Book Antiqua" w:hAnsi="Book Antiqua"/>
          <w:szCs w:val="26"/>
        </w:rPr>
        <w:t xml:space="preserve"> emails and proposed filings resulting in prejudice to </w:t>
      </w:r>
      <w:r w:rsidRPr="00952B34" w:rsidR="00CC6BDB">
        <w:rPr>
          <w:rFonts w:ascii="Book Antiqua" w:hAnsi="Book Antiqua"/>
          <w:szCs w:val="26"/>
        </w:rPr>
        <w:t>Defendant</w:t>
      </w:r>
      <w:r w:rsidRPr="00952B34" w:rsidR="009C2214">
        <w:rPr>
          <w:rFonts w:ascii="Book Antiqua" w:hAnsi="Book Antiqua"/>
          <w:szCs w:val="26"/>
        </w:rPr>
        <w:t xml:space="preserve">. </w:t>
      </w:r>
      <w:r w:rsidRPr="00952B34" w:rsidR="006D59C5">
        <w:rPr>
          <w:rFonts w:ascii="Book Antiqua" w:hAnsi="Book Antiqua"/>
          <w:szCs w:val="26"/>
        </w:rPr>
        <w:t xml:space="preserve"> Defendant </w:t>
      </w:r>
      <w:r w:rsidRPr="00952B34" w:rsidR="00803FFC">
        <w:rPr>
          <w:rFonts w:ascii="Book Antiqua" w:hAnsi="Book Antiqua"/>
          <w:szCs w:val="26"/>
        </w:rPr>
        <w:t xml:space="preserve">also </w:t>
      </w:r>
      <w:r w:rsidRPr="00952B34" w:rsidR="006D59C5">
        <w:rPr>
          <w:rFonts w:ascii="Book Antiqua" w:hAnsi="Book Antiqua"/>
          <w:szCs w:val="26"/>
        </w:rPr>
        <w:t>claims that Complainants far exceeded commenting on whether the data submitted is accurate and attempted to have their own evidence introduced</w:t>
      </w:r>
      <w:r w:rsidRPr="00952B34" w:rsidR="0063008B">
        <w:rPr>
          <w:rFonts w:ascii="Book Antiqua" w:hAnsi="Book Antiqua"/>
          <w:szCs w:val="26"/>
        </w:rPr>
        <w:t xml:space="preserve">.  </w:t>
      </w:r>
      <w:r w:rsidRPr="00952B34" w:rsidR="00803FFC">
        <w:rPr>
          <w:rFonts w:ascii="Book Antiqua" w:hAnsi="Book Antiqua"/>
          <w:szCs w:val="26"/>
        </w:rPr>
        <w:t>Finally</w:t>
      </w:r>
      <w:r w:rsidR="00566F2D">
        <w:rPr>
          <w:rFonts w:ascii="Book Antiqua" w:hAnsi="Book Antiqua"/>
          <w:szCs w:val="26"/>
        </w:rPr>
        <w:t>,</w:t>
      </w:r>
      <w:r w:rsidRPr="00952B34" w:rsidR="00803FFC">
        <w:rPr>
          <w:rFonts w:ascii="Book Antiqua" w:hAnsi="Book Antiqua"/>
          <w:szCs w:val="26"/>
        </w:rPr>
        <w:t xml:space="preserve"> the </w:t>
      </w:r>
      <w:r w:rsidRPr="00952B34" w:rsidR="0063008B">
        <w:rPr>
          <w:rFonts w:ascii="Book Antiqua" w:hAnsi="Book Antiqua"/>
          <w:szCs w:val="26"/>
        </w:rPr>
        <w:t xml:space="preserve">Defendant claims that Complainants </w:t>
      </w:r>
      <w:r w:rsidRPr="00952B34" w:rsidR="006D59C5">
        <w:rPr>
          <w:rFonts w:ascii="Book Antiqua" w:hAnsi="Book Antiqua"/>
          <w:szCs w:val="26"/>
        </w:rPr>
        <w:t>argue</w:t>
      </w:r>
      <w:r w:rsidRPr="00952B34" w:rsidR="0063008B">
        <w:rPr>
          <w:rFonts w:ascii="Book Antiqua" w:hAnsi="Book Antiqua"/>
          <w:szCs w:val="26"/>
        </w:rPr>
        <w:t>d</w:t>
      </w:r>
      <w:r w:rsidRPr="00952B34" w:rsidR="006D59C5">
        <w:rPr>
          <w:rFonts w:ascii="Book Antiqua" w:hAnsi="Book Antiqua"/>
          <w:szCs w:val="26"/>
        </w:rPr>
        <w:t xml:space="preserve"> their</w:t>
      </w:r>
      <w:r w:rsidRPr="00952B34" w:rsidR="0063008B">
        <w:rPr>
          <w:rFonts w:ascii="Book Antiqua" w:hAnsi="Book Antiqua"/>
          <w:szCs w:val="26"/>
        </w:rPr>
        <w:t xml:space="preserve"> </w:t>
      </w:r>
      <w:r w:rsidRPr="00952B34" w:rsidR="006D59C5">
        <w:rPr>
          <w:rFonts w:ascii="Book Antiqua" w:hAnsi="Book Antiqua"/>
          <w:szCs w:val="26"/>
        </w:rPr>
        <w:t xml:space="preserve">position outside the hearing room in violation of Rule 1 and </w:t>
      </w:r>
      <w:r w:rsidRPr="00952B34" w:rsidR="0088700E">
        <w:rPr>
          <w:rFonts w:ascii="Book Antiqua" w:hAnsi="Book Antiqua"/>
          <w:szCs w:val="26"/>
        </w:rPr>
        <w:t>§</w:t>
      </w:r>
      <w:r w:rsidRPr="00952B34" w:rsidR="006D59C5">
        <w:rPr>
          <w:rFonts w:ascii="Book Antiqua" w:hAnsi="Book Antiqua"/>
          <w:szCs w:val="26"/>
        </w:rPr>
        <w:t xml:space="preserve"> 2113 of the</w:t>
      </w:r>
      <w:r w:rsidRPr="00952B34" w:rsidR="0063008B">
        <w:rPr>
          <w:rFonts w:ascii="Book Antiqua" w:hAnsi="Book Antiqua"/>
          <w:szCs w:val="26"/>
        </w:rPr>
        <w:t xml:space="preserve"> </w:t>
      </w:r>
      <w:r w:rsidRPr="00952B34" w:rsidR="006D59C5">
        <w:rPr>
          <w:rFonts w:ascii="Book Antiqua" w:hAnsi="Book Antiqua"/>
          <w:szCs w:val="26"/>
        </w:rPr>
        <w:t>Public Utilities Code</w:t>
      </w:r>
      <w:r w:rsidRPr="00952B34" w:rsidR="0063008B">
        <w:rPr>
          <w:rStyle w:val="FootnoteReference"/>
          <w:rFonts w:ascii="Book Antiqua" w:hAnsi="Book Antiqua"/>
          <w:sz w:val="26"/>
          <w:szCs w:val="26"/>
        </w:rPr>
        <w:footnoteReference w:id="6"/>
      </w:r>
      <w:r w:rsidRPr="00952B34" w:rsidR="006D59C5">
        <w:rPr>
          <w:rFonts w:ascii="Book Antiqua" w:hAnsi="Book Antiqua"/>
          <w:szCs w:val="26"/>
        </w:rPr>
        <w:t xml:space="preserve">.  </w:t>
      </w:r>
      <w:r w:rsidRPr="00952B34" w:rsidR="00C41A25">
        <w:rPr>
          <w:rFonts w:ascii="Book Antiqua" w:hAnsi="Book Antiqua"/>
          <w:szCs w:val="26"/>
        </w:rPr>
        <w:t xml:space="preserve">Defendant </w:t>
      </w:r>
      <w:r w:rsidRPr="00952B34" w:rsidR="0063008B">
        <w:rPr>
          <w:rFonts w:ascii="Book Antiqua" w:hAnsi="Book Antiqua"/>
          <w:szCs w:val="26"/>
        </w:rPr>
        <w:t xml:space="preserve">seeks </w:t>
      </w:r>
      <w:r w:rsidRPr="00952B34" w:rsidR="00C41A25">
        <w:rPr>
          <w:rFonts w:ascii="Book Antiqua" w:hAnsi="Book Antiqua"/>
          <w:szCs w:val="26"/>
        </w:rPr>
        <w:t xml:space="preserve">summary dismissal to prevent further damage to its reputation. </w:t>
      </w:r>
    </w:p>
    <w:p w:rsidRPr="00952B34" w:rsidR="006D59C5" w:rsidP="006D59C5" w:rsidRDefault="006D59C5" w14:paraId="5AAC93FC" w14:textId="0DA868A4">
      <w:pPr>
        <w:pStyle w:val="standard"/>
        <w:rPr>
          <w:rFonts w:ascii="Book Antiqua" w:hAnsi="Book Antiqua"/>
          <w:szCs w:val="26"/>
        </w:rPr>
      </w:pPr>
      <w:r w:rsidRPr="00952B34">
        <w:rPr>
          <w:rFonts w:ascii="Book Antiqua" w:hAnsi="Book Antiqua"/>
          <w:szCs w:val="26"/>
        </w:rPr>
        <w:t>Defendant claim</w:t>
      </w:r>
      <w:r w:rsidRPr="00952B34" w:rsidR="00803FFC">
        <w:rPr>
          <w:rFonts w:ascii="Book Antiqua" w:hAnsi="Book Antiqua"/>
          <w:szCs w:val="26"/>
        </w:rPr>
        <w:t>s</w:t>
      </w:r>
      <w:r w:rsidRPr="00952B34" w:rsidR="005325C5">
        <w:rPr>
          <w:rFonts w:ascii="Book Antiqua" w:hAnsi="Book Antiqua"/>
          <w:szCs w:val="26"/>
        </w:rPr>
        <w:t xml:space="preserve"> </w:t>
      </w:r>
      <w:r w:rsidRPr="00952B34">
        <w:rPr>
          <w:rFonts w:ascii="Book Antiqua" w:hAnsi="Book Antiqua"/>
          <w:szCs w:val="26"/>
        </w:rPr>
        <w:t xml:space="preserve">that Complainants misled the Staff by providing unverified information of its own and trying to subvert the proper investigation of his matter. </w:t>
      </w:r>
      <w:r w:rsidR="00D21ECA">
        <w:rPr>
          <w:rFonts w:ascii="Book Antiqua" w:hAnsi="Book Antiqua"/>
          <w:szCs w:val="26"/>
        </w:rPr>
        <w:t xml:space="preserve"> </w:t>
      </w:r>
      <w:r w:rsidRPr="00952B34" w:rsidR="0093240B">
        <w:rPr>
          <w:rFonts w:ascii="Book Antiqua" w:hAnsi="Book Antiqua"/>
          <w:szCs w:val="26"/>
        </w:rPr>
        <w:t xml:space="preserve">A person who violates Rule 1.1 may be sanctioned in accordance with Code </w:t>
      </w:r>
      <w:r w:rsidRPr="00952B34" w:rsidR="0088700E">
        <w:rPr>
          <w:rFonts w:ascii="Book Antiqua" w:hAnsi="Book Antiqua"/>
          <w:szCs w:val="26"/>
        </w:rPr>
        <w:t>§</w:t>
      </w:r>
      <w:r w:rsidRPr="00952B34" w:rsidR="0093240B">
        <w:rPr>
          <w:rFonts w:ascii="Book Antiqua" w:hAnsi="Book Antiqua"/>
          <w:szCs w:val="26"/>
        </w:rPr>
        <w:t xml:space="preserve"> 2107.  </w:t>
      </w:r>
    </w:p>
    <w:p w:rsidRPr="00952B34" w:rsidR="000E5903" w:rsidP="00D21ECA" w:rsidRDefault="000E5903" w14:paraId="5DAC33F7" w14:textId="205F9FAA">
      <w:pPr>
        <w:pStyle w:val="standard"/>
        <w:rPr>
          <w:rFonts w:ascii="Book Antiqua" w:hAnsi="Book Antiqua"/>
        </w:rPr>
      </w:pPr>
      <w:r w:rsidRPr="00952B34">
        <w:rPr>
          <w:rFonts w:ascii="Book Antiqua" w:hAnsi="Book Antiqua"/>
          <w:szCs w:val="26"/>
        </w:rPr>
        <w:t xml:space="preserve">Complainants </w:t>
      </w:r>
      <w:r w:rsidRPr="00952B34" w:rsidR="0093240B">
        <w:rPr>
          <w:rFonts w:ascii="Book Antiqua" w:hAnsi="Book Antiqua"/>
          <w:szCs w:val="26"/>
        </w:rPr>
        <w:t xml:space="preserve">oppose the </w:t>
      </w:r>
      <w:r w:rsidRPr="00952B34" w:rsidR="00C41A25">
        <w:rPr>
          <w:rFonts w:ascii="Book Antiqua" w:hAnsi="Book Antiqua"/>
          <w:szCs w:val="26"/>
        </w:rPr>
        <w:t>Motion</w:t>
      </w:r>
      <w:r w:rsidRPr="00952B34" w:rsidR="0093240B">
        <w:rPr>
          <w:rFonts w:ascii="Book Antiqua" w:hAnsi="Book Antiqua"/>
          <w:szCs w:val="26"/>
        </w:rPr>
        <w:t xml:space="preserve">, arguing that the Defendant </w:t>
      </w:r>
      <w:r w:rsidRPr="00952B34">
        <w:rPr>
          <w:rFonts w:ascii="Book Antiqua" w:hAnsi="Book Antiqua"/>
          <w:szCs w:val="26"/>
        </w:rPr>
        <w:t xml:space="preserve">attempts to justify dismissal by attacking </w:t>
      </w:r>
      <w:r w:rsidRPr="00952B34" w:rsidR="00561AE3">
        <w:rPr>
          <w:rFonts w:ascii="Book Antiqua" w:hAnsi="Book Antiqua"/>
          <w:szCs w:val="26"/>
        </w:rPr>
        <w:t xml:space="preserve">their </w:t>
      </w:r>
      <w:r w:rsidRPr="00952B34">
        <w:rPr>
          <w:rFonts w:ascii="Book Antiqua" w:hAnsi="Book Antiqua"/>
          <w:szCs w:val="26"/>
        </w:rPr>
        <w:t>participation in the</w:t>
      </w:r>
      <w:r w:rsidRPr="00952B34" w:rsidR="009C2214">
        <w:rPr>
          <w:rFonts w:ascii="Book Antiqua" w:hAnsi="Book Antiqua"/>
          <w:szCs w:val="26"/>
        </w:rPr>
        <w:t xml:space="preserve"> </w:t>
      </w:r>
      <w:r w:rsidRPr="00952B34">
        <w:rPr>
          <w:rFonts w:ascii="Book Antiqua" w:hAnsi="Book Antiqua"/>
          <w:szCs w:val="26"/>
        </w:rPr>
        <w:t xml:space="preserve">process and casting aspersions on </w:t>
      </w:r>
      <w:r w:rsidRPr="00952B34" w:rsidR="00D42B99">
        <w:rPr>
          <w:rFonts w:ascii="Book Antiqua" w:hAnsi="Book Antiqua"/>
          <w:szCs w:val="26"/>
        </w:rPr>
        <w:t xml:space="preserve">their </w:t>
      </w:r>
      <w:r w:rsidRPr="00952B34">
        <w:rPr>
          <w:rFonts w:ascii="Book Antiqua" w:hAnsi="Book Antiqua"/>
          <w:szCs w:val="26"/>
        </w:rPr>
        <w:t xml:space="preserve">veracity. Complainants </w:t>
      </w:r>
      <w:r w:rsidRPr="00952B34" w:rsidR="00D42B99">
        <w:rPr>
          <w:rFonts w:ascii="Book Antiqua" w:hAnsi="Book Antiqua"/>
          <w:szCs w:val="26"/>
        </w:rPr>
        <w:t xml:space="preserve">claim that </w:t>
      </w:r>
      <w:r w:rsidRPr="00952B34">
        <w:rPr>
          <w:rFonts w:ascii="Book Antiqua" w:hAnsi="Book Antiqua"/>
          <w:szCs w:val="26"/>
        </w:rPr>
        <w:t>Defendants engag</w:t>
      </w:r>
      <w:r w:rsidRPr="00952B34" w:rsidR="00D42B99">
        <w:rPr>
          <w:rFonts w:ascii="Book Antiqua" w:hAnsi="Book Antiqua"/>
          <w:szCs w:val="26"/>
        </w:rPr>
        <w:t>ed</w:t>
      </w:r>
      <w:r w:rsidRPr="00952B34">
        <w:rPr>
          <w:rFonts w:ascii="Book Antiqua" w:hAnsi="Book Antiqua"/>
          <w:szCs w:val="26"/>
        </w:rPr>
        <w:t xml:space="preserve"> in personal ad hominin and procedural attacks rather than presenting facts mitigating Defendant’s violation of AB</w:t>
      </w:r>
      <w:r w:rsidRPr="00952B34" w:rsidR="00561AE3">
        <w:rPr>
          <w:rFonts w:ascii="Book Antiqua" w:hAnsi="Book Antiqua"/>
          <w:szCs w:val="26"/>
        </w:rPr>
        <w:t xml:space="preserve"> </w:t>
      </w:r>
      <w:r w:rsidRPr="00952B34">
        <w:rPr>
          <w:rFonts w:ascii="Book Antiqua" w:hAnsi="Book Antiqua"/>
          <w:szCs w:val="26"/>
        </w:rPr>
        <w:t xml:space="preserve">1830.  </w:t>
      </w:r>
      <w:r w:rsidRPr="00952B34" w:rsidR="009C2214">
        <w:rPr>
          <w:rFonts w:ascii="Book Antiqua" w:hAnsi="Book Antiqua"/>
          <w:szCs w:val="26"/>
        </w:rPr>
        <w:t xml:space="preserve"> </w:t>
      </w:r>
      <w:r w:rsidRPr="00952B34">
        <w:rPr>
          <w:rFonts w:ascii="Book Antiqua" w:hAnsi="Book Antiqua"/>
          <w:szCs w:val="26"/>
        </w:rPr>
        <w:t>Complainants point out th</w:t>
      </w:r>
      <w:r w:rsidRPr="00952B34" w:rsidR="00D42B99">
        <w:rPr>
          <w:rFonts w:ascii="Book Antiqua" w:hAnsi="Book Antiqua"/>
          <w:szCs w:val="26"/>
        </w:rPr>
        <w:t xml:space="preserve">ey </w:t>
      </w:r>
      <w:r w:rsidRPr="00952B34" w:rsidR="009C2214">
        <w:rPr>
          <w:rFonts w:ascii="Book Antiqua" w:hAnsi="Book Antiqua"/>
          <w:szCs w:val="26"/>
        </w:rPr>
        <w:t>are senior</w:t>
      </w:r>
      <w:r w:rsidRPr="00952B34" w:rsidR="00D964B2">
        <w:rPr>
          <w:rFonts w:ascii="Book Antiqua" w:hAnsi="Book Antiqua"/>
          <w:szCs w:val="26"/>
        </w:rPr>
        <w:t xml:space="preserve"> citizens</w:t>
      </w:r>
      <w:r w:rsidRPr="00952B34" w:rsidR="00D42B99">
        <w:rPr>
          <w:rFonts w:ascii="Book Antiqua" w:hAnsi="Book Antiqua"/>
          <w:szCs w:val="26"/>
        </w:rPr>
        <w:t xml:space="preserve"> and are not attorneys</w:t>
      </w:r>
      <w:r w:rsidRPr="00952B34" w:rsidR="009C2214">
        <w:rPr>
          <w:rFonts w:ascii="Book Antiqua" w:hAnsi="Book Antiqua"/>
          <w:szCs w:val="26"/>
        </w:rPr>
        <w:t xml:space="preserve">.  They </w:t>
      </w:r>
      <w:r w:rsidRPr="00952B34">
        <w:rPr>
          <w:rFonts w:ascii="Book Antiqua" w:hAnsi="Book Antiqua"/>
          <w:szCs w:val="26"/>
        </w:rPr>
        <w:t xml:space="preserve">hired </w:t>
      </w:r>
      <w:r w:rsidRPr="00952B34" w:rsidR="009C2214">
        <w:rPr>
          <w:rFonts w:ascii="Book Antiqua" w:hAnsi="Book Antiqua"/>
          <w:szCs w:val="26"/>
        </w:rPr>
        <w:t xml:space="preserve">no </w:t>
      </w:r>
      <w:r w:rsidRPr="00952B34">
        <w:rPr>
          <w:rFonts w:ascii="Book Antiqua" w:hAnsi="Book Antiqua"/>
          <w:szCs w:val="26"/>
        </w:rPr>
        <w:t xml:space="preserve">attorney to work on the complaint. </w:t>
      </w:r>
      <w:r w:rsidRPr="00952B34" w:rsidR="009C2214">
        <w:rPr>
          <w:rFonts w:ascii="Book Antiqua" w:hAnsi="Book Antiqua"/>
          <w:szCs w:val="26"/>
        </w:rPr>
        <w:t xml:space="preserve"> </w:t>
      </w:r>
    </w:p>
    <w:p w:rsidRPr="00EC4C04" w:rsidR="000E5903" w:rsidP="00D21ECA" w:rsidRDefault="000C46C0" w14:paraId="27FF5E1D" w14:textId="4D4E6B88">
      <w:pPr>
        <w:pStyle w:val="Heading2"/>
        <w:numPr>
          <w:ilvl w:val="1"/>
          <w:numId w:val="17"/>
        </w:numPr>
        <w:spacing w:before="0"/>
        <w:ind w:left="1440"/>
        <w:rPr>
          <w:rFonts w:ascii="Arial" w:hAnsi="Arial"/>
        </w:rPr>
      </w:pPr>
      <w:bookmarkStart w:name="_Toc43914763" w:id="16"/>
      <w:r w:rsidRPr="00EC4C04">
        <w:rPr>
          <w:rFonts w:ascii="Arial" w:hAnsi="Arial"/>
        </w:rPr>
        <w:t>Discussion</w:t>
      </w:r>
      <w:bookmarkEnd w:id="16"/>
    </w:p>
    <w:p w:rsidRPr="00952B34" w:rsidR="00B7474C" w:rsidP="00A976F2" w:rsidRDefault="00597055" w14:paraId="40F17DFB" w14:textId="3FD42864">
      <w:pPr>
        <w:pStyle w:val="standard"/>
        <w:rPr>
          <w:rFonts w:ascii="Book Antiqua" w:hAnsi="Book Antiqua"/>
        </w:rPr>
      </w:pPr>
      <w:r w:rsidRPr="00952B34">
        <w:rPr>
          <w:rFonts w:ascii="Book Antiqua" w:hAnsi="Book Antiqua"/>
        </w:rPr>
        <w:t>This decision</w:t>
      </w:r>
      <w:r w:rsidRPr="00952B34" w:rsidR="00561AE3">
        <w:rPr>
          <w:rFonts w:ascii="Book Antiqua" w:hAnsi="Book Antiqua"/>
        </w:rPr>
        <w:t xml:space="preserve"> decline</w:t>
      </w:r>
      <w:r w:rsidRPr="00952B34">
        <w:rPr>
          <w:rFonts w:ascii="Book Antiqua" w:hAnsi="Book Antiqua"/>
        </w:rPr>
        <w:t>s</w:t>
      </w:r>
      <w:r w:rsidRPr="00952B34" w:rsidR="00561AE3">
        <w:rPr>
          <w:rFonts w:ascii="Book Antiqua" w:hAnsi="Book Antiqua"/>
        </w:rPr>
        <w:t xml:space="preserve"> to grant the Motion to Dismiss.  </w:t>
      </w:r>
      <w:r w:rsidRPr="00952B34" w:rsidR="00C41A25">
        <w:rPr>
          <w:rFonts w:ascii="Book Antiqua" w:hAnsi="Book Antiqua"/>
        </w:rPr>
        <w:t xml:space="preserve">Dismissing a case with prejudice, as requested by Defendants, </w:t>
      </w:r>
      <w:r w:rsidRPr="00952B34" w:rsidR="001A410C">
        <w:rPr>
          <w:rFonts w:ascii="Book Antiqua" w:hAnsi="Book Antiqua"/>
        </w:rPr>
        <w:t xml:space="preserve">would mean </w:t>
      </w:r>
      <w:r w:rsidRPr="00952B34" w:rsidR="00C41A25">
        <w:rPr>
          <w:rFonts w:ascii="Book Antiqua" w:hAnsi="Book Antiqua"/>
        </w:rPr>
        <w:t>that th</w:t>
      </w:r>
      <w:r w:rsidRPr="00952B34" w:rsidR="00A7488D">
        <w:rPr>
          <w:rFonts w:ascii="Book Antiqua" w:hAnsi="Book Antiqua"/>
        </w:rPr>
        <w:t xml:space="preserve">is </w:t>
      </w:r>
      <w:r w:rsidRPr="00952B34" w:rsidR="00C41A25">
        <w:rPr>
          <w:rFonts w:ascii="Book Antiqua" w:hAnsi="Book Antiqua"/>
        </w:rPr>
        <w:t xml:space="preserve">matter is dismissed, as a matter of law and without </w:t>
      </w:r>
      <w:r w:rsidRPr="00952B34" w:rsidR="00DE0378">
        <w:rPr>
          <w:rFonts w:ascii="Book Antiqua" w:hAnsi="Book Antiqua"/>
        </w:rPr>
        <w:t xml:space="preserve">considering </w:t>
      </w:r>
      <w:r w:rsidRPr="00952B34" w:rsidR="00C41A25">
        <w:rPr>
          <w:rFonts w:ascii="Book Antiqua" w:hAnsi="Book Antiqua"/>
        </w:rPr>
        <w:t>factual evidence</w:t>
      </w:r>
      <w:r w:rsidRPr="00952B34" w:rsidR="00267952">
        <w:rPr>
          <w:rFonts w:ascii="Book Antiqua" w:hAnsi="Book Antiqua"/>
        </w:rPr>
        <w:t xml:space="preserve">.  </w:t>
      </w:r>
      <w:r w:rsidRPr="00952B34" w:rsidR="00AE64C7">
        <w:rPr>
          <w:rFonts w:ascii="Book Antiqua" w:hAnsi="Book Antiqua"/>
        </w:rPr>
        <w:t>Under a dismissal with prejudice</w:t>
      </w:r>
      <w:r w:rsidRPr="00952B34" w:rsidR="00267952">
        <w:rPr>
          <w:rFonts w:ascii="Book Antiqua" w:hAnsi="Book Antiqua"/>
        </w:rPr>
        <w:t xml:space="preserve">, </w:t>
      </w:r>
      <w:r w:rsidRPr="00952B34" w:rsidR="00C41A25">
        <w:rPr>
          <w:rFonts w:ascii="Book Antiqua" w:hAnsi="Book Antiqua"/>
        </w:rPr>
        <w:t>Complainant c</w:t>
      </w:r>
      <w:r w:rsidRPr="00952B34" w:rsidR="00267952">
        <w:rPr>
          <w:rFonts w:ascii="Book Antiqua" w:hAnsi="Book Antiqua"/>
        </w:rPr>
        <w:t xml:space="preserve">ould not </w:t>
      </w:r>
      <w:r w:rsidRPr="00952B34" w:rsidR="00C41A25">
        <w:rPr>
          <w:rFonts w:ascii="Book Antiqua" w:hAnsi="Book Antiqua"/>
        </w:rPr>
        <w:t xml:space="preserve">bring the matter back before the </w:t>
      </w:r>
      <w:r w:rsidRPr="00952B34" w:rsidR="00267952">
        <w:rPr>
          <w:rFonts w:ascii="Book Antiqua" w:hAnsi="Book Antiqua"/>
        </w:rPr>
        <w:t>Commission</w:t>
      </w:r>
      <w:r w:rsidRPr="00952B34" w:rsidR="00C41A25">
        <w:rPr>
          <w:rFonts w:ascii="Book Antiqua" w:hAnsi="Book Antiqua"/>
        </w:rPr>
        <w:t xml:space="preserve">.  </w:t>
      </w:r>
      <w:r w:rsidRPr="00952B34" w:rsidR="0063008B">
        <w:rPr>
          <w:rFonts w:ascii="Book Antiqua" w:hAnsi="Book Antiqua"/>
        </w:rPr>
        <w:t xml:space="preserve"> </w:t>
      </w:r>
    </w:p>
    <w:p w:rsidRPr="00952B34" w:rsidR="000E4509" w:rsidP="00D21ECA" w:rsidRDefault="0093240B" w14:paraId="2374C7E2" w14:textId="7F5058D9">
      <w:pPr>
        <w:pStyle w:val="standard"/>
        <w:rPr>
          <w:rFonts w:ascii="Book Antiqua" w:hAnsi="Book Antiqua"/>
        </w:rPr>
      </w:pPr>
      <w:r w:rsidRPr="00952B34">
        <w:rPr>
          <w:rFonts w:ascii="Book Antiqua" w:hAnsi="Book Antiqua"/>
        </w:rPr>
        <w:lastRenderedPageBreak/>
        <w:t>T</w:t>
      </w:r>
      <w:r w:rsidRPr="00952B34" w:rsidR="00090376">
        <w:rPr>
          <w:rFonts w:ascii="Book Antiqua" w:hAnsi="Book Antiqua"/>
        </w:rPr>
        <w:t>he arguments offered by Defendant in its Motion do not warrant summary dismiss</w:t>
      </w:r>
      <w:r w:rsidRPr="00952B34" w:rsidR="0029152C">
        <w:rPr>
          <w:rFonts w:ascii="Book Antiqua" w:hAnsi="Book Antiqua"/>
        </w:rPr>
        <w:t>al</w:t>
      </w:r>
      <w:r w:rsidRPr="00952B34" w:rsidR="00090376">
        <w:rPr>
          <w:rFonts w:ascii="Book Antiqua" w:hAnsi="Book Antiqua"/>
        </w:rPr>
        <w:t xml:space="preserve">.  </w:t>
      </w:r>
      <w:r w:rsidRPr="00952B34" w:rsidR="00597055">
        <w:rPr>
          <w:rFonts w:ascii="Book Antiqua" w:hAnsi="Book Antiqua"/>
        </w:rPr>
        <w:t>The</w:t>
      </w:r>
      <w:r w:rsidRPr="00952B34" w:rsidR="000E4509">
        <w:rPr>
          <w:rFonts w:ascii="Book Antiqua" w:hAnsi="Book Antiqua"/>
        </w:rPr>
        <w:t xml:space="preserve"> Complainants behavior </w:t>
      </w:r>
      <w:r w:rsidRPr="00952B34" w:rsidR="00597055">
        <w:rPr>
          <w:rFonts w:ascii="Book Antiqua" w:hAnsi="Book Antiqua"/>
        </w:rPr>
        <w:t xml:space="preserve">did not </w:t>
      </w:r>
      <w:r w:rsidRPr="00952B34" w:rsidR="000E4509">
        <w:rPr>
          <w:rFonts w:ascii="Book Antiqua" w:hAnsi="Book Antiqua"/>
        </w:rPr>
        <w:t xml:space="preserve">rise to the level of a Rule 1 violation that warrants punitive sanctions.  Complainants </w:t>
      </w:r>
      <w:r w:rsidRPr="00952B34" w:rsidR="00597055">
        <w:rPr>
          <w:rFonts w:ascii="Book Antiqua" w:hAnsi="Book Antiqua"/>
        </w:rPr>
        <w:t xml:space="preserve">did not have </w:t>
      </w:r>
      <w:r w:rsidRPr="00952B34" w:rsidR="000E4509">
        <w:rPr>
          <w:rFonts w:ascii="Book Antiqua" w:hAnsi="Book Antiqua"/>
        </w:rPr>
        <w:t xml:space="preserve">a willful intent to mislead the Commission or disregard Commission’s rules.  Complainants are not attorneys and have no prior experience with Commission rules, but are seniors trying to navigate through a regulatory proceeding. </w:t>
      </w:r>
    </w:p>
    <w:p w:rsidRPr="00952B34" w:rsidR="00D61D76" w:rsidP="00597055" w:rsidRDefault="00090376" w14:paraId="7239A637" w14:textId="2247600F">
      <w:pPr>
        <w:pStyle w:val="standard"/>
        <w:rPr>
          <w:rFonts w:ascii="Book Antiqua" w:hAnsi="Book Antiqua"/>
        </w:rPr>
      </w:pPr>
      <w:r w:rsidRPr="00952B34">
        <w:rPr>
          <w:rFonts w:ascii="Book Antiqua" w:hAnsi="Book Antiqua"/>
        </w:rPr>
        <w:t xml:space="preserve">Defendant’s due process rights </w:t>
      </w:r>
      <w:r w:rsidRPr="00952B34" w:rsidR="0093240B">
        <w:rPr>
          <w:rFonts w:ascii="Book Antiqua" w:hAnsi="Book Antiqua"/>
        </w:rPr>
        <w:t xml:space="preserve">have not been denied </w:t>
      </w:r>
      <w:r w:rsidRPr="00952B34" w:rsidR="00F82802">
        <w:rPr>
          <w:rFonts w:ascii="Book Antiqua" w:hAnsi="Book Antiqua"/>
        </w:rPr>
        <w:t>because of</w:t>
      </w:r>
      <w:r w:rsidRPr="00952B34">
        <w:rPr>
          <w:rFonts w:ascii="Book Antiqua" w:hAnsi="Book Antiqua"/>
        </w:rPr>
        <w:t xml:space="preserve"> alleged behavior of the Complainant. </w:t>
      </w:r>
      <w:r w:rsidRPr="00952B34" w:rsidR="00D13998">
        <w:rPr>
          <w:rFonts w:ascii="Book Antiqua" w:hAnsi="Book Antiqua"/>
        </w:rPr>
        <w:t xml:space="preserve"> </w:t>
      </w:r>
      <w:r w:rsidRPr="00952B34" w:rsidR="0029152C">
        <w:rPr>
          <w:rFonts w:ascii="Book Antiqua" w:hAnsi="Book Antiqua"/>
        </w:rPr>
        <w:t xml:space="preserve">Also, as previously noted, Complainants made an initial showing that the Commission should conduct an investigation to determine whether the rates are reasonable.  </w:t>
      </w:r>
      <w:r w:rsidRPr="00952B34" w:rsidR="00D13998">
        <w:rPr>
          <w:rFonts w:ascii="Book Antiqua" w:hAnsi="Book Antiqua"/>
        </w:rPr>
        <w:t>Accordingly,</w:t>
      </w:r>
      <w:r w:rsidRPr="00952B34" w:rsidR="00597055">
        <w:rPr>
          <w:rFonts w:ascii="Book Antiqua" w:hAnsi="Book Antiqua"/>
        </w:rPr>
        <w:t xml:space="preserve"> this decision </w:t>
      </w:r>
      <w:r w:rsidRPr="00952B34" w:rsidR="00D13998">
        <w:rPr>
          <w:rFonts w:ascii="Book Antiqua" w:hAnsi="Book Antiqua"/>
        </w:rPr>
        <w:t>de</w:t>
      </w:r>
      <w:r w:rsidRPr="00952B34" w:rsidR="0029152C">
        <w:rPr>
          <w:rFonts w:ascii="Book Antiqua" w:hAnsi="Book Antiqua"/>
        </w:rPr>
        <w:t>n</w:t>
      </w:r>
      <w:r w:rsidRPr="00952B34" w:rsidR="00597055">
        <w:rPr>
          <w:rFonts w:ascii="Book Antiqua" w:hAnsi="Book Antiqua"/>
        </w:rPr>
        <w:t>ies</w:t>
      </w:r>
      <w:r w:rsidRPr="00952B34" w:rsidR="0029152C">
        <w:rPr>
          <w:rFonts w:ascii="Book Antiqua" w:hAnsi="Book Antiqua"/>
        </w:rPr>
        <w:t xml:space="preserve"> </w:t>
      </w:r>
      <w:r w:rsidRPr="00952B34" w:rsidR="001A410C">
        <w:rPr>
          <w:rFonts w:ascii="Book Antiqua" w:hAnsi="Book Antiqua"/>
        </w:rPr>
        <w:t xml:space="preserve">the Motion </w:t>
      </w:r>
      <w:r w:rsidRPr="00952B34" w:rsidR="0029152C">
        <w:rPr>
          <w:rFonts w:ascii="Book Antiqua" w:hAnsi="Book Antiqua"/>
        </w:rPr>
        <w:t>and d</w:t>
      </w:r>
      <w:r w:rsidRPr="00952B34" w:rsidR="00597055">
        <w:rPr>
          <w:rFonts w:ascii="Book Antiqua" w:hAnsi="Book Antiqua"/>
        </w:rPr>
        <w:t>oes not</w:t>
      </w:r>
      <w:r w:rsidRPr="00952B34" w:rsidR="001A410C">
        <w:rPr>
          <w:rFonts w:ascii="Book Antiqua" w:hAnsi="Book Antiqua"/>
        </w:rPr>
        <w:t xml:space="preserve"> </w:t>
      </w:r>
      <w:r w:rsidRPr="00952B34" w:rsidR="00D13998">
        <w:rPr>
          <w:rFonts w:ascii="Book Antiqua" w:hAnsi="Book Antiqua"/>
        </w:rPr>
        <w:t xml:space="preserve">impose a monetary penalty </w:t>
      </w:r>
      <w:r w:rsidRPr="00952B34" w:rsidR="009D2669">
        <w:rPr>
          <w:rFonts w:ascii="Book Antiqua" w:hAnsi="Book Antiqua"/>
        </w:rPr>
        <w:t xml:space="preserve">for </w:t>
      </w:r>
      <w:r w:rsidRPr="00952B34" w:rsidR="001A410C">
        <w:rPr>
          <w:rFonts w:ascii="Book Antiqua" w:hAnsi="Book Antiqua"/>
        </w:rPr>
        <w:t xml:space="preserve">Complainant’s </w:t>
      </w:r>
      <w:r w:rsidRPr="00952B34" w:rsidR="009D2669">
        <w:rPr>
          <w:rFonts w:ascii="Book Antiqua" w:hAnsi="Book Antiqua"/>
        </w:rPr>
        <w:t>alleged behavior</w:t>
      </w:r>
      <w:r w:rsidRPr="00952B34" w:rsidR="00D13998">
        <w:rPr>
          <w:rFonts w:ascii="Book Antiqua" w:hAnsi="Book Antiqua"/>
        </w:rPr>
        <w:t xml:space="preserve">.  </w:t>
      </w:r>
      <w:r w:rsidRPr="00952B34" w:rsidR="00597055">
        <w:rPr>
          <w:rFonts w:ascii="Book Antiqua" w:hAnsi="Book Antiqua"/>
        </w:rPr>
        <w:t xml:space="preserve">This decision </w:t>
      </w:r>
      <w:r w:rsidRPr="00952B34" w:rsidR="000E4509">
        <w:rPr>
          <w:rFonts w:ascii="Book Antiqua" w:hAnsi="Book Antiqua"/>
        </w:rPr>
        <w:t>address</w:t>
      </w:r>
      <w:r w:rsidRPr="00952B34" w:rsidR="00597055">
        <w:rPr>
          <w:rFonts w:ascii="Book Antiqua" w:hAnsi="Book Antiqua"/>
        </w:rPr>
        <w:t>es</w:t>
      </w:r>
      <w:r w:rsidRPr="00952B34" w:rsidR="000E4509">
        <w:rPr>
          <w:rFonts w:ascii="Book Antiqua" w:hAnsi="Book Antiqua"/>
        </w:rPr>
        <w:t xml:space="preserve"> Complainants’ claims based on the factual record, including the WD Report, as discussed below.</w:t>
      </w:r>
    </w:p>
    <w:p w:rsidRPr="00EC4C04" w:rsidR="000E5903" w:rsidP="00D21ECA" w:rsidRDefault="000E5903" w14:paraId="732474ED" w14:textId="0D13C745">
      <w:pPr>
        <w:pStyle w:val="Heading1"/>
        <w:numPr>
          <w:ilvl w:val="0"/>
          <w:numId w:val="17"/>
        </w:numPr>
        <w:spacing w:before="0"/>
        <w:ind w:left="360"/>
        <w:rPr>
          <w:rFonts w:ascii="Arial" w:hAnsi="Arial"/>
        </w:rPr>
      </w:pPr>
      <w:bookmarkStart w:name="_Toc43914764" w:id="17"/>
      <w:r w:rsidRPr="00EC4C04">
        <w:rPr>
          <w:rFonts w:ascii="Arial" w:hAnsi="Arial"/>
        </w:rPr>
        <w:t>Reasonableness of Water Service Rates</w:t>
      </w:r>
      <w:bookmarkEnd w:id="17"/>
      <w:r w:rsidRPr="00EC4C04">
        <w:rPr>
          <w:rFonts w:ascii="Arial" w:hAnsi="Arial"/>
        </w:rPr>
        <w:t xml:space="preserve"> </w:t>
      </w:r>
    </w:p>
    <w:p w:rsidRPr="00952B34" w:rsidR="00195B81" w:rsidP="00195B81" w:rsidRDefault="00195B81" w14:paraId="6DF41E6D" w14:textId="4218E977">
      <w:pPr>
        <w:pStyle w:val="standard"/>
        <w:rPr>
          <w:rFonts w:ascii="Book Antiqua" w:hAnsi="Book Antiqua"/>
        </w:rPr>
      </w:pPr>
      <w:r w:rsidRPr="00952B34">
        <w:rPr>
          <w:rFonts w:ascii="Book Antiqua" w:hAnsi="Book Antiqua"/>
        </w:rPr>
        <w:t xml:space="preserve">Among other things, </w:t>
      </w:r>
      <w:r w:rsidRPr="00952B34" w:rsidR="00090376">
        <w:rPr>
          <w:rFonts w:ascii="Book Antiqua" w:hAnsi="Book Antiqua"/>
        </w:rPr>
        <w:t xml:space="preserve">§ 2705.6 </w:t>
      </w:r>
      <w:r w:rsidRPr="00952B34">
        <w:rPr>
          <w:rFonts w:ascii="Book Antiqua" w:hAnsi="Book Antiqua"/>
        </w:rPr>
        <w:t xml:space="preserve">requires the Commission to </w:t>
      </w:r>
      <w:r w:rsidRPr="00952B34" w:rsidR="0029152C">
        <w:rPr>
          <w:rFonts w:ascii="Book Antiqua" w:hAnsi="Book Antiqua"/>
        </w:rPr>
        <w:t xml:space="preserve">adjudicate the complaint at issue here, and to </w:t>
      </w:r>
      <w:r w:rsidRPr="00952B34">
        <w:rPr>
          <w:rFonts w:ascii="Book Antiqua" w:hAnsi="Book Antiqua"/>
        </w:rPr>
        <w:t xml:space="preserve">determine whether the rates charged by defendant Clan Keith Real Estate Investments, LLC doing business as Leisure Lake Mobile Estates pursuant to </w:t>
      </w:r>
      <w:bookmarkStart w:name="_Hlk31623273" w:id="18"/>
      <w:r w:rsidRPr="00952B34">
        <w:rPr>
          <w:rFonts w:ascii="Book Antiqua" w:hAnsi="Book Antiqua"/>
        </w:rPr>
        <w:t xml:space="preserve">§ 2705.6 </w:t>
      </w:r>
      <w:bookmarkEnd w:id="18"/>
      <w:r w:rsidRPr="00952B34">
        <w:rPr>
          <w:rFonts w:ascii="Book Antiqua" w:hAnsi="Book Antiqua"/>
        </w:rPr>
        <w:t>are just and reasonable.</w:t>
      </w:r>
    </w:p>
    <w:p w:rsidRPr="00EC4C04" w:rsidR="000E0F0B" w:rsidP="00887F34" w:rsidRDefault="000E0F0B" w14:paraId="7E8CAA90" w14:textId="79DD5CDB">
      <w:pPr>
        <w:pStyle w:val="Heading2"/>
        <w:numPr>
          <w:ilvl w:val="1"/>
          <w:numId w:val="17"/>
        </w:numPr>
        <w:spacing w:before="0"/>
        <w:ind w:left="1440"/>
        <w:rPr>
          <w:rFonts w:ascii="Arial" w:hAnsi="Arial"/>
        </w:rPr>
      </w:pPr>
      <w:bookmarkStart w:name="_Toc43914765" w:id="19"/>
      <w:r w:rsidRPr="00EC4C04">
        <w:rPr>
          <w:rFonts w:ascii="Arial" w:hAnsi="Arial"/>
        </w:rPr>
        <w:t>Position of Complainants</w:t>
      </w:r>
      <w:bookmarkEnd w:id="19"/>
    </w:p>
    <w:p w:rsidRPr="00952B34" w:rsidR="00E224CC" w:rsidP="002E43FE" w:rsidRDefault="007516E9" w14:paraId="067CC8E0" w14:textId="60CF6931">
      <w:pPr>
        <w:pStyle w:val="standard"/>
        <w:rPr>
          <w:rFonts w:ascii="Book Antiqua" w:hAnsi="Book Antiqua"/>
          <w:szCs w:val="26"/>
        </w:rPr>
      </w:pPr>
      <w:r w:rsidRPr="00952B34">
        <w:rPr>
          <w:rFonts w:ascii="Book Antiqua" w:hAnsi="Book Antiqua"/>
          <w:szCs w:val="26"/>
        </w:rPr>
        <w:t xml:space="preserve">Complainants </w:t>
      </w:r>
      <w:r w:rsidRPr="00952B34" w:rsidR="00E224CC">
        <w:rPr>
          <w:rFonts w:ascii="Book Antiqua" w:hAnsi="Book Antiqua"/>
          <w:szCs w:val="26"/>
        </w:rPr>
        <w:t xml:space="preserve">claim that Defendant </w:t>
      </w:r>
      <w:r w:rsidRPr="00952B34" w:rsidR="002E43FE">
        <w:rPr>
          <w:rFonts w:ascii="Book Antiqua" w:hAnsi="Book Antiqua"/>
          <w:szCs w:val="26"/>
        </w:rPr>
        <w:t xml:space="preserve">Leisure Lake ME </w:t>
      </w:r>
      <w:r w:rsidRPr="00952B34" w:rsidR="00E224CC">
        <w:rPr>
          <w:rFonts w:ascii="Book Antiqua" w:hAnsi="Book Antiqua"/>
          <w:szCs w:val="26"/>
        </w:rPr>
        <w:t xml:space="preserve">is overcharging the tenants of the mobile home park relative to the cost of water service. </w:t>
      </w:r>
      <w:r w:rsidR="00887F34">
        <w:rPr>
          <w:rFonts w:ascii="Book Antiqua" w:hAnsi="Book Antiqua"/>
          <w:szCs w:val="26"/>
        </w:rPr>
        <w:t xml:space="preserve"> </w:t>
      </w:r>
      <w:r w:rsidRPr="00952B34" w:rsidR="00E224CC">
        <w:rPr>
          <w:rFonts w:ascii="Book Antiqua" w:hAnsi="Book Antiqua"/>
          <w:szCs w:val="26"/>
        </w:rPr>
        <w:t>Complainants claim that tenants should be paying for water usage as determined by meters at the water wells used to provide service.</w:t>
      </w:r>
      <w:r w:rsidRPr="00952B34" w:rsidR="0075587D">
        <w:rPr>
          <w:rStyle w:val="FootnoteReference"/>
          <w:rFonts w:ascii="Book Antiqua" w:hAnsi="Book Antiqua"/>
          <w:sz w:val="26"/>
          <w:szCs w:val="26"/>
        </w:rPr>
        <w:footnoteReference w:id="7"/>
      </w:r>
      <w:r w:rsidRPr="00952B34" w:rsidR="0029152C">
        <w:rPr>
          <w:rFonts w:ascii="Book Antiqua" w:hAnsi="Book Antiqua"/>
          <w:szCs w:val="26"/>
        </w:rPr>
        <w:t xml:space="preserve">  </w:t>
      </w:r>
      <w:r w:rsidRPr="00952B34" w:rsidR="00E224CC">
        <w:rPr>
          <w:rFonts w:ascii="Book Antiqua" w:hAnsi="Book Antiqua"/>
          <w:szCs w:val="26"/>
        </w:rPr>
        <w:t xml:space="preserve">Complainants note that </w:t>
      </w:r>
      <w:r w:rsidRPr="00952B34" w:rsidR="00E224CC">
        <w:rPr>
          <w:rFonts w:ascii="Book Antiqua" w:hAnsi="Book Antiqua"/>
          <w:szCs w:val="26"/>
        </w:rPr>
        <w:lastRenderedPageBreak/>
        <w:t xml:space="preserve">Defendant has installed individual water meters based on a claimed requirement to do so.  </w:t>
      </w:r>
    </w:p>
    <w:p w:rsidRPr="00952B34" w:rsidR="002E43FE" w:rsidP="002E43FE" w:rsidRDefault="00E224CC" w14:paraId="00FA327F" w14:textId="5D741F75">
      <w:pPr>
        <w:pStyle w:val="standard"/>
        <w:rPr>
          <w:rFonts w:ascii="Book Antiqua" w:hAnsi="Book Antiqua"/>
          <w:szCs w:val="26"/>
        </w:rPr>
      </w:pPr>
      <w:r w:rsidRPr="00952B34">
        <w:rPr>
          <w:rFonts w:ascii="Book Antiqua" w:hAnsi="Book Antiqua"/>
          <w:szCs w:val="26"/>
        </w:rPr>
        <w:t xml:space="preserve">Complainants </w:t>
      </w:r>
      <w:r w:rsidRPr="00952B34" w:rsidR="00D06D4C">
        <w:rPr>
          <w:rFonts w:ascii="Book Antiqua" w:hAnsi="Book Antiqua"/>
          <w:szCs w:val="26"/>
        </w:rPr>
        <w:t xml:space="preserve">point to the WD Report </w:t>
      </w:r>
      <w:r w:rsidRPr="00952B34" w:rsidR="0029152C">
        <w:rPr>
          <w:rFonts w:ascii="Book Antiqua" w:hAnsi="Book Antiqua"/>
          <w:szCs w:val="26"/>
        </w:rPr>
        <w:t xml:space="preserve">findings </w:t>
      </w:r>
      <w:r w:rsidRPr="00952B34" w:rsidR="002E43FE">
        <w:rPr>
          <w:rFonts w:ascii="Book Antiqua" w:hAnsi="Book Antiqua"/>
          <w:szCs w:val="26"/>
        </w:rPr>
        <w:t>claim</w:t>
      </w:r>
      <w:r w:rsidRPr="00952B34" w:rsidR="00D06D4C">
        <w:rPr>
          <w:rFonts w:ascii="Book Antiqua" w:hAnsi="Book Antiqua"/>
          <w:szCs w:val="26"/>
        </w:rPr>
        <w:t>ing</w:t>
      </w:r>
      <w:r w:rsidRPr="00952B34" w:rsidR="002E43FE">
        <w:rPr>
          <w:rFonts w:ascii="Book Antiqua" w:hAnsi="Book Antiqua"/>
          <w:szCs w:val="26"/>
        </w:rPr>
        <w:t xml:space="preserve"> that WD did not expressly say the </w:t>
      </w:r>
      <w:r w:rsidRPr="00952B34" w:rsidR="00D06D4C">
        <w:rPr>
          <w:rFonts w:ascii="Book Antiqua" w:hAnsi="Book Antiqua"/>
          <w:szCs w:val="26"/>
        </w:rPr>
        <w:t xml:space="preserve">Leisure Lake ME </w:t>
      </w:r>
      <w:r w:rsidRPr="00952B34" w:rsidR="002E43FE">
        <w:rPr>
          <w:rFonts w:ascii="Book Antiqua" w:hAnsi="Book Antiqua"/>
          <w:szCs w:val="26"/>
        </w:rPr>
        <w:t>water rate</w:t>
      </w:r>
      <w:r w:rsidRPr="00952B34">
        <w:rPr>
          <w:rFonts w:ascii="Book Antiqua" w:hAnsi="Book Antiqua"/>
          <w:szCs w:val="26"/>
        </w:rPr>
        <w:t>s</w:t>
      </w:r>
      <w:r w:rsidRPr="00952B34" w:rsidR="002E43FE">
        <w:rPr>
          <w:rFonts w:ascii="Book Antiqua" w:hAnsi="Book Antiqua"/>
          <w:szCs w:val="26"/>
        </w:rPr>
        <w:t xml:space="preserve"> w</w:t>
      </w:r>
      <w:r w:rsidRPr="00952B34">
        <w:rPr>
          <w:rFonts w:ascii="Book Antiqua" w:hAnsi="Book Antiqua"/>
          <w:szCs w:val="26"/>
        </w:rPr>
        <w:t>ere</w:t>
      </w:r>
      <w:r w:rsidRPr="00952B34" w:rsidR="002E43FE">
        <w:rPr>
          <w:rFonts w:ascii="Book Antiqua" w:hAnsi="Book Antiqua"/>
          <w:szCs w:val="26"/>
        </w:rPr>
        <w:t xml:space="preserve"> “just and reasonable” based upon all the “facts and circumstances” surrounding the complaint. Complainants argue that inherent in the word “just” is something that is “lawful” and inherent in the word “reasonable” is the word “fair”. </w:t>
      </w:r>
    </w:p>
    <w:p w:rsidRPr="00952B34" w:rsidR="007516E9" w:rsidP="000E0F0B" w:rsidRDefault="00E43932" w14:paraId="2C26EB36" w14:textId="2B40C011">
      <w:pPr>
        <w:pStyle w:val="standard"/>
        <w:rPr>
          <w:rFonts w:ascii="Book Antiqua" w:hAnsi="Book Antiqua"/>
          <w:szCs w:val="26"/>
        </w:rPr>
      </w:pPr>
      <w:r w:rsidRPr="00952B34">
        <w:rPr>
          <w:rFonts w:ascii="Book Antiqua" w:hAnsi="Book Antiqua"/>
          <w:szCs w:val="26"/>
        </w:rPr>
        <w:t xml:space="preserve">Complainants concede that rates may be considered “reasonable” only in relation </w:t>
      </w:r>
      <w:r w:rsidRPr="00952B34" w:rsidR="007516E9">
        <w:rPr>
          <w:rFonts w:ascii="Book Antiqua" w:hAnsi="Book Antiqua"/>
          <w:szCs w:val="26"/>
        </w:rPr>
        <w:t>to new tenants that sig</w:t>
      </w:r>
      <w:r w:rsidRPr="00952B34" w:rsidR="000E0F0B">
        <w:rPr>
          <w:rFonts w:ascii="Book Antiqua" w:hAnsi="Book Antiqua"/>
          <w:szCs w:val="26"/>
        </w:rPr>
        <w:t>n</w:t>
      </w:r>
      <w:r w:rsidRPr="00952B34" w:rsidR="007516E9">
        <w:rPr>
          <w:rFonts w:ascii="Book Antiqua" w:hAnsi="Book Antiqua"/>
          <w:szCs w:val="26"/>
        </w:rPr>
        <w:t xml:space="preserve"> new rental agreements that</w:t>
      </w:r>
      <w:r w:rsidRPr="00952B34" w:rsidR="000E0F0B">
        <w:rPr>
          <w:rFonts w:ascii="Book Antiqua" w:hAnsi="Book Antiqua"/>
          <w:szCs w:val="26"/>
        </w:rPr>
        <w:t>:</w:t>
      </w:r>
      <w:r w:rsidR="00887F34">
        <w:rPr>
          <w:rFonts w:ascii="Book Antiqua" w:hAnsi="Book Antiqua"/>
          <w:szCs w:val="26"/>
        </w:rPr>
        <w:t xml:space="preserve"> </w:t>
      </w:r>
      <w:r w:rsidRPr="00952B34" w:rsidR="000E0F0B">
        <w:rPr>
          <w:rFonts w:ascii="Book Antiqua" w:hAnsi="Book Antiqua"/>
          <w:szCs w:val="26"/>
        </w:rPr>
        <w:t xml:space="preserve"> a) </w:t>
      </w:r>
      <w:r w:rsidRPr="00952B34" w:rsidR="007516E9">
        <w:rPr>
          <w:rFonts w:ascii="Book Antiqua" w:hAnsi="Book Antiqua"/>
          <w:szCs w:val="26"/>
        </w:rPr>
        <w:t>do not state that “water and sewer” service is included in rent and (b) identify water and sewer charges t</w:t>
      </w:r>
      <w:r w:rsidRPr="00952B34" w:rsidR="000E0F0B">
        <w:rPr>
          <w:rFonts w:ascii="Book Antiqua" w:hAnsi="Book Antiqua"/>
          <w:szCs w:val="26"/>
        </w:rPr>
        <w:t xml:space="preserve">o be paid </w:t>
      </w:r>
      <w:r w:rsidRPr="00952B34" w:rsidR="007516E9">
        <w:rPr>
          <w:rFonts w:ascii="Book Antiqua" w:hAnsi="Book Antiqua"/>
          <w:szCs w:val="26"/>
        </w:rPr>
        <w:t xml:space="preserve">on a monthly basis.  Complainants take issue, however, with the WD Report finding that </w:t>
      </w:r>
      <w:r w:rsidRPr="00952B34" w:rsidR="000E0F0B">
        <w:rPr>
          <w:rFonts w:ascii="Book Antiqua" w:hAnsi="Book Antiqua"/>
          <w:szCs w:val="26"/>
        </w:rPr>
        <w:t xml:space="preserve">current water and sewer </w:t>
      </w:r>
      <w:r w:rsidRPr="00952B34" w:rsidR="007516E9">
        <w:rPr>
          <w:rFonts w:ascii="Book Antiqua" w:hAnsi="Book Antiqua"/>
          <w:szCs w:val="26"/>
        </w:rPr>
        <w:t xml:space="preserve">rates </w:t>
      </w:r>
      <w:r w:rsidRPr="00952B34" w:rsidR="00EE3FED">
        <w:rPr>
          <w:rFonts w:ascii="Book Antiqua" w:hAnsi="Book Antiqua"/>
          <w:szCs w:val="26"/>
        </w:rPr>
        <w:t xml:space="preserve">are </w:t>
      </w:r>
      <w:r w:rsidRPr="00952B34" w:rsidR="007516E9">
        <w:rPr>
          <w:rFonts w:ascii="Book Antiqua" w:hAnsi="Book Antiqua"/>
          <w:szCs w:val="26"/>
        </w:rPr>
        <w:t xml:space="preserve">“reasonable”.   </w:t>
      </w:r>
    </w:p>
    <w:p w:rsidRPr="00952B34" w:rsidR="000E0F0B" w:rsidP="00195B81" w:rsidRDefault="007516E9" w14:paraId="56312061" w14:textId="77777777">
      <w:pPr>
        <w:pStyle w:val="standard"/>
        <w:rPr>
          <w:rFonts w:ascii="Book Antiqua" w:hAnsi="Book Antiqua"/>
          <w:szCs w:val="26"/>
        </w:rPr>
      </w:pPr>
      <w:r w:rsidRPr="00952B34">
        <w:rPr>
          <w:rFonts w:ascii="Book Antiqua" w:hAnsi="Book Antiqua"/>
          <w:szCs w:val="26"/>
        </w:rPr>
        <w:t xml:space="preserve">Complainants argue that the WD Report did not comply with the mandate </w:t>
      </w:r>
      <w:r w:rsidRPr="00952B34" w:rsidR="000E0F0B">
        <w:rPr>
          <w:rFonts w:ascii="Book Antiqua" w:hAnsi="Book Antiqua"/>
          <w:szCs w:val="26"/>
        </w:rPr>
        <w:t xml:space="preserve">in </w:t>
      </w:r>
      <w:r w:rsidRPr="00952B34">
        <w:rPr>
          <w:rFonts w:ascii="Book Antiqua" w:hAnsi="Book Antiqua"/>
          <w:szCs w:val="26"/>
        </w:rPr>
        <w:t xml:space="preserve">the Commissioner’s Scoping Memo </w:t>
      </w:r>
      <w:r w:rsidRPr="00952B34" w:rsidR="008F62C3">
        <w:rPr>
          <w:rFonts w:ascii="Book Antiqua" w:hAnsi="Book Antiqua"/>
          <w:szCs w:val="26"/>
        </w:rPr>
        <w:t xml:space="preserve">regarding </w:t>
      </w:r>
      <w:r w:rsidRPr="00952B34">
        <w:rPr>
          <w:rFonts w:ascii="Book Antiqua" w:hAnsi="Book Antiqua"/>
          <w:szCs w:val="26"/>
        </w:rPr>
        <w:t xml:space="preserve">water </w:t>
      </w:r>
      <w:r w:rsidRPr="00952B34" w:rsidR="008F62C3">
        <w:rPr>
          <w:rFonts w:ascii="Book Antiqua" w:hAnsi="Book Antiqua"/>
          <w:szCs w:val="26"/>
        </w:rPr>
        <w:t xml:space="preserve">quality </w:t>
      </w:r>
      <w:r w:rsidRPr="00952B34">
        <w:rPr>
          <w:rFonts w:ascii="Book Antiqua" w:hAnsi="Book Antiqua"/>
          <w:szCs w:val="26"/>
        </w:rPr>
        <w:t>or adequate service, or the intent of AB</w:t>
      </w:r>
      <w:r w:rsidRPr="00952B34" w:rsidR="008F62C3">
        <w:rPr>
          <w:rFonts w:ascii="Book Antiqua" w:hAnsi="Book Antiqua"/>
          <w:szCs w:val="26"/>
        </w:rPr>
        <w:t xml:space="preserve"> </w:t>
      </w:r>
      <w:r w:rsidRPr="00952B34">
        <w:rPr>
          <w:rFonts w:ascii="Book Antiqua" w:hAnsi="Book Antiqua"/>
          <w:szCs w:val="26"/>
        </w:rPr>
        <w:t xml:space="preserve">1830.  </w:t>
      </w:r>
    </w:p>
    <w:p w:rsidRPr="00952B34" w:rsidR="007516E9" w:rsidP="00195B81" w:rsidRDefault="007516E9" w14:paraId="33C57C0E" w14:textId="6E15275C">
      <w:pPr>
        <w:pStyle w:val="standard"/>
        <w:rPr>
          <w:rFonts w:ascii="Book Antiqua" w:hAnsi="Book Antiqua"/>
          <w:szCs w:val="26"/>
        </w:rPr>
      </w:pPr>
      <w:r w:rsidRPr="00952B34">
        <w:rPr>
          <w:rFonts w:ascii="Book Antiqua" w:hAnsi="Book Antiqua"/>
          <w:szCs w:val="26"/>
        </w:rPr>
        <w:t>Complainants argue that the WD Report</w:t>
      </w:r>
      <w:r w:rsidRPr="00952B34" w:rsidR="00C24260">
        <w:rPr>
          <w:rFonts w:ascii="Book Antiqua" w:hAnsi="Book Antiqua"/>
          <w:szCs w:val="26"/>
        </w:rPr>
        <w:t>’s</w:t>
      </w:r>
      <w:r w:rsidRPr="00952B34">
        <w:rPr>
          <w:rFonts w:ascii="Book Antiqua" w:hAnsi="Book Antiqua"/>
          <w:szCs w:val="26"/>
        </w:rPr>
        <w:t xml:space="preserve"> </w:t>
      </w:r>
      <w:r w:rsidRPr="00952B34" w:rsidR="008F62C3">
        <w:rPr>
          <w:rFonts w:ascii="Book Antiqua" w:hAnsi="Book Antiqua"/>
          <w:szCs w:val="26"/>
        </w:rPr>
        <w:t xml:space="preserve">focus </w:t>
      </w:r>
      <w:r w:rsidRPr="00952B34">
        <w:rPr>
          <w:rFonts w:ascii="Book Antiqua" w:hAnsi="Book Antiqua"/>
          <w:szCs w:val="26"/>
        </w:rPr>
        <w:t>did not consider the context the complaint between</w:t>
      </w:r>
      <w:r w:rsidRPr="00952B34" w:rsidR="008F62C3">
        <w:rPr>
          <w:rFonts w:ascii="Book Antiqua" w:hAnsi="Book Antiqua"/>
          <w:szCs w:val="26"/>
        </w:rPr>
        <w:t xml:space="preserve"> </w:t>
      </w:r>
      <w:r w:rsidRPr="00952B34">
        <w:rPr>
          <w:rFonts w:ascii="Book Antiqua" w:hAnsi="Book Antiqua"/>
          <w:szCs w:val="26"/>
        </w:rPr>
        <w:t xml:space="preserve">landlord and tenant </w:t>
      </w:r>
      <w:r w:rsidRPr="00952B34" w:rsidR="008F62C3">
        <w:rPr>
          <w:rFonts w:ascii="Book Antiqua" w:hAnsi="Book Antiqua"/>
          <w:szCs w:val="26"/>
        </w:rPr>
        <w:t xml:space="preserve">regarding their </w:t>
      </w:r>
      <w:r w:rsidRPr="00952B34">
        <w:rPr>
          <w:rFonts w:ascii="Book Antiqua" w:hAnsi="Book Antiqua"/>
          <w:szCs w:val="26"/>
        </w:rPr>
        <w:t>legal contract</w:t>
      </w:r>
      <w:r w:rsidRPr="00952B34" w:rsidR="008F62C3">
        <w:rPr>
          <w:rFonts w:ascii="Book Antiqua" w:hAnsi="Book Antiqua"/>
          <w:szCs w:val="26"/>
        </w:rPr>
        <w:t xml:space="preserve"> </w:t>
      </w:r>
      <w:r w:rsidRPr="00952B34">
        <w:rPr>
          <w:rFonts w:ascii="Book Antiqua" w:hAnsi="Book Antiqua"/>
          <w:szCs w:val="26"/>
        </w:rPr>
        <w:t xml:space="preserve">that </w:t>
      </w:r>
      <w:r w:rsidRPr="00952B34" w:rsidR="008F62C3">
        <w:rPr>
          <w:rFonts w:ascii="Book Antiqua" w:hAnsi="Book Antiqua"/>
          <w:szCs w:val="26"/>
        </w:rPr>
        <w:t xml:space="preserve">includes </w:t>
      </w:r>
      <w:r w:rsidRPr="00952B34">
        <w:rPr>
          <w:rFonts w:ascii="Book Antiqua" w:hAnsi="Book Antiqua"/>
          <w:szCs w:val="26"/>
        </w:rPr>
        <w:t xml:space="preserve">water and sewer in the tenant’s rent. </w:t>
      </w:r>
      <w:r w:rsidRPr="00952B34" w:rsidR="008F62C3">
        <w:rPr>
          <w:rFonts w:ascii="Book Antiqua" w:hAnsi="Book Antiqua"/>
          <w:szCs w:val="26"/>
        </w:rPr>
        <w:t xml:space="preserve"> Complainants argue that a</w:t>
      </w:r>
      <w:r w:rsidRPr="00952B34">
        <w:rPr>
          <w:rFonts w:ascii="Book Antiqua" w:hAnsi="Book Antiqua"/>
          <w:szCs w:val="26"/>
        </w:rPr>
        <w:t>n additional water charge can never be “just and reasonable” to</w:t>
      </w:r>
      <w:r w:rsidRPr="00952B34" w:rsidR="000E0F0B">
        <w:rPr>
          <w:rFonts w:ascii="Book Antiqua" w:hAnsi="Book Antiqua"/>
          <w:szCs w:val="26"/>
        </w:rPr>
        <w:t xml:space="preserve"> </w:t>
      </w:r>
      <w:r w:rsidRPr="00952B34">
        <w:rPr>
          <w:rFonts w:ascii="Book Antiqua" w:hAnsi="Book Antiqua"/>
          <w:szCs w:val="26"/>
        </w:rPr>
        <w:t xml:space="preserve">tenants at Leisure Lake as water and sewer </w:t>
      </w:r>
      <w:r w:rsidRPr="00952B34" w:rsidR="000E0F0B">
        <w:rPr>
          <w:rFonts w:ascii="Book Antiqua" w:hAnsi="Book Antiqua"/>
          <w:szCs w:val="26"/>
        </w:rPr>
        <w:t xml:space="preserve">service </w:t>
      </w:r>
      <w:r w:rsidRPr="00952B34">
        <w:rPr>
          <w:rFonts w:ascii="Book Antiqua" w:hAnsi="Book Antiqua"/>
          <w:szCs w:val="26"/>
        </w:rPr>
        <w:t>i</w:t>
      </w:r>
      <w:r w:rsidRPr="00952B34" w:rsidR="000E0F0B">
        <w:rPr>
          <w:rFonts w:ascii="Book Antiqua" w:hAnsi="Book Antiqua"/>
          <w:szCs w:val="26"/>
        </w:rPr>
        <w:t xml:space="preserve">s </w:t>
      </w:r>
      <w:r w:rsidRPr="00952B34">
        <w:rPr>
          <w:rFonts w:ascii="Book Antiqua" w:hAnsi="Book Antiqua"/>
          <w:szCs w:val="26"/>
        </w:rPr>
        <w:t xml:space="preserve">already </w:t>
      </w:r>
      <w:r w:rsidRPr="00952B34" w:rsidR="000E0F0B">
        <w:rPr>
          <w:rFonts w:ascii="Book Antiqua" w:hAnsi="Book Antiqua"/>
          <w:szCs w:val="26"/>
        </w:rPr>
        <w:t xml:space="preserve">paid for in </w:t>
      </w:r>
      <w:r w:rsidRPr="00952B34">
        <w:rPr>
          <w:rFonts w:ascii="Book Antiqua" w:hAnsi="Book Antiqua"/>
          <w:szCs w:val="26"/>
        </w:rPr>
        <w:t>their rent</w:t>
      </w:r>
      <w:r w:rsidRPr="00952B34" w:rsidR="000E0F0B">
        <w:rPr>
          <w:rFonts w:ascii="Book Antiqua" w:hAnsi="Book Antiqua"/>
          <w:szCs w:val="26"/>
        </w:rPr>
        <w:t xml:space="preserve"> bill</w:t>
      </w:r>
      <w:r w:rsidRPr="00952B34">
        <w:rPr>
          <w:rFonts w:ascii="Book Antiqua" w:hAnsi="Book Antiqua"/>
          <w:szCs w:val="26"/>
        </w:rPr>
        <w:t xml:space="preserve">. </w:t>
      </w:r>
      <w:r w:rsidRPr="00952B34" w:rsidR="008F62C3">
        <w:rPr>
          <w:rFonts w:ascii="Book Antiqua" w:hAnsi="Book Antiqua"/>
          <w:szCs w:val="26"/>
        </w:rPr>
        <w:t xml:space="preserve"> Complainants claim the rates found reasonable in the </w:t>
      </w:r>
      <w:r w:rsidRPr="00952B34">
        <w:rPr>
          <w:rFonts w:ascii="Book Antiqua" w:hAnsi="Book Antiqua"/>
          <w:szCs w:val="26"/>
        </w:rPr>
        <w:t>WD report</w:t>
      </w:r>
      <w:r w:rsidRPr="00952B34" w:rsidR="000E0F0B">
        <w:rPr>
          <w:rFonts w:ascii="Book Antiqua" w:hAnsi="Book Antiqua"/>
          <w:szCs w:val="26"/>
        </w:rPr>
        <w:t xml:space="preserve"> are </w:t>
      </w:r>
      <w:r w:rsidRPr="00952B34">
        <w:rPr>
          <w:rFonts w:ascii="Book Antiqua" w:hAnsi="Book Antiqua"/>
          <w:szCs w:val="26"/>
        </w:rPr>
        <w:t>almost double wha</w:t>
      </w:r>
      <w:r w:rsidRPr="00952B34" w:rsidR="008F62C3">
        <w:rPr>
          <w:rFonts w:ascii="Book Antiqua" w:hAnsi="Book Antiqua"/>
          <w:szCs w:val="26"/>
        </w:rPr>
        <w:t xml:space="preserve">t </w:t>
      </w:r>
      <w:r w:rsidRPr="00952B34">
        <w:rPr>
          <w:rFonts w:ascii="Book Antiqua" w:hAnsi="Book Antiqua"/>
          <w:szCs w:val="26"/>
        </w:rPr>
        <w:t xml:space="preserve">tenants already pay </w:t>
      </w:r>
      <w:r w:rsidRPr="00952B34" w:rsidR="008F62C3">
        <w:rPr>
          <w:rFonts w:ascii="Book Antiqua" w:hAnsi="Book Antiqua"/>
          <w:szCs w:val="26"/>
        </w:rPr>
        <w:t xml:space="preserve">in </w:t>
      </w:r>
      <w:r w:rsidRPr="00952B34">
        <w:rPr>
          <w:rFonts w:ascii="Book Antiqua" w:hAnsi="Book Antiqua"/>
          <w:szCs w:val="26"/>
        </w:rPr>
        <w:t>their rental contracts.</w:t>
      </w:r>
    </w:p>
    <w:p w:rsidRPr="00952B34" w:rsidR="00400642" w:rsidP="00195B81" w:rsidRDefault="008F62C3" w14:paraId="50C182A8" w14:textId="3C93F6CC">
      <w:pPr>
        <w:pStyle w:val="standard"/>
        <w:rPr>
          <w:rFonts w:ascii="Book Antiqua" w:hAnsi="Book Antiqua"/>
          <w:szCs w:val="26"/>
        </w:rPr>
      </w:pPr>
      <w:r w:rsidRPr="00952B34">
        <w:rPr>
          <w:rFonts w:ascii="Book Antiqua" w:hAnsi="Book Antiqua"/>
          <w:szCs w:val="26"/>
        </w:rPr>
        <w:t xml:space="preserve">Complainants </w:t>
      </w:r>
      <w:r w:rsidRPr="00952B34" w:rsidR="00400642">
        <w:rPr>
          <w:rFonts w:ascii="Book Antiqua" w:hAnsi="Book Antiqua"/>
          <w:szCs w:val="26"/>
        </w:rPr>
        <w:t xml:space="preserve">also </w:t>
      </w:r>
      <w:r w:rsidRPr="00952B34">
        <w:rPr>
          <w:rFonts w:ascii="Book Antiqua" w:hAnsi="Book Antiqua"/>
          <w:szCs w:val="26"/>
        </w:rPr>
        <w:t>claim the</w:t>
      </w:r>
      <w:r w:rsidRPr="00952B34" w:rsidR="00E223DA">
        <w:rPr>
          <w:rFonts w:ascii="Book Antiqua" w:hAnsi="Book Antiqua"/>
          <w:szCs w:val="26"/>
        </w:rPr>
        <w:t xml:space="preserve">y </w:t>
      </w:r>
      <w:r w:rsidRPr="00952B34">
        <w:rPr>
          <w:rFonts w:ascii="Book Antiqua" w:hAnsi="Book Antiqua"/>
          <w:szCs w:val="26"/>
        </w:rPr>
        <w:t>were n</w:t>
      </w:r>
      <w:r w:rsidRPr="00952B34" w:rsidR="00400642">
        <w:rPr>
          <w:rFonts w:ascii="Book Antiqua" w:hAnsi="Book Antiqua"/>
          <w:szCs w:val="26"/>
        </w:rPr>
        <w:t xml:space="preserve">ot </w:t>
      </w:r>
      <w:r w:rsidRPr="00952B34">
        <w:rPr>
          <w:rFonts w:ascii="Book Antiqua" w:hAnsi="Book Antiqua"/>
          <w:szCs w:val="26"/>
        </w:rPr>
        <w:t>allowed to be fully involved in th</w:t>
      </w:r>
      <w:r w:rsidRPr="00952B34" w:rsidR="00E223DA">
        <w:rPr>
          <w:rFonts w:ascii="Book Antiqua" w:hAnsi="Book Antiqua"/>
          <w:szCs w:val="26"/>
        </w:rPr>
        <w:t xml:space="preserve">e </w:t>
      </w:r>
      <w:r w:rsidRPr="00952B34">
        <w:rPr>
          <w:rFonts w:ascii="Book Antiqua" w:hAnsi="Book Antiqua"/>
          <w:szCs w:val="26"/>
        </w:rPr>
        <w:t xml:space="preserve">complaint process, </w:t>
      </w:r>
      <w:r w:rsidRPr="00952B34" w:rsidR="00E223DA">
        <w:rPr>
          <w:rFonts w:ascii="Book Antiqua" w:hAnsi="Book Antiqua"/>
          <w:szCs w:val="26"/>
        </w:rPr>
        <w:t xml:space="preserve">and </w:t>
      </w:r>
      <w:r w:rsidRPr="00952B34">
        <w:rPr>
          <w:rFonts w:ascii="Book Antiqua" w:hAnsi="Book Antiqua"/>
          <w:szCs w:val="26"/>
        </w:rPr>
        <w:t xml:space="preserve">especially in </w:t>
      </w:r>
      <w:r w:rsidRPr="00952B34" w:rsidR="009622BB">
        <w:rPr>
          <w:rFonts w:ascii="Book Antiqua" w:hAnsi="Book Antiqua"/>
          <w:szCs w:val="26"/>
        </w:rPr>
        <w:t xml:space="preserve">the </w:t>
      </w:r>
      <w:r w:rsidRPr="00952B34">
        <w:rPr>
          <w:rFonts w:ascii="Book Antiqua" w:hAnsi="Book Antiqua"/>
          <w:szCs w:val="26"/>
        </w:rPr>
        <w:t xml:space="preserve">WD’s rate determination process. </w:t>
      </w:r>
      <w:r w:rsidRPr="00952B34" w:rsidR="00E223DA">
        <w:rPr>
          <w:rFonts w:ascii="Book Antiqua" w:hAnsi="Book Antiqua"/>
          <w:szCs w:val="26"/>
        </w:rPr>
        <w:t>Complainants claim that</w:t>
      </w:r>
      <w:r w:rsidRPr="00952B34">
        <w:rPr>
          <w:rFonts w:ascii="Book Antiqua" w:hAnsi="Book Antiqua"/>
          <w:szCs w:val="26"/>
        </w:rPr>
        <w:t xml:space="preserve"> </w:t>
      </w:r>
      <w:r w:rsidRPr="00952B34" w:rsidR="009622BB">
        <w:rPr>
          <w:rFonts w:ascii="Book Antiqua" w:hAnsi="Book Antiqua"/>
          <w:szCs w:val="26"/>
        </w:rPr>
        <w:t xml:space="preserve">the </w:t>
      </w:r>
      <w:r w:rsidRPr="00952B34">
        <w:rPr>
          <w:rFonts w:ascii="Book Antiqua" w:hAnsi="Book Antiqua"/>
          <w:szCs w:val="26"/>
        </w:rPr>
        <w:t>WD was only allowed to use water cost and usage data supplied by Defendant</w:t>
      </w:r>
      <w:r w:rsidRPr="00952B34" w:rsidR="00400642">
        <w:rPr>
          <w:rFonts w:ascii="Book Antiqua" w:hAnsi="Book Antiqua"/>
          <w:szCs w:val="26"/>
        </w:rPr>
        <w:t xml:space="preserve">.  Complainant claims that WD </w:t>
      </w:r>
      <w:r w:rsidRPr="00952B34">
        <w:rPr>
          <w:rFonts w:ascii="Book Antiqua" w:hAnsi="Book Antiqua"/>
          <w:szCs w:val="26"/>
        </w:rPr>
        <w:t>was allowed to communicate directly with Defendant</w:t>
      </w:r>
      <w:r w:rsidRPr="00952B34" w:rsidR="00400642">
        <w:rPr>
          <w:rFonts w:ascii="Book Antiqua" w:hAnsi="Book Antiqua"/>
          <w:szCs w:val="26"/>
        </w:rPr>
        <w:t xml:space="preserve">, </w:t>
      </w:r>
      <w:r w:rsidRPr="00952B34" w:rsidR="000E0F0B">
        <w:rPr>
          <w:rFonts w:ascii="Book Antiqua" w:hAnsi="Book Antiqua"/>
          <w:szCs w:val="26"/>
        </w:rPr>
        <w:t xml:space="preserve">but </w:t>
      </w:r>
      <w:r w:rsidRPr="00952B34">
        <w:rPr>
          <w:rFonts w:ascii="Book Antiqua" w:hAnsi="Book Antiqua"/>
          <w:szCs w:val="26"/>
        </w:rPr>
        <w:t xml:space="preserve">this interaction not made public. </w:t>
      </w:r>
      <w:r w:rsidRPr="00952B34">
        <w:rPr>
          <w:rFonts w:ascii="Book Antiqua" w:hAnsi="Book Antiqua"/>
          <w:szCs w:val="26"/>
        </w:rPr>
        <w:lastRenderedPageBreak/>
        <w:t xml:space="preserve">Complainants </w:t>
      </w:r>
      <w:r w:rsidRPr="00952B34" w:rsidR="00E223DA">
        <w:rPr>
          <w:rFonts w:ascii="Book Antiqua" w:hAnsi="Book Antiqua"/>
          <w:szCs w:val="26"/>
        </w:rPr>
        <w:t>claim they</w:t>
      </w:r>
      <w:r w:rsidRPr="00952B34" w:rsidR="00400642">
        <w:rPr>
          <w:rFonts w:ascii="Book Antiqua" w:hAnsi="Book Antiqua"/>
          <w:szCs w:val="26"/>
        </w:rPr>
        <w:t xml:space="preserve"> asked </w:t>
      </w:r>
      <w:r w:rsidRPr="00952B34">
        <w:rPr>
          <w:rFonts w:ascii="Book Antiqua" w:hAnsi="Book Antiqua"/>
          <w:szCs w:val="26"/>
        </w:rPr>
        <w:t xml:space="preserve">the </w:t>
      </w:r>
      <w:r w:rsidRPr="00952B34" w:rsidR="00C24260">
        <w:rPr>
          <w:rFonts w:ascii="Book Antiqua" w:hAnsi="Book Antiqua"/>
          <w:szCs w:val="26"/>
        </w:rPr>
        <w:t xml:space="preserve">assigned </w:t>
      </w:r>
      <w:r w:rsidRPr="00952B34">
        <w:rPr>
          <w:rFonts w:ascii="Book Antiqua" w:hAnsi="Book Antiqua"/>
          <w:szCs w:val="26"/>
        </w:rPr>
        <w:t>ALJ to see the exact water usage data given to the WD by the Defendants but w</w:t>
      </w:r>
      <w:r w:rsidRPr="00952B34" w:rsidR="00E223DA">
        <w:rPr>
          <w:rFonts w:ascii="Book Antiqua" w:hAnsi="Book Antiqua"/>
          <w:szCs w:val="26"/>
        </w:rPr>
        <w:t>ere</w:t>
      </w:r>
      <w:r w:rsidRPr="00952B34">
        <w:rPr>
          <w:rFonts w:ascii="Book Antiqua" w:hAnsi="Book Antiqua"/>
          <w:szCs w:val="26"/>
        </w:rPr>
        <w:t xml:space="preserve"> told all data is in the</w:t>
      </w:r>
      <w:r w:rsidRPr="00952B34" w:rsidR="00400642">
        <w:rPr>
          <w:rFonts w:ascii="Book Antiqua" w:hAnsi="Book Antiqua"/>
          <w:szCs w:val="26"/>
        </w:rPr>
        <w:t xml:space="preserve"> WD </w:t>
      </w:r>
      <w:r w:rsidRPr="00952B34">
        <w:rPr>
          <w:rFonts w:ascii="Book Antiqua" w:hAnsi="Book Antiqua"/>
          <w:szCs w:val="26"/>
        </w:rPr>
        <w:t xml:space="preserve">report. </w:t>
      </w:r>
      <w:r w:rsidR="00887F34">
        <w:rPr>
          <w:rFonts w:ascii="Book Antiqua" w:hAnsi="Book Antiqua"/>
          <w:szCs w:val="26"/>
        </w:rPr>
        <w:t xml:space="preserve"> </w:t>
      </w:r>
      <w:r w:rsidRPr="00952B34">
        <w:rPr>
          <w:rFonts w:ascii="Book Antiqua" w:hAnsi="Book Antiqua"/>
          <w:szCs w:val="26"/>
        </w:rPr>
        <w:t xml:space="preserve">Complainants </w:t>
      </w:r>
      <w:r w:rsidRPr="00952B34" w:rsidR="00E223DA">
        <w:rPr>
          <w:rFonts w:ascii="Book Antiqua" w:hAnsi="Book Antiqua"/>
          <w:szCs w:val="26"/>
        </w:rPr>
        <w:t xml:space="preserve">argue they </w:t>
      </w:r>
      <w:r w:rsidRPr="00952B34">
        <w:rPr>
          <w:rFonts w:ascii="Book Antiqua" w:hAnsi="Book Antiqua"/>
          <w:szCs w:val="26"/>
        </w:rPr>
        <w:t xml:space="preserve">would have liked to comment on the validity of the water usage data supplied to the WD. </w:t>
      </w:r>
    </w:p>
    <w:p w:rsidRPr="00952B34" w:rsidR="0029152C" w:rsidP="0029152C" w:rsidRDefault="008F62C3" w14:paraId="68787439" w14:textId="77777777">
      <w:pPr>
        <w:pStyle w:val="standard"/>
        <w:rPr>
          <w:rFonts w:ascii="Book Antiqua" w:hAnsi="Book Antiqua"/>
          <w:szCs w:val="26"/>
        </w:rPr>
      </w:pPr>
      <w:r w:rsidRPr="00952B34">
        <w:rPr>
          <w:rFonts w:ascii="Book Antiqua" w:hAnsi="Book Antiqua"/>
          <w:szCs w:val="26"/>
        </w:rPr>
        <w:t>On December 11, 2019, a California Public Records Request for all the water data</w:t>
      </w:r>
      <w:r w:rsidRPr="00952B34" w:rsidR="00E223DA">
        <w:rPr>
          <w:rFonts w:ascii="Book Antiqua" w:hAnsi="Book Antiqua"/>
          <w:szCs w:val="26"/>
        </w:rPr>
        <w:t xml:space="preserve"> received and used by the WD in this case was submitted but this request was denied</w:t>
      </w:r>
      <w:r w:rsidRPr="00952B34" w:rsidR="00400642">
        <w:rPr>
          <w:rFonts w:ascii="Book Antiqua" w:hAnsi="Book Antiqua"/>
          <w:szCs w:val="26"/>
        </w:rPr>
        <w:t xml:space="preserve">.  The Commission stated that </w:t>
      </w:r>
      <w:r w:rsidRPr="00952B34" w:rsidR="00E223DA">
        <w:rPr>
          <w:rFonts w:ascii="Book Antiqua" w:hAnsi="Book Antiqua"/>
          <w:szCs w:val="26"/>
        </w:rPr>
        <w:t xml:space="preserve">this data request “is covered by the deliberative process privilege, as the assigned ALJ is currently utilizing the information as part of his decision making process.” </w:t>
      </w:r>
      <w:r w:rsidRPr="00952B34" w:rsidR="0029152C">
        <w:rPr>
          <w:rFonts w:ascii="Book Antiqua" w:hAnsi="Book Antiqua"/>
          <w:szCs w:val="26"/>
        </w:rPr>
        <w:t xml:space="preserve">  </w:t>
      </w:r>
      <w:r w:rsidRPr="00952B34" w:rsidR="00E223DA">
        <w:rPr>
          <w:rFonts w:ascii="Book Antiqua" w:hAnsi="Book Antiqua"/>
          <w:szCs w:val="26"/>
        </w:rPr>
        <w:t xml:space="preserve">This public records denial also </w:t>
      </w:r>
      <w:r w:rsidRPr="00952B34" w:rsidR="00400642">
        <w:rPr>
          <w:rFonts w:ascii="Book Antiqua" w:hAnsi="Book Antiqua"/>
          <w:szCs w:val="26"/>
        </w:rPr>
        <w:t>stated</w:t>
      </w:r>
      <w:r w:rsidRPr="00952B34" w:rsidR="000E0F0B">
        <w:rPr>
          <w:rFonts w:ascii="Book Antiqua" w:hAnsi="Book Antiqua"/>
          <w:szCs w:val="26"/>
        </w:rPr>
        <w:t xml:space="preserve"> t</w:t>
      </w:r>
      <w:r w:rsidRPr="00952B34" w:rsidR="00E223DA">
        <w:rPr>
          <w:rFonts w:ascii="Book Antiqua" w:hAnsi="Book Antiqua"/>
          <w:szCs w:val="26"/>
        </w:rPr>
        <w:t xml:space="preserve">he water division staff working on this case only </w:t>
      </w:r>
      <w:r w:rsidRPr="00952B34" w:rsidR="000E0F0B">
        <w:rPr>
          <w:rFonts w:ascii="Book Antiqua" w:hAnsi="Book Antiqua"/>
          <w:szCs w:val="26"/>
        </w:rPr>
        <w:t>had “</w:t>
      </w:r>
      <w:r w:rsidRPr="00952B34" w:rsidR="00E223DA">
        <w:rPr>
          <w:rFonts w:ascii="Book Antiqua" w:hAnsi="Book Antiqua"/>
          <w:szCs w:val="26"/>
        </w:rPr>
        <w:t xml:space="preserve">communication regarding the proceeding </w:t>
      </w:r>
      <w:r w:rsidRPr="00952B34" w:rsidR="00AC53FF">
        <w:rPr>
          <w:rFonts w:ascii="Book Antiqua" w:hAnsi="Book Antiqua"/>
          <w:szCs w:val="26"/>
        </w:rPr>
        <w:t>…</w:t>
      </w:r>
      <w:r w:rsidRPr="00952B34" w:rsidR="00E223DA">
        <w:rPr>
          <w:rFonts w:ascii="Book Antiqua" w:hAnsi="Book Antiqua"/>
          <w:szCs w:val="26"/>
        </w:rPr>
        <w:t>with the assigned ALJ.”</w:t>
      </w:r>
      <w:r w:rsidRPr="00952B34" w:rsidR="00400642">
        <w:rPr>
          <w:rFonts w:ascii="Book Antiqua" w:hAnsi="Book Antiqua"/>
          <w:szCs w:val="26"/>
        </w:rPr>
        <w:t xml:space="preserve"> </w:t>
      </w:r>
    </w:p>
    <w:p w:rsidRPr="00952B34" w:rsidR="00E223DA" w:rsidP="0029152C" w:rsidRDefault="00E223DA" w14:paraId="3D79545A" w14:textId="66AB4E7D">
      <w:pPr>
        <w:pStyle w:val="standard"/>
        <w:rPr>
          <w:rFonts w:ascii="Book Antiqua" w:hAnsi="Book Antiqua"/>
          <w:szCs w:val="26"/>
        </w:rPr>
      </w:pPr>
      <w:r w:rsidRPr="00952B34">
        <w:rPr>
          <w:rFonts w:ascii="Book Antiqua" w:hAnsi="Book Antiqua"/>
          <w:szCs w:val="26"/>
        </w:rPr>
        <w:t xml:space="preserve">Complainants claim this is not correct, </w:t>
      </w:r>
      <w:r w:rsidRPr="00952B34" w:rsidR="00AC53FF">
        <w:rPr>
          <w:rFonts w:ascii="Book Antiqua" w:hAnsi="Book Antiqua"/>
          <w:szCs w:val="26"/>
        </w:rPr>
        <w:t xml:space="preserve">however, </w:t>
      </w:r>
      <w:r w:rsidRPr="00952B34">
        <w:rPr>
          <w:rFonts w:ascii="Book Antiqua" w:hAnsi="Book Antiqua"/>
          <w:szCs w:val="26"/>
        </w:rPr>
        <w:t>citing an October 2, 2019 email from Defendants attorney to the ALJ which shows that the WD analyst who prepared the report telephoned the Defendant to discuss the water data.  Complainants argue that the content of this conversation was not made public to the service list in spite of an August 27, 2019 email from ALJ Kelly stating the “Water Division individual is assigned to the matter as an advisory individual</w:t>
      </w:r>
      <w:r w:rsidR="00942798">
        <w:rPr>
          <w:rFonts w:ascii="Book Antiqua" w:hAnsi="Book Antiqua"/>
          <w:szCs w:val="26"/>
        </w:rPr>
        <w:t>……</w:t>
      </w:r>
      <w:r w:rsidRPr="00952B34">
        <w:rPr>
          <w:rFonts w:ascii="Book Antiqua" w:hAnsi="Book Antiqua"/>
          <w:szCs w:val="26"/>
        </w:rPr>
        <w:t>Therefore, it is inappropriate for either party to attempt to contact the advisory person assigned to this proceeding.” (</w:t>
      </w:r>
      <w:r w:rsidRPr="00942798">
        <w:rPr>
          <w:rFonts w:ascii="Book Antiqua" w:hAnsi="Book Antiqua"/>
          <w:i/>
          <w:iCs/>
          <w:szCs w:val="26"/>
        </w:rPr>
        <w:t>see</w:t>
      </w:r>
      <w:r w:rsidRPr="00952B34">
        <w:rPr>
          <w:rFonts w:ascii="Book Antiqua" w:hAnsi="Book Antiqua"/>
          <w:szCs w:val="26"/>
        </w:rPr>
        <w:t xml:space="preserve"> Exhibit 4)</w:t>
      </w:r>
    </w:p>
    <w:p w:rsidRPr="00952B34" w:rsidR="00F82802" w:rsidP="00942798" w:rsidRDefault="0031021E" w14:paraId="6703D6C5" w14:textId="54EF0C24">
      <w:pPr>
        <w:pStyle w:val="standard"/>
        <w:rPr>
          <w:rFonts w:ascii="Book Antiqua" w:hAnsi="Book Antiqua"/>
          <w:szCs w:val="26"/>
        </w:rPr>
      </w:pPr>
      <w:r w:rsidRPr="00952B34">
        <w:rPr>
          <w:rFonts w:ascii="Book Antiqua" w:hAnsi="Book Antiqua"/>
          <w:szCs w:val="26"/>
        </w:rPr>
        <w:t>Complainants do not dispute the ratemaking method</w:t>
      </w:r>
      <w:r w:rsidRPr="00952B34" w:rsidR="00400642">
        <w:rPr>
          <w:rFonts w:ascii="Book Antiqua" w:hAnsi="Book Antiqua"/>
          <w:szCs w:val="26"/>
        </w:rPr>
        <w:t>ology</w:t>
      </w:r>
      <w:r w:rsidRPr="00952B34">
        <w:rPr>
          <w:rFonts w:ascii="Book Antiqua" w:hAnsi="Book Antiqua"/>
          <w:szCs w:val="26"/>
        </w:rPr>
        <w:t xml:space="preserve"> used in the WD Report, but question the water usage figures </w:t>
      </w:r>
      <w:r w:rsidRPr="00952B34" w:rsidR="00400642">
        <w:rPr>
          <w:rFonts w:ascii="Book Antiqua" w:hAnsi="Book Antiqua"/>
          <w:szCs w:val="26"/>
        </w:rPr>
        <w:t xml:space="preserve">provided </w:t>
      </w:r>
      <w:r w:rsidRPr="00952B34">
        <w:rPr>
          <w:rFonts w:ascii="Book Antiqua" w:hAnsi="Book Antiqua"/>
          <w:szCs w:val="26"/>
        </w:rPr>
        <w:t xml:space="preserve">by Defendant claiming this data </w:t>
      </w:r>
      <w:r w:rsidRPr="00952B34" w:rsidR="00400642">
        <w:rPr>
          <w:rFonts w:ascii="Book Antiqua" w:hAnsi="Book Antiqua"/>
          <w:szCs w:val="26"/>
        </w:rPr>
        <w:t xml:space="preserve">was not </w:t>
      </w:r>
      <w:r w:rsidRPr="00952B34">
        <w:rPr>
          <w:rFonts w:ascii="Book Antiqua" w:hAnsi="Book Antiqua"/>
          <w:szCs w:val="26"/>
        </w:rPr>
        <w:t>verified.  Complainants argue that Defendant should show water meter reading for each of the 211 mobile</w:t>
      </w:r>
      <w:r w:rsidRPr="00952B34" w:rsidR="00400642">
        <w:rPr>
          <w:rFonts w:ascii="Book Antiqua" w:hAnsi="Book Antiqua"/>
          <w:szCs w:val="26"/>
        </w:rPr>
        <w:t xml:space="preserve"> </w:t>
      </w:r>
      <w:r w:rsidRPr="00952B34">
        <w:rPr>
          <w:rFonts w:ascii="Book Antiqua" w:hAnsi="Book Antiqua"/>
          <w:szCs w:val="26"/>
        </w:rPr>
        <w:t xml:space="preserve">home </w:t>
      </w:r>
      <w:r w:rsidRPr="00952B34" w:rsidR="003B0383">
        <w:rPr>
          <w:rFonts w:ascii="Book Antiqua" w:hAnsi="Book Antiqua"/>
          <w:szCs w:val="26"/>
        </w:rPr>
        <w:t xml:space="preserve">meters </w:t>
      </w:r>
      <w:r w:rsidRPr="00952B34">
        <w:rPr>
          <w:rFonts w:ascii="Book Antiqua" w:hAnsi="Book Antiqua"/>
          <w:szCs w:val="26"/>
        </w:rPr>
        <w:t>for each month taken and the dates these individual meters were installed.</w:t>
      </w:r>
    </w:p>
    <w:p w:rsidRPr="00EC4C04" w:rsidR="00AC53FF" w:rsidP="00942798" w:rsidRDefault="00AC53FF" w14:paraId="5D449CB8" w14:textId="17627695">
      <w:pPr>
        <w:pStyle w:val="Heading2"/>
        <w:numPr>
          <w:ilvl w:val="1"/>
          <w:numId w:val="17"/>
        </w:numPr>
        <w:ind w:left="1440"/>
        <w:rPr>
          <w:rFonts w:ascii="Arial" w:hAnsi="Arial"/>
        </w:rPr>
      </w:pPr>
      <w:bookmarkStart w:name="_Toc43914766" w:id="20"/>
      <w:r w:rsidRPr="00EC4C04">
        <w:rPr>
          <w:rFonts w:ascii="Arial" w:hAnsi="Arial"/>
        </w:rPr>
        <w:t>Position of Defendant</w:t>
      </w:r>
      <w:bookmarkEnd w:id="20"/>
    </w:p>
    <w:p w:rsidRPr="00952B34" w:rsidR="00D06D4C" w:rsidP="0075587D" w:rsidRDefault="00D06D4C" w14:paraId="08F7F1F0" w14:textId="628C7323">
      <w:pPr>
        <w:pStyle w:val="standard"/>
        <w:rPr>
          <w:rFonts w:ascii="Book Antiqua" w:hAnsi="Book Antiqua"/>
          <w:szCs w:val="26"/>
        </w:rPr>
      </w:pPr>
      <w:r w:rsidRPr="00952B34">
        <w:rPr>
          <w:rFonts w:ascii="Book Antiqua" w:hAnsi="Book Antiqua"/>
          <w:szCs w:val="26"/>
        </w:rPr>
        <w:t xml:space="preserve">Defendant Leisure Lake ME denies charging excessively high water rates. Leisure Lake ME states it is not aware of the controlling authority of the </w:t>
      </w:r>
      <w:r w:rsidRPr="00952B34">
        <w:rPr>
          <w:rFonts w:ascii="Book Antiqua" w:hAnsi="Book Antiqua"/>
          <w:szCs w:val="26"/>
        </w:rPr>
        <w:lastRenderedPageBreak/>
        <w:t>Antelope Valley Water Basin Judgment as it pertains to water rates at Leisure Lake ME.</w:t>
      </w:r>
    </w:p>
    <w:p w:rsidRPr="00952B34" w:rsidR="00AC53FF" w:rsidP="00CE05C6" w:rsidRDefault="00CE05C6" w14:paraId="4F8EA74F" w14:textId="30E5B9C1">
      <w:pPr>
        <w:pStyle w:val="standard"/>
        <w:rPr>
          <w:rFonts w:ascii="Book Antiqua" w:hAnsi="Book Antiqua"/>
          <w:szCs w:val="26"/>
        </w:rPr>
      </w:pPr>
      <w:r w:rsidRPr="00952B34">
        <w:rPr>
          <w:rFonts w:ascii="Book Antiqua" w:hAnsi="Book Antiqua"/>
          <w:szCs w:val="26"/>
        </w:rPr>
        <w:t xml:space="preserve">Defendant </w:t>
      </w:r>
      <w:r w:rsidRPr="00952B34" w:rsidR="0075587D">
        <w:rPr>
          <w:rFonts w:ascii="Book Antiqua" w:hAnsi="Book Antiqua"/>
          <w:szCs w:val="26"/>
        </w:rPr>
        <w:t xml:space="preserve">Leisure Lake ME </w:t>
      </w:r>
      <w:r w:rsidRPr="00952B34" w:rsidR="00000B71">
        <w:rPr>
          <w:rFonts w:ascii="Book Antiqua" w:hAnsi="Book Antiqua"/>
          <w:szCs w:val="26"/>
        </w:rPr>
        <w:t xml:space="preserve">supports </w:t>
      </w:r>
      <w:r w:rsidRPr="00952B34">
        <w:rPr>
          <w:rFonts w:ascii="Book Antiqua" w:hAnsi="Book Antiqua"/>
          <w:szCs w:val="26"/>
        </w:rPr>
        <w:t xml:space="preserve">the WD Report </w:t>
      </w:r>
      <w:r w:rsidRPr="00952B34" w:rsidR="00000B71">
        <w:rPr>
          <w:rFonts w:ascii="Book Antiqua" w:hAnsi="Book Antiqua"/>
          <w:szCs w:val="26"/>
        </w:rPr>
        <w:t>findings, a</w:t>
      </w:r>
      <w:r w:rsidRPr="00952B34" w:rsidR="00B952C8">
        <w:rPr>
          <w:rFonts w:ascii="Book Antiqua" w:hAnsi="Book Antiqua"/>
          <w:szCs w:val="26"/>
        </w:rPr>
        <w:t>rguing</w:t>
      </w:r>
      <w:r w:rsidRPr="00952B34">
        <w:rPr>
          <w:rFonts w:ascii="Book Antiqua" w:hAnsi="Book Antiqua"/>
          <w:szCs w:val="26"/>
        </w:rPr>
        <w:t xml:space="preserve"> that the Commission should </w:t>
      </w:r>
      <w:r w:rsidRPr="00952B34" w:rsidR="00000B71">
        <w:rPr>
          <w:rFonts w:ascii="Book Antiqua" w:hAnsi="Book Antiqua"/>
          <w:szCs w:val="26"/>
        </w:rPr>
        <w:t xml:space="preserve">find </w:t>
      </w:r>
      <w:r w:rsidRPr="00952B34">
        <w:rPr>
          <w:rFonts w:ascii="Book Antiqua" w:hAnsi="Book Antiqua"/>
          <w:szCs w:val="26"/>
        </w:rPr>
        <w:t>the water rates charged at Leisure Lake M</w:t>
      </w:r>
      <w:r w:rsidRPr="00952B34" w:rsidR="00000B71">
        <w:rPr>
          <w:rFonts w:ascii="Book Antiqua" w:hAnsi="Book Antiqua"/>
          <w:szCs w:val="26"/>
        </w:rPr>
        <w:t xml:space="preserve">E </w:t>
      </w:r>
      <w:r w:rsidRPr="00952B34">
        <w:rPr>
          <w:rFonts w:ascii="Book Antiqua" w:hAnsi="Book Antiqua"/>
          <w:szCs w:val="26"/>
        </w:rPr>
        <w:t xml:space="preserve">just and reasonable.  Defendants </w:t>
      </w:r>
      <w:r w:rsidRPr="00952B34" w:rsidR="00000B71">
        <w:rPr>
          <w:rFonts w:ascii="Book Antiqua" w:hAnsi="Book Antiqua"/>
          <w:szCs w:val="26"/>
        </w:rPr>
        <w:t>dispute Complainants’ comments</w:t>
      </w:r>
      <w:r w:rsidRPr="00952B34" w:rsidR="000E4509">
        <w:rPr>
          <w:rFonts w:ascii="Book Antiqua" w:hAnsi="Book Antiqua"/>
          <w:szCs w:val="26"/>
        </w:rPr>
        <w:t xml:space="preserve"> characterizing their </w:t>
      </w:r>
      <w:r w:rsidRPr="00952B34" w:rsidR="00120664">
        <w:rPr>
          <w:rFonts w:ascii="Book Antiqua" w:hAnsi="Book Antiqua"/>
          <w:szCs w:val="26"/>
        </w:rPr>
        <w:t xml:space="preserve">interpretation </w:t>
      </w:r>
      <w:r w:rsidRPr="00952B34" w:rsidR="00000B71">
        <w:rPr>
          <w:rFonts w:ascii="Book Antiqua" w:hAnsi="Book Antiqua"/>
          <w:szCs w:val="26"/>
        </w:rPr>
        <w:t xml:space="preserve">of the WD Report </w:t>
      </w:r>
      <w:r w:rsidRPr="00952B34" w:rsidR="000E4509">
        <w:rPr>
          <w:rFonts w:ascii="Book Antiqua" w:hAnsi="Book Antiqua"/>
          <w:szCs w:val="26"/>
        </w:rPr>
        <w:t>as</w:t>
      </w:r>
      <w:r w:rsidRPr="00952B34" w:rsidR="00120664">
        <w:rPr>
          <w:rFonts w:ascii="Book Antiqua" w:hAnsi="Book Antiqua"/>
          <w:szCs w:val="26"/>
        </w:rPr>
        <w:t xml:space="preserve"> “tortured” in reference to the </w:t>
      </w:r>
      <w:r w:rsidRPr="00952B34" w:rsidR="00000B71">
        <w:rPr>
          <w:rFonts w:ascii="Book Antiqua" w:hAnsi="Book Antiqua"/>
          <w:szCs w:val="26"/>
        </w:rPr>
        <w:t xml:space="preserve">claimed </w:t>
      </w:r>
      <w:r w:rsidRPr="00952B34" w:rsidR="00120664">
        <w:rPr>
          <w:rFonts w:ascii="Book Antiqua" w:hAnsi="Book Antiqua"/>
          <w:szCs w:val="26"/>
        </w:rPr>
        <w:t xml:space="preserve">meaning of the word “fairness”. </w:t>
      </w:r>
    </w:p>
    <w:p w:rsidRPr="00952B34" w:rsidR="00120664" w:rsidP="00120664" w:rsidRDefault="00120664" w14:paraId="01798217" w14:textId="69751588">
      <w:pPr>
        <w:pStyle w:val="standard"/>
        <w:rPr>
          <w:rFonts w:ascii="Book Antiqua" w:hAnsi="Book Antiqua"/>
          <w:szCs w:val="26"/>
        </w:rPr>
      </w:pPr>
      <w:r w:rsidRPr="00952B34">
        <w:rPr>
          <w:rFonts w:ascii="Book Antiqua" w:hAnsi="Book Antiqua"/>
          <w:szCs w:val="26"/>
        </w:rPr>
        <w:t xml:space="preserve">Defendants take issue with Complainant’s attempt to raise legal issues related to leases in asserting that the WD did not comply with the </w:t>
      </w:r>
      <w:r w:rsidRPr="00952B34" w:rsidR="000E4509">
        <w:rPr>
          <w:rFonts w:ascii="Book Antiqua" w:hAnsi="Book Antiqua"/>
          <w:szCs w:val="26"/>
        </w:rPr>
        <w:t xml:space="preserve">Assigned </w:t>
      </w:r>
      <w:r w:rsidRPr="00952B34">
        <w:rPr>
          <w:rFonts w:ascii="Book Antiqua" w:hAnsi="Book Antiqua"/>
          <w:szCs w:val="26"/>
        </w:rPr>
        <w:t xml:space="preserve">Commissioner’s Scoping Memo by not considering the context of the landlord/tenant contract that includes water and sewer service in rent.  </w:t>
      </w:r>
      <w:r w:rsidRPr="00952B34" w:rsidR="0075587D">
        <w:rPr>
          <w:rFonts w:ascii="Book Antiqua" w:hAnsi="Book Antiqua"/>
          <w:szCs w:val="26"/>
        </w:rPr>
        <w:t xml:space="preserve">Defendant notes that </w:t>
      </w:r>
      <w:bookmarkStart w:name="_Hlk32410222" w:id="21"/>
      <w:r w:rsidRPr="00952B34">
        <w:rPr>
          <w:rFonts w:ascii="Book Antiqua" w:hAnsi="Book Antiqua"/>
          <w:szCs w:val="26"/>
        </w:rPr>
        <w:t>rent control and tenants issues are beyond the scope of the proceeding, as noted at the PHC</w:t>
      </w:r>
      <w:bookmarkEnd w:id="21"/>
      <w:r w:rsidRPr="00952B34">
        <w:rPr>
          <w:rFonts w:ascii="Book Antiqua" w:hAnsi="Book Antiqua"/>
          <w:szCs w:val="26"/>
        </w:rPr>
        <w:t xml:space="preserve">. </w:t>
      </w:r>
      <w:r w:rsidRPr="00952B34">
        <w:rPr>
          <w:rStyle w:val="FootnoteReference"/>
          <w:rFonts w:ascii="Book Antiqua" w:hAnsi="Book Antiqua"/>
          <w:sz w:val="26"/>
          <w:szCs w:val="26"/>
        </w:rPr>
        <w:footnoteReference w:id="8"/>
      </w:r>
    </w:p>
    <w:p w:rsidRPr="00EC4C04" w:rsidR="00195B81" w:rsidP="003561B6" w:rsidRDefault="00195B81" w14:paraId="4B65FBC7" w14:textId="17E1BE4E">
      <w:pPr>
        <w:pStyle w:val="Heading2"/>
        <w:numPr>
          <w:ilvl w:val="1"/>
          <w:numId w:val="17"/>
        </w:numPr>
        <w:spacing w:before="0"/>
        <w:ind w:left="1440"/>
        <w:rPr>
          <w:rFonts w:ascii="Arial" w:hAnsi="Arial"/>
        </w:rPr>
      </w:pPr>
      <w:bookmarkStart w:name="_Toc43914767" w:id="22"/>
      <w:r w:rsidRPr="00EC4C04">
        <w:rPr>
          <w:rFonts w:ascii="Arial" w:hAnsi="Arial"/>
        </w:rPr>
        <w:t>Discussion</w:t>
      </w:r>
      <w:bookmarkEnd w:id="22"/>
    </w:p>
    <w:p w:rsidRPr="00952B34" w:rsidR="00E43932" w:rsidP="00390AAF" w:rsidRDefault="00E43932" w14:paraId="0BE1BF72" w14:textId="4A4E6EE8">
      <w:pPr>
        <w:pStyle w:val="standard"/>
        <w:rPr>
          <w:rFonts w:ascii="Book Antiqua" w:hAnsi="Book Antiqua"/>
          <w:szCs w:val="26"/>
        </w:rPr>
      </w:pPr>
      <w:r w:rsidRPr="00952B34">
        <w:rPr>
          <w:rFonts w:ascii="Book Antiqua" w:hAnsi="Book Antiqua"/>
          <w:szCs w:val="26"/>
        </w:rPr>
        <w:t xml:space="preserve">As noted above, the scope of this proceeding excludes issues relating to the terms of what may be included within landlord/tenant rental contracts.  Likewise, the issue of rates for sewer service is outside the scope of this proceeding.  </w:t>
      </w:r>
      <w:r w:rsidRPr="00952B34" w:rsidR="00F6029A">
        <w:rPr>
          <w:rFonts w:ascii="Book Antiqua" w:hAnsi="Book Antiqua"/>
          <w:szCs w:val="26"/>
        </w:rPr>
        <w:t>On this basis</w:t>
      </w:r>
      <w:r w:rsidRPr="00952B34">
        <w:rPr>
          <w:rFonts w:ascii="Book Antiqua" w:hAnsi="Book Antiqua"/>
          <w:szCs w:val="26"/>
        </w:rPr>
        <w:t xml:space="preserve">, the scope of the WD Report was limited </w:t>
      </w:r>
      <w:r w:rsidRPr="00952B34" w:rsidR="00737542">
        <w:rPr>
          <w:rFonts w:ascii="Book Antiqua" w:hAnsi="Book Antiqua"/>
          <w:szCs w:val="26"/>
        </w:rPr>
        <w:t xml:space="preserve">accordingly.   </w:t>
      </w:r>
    </w:p>
    <w:p w:rsidRPr="00952B34" w:rsidR="00372845" w:rsidP="006067CF" w:rsidRDefault="00597055" w14:paraId="4B4055B0" w14:textId="3E019971">
      <w:pPr>
        <w:pStyle w:val="standard"/>
        <w:rPr>
          <w:rFonts w:ascii="Book Antiqua" w:hAnsi="Book Antiqua"/>
          <w:szCs w:val="26"/>
        </w:rPr>
      </w:pPr>
      <w:bookmarkStart w:name="_Hlk33020081" w:id="23"/>
      <w:r w:rsidRPr="00952B34">
        <w:rPr>
          <w:rFonts w:ascii="Book Antiqua" w:hAnsi="Book Antiqua"/>
          <w:szCs w:val="26"/>
        </w:rPr>
        <w:t>T</w:t>
      </w:r>
      <w:r w:rsidRPr="00952B34" w:rsidR="006067CF">
        <w:rPr>
          <w:rFonts w:ascii="Book Antiqua" w:hAnsi="Book Antiqua"/>
          <w:szCs w:val="26"/>
        </w:rPr>
        <w:t xml:space="preserve">he WD Report </w:t>
      </w:r>
      <w:r w:rsidRPr="00952B34" w:rsidR="007B6299">
        <w:rPr>
          <w:rFonts w:ascii="Book Antiqua" w:hAnsi="Book Antiqua"/>
          <w:szCs w:val="26"/>
        </w:rPr>
        <w:t xml:space="preserve">findings </w:t>
      </w:r>
      <w:r w:rsidRPr="00952B34" w:rsidR="006067CF">
        <w:rPr>
          <w:rFonts w:ascii="Book Antiqua" w:hAnsi="Book Antiqua"/>
          <w:szCs w:val="26"/>
        </w:rPr>
        <w:t xml:space="preserve">provide an appropriate and adequate basis to </w:t>
      </w:r>
      <w:r w:rsidRPr="00952B34" w:rsidR="00F6029A">
        <w:rPr>
          <w:rFonts w:ascii="Book Antiqua" w:hAnsi="Book Antiqua"/>
          <w:szCs w:val="26"/>
        </w:rPr>
        <w:t xml:space="preserve">determine </w:t>
      </w:r>
      <w:r w:rsidRPr="00952B34" w:rsidR="006067CF">
        <w:rPr>
          <w:rFonts w:ascii="Book Antiqua" w:hAnsi="Book Antiqua"/>
          <w:szCs w:val="26"/>
        </w:rPr>
        <w:t xml:space="preserve">whether </w:t>
      </w:r>
      <w:r w:rsidRPr="00952B34" w:rsidR="00B952C8">
        <w:rPr>
          <w:rFonts w:ascii="Book Antiqua" w:hAnsi="Book Antiqua"/>
          <w:szCs w:val="26"/>
        </w:rPr>
        <w:t xml:space="preserve">Leisure Lake ME </w:t>
      </w:r>
      <w:r w:rsidRPr="00952B34" w:rsidR="006067CF">
        <w:rPr>
          <w:rFonts w:ascii="Book Antiqua" w:hAnsi="Book Antiqua"/>
          <w:szCs w:val="26"/>
        </w:rPr>
        <w:t xml:space="preserve">rates for water service are excessive </w:t>
      </w:r>
      <w:r w:rsidRPr="00952B34" w:rsidR="000E4509">
        <w:rPr>
          <w:rFonts w:ascii="Book Antiqua" w:hAnsi="Book Antiqua"/>
          <w:szCs w:val="26"/>
        </w:rPr>
        <w:t xml:space="preserve">relative </w:t>
      </w:r>
      <w:r w:rsidRPr="00952B34" w:rsidR="006067CF">
        <w:rPr>
          <w:rFonts w:ascii="Book Antiqua" w:hAnsi="Book Antiqua"/>
          <w:szCs w:val="26"/>
        </w:rPr>
        <w:t>to costs</w:t>
      </w:r>
      <w:bookmarkEnd w:id="23"/>
      <w:r w:rsidRPr="00952B34" w:rsidR="006067CF">
        <w:rPr>
          <w:rFonts w:ascii="Book Antiqua" w:hAnsi="Book Antiqua"/>
          <w:szCs w:val="26"/>
        </w:rPr>
        <w:t xml:space="preserve">. </w:t>
      </w:r>
      <w:r w:rsidRPr="00952B34" w:rsidR="006067CF">
        <w:rPr>
          <w:rStyle w:val="FootnoteReference"/>
          <w:rFonts w:ascii="Book Antiqua" w:hAnsi="Book Antiqua"/>
          <w:sz w:val="26"/>
          <w:szCs w:val="26"/>
        </w:rPr>
        <w:footnoteReference w:id="9"/>
      </w:r>
      <w:r w:rsidRPr="00952B34" w:rsidR="006067CF">
        <w:rPr>
          <w:rFonts w:ascii="Book Antiqua" w:hAnsi="Book Antiqua"/>
          <w:szCs w:val="26"/>
        </w:rPr>
        <w:t xml:space="preserve">  </w:t>
      </w:r>
      <w:r w:rsidRPr="00952B34">
        <w:rPr>
          <w:rFonts w:ascii="Book Antiqua" w:hAnsi="Book Antiqua"/>
          <w:szCs w:val="26"/>
        </w:rPr>
        <w:t>T</w:t>
      </w:r>
      <w:r w:rsidRPr="00952B34" w:rsidR="006067CF">
        <w:rPr>
          <w:rFonts w:ascii="Book Antiqua" w:hAnsi="Book Antiqua"/>
          <w:szCs w:val="26"/>
        </w:rPr>
        <w:t xml:space="preserve">he analysis </w:t>
      </w:r>
      <w:r w:rsidRPr="00952B34" w:rsidR="00F23423">
        <w:rPr>
          <w:rFonts w:ascii="Book Antiqua" w:hAnsi="Book Antiqua"/>
          <w:szCs w:val="26"/>
        </w:rPr>
        <w:t xml:space="preserve">of </w:t>
      </w:r>
      <w:r w:rsidRPr="00952B34" w:rsidR="006067CF">
        <w:rPr>
          <w:rFonts w:ascii="Book Antiqua" w:hAnsi="Book Antiqua"/>
          <w:szCs w:val="26"/>
        </w:rPr>
        <w:t xml:space="preserve">the WD </w:t>
      </w:r>
      <w:r w:rsidRPr="00952B34">
        <w:rPr>
          <w:rFonts w:ascii="Book Antiqua" w:hAnsi="Book Antiqua"/>
          <w:szCs w:val="26"/>
        </w:rPr>
        <w:t xml:space="preserve">is </w:t>
      </w:r>
      <w:r w:rsidRPr="00952B34" w:rsidR="006067CF">
        <w:rPr>
          <w:rFonts w:ascii="Book Antiqua" w:hAnsi="Book Antiqua"/>
          <w:szCs w:val="26"/>
        </w:rPr>
        <w:t xml:space="preserve">in accordance with the </w:t>
      </w:r>
      <w:r w:rsidRPr="00952B34" w:rsidR="00737542">
        <w:rPr>
          <w:rFonts w:ascii="Book Antiqua" w:hAnsi="Book Antiqua"/>
          <w:szCs w:val="26"/>
        </w:rPr>
        <w:t xml:space="preserve">previously referenced </w:t>
      </w:r>
      <w:r w:rsidRPr="00952B34" w:rsidR="006067CF">
        <w:rPr>
          <w:rFonts w:ascii="Book Antiqua" w:hAnsi="Book Antiqua"/>
          <w:szCs w:val="26"/>
        </w:rPr>
        <w:t>August 26, 2019 ALJ Ruling</w:t>
      </w:r>
      <w:r w:rsidRPr="00952B34" w:rsidR="00E43932">
        <w:rPr>
          <w:rFonts w:ascii="Book Antiqua" w:hAnsi="Book Antiqua"/>
          <w:szCs w:val="26"/>
        </w:rPr>
        <w:t xml:space="preserve">.  </w:t>
      </w:r>
      <w:r w:rsidRPr="00952B34" w:rsidR="008375D2">
        <w:rPr>
          <w:rFonts w:ascii="Book Antiqua" w:hAnsi="Book Antiqua"/>
          <w:szCs w:val="26"/>
        </w:rPr>
        <w:t>Contrary to claim</w:t>
      </w:r>
      <w:r w:rsidRPr="00952B34" w:rsidR="00E43932">
        <w:rPr>
          <w:rFonts w:ascii="Book Antiqua" w:hAnsi="Book Antiqua"/>
          <w:szCs w:val="26"/>
        </w:rPr>
        <w:t>s</w:t>
      </w:r>
      <w:r w:rsidRPr="00952B34" w:rsidR="008375D2">
        <w:rPr>
          <w:rFonts w:ascii="Book Antiqua" w:hAnsi="Book Antiqua"/>
          <w:szCs w:val="26"/>
        </w:rPr>
        <w:t xml:space="preserve"> of Complainants</w:t>
      </w:r>
      <w:r w:rsidRPr="00952B34" w:rsidR="00E43932">
        <w:rPr>
          <w:rFonts w:ascii="Book Antiqua" w:hAnsi="Book Antiqua"/>
          <w:szCs w:val="26"/>
        </w:rPr>
        <w:t xml:space="preserve"> in </w:t>
      </w:r>
      <w:r w:rsidRPr="00952B34" w:rsidR="00E43932">
        <w:rPr>
          <w:rFonts w:ascii="Book Antiqua" w:hAnsi="Book Antiqua"/>
          <w:szCs w:val="26"/>
        </w:rPr>
        <w:lastRenderedPageBreak/>
        <w:t>their brief</w:t>
      </w:r>
      <w:r w:rsidRPr="00952B34" w:rsidR="008375D2">
        <w:rPr>
          <w:rFonts w:ascii="Book Antiqua" w:hAnsi="Book Antiqua"/>
          <w:szCs w:val="26"/>
        </w:rPr>
        <w:t>, the WD Report expressly found the rates charged by</w:t>
      </w:r>
      <w:r w:rsidRPr="00952B34" w:rsidR="00E43932">
        <w:rPr>
          <w:rFonts w:ascii="Book Antiqua" w:hAnsi="Book Antiqua"/>
          <w:szCs w:val="26"/>
        </w:rPr>
        <w:t xml:space="preserve"> Leisure Lake ME</w:t>
      </w:r>
      <w:r w:rsidRPr="00952B34" w:rsidR="008375D2">
        <w:rPr>
          <w:rFonts w:ascii="Book Antiqua" w:hAnsi="Book Antiqua"/>
          <w:szCs w:val="26"/>
        </w:rPr>
        <w:t xml:space="preserve"> to be “reasonable”.</w:t>
      </w:r>
      <w:r w:rsidRPr="00952B34" w:rsidR="008375D2">
        <w:rPr>
          <w:rStyle w:val="FootnoteReference"/>
          <w:rFonts w:ascii="Book Antiqua" w:hAnsi="Book Antiqua"/>
          <w:sz w:val="26"/>
          <w:szCs w:val="26"/>
        </w:rPr>
        <w:footnoteReference w:id="10"/>
      </w:r>
    </w:p>
    <w:p w:rsidRPr="00952B34" w:rsidR="00EF68F6" w:rsidP="00F23423" w:rsidRDefault="00597055" w14:paraId="027A07E5" w14:textId="28C98338">
      <w:pPr>
        <w:pStyle w:val="standard"/>
        <w:rPr>
          <w:rFonts w:ascii="Book Antiqua" w:hAnsi="Book Antiqua"/>
          <w:szCs w:val="26"/>
        </w:rPr>
      </w:pPr>
      <w:r w:rsidRPr="00952B34">
        <w:rPr>
          <w:rFonts w:ascii="Book Antiqua" w:hAnsi="Book Antiqua"/>
          <w:szCs w:val="26"/>
        </w:rPr>
        <w:t>T</w:t>
      </w:r>
      <w:r w:rsidRPr="00952B34" w:rsidR="00400642">
        <w:rPr>
          <w:rFonts w:ascii="Book Antiqua" w:hAnsi="Book Antiqua"/>
          <w:szCs w:val="26"/>
        </w:rPr>
        <w:t xml:space="preserve">he </w:t>
      </w:r>
      <w:r w:rsidRPr="00952B34" w:rsidR="00EF68F6">
        <w:rPr>
          <w:rFonts w:ascii="Book Antiqua" w:hAnsi="Book Antiqua"/>
          <w:szCs w:val="26"/>
        </w:rPr>
        <w:t xml:space="preserve">data, </w:t>
      </w:r>
      <w:r w:rsidRPr="00952B34" w:rsidR="00400642">
        <w:rPr>
          <w:rFonts w:ascii="Book Antiqua" w:hAnsi="Book Antiqua"/>
          <w:szCs w:val="26"/>
        </w:rPr>
        <w:t xml:space="preserve">methodologies and calculations that </w:t>
      </w:r>
      <w:r w:rsidRPr="00952B34" w:rsidR="008D5F50">
        <w:rPr>
          <w:rFonts w:ascii="Book Antiqua" w:hAnsi="Book Antiqua"/>
          <w:szCs w:val="26"/>
        </w:rPr>
        <w:t xml:space="preserve">the </w:t>
      </w:r>
      <w:r w:rsidRPr="00952B34" w:rsidR="00EF68F6">
        <w:rPr>
          <w:rFonts w:ascii="Book Antiqua" w:hAnsi="Book Antiqua"/>
          <w:szCs w:val="26"/>
        </w:rPr>
        <w:t>WD used</w:t>
      </w:r>
      <w:r w:rsidRPr="00952B34" w:rsidR="00400642">
        <w:rPr>
          <w:rFonts w:ascii="Book Antiqua" w:hAnsi="Book Antiqua"/>
          <w:szCs w:val="26"/>
        </w:rPr>
        <w:t xml:space="preserve"> </w:t>
      </w:r>
      <w:r w:rsidRPr="00952B34" w:rsidR="00EF68F6">
        <w:rPr>
          <w:rFonts w:ascii="Book Antiqua" w:hAnsi="Book Antiqua"/>
          <w:szCs w:val="26"/>
        </w:rPr>
        <w:t xml:space="preserve">in conducting its analysis and finalizing its report </w:t>
      </w:r>
      <w:r w:rsidRPr="00952B34">
        <w:rPr>
          <w:rFonts w:ascii="Book Antiqua" w:hAnsi="Book Antiqua"/>
          <w:szCs w:val="26"/>
        </w:rPr>
        <w:t>is</w:t>
      </w:r>
      <w:r w:rsidRPr="00952B34" w:rsidR="00A7488D">
        <w:rPr>
          <w:rFonts w:ascii="Book Antiqua" w:hAnsi="Book Antiqua"/>
          <w:szCs w:val="26"/>
        </w:rPr>
        <w:t xml:space="preserve"> </w:t>
      </w:r>
      <w:r w:rsidRPr="00952B34" w:rsidR="00400642">
        <w:rPr>
          <w:rFonts w:ascii="Book Antiqua" w:hAnsi="Book Antiqua"/>
          <w:szCs w:val="26"/>
        </w:rPr>
        <w:t>reasonable.  No party identified any</w:t>
      </w:r>
      <w:r w:rsidRPr="00952B34" w:rsidR="00EF68F6">
        <w:rPr>
          <w:rFonts w:ascii="Book Antiqua" w:hAnsi="Book Antiqua"/>
          <w:szCs w:val="26"/>
        </w:rPr>
        <w:t xml:space="preserve">thing </w:t>
      </w:r>
      <w:r w:rsidRPr="00952B34" w:rsidR="00400642">
        <w:rPr>
          <w:rFonts w:ascii="Book Antiqua" w:hAnsi="Book Antiqua"/>
          <w:szCs w:val="26"/>
        </w:rPr>
        <w:t>in the WD Report t</w:t>
      </w:r>
      <w:r w:rsidRPr="00952B34" w:rsidR="00A7488D">
        <w:rPr>
          <w:rFonts w:ascii="Book Antiqua" w:hAnsi="Book Antiqua"/>
          <w:szCs w:val="26"/>
        </w:rPr>
        <w:t>o</w:t>
      </w:r>
      <w:r w:rsidRPr="00952B34" w:rsidR="00400642">
        <w:rPr>
          <w:rFonts w:ascii="Book Antiqua" w:hAnsi="Book Antiqua"/>
          <w:szCs w:val="26"/>
        </w:rPr>
        <w:t xml:space="preserve"> call into question its findings.  </w:t>
      </w:r>
      <w:r w:rsidRPr="00952B34" w:rsidR="00F23423">
        <w:rPr>
          <w:rFonts w:ascii="Book Antiqua" w:hAnsi="Book Antiqua"/>
          <w:szCs w:val="26"/>
        </w:rPr>
        <w:t xml:space="preserve">Complainants have had a reasonable opportunity to be heard and participate in connection with the WD investigation and report.  Complainants were duly served with a copy of the responsive data provided by Defendant to the WD for its rate analysis.  Complainant had due opportunity to review the data, file a brief and to express opinions regarding the accuracy and relevance of the data.  Complainants identified no factual errors nor conceptual flaws in the data or methodologies used by </w:t>
      </w:r>
      <w:r w:rsidRPr="00952B34" w:rsidR="008D5F50">
        <w:rPr>
          <w:rFonts w:ascii="Book Antiqua" w:hAnsi="Book Antiqua"/>
          <w:szCs w:val="26"/>
        </w:rPr>
        <w:t xml:space="preserve">the </w:t>
      </w:r>
      <w:r w:rsidRPr="00952B34" w:rsidR="00F23423">
        <w:rPr>
          <w:rFonts w:ascii="Book Antiqua" w:hAnsi="Book Antiqua"/>
          <w:szCs w:val="26"/>
        </w:rPr>
        <w:t xml:space="preserve">WD.  </w:t>
      </w:r>
    </w:p>
    <w:p w:rsidRPr="00952B34" w:rsidR="00C43F8E" w:rsidP="00400642" w:rsidRDefault="00372845" w14:paraId="3F555B1D" w14:textId="7245F2D0">
      <w:pPr>
        <w:pStyle w:val="standard"/>
        <w:rPr>
          <w:rFonts w:ascii="Book Antiqua" w:hAnsi="Book Antiqua"/>
          <w:szCs w:val="26"/>
        </w:rPr>
      </w:pPr>
      <w:r w:rsidRPr="00952B34">
        <w:rPr>
          <w:rFonts w:ascii="Book Antiqua" w:hAnsi="Book Antiqua"/>
          <w:szCs w:val="26"/>
        </w:rPr>
        <w:t xml:space="preserve">The WD conducted </w:t>
      </w:r>
      <w:r w:rsidRPr="00952B34" w:rsidR="003D379F">
        <w:rPr>
          <w:rFonts w:ascii="Book Antiqua" w:hAnsi="Book Antiqua"/>
          <w:szCs w:val="26"/>
        </w:rPr>
        <w:t xml:space="preserve">its </w:t>
      </w:r>
      <w:r w:rsidRPr="00952B34">
        <w:rPr>
          <w:rFonts w:ascii="Book Antiqua" w:hAnsi="Book Antiqua"/>
          <w:szCs w:val="26"/>
        </w:rPr>
        <w:t>analysis of Leisure Lake’s water</w:t>
      </w:r>
      <w:r w:rsidRPr="00952B34" w:rsidR="00000B71">
        <w:rPr>
          <w:rFonts w:ascii="Book Antiqua" w:hAnsi="Book Antiqua"/>
          <w:szCs w:val="26"/>
        </w:rPr>
        <w:t xml:space="preserve"> </w:t>
      </w:r>
      <w:r w:rsidRPr="00952B34">
        <w:rPr>
          <w:rFonts w:ascii="Book Antiqua" w:hAnsi="Book Antiqua"/>
          <w:szCs w:val="26"/>
        </w:rPr>
        <w:t>rates using the cost-of-service ratemaking methodology and criteria for a Class C and D Commission</w:t>
      </w:r>
      <w:r w:rsidRPr="00952B34" w:rsidR="00EF68F6">
        <w:rPr>
          <w:rFonts w:ascii="Book Antiqua" w:hAnsi="Book Antiqua"/>
          <w:szCs w:val="26"/>
        </w:rPr>
        <w:t>-</w:t>
      </w:r>
      <w:r w:rsidRPr="00952B34">
        <w:rPr>
          <w:rFonts w:ascii="Book Antiqua" w:hAnsi="Book Antiqua"/>
          <w:szCs w:val="26"/>
        </w:rPr>
        <w:t xml:space="preserve">regulated water utilities following the guidelines in </w:t>
      </w:r>
      <w:r w:rsidRPr="00952B34" w:rsidR="00390AAF">
        <w:rPr>
          <w:rFonts w:ascii="Book Antiqua" w:hAnsi="Book Antiqua"/>
          <w:szCs w:val="26"/>
        </w:rPr>
        <w:t xml:space="preserve">relevant </w:t>
      </w:r>
      <w:r w:rsidRPr="00952B34" w:rsidR="005E255D">
        <w:rPr>
          <w:rFonts w:ascii="Book Antiqua" w:hAnsi="Book Antiqua"/>
          <w:szCs w:val="26"/>
        </w:rPr>
        <w:t xml:space="preserve">Standard Practice </w:t>
      </w:r>
      <w:r w:rsidRPr="00952B34" w:rsidR="006217DA">
        <w:rPr>
          <w:rFonts w:ascii="Book Antiqua" w:hAnsi="Book Antiqua"/>
          <w:szCs w:val="26"/>
        </w:rPr>
        <w:t>documents</w:t>
      </w:r>
      <w:r w:rsidRPr="00952B34" w:rsidR="00390AAF">
        <w:rPr>
          <w:rFonts w:ascii="Book Antiqua" w:hAnsi="Book Antiqua"/>
          <w:szCs w:val="26"/>
        </w:rPr>
        <w:t>.</w:t>
      </w:r>
      <w:r w:rsidRPr="00952B34" w:rsidR="00390AAF">
        <w:rPr>
          <w:rStyle w:val="FootnoteReference"/>
          <w:rFonts w:ascii="Book Antiqua" w:hAnsi="Book Antiqua"/>
          <w:sz w:val="26"/>
          <w:szCs w:val="26"/>
        </w:rPr>
        <w:footnoteReference w:id="11"/>
      </w:r>
      <w:r w:rsidRPr="00952B34" w:rsidR="00400642">
        <w:rPr>
          <w:rFonts w:ascii="Book Antiqua" w:hAnsi="Book Antiqua"/>
          <w:szCs w:val="26"/>
        </w:rPr>
        <w:t xml:space="preserve">   </w:t>
      </w:r>
      <w:r w:rsidRPr="00952B34" w:rsidR="00000B71">
        <w:rPr>
          <w:rFonts w:ascii="Book Antiqua" w:hAnsi="Book Antiqua"/>
          <w:szCs w:val="26"/>
        </w:rPr>
        <w:t xml:space="preserve">Since Leisure Lake ME serves only 211 service connections, </w:t>
      </w:r>
      <w:r w:rsidRPr="00952B34" w:rsidR="003D379F">
        <w:rPr>
          <w:rFonts w:ascii="Book Antiqua" w:hAnsi="Book Antiqua"/>
          <w:szCs w:val="26"/>
        </w:rPr>
        <w:t>it</w:t>
      </w:r>
      <w:r w:rsidRPr="00952B34" w:rsidR="00597055">
        <w:rPr>
          <w:rFonts w:ascii="Book Antiqua" w:hAnsi="Book Antiqua"/>
          <w:szCs w:val="26"/>
        </w:rPr>
        <w:t xml:space="preserve"> is</w:t>
      </w:r>
      <w:r w:rsidRPr="00952B34" w:rsidR="003D379F">
        <w:rPr>
          <w:rFonts w:ascii="Book Antiqua" w:hAnsi="Book Antiqua"/>
          <w:szCs w:val="26"/>
        </w:rPr>
        <w:t xml:space="preserve"> </w:t>
      </w:r>
      <w:r w:rsidRPr="00952B34" w:rsidR="00411D9E">
        <w:rPr>
          <w:rFonts w:ascii="Book Antiqua" w:hAnsi="Book Antiqua"/>
          <w:szCs w:val="26"/>
        </w:rPr>
        <w:t xml:space="preserve">reasonable to </w:t>
      </w:r>
      <w:r w:rsidRPr="00952B34" w:rsidR="00000B71">
        <w:rPr>
          <w:rFonts w:ascii="Book Antiqua" w:hAnsi="Book Antiqua"/>
          <w:szCs w:val="26"/>
        </w:rPr>
        <w:t xml:space="preserve">compare </w:t>
      </w:r>
      <w:r w:rsidRPr="00952B34" w:rsidR="00C43F8E">
        <w:rPr>
          <w:rFonts w:ascii="Book Antiqua" w:hAnsi="Book Antiqua"/>
          <w:szCs w:val="26"/>
        </w:rPr>
        <w:t xml:space="preserve">Leisure Lake </w:t>
      </w:r>
      <w:r w:rsidRPr="00952B34" w:rsidR="000411E3">
        <w:rPr>
          <w:rFonts w:ascii="Book Antiqua" w:hAnsi="Book Antiqua"/>
          <w:szCs w:val="26"/>
        </w:rPr>
        <w:t xml:space="preserve">ME </w:t>
      </w:r>
      <w:r w:rsidRPr="00952B34" w:rsidR="00000B71">
        <w:rPr>
          <w:rFonts w:ascii="Book Antiqua" w:hAnsi="Book Antiqua"/>
          <w:szCs w:val="26"/>
        </w:rPr>
        <w:t xml:space="preserve">water rates to those of </w:t>
      </w:r>
      <w:r w:rsidRPr="00952B34" w:rsidR="00C43F8E">
        <w:rPr>
          <w:rFonts w:ascii="Book Antiqua" w:hAnsi="Book Antiqua"/>
          <w:szCs w:val="26"/>
        </w:rPr>
        <w:t>a Commission-regulated Class D water utility with less than 500 service connections.</w:t>
      </w:r>
      <w:r w:rsidRPr="00952B34" w:rsidR="00C43F8E">
        <w:rPr>
          <w:rFonts w:ascii="Book Antiqua" w:hAnsi="Book Antiqua"/>
          <w:szCs w:val="26"/>
          <w:vertAlign w:val="superscript"/>
        </w:rPr>
        <w:t xml:space="preserve"> </w:t>
      </w:r>
      <w:r w:rsidRPr="00952B34" w:rsidR="00C43F8E">
        <w:rPr>
          <w:rFonts w:ascii="Book Antiqua" w:hAnsi="Book Antiqua"/>
          <w:szCs w:val="26"/>
          <w:vertAlign w:val="superscript"/>
        </w:rPr>
        <w:footnoteReference w:id="12"/>
      </w:r>
      <w:r w:rsidRPr="00952B34" w:rsidR="00C43F8E">
        <w:rPr>
          <w:rFonts w:ascii="Book Antiqua" w:hAnsi="Book Antiqua"/>
          <w:szCs w:val="26"/>
        </w:rPr>
        <w:t xml:space="preserve">  </w:t>
      </w:r>
      <w:r w:rsidRPr="00952B34" w:rsidR="000411E3">
        <w:rPr>
          <w:rFonts w:ascii="Book Antiqua" w:hAnsi="Book Antiqua"/>
          <w:szCs w:val="26"/>
        </w:rPr>
        <w:t xml:space="preserve"> </w:t>
      </w:r>
    </w:p>
    <w:p w:rsidRPr="00952B34" w:rsidR="00F23423" w:rsidP="00EA3E73" w:rsidRDefault="00C43F8E" w14:paraId="26F1D0C7" w14:textId="243A5BAB">
      <w:pPr>
        <w:pStyle w:val="standard"/>
        <w:rPr>
          <w:rFonts w:ascii="Book Antiqua" w:hAnsi="Book Antiqua"/>
          <w:szCs w:val="26"/>
        </w:rPr>
      </w:pPr>
      <w:r w:rsidRPr="00952B34">
        <w:rPr>
          <w:rFonts w:ascii="Book Antiqua" w:hAnsi="Book Antiqua"/>
          <w:szCs w:val="26"/>
        </w:rPr>
        <w:t xml:space="preserve">To assess </w:t>
      </w:r>
      <w:r w:rsidRPr="00952B34" w:rsidR="00372845">
        <w:rPr>
          <w:rFonts w:ascii="Book Antiqua" w:hAnsi="Book Antiqua"/>
          <w:szCs w:val="26"/>
        </w:rPr>
        <w:t xml:space="preserve">the reasonableness of </w:t>
      </w:r>
      <w:r w:rsidRPr="00952B34" w:rsidR="009A07E9">
        <w:rPr>
          <w:rFonts w:ascii="Book Antiqua" w:hAnsi="Book Antiqua"/>
          <w:szCs w:val="26"/>
        </w:rPr>
        <w:t xml:space="preserve">the water </w:t>
      </w:r>
      <w:r w:rsidRPr="00952B34" w:rsidR="00372845">
        <w:rPr>
          <w:rFonts w:ascii="Book Antiqua" w:hAnsi="Book Antiqua"/>
          <w:szCs w:val="26"/>
        </w:rPr>
        <w:t>rates</w:t>
      </w:r>
      <w:r w:rsidRPr="00952B34" w:rsidR="009A07E9">
        <w:rPr>
          <w:rFonts w:ascii="Book Antiqua" w:hAnsi="Book Antiqua"/>
          <w:szCs w:val="26"/>
        </w:rPr>
        <w:t xml:space="preserve"> in relation to costs</w:t>
      </w:r>
      <w:r w:rsidRPr="00952B34" w:rsidR="00372845">
        <w:rPr>
          <w:rFonts w:ascii="Book Antiqua" w:hAnsi="Book Antiqua"/>
          <w:szCs w:val="26"/>
        </w:rPr>
        <w:t>, the WD reviewed operating and maintenance (O&amp;M) expenses</w:t>
      </w:r>
      <w:r w:rsidRPr="00952B34">
        <w:rPr>
          <w:rFonts w:ascii="Book Antiqua" w:hAnsi="Book Antiqua"/>
          <w:szCs w:val="26"/>
        </w:rPr>
        <w:t xml:space="preserve"> of </w:t>
      </w:r>
      <w:r w:rsidRPr="00952B34" w:rsidR="00372845">
        <w:rPr>
          <w:rFonts w:ascii="Book Antiqua" w:hAnsi="Book Antiqua"/>
          <w:szCs w:val="26"/>
        </w:rPr>
        <w:t>Leisure Lake</w:t>
      </w:r>
      <w:r w:rsidRPr="00952B34" w:rsidR="008D5F50">
        <w:rPr>
          <w:rFonts w:ascii="Book Antiqua" w:hAnsi="Book Antiqua"/>
          <w:szCs w:val="26"/>
        </w:rPr>
        <w:t xml:space="preserve"> ME</w:t>
      </w:r>
      <w:r w:rsidRPr="00952B34" w:rsidR="006217DA">
        <w:rPr>
          <w:rFonts w:ascii="Book Antiqua" w:hAnsi="Book Antiqua"/>
          <w:szCs w:val="26"/>
        </w:rPr>
        <w:t>’s</w:t>
      </w:r>
      <w:r w:rsidRPr="00952B34" w:rsidR="00372845">
        <w:rPr>
          <w:rFonts w:ascii="Book Antiqua" w:hAnsi="Book Antiqua"/>
          <w:szCs w:val="26"/>
        </w:rPr>
        <w:t xml:space="preserve"> </w:t>
      </w:r>
      <w:r w:rsidRPr="00952B34" w:rsidR="00372845">
        <w:rPr>
          <w:rFonts w:ascii="Book Antiqua" w:hAnsi="Book Antiqua"/>
          <w:szCs w:val="26"/>
        </w:rPr>
        <w:lastRenderedPageBreak/>
        <w:t>water system operations</w:t>
      </w:r>
      <w:r w:rsidRPr="00952B34" w:rsidR="00CB4B11">
        <w:rPr>
          <w:rFonts w:ascii="Book Antiqua" w:hAnsi="Book Antiqua"/>
          <w:szCs w:val="26"/>
        </w:rPr>
        <w:t xml:space="preserve">. </w:t>
      </w:r>
      <w:r w:rsidRPr="00952B34" w:rsidR="004D78D2">
        <w:rPr>
          <w:rFonts w:ascii="Book Antiqua" w:hAnsi="Book Antiqua"/>
          <w:szCs w:val="26"/>
        </w:rPr>
        <w:t xml:space="preserve"> </w:t>
      </w:r>
      <w:r w:rsidRPr="00952B34" w:rsidR="00CB4B11">
        <w:rPr>
          <w:rFonts w:ascii="Book Antiqua" w:hAnsi="Book Antiqua"/>
          <w:szCs w:val="26"/>
        </w:rPr>
        <w:t xml:space="preserve">These O&amp;M expenses are </w:t>
      </w:r>
      <w:r w:rsidRPr="00952B34" w:rsidR="004D78D2">
        <w:rPr>
          <w:rFonts w:ascii="Book Antiqua" w:hAnsi="Book Antiqua"/>
          <w:szCs w:val="26"/>
        </w:rPr>
        <w:t>estimated to be $57, 026</w:t>
      </w:r>
      <w:r w:rsidRPr="00952B34" w:rsidR="00372845">
        <w:rPr>
          <w:rFonts w:ascii="Book Antiqua" w:hAnsi="Book Antiqua"/>
          <w:szCs w:val="26"/>
          <w:vertAlign w:val="superscript"/>
        </w:rPr>
        <w:footnoteReference w:id="13"/>
      </w:r>
      <w:r w:rsidRPr="00952B34" w:rsidR="00372845">
        <w:rPr>
          <w:rFonts w:ascii="Book Antiqua" w:hAnsi="Book Antiqua"/>
          <w:szCs w:val="26"/>
        </w:rPr>
        <w:t xml:space="preserve"> </w:t>
      </w:r>
      <w:r w:rsidRPr="00952B34" w:rsidR="006217DA">
        <w:rPr>
          <w:rFonts w:ascii="Book Antiqua" w:hAnsi="Book Antiqua"/>
          <w:szCs w:val="26"/>
        </w:rPr>
        <w:t xml:space="preserve">annually, </w:t>
      </w:r>
      <w:r w:rsidRPr="00952B34" w:rsidR="00CB4B11">
        <w:rPr>
          <w:rFonts w:ascii="Book Antiqua" w:hAnsi="Book Antiqua"/>
          <w:szCs w:val="26"/>
        </w:rPr>
        <w:t xml:space="preserve">which </w:t>
      </w:r>
      <w:r w:rsidRPr="00952B34" w:rsidR="006217DA">
        <w:rPr>
          <w:rFonts w:ascii="Book Antiqua" w:hAnsi="Book Antiqua"/>
          <w:szCs w:val="26"/>
        </w:rPr>
        <w:t xml:space="preserve">are </w:t>
      </w:r>
      <w:r w:rsidRPr="00952B34" w:rsidR="008D5F50">
        <w:rPr>
          <w:rFonts w:ascii="Book Antiqua" w:hAnsi="Book Antiqua"/>
          <w:szCs w:val="26"/>
        </w:rPr>
        <w:t>considered</w:t>
      </w:r>
      <w:r w:rsidRPr="00952B34" w:rsidR="004853A6">
        <w:rPr>
          <w:rFonts w:ascii="Book Antiqua" w:hAnsi="Book Antiqua"/>
          <w:szCs w:val="26"/>
        </w:rPr>
        <w:t xml:space="preserve"> </w:t>
      </w:r>
      <w:r w:rsidRPr="00952B34" w:rsidR="00372845">
        <w:rPr>
          <w:rFonts w:ascii="Book Antiqua" w:hAnsi="Book Antiqua"/>
          <w:szCs w:val="26"/>
        </w:rPr>
        <w:t>comparable to O&amp;M expenses used in determining revenue requirement and rates in General Rate Cases for Commission</w:t>
      </w:r>
      <w:r w:rsidRPr="00952B34" w:rsidR="002E43FE">
        <w:rPr>
          <w:rFonts w:ascii="Book Antiqua" w:hAnsi="Book Antiqua"/>
          <w:szCs w:val="26"/>
        </w:rPr>
        <w:t>-</w:t>
      </w:r>
      <w:r w:rsidRPr="00952B34" w:rsidR="00372845">
        <w:rPr>
          <w:rFonts w:ascii="Book Antiqua" w:hAnsi="Book Antiqua"/>
          <w:szCs w:val="26"/>
        </w:rPr>
        <w:t xml:space="preserve">regulated Class D water utilities.  </w:t>
      </w:r>
      <w:r w:rsidRPr="00952B34" w:rsidR="002E43FE">
        <w:rPr>
          <w:rFonts w:ascii="Book Antiqua" w:hAnsi="Book Antiqua"/>
          <w:szCs w:val="26"/>
        </w:rPr>
        <w:t xml:space="preserve">The </w:t>
      </w:r>
      <w:r w:rsidRPr="00952B34" w:rsidR="004D78D2">
        <w:rPr>
          <w:rFonts w:ascii="Book Antiqua" w:hAnsi="Book Antiqua"/>
          <w:szCs w:val="26"/>
        </w:rPr>
        <w:t>functional categor</w:t>
      </w:r>
      <w:r w:rsidRPr="00952B34" w:rsidR="000411E3">
        <w:rPr>
          <w:rFonts w:ascii="Book Antiqua" w:hAnsi="Book Antiqua"/>
          <w:szCs w:val="26"/>
        </w:rPr>
        <w:t>ies</w:t>
      </w:r>
      <w:r w:rsidRPr="00952B34" w:rsidR="004D78D2">
        <w:rPr>
          <w:rFonts w:ascii="Book Antiqua" w:hAnsi="Book Antiqua"/>
          <w:szCs w:val="26"/>
        </w:rPr>
        <w:t xml:space="preserve"> </w:t>
      </w:r>
      <w:r w:rsidRPr="00952B34" w:rsidR="000411E3">
        <w:rPr>
          <w:rFonts w:ascii="Book Antiqua" w:hAnsi="Book Antiqua"/>
          <w:szCs w:val="26"/>
        </w:rPr>
        <w:t xml:space="preserve">of </w:t>
      </w:r>
      <w:r w:rsidRPr="00952B34" w:rsidR="00372845">
        <w:rPr>
          <w:rFonts w:ascii="Book Antiqua" w:hAnsi="Book Antiqua"/>
          <w:szCs w:val="26"/>
        </w:rPr>
        <w:t xml:space="preserve">O&amp;M expenses considered in </w:t>
      </w:r>
      <w:r w:rsidRPr="00952B34" w:rsidR="002E43FE">
        <w:rPr>
          <w:rFonts w:ascii="Book Antiqua" w:hAnsi="Book Antiqua"/>
          <w:szCs w:val="26"/>
        </w:rPr>
        <w:t xml:space="preserve">the </w:t>
      </w:r>
      <w:r w:rsidRPr="00952B34" w:rsidR="00CB4B11">
        <w:rPr>
          <w:rFonts w:ascii="Book Antiqua" w:hAnsi="Book Antiqua"/>
          <w:szCs w:val="26"/>
        </w:rPr>
        <w:t xml:space="preserve">WD </w:t>
      </w:r>
      <w:r w:rsidRPr="00952B34" w:rsidR="00372845">
        <w:rPr>
          <w:rFonts w:ascii="Book Antiqua" w:hAnsi="Book Antiqua"/>
          <w:szCs w:val="26"/>
        </w:rPr>
        <w:t>cost-of-service rate analysis</w:t>
      </w:r>
      <w:r w:rsidRPr="00952B34" w:rsidR="002E43FE">
        <w:rPr>
          <w:rFonts w:ascii="Book Antiqua" w:hAnsi="Book Antiqua"/>
          <w:szCs w:val="26"/>
        </w:rPr>
        <w:t xml:space="preserve"> </w:t>
      </w:r>
      <w:r w:rsidRPr="00952B34" w:rsidR="002A0B6C">
        <w:rPr>
          <w:rFonts w:ascii="Book Antiqua" w:hAnsi="Book Antiqua"/>
          <w:szCs w:val="26"/>
        </w:rPr>
        <w:t xml:space="preserve">are </w:t>
      </w:r>
      <w:r w:rsidRPr="00952B34" w:rsidR="002E43FE">
        <w:rPr>
          <w:rFonts w:ascii="Book Antiqua" w:hAnsi="Book Antiqua"/>
          <w:szCs w:val="26"/>
        </w:rPr>
        <w:t>s</w:t>
      </w:r>
      <w:r w:rsidRPr="00952B34" w:rsidR="007B6299">
        <w:rPr>
          <w:rFonts w:ascii="Book Antiqua" w:hAnsi="Book Antiqua"/>
          <w:szCs w:val="26"/>
        </w:rPr>
        <w:t xml:space="preserve">hown </w:t>
      </w:r>
      <w:r w:rsidRPr="00952B34" w:rsidR="002A0B6C">
        <w:rPr>
          <w:rFonts w:ascii="Book Antiqua" w:hAnsi="Book Antiqua"/>
          <w:szCs w:val="26"/>
        </w:rPr>
        <w:t xml:space="preserve">in Table 1 </w:t>
      </w:r>
      <w:r w:rsidRPr="00952B34" w:rsidR="002E43FE">
        <w:rPr>
          <w:rFonts w:ascii="Book Antiqua" w:hAnsi="Book Antiqua"/>
          <w:szCs w:val="26"/>
        </w:rPr>
        <w:t xml:space="preserve">below: </w:t>
      </w:r>
    </w:p>
    <w:p w:rsidRPr="00EC4C04" w:rsidR="002E43FE" w:rsidP="003561B6" w:rsidRDefault="002E43FE" w14:paraId="6E975649" w14:textId="01B5650A">
      <w:pPr>
        <w:pStyle w:val="standard"/>
        <w:keepNext/>
        <w:keepLines/>
        <w:spacing w:after="120"/>
        <w:ind w:firstLine="0"/>
        <w:jc w:val="center"/>
        <w:rPr>
          <w:rFonts w:ascii="Book Antiqua" w:hAnsi="Book Antiqua"/>
          <w:bCs/>
        </w:rPr>
      </w:pPr>
      <w:r w:rsidRPr="00EC4C04">
        <w:rPr>
          <w:rFonts w:ascii="Book Antiqua" w:hAnsi="Book Antiqua"/>
          <w:bCs/>
        </w:rPr>
        <w:t>Table 1</w:t>
      </w:r>
    </w:p>
    <w:p w:rsidRPr="00EC4C04" w:rsidR="00372845" w:rsidP="003561B6" w:rsidRDefault="002E43FE" w14:paraId="01B722CC" w14:textId="77CE7666">
      <w:pPr>
        <w:pStyle w:val="standard"/>
        <w:keepNext/>
        <w:keepLines/>
        <w:ind w:firstLine="0"/>
        <w:rPr>
          <w:rFonts w:ascii="Book Antiqua" w:hAnsi="Book Antiqua"/>
        </w:rPr>
      </w:pPr>
      <w:r w:rsidRPr="00EC4C04">
        <w:rPr>
          <w:rFonts w:ascii="Book Antiqua" w:hAnsi="Book Antiqua"/>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8.25pt;height:255pt" o:ole="" type="#_x0000_t75">
            <v:imagedata o:title="" r:id="rId12"/>
          </v:shape>
        </w:pict>
      </w:r>
    </w:p>
    <w:p w:rsidRPr="00EC4C04" w:rsidR="003561B6" w:rsidP="003561B6" w:rsidRDefault="003561B6" w14:paraId="46A11280" w14:textId="77777777">
      <w:pPr>
        <w:pStyle w:val="standard"/>
        <w:keepNext/>
        <w:keepLines/>
        <w:ind w:firstLine="0"/>
        <w:rPr>
          <w:rFonts w:ascii="Book Antiqua" w:hAnsi="Book Antiqua"/>
          <w:sz w:val="10"/>
          <w:szCs w:val="10"/>
        </w:rPr>
      </w:pPr>
    </w:p>
    <w:p w:rsidRPr="00952B34" w:rsidR="00372845" w:rsidP="000411E3" w:rsidRDefault="00372845" w14:paraId="69BE9A7D" w14:textId="317E7302">
      <w:pPr>
        <w:pStyle w:val="standard"/>
        <w:rPr>
          <w:rFonts w:ascii="Book Antiqua" w:hAnsi="Book Antiqua"/>
          <w:szCs w:val="26"/>
        </w:rPr>
      </w:pPr>
      <w:r w:rsidRPr="00952B34">
        <w:rPr>
          <w:rFonts w:ascii="Book Antiqua" w:hAnsi="Book Antiqua"/>
          <w:szCs w:val="26"/>
        </w:rPr>
        <w:t>The Commission’s ratemaking policy for determining revenue requirement</w:t>
      </w:r>
      <w:r w:rsidRPr="00952B34" w:rsidR="000411E3">
        <w:rPr>
          <w:rFonts w:ascii="Book Antiqua" w:hAnsi="Book Antiqua"/>
          <w:szCs w:val="26"/>
        </w:rPr>
        <w:t>s</w:t>
      </w:r>
      <w:r w:rsidRPr="00952B34">
        <w:rPr>
          <w:rFonts w:ascii="Book Antiqua" w:hAnsi="Book Antiqua"/>
          <w:szCs w:val="26"/>
        </w:rPr>
        <w:t xml:space="preserve"> and rates for Class C and D regulated water utilities, </w:t>
      </w:r>
      <w:r w:rsidRPr="00952B34" w:rsidR="002A0B6C">
        <w:rPr>
          <w:rFonts w:ascii="Book Antiqua" w:hAnsi="Book Antiqua"/>
          <w:szCs w:val="26"/>
        </w:rPr>
        <w:t xml:space="preserve">as </w:t>
      </w:r>
      <w:r w:rsidRPr="00952B34">
        <w:rPr>
          <w:rFonts w:ascii="Book Antiqua" w:hAnsi="Book Antiqua"/>
          <w:szCs w:val="26"/>
        </w:rPr>
        <w:t xml:space="preserve">adopted by Decision (D.) 92-03-093, is to use the Rate of Return (ROR) and </w:t>
      </w:r>
      <w:r w:rsidRPr="00952B34" w:rsidR="000411E3">
        <w:rPr>
          <w:rFonts w:ascii="Book Antiqua" w:hAnsi="Book Antiqua"/>
          <w:szCs w:val="26"/>
        </w:rPr>
        <w:t>Rate of Margin (</w:t>
      </w:r>
      <w:r w:rsidRPr="00952B34">
        <w:rPr>
          <w:rFonts w:ascii="Book Antiqua" w:hAnsi="Book Antiqua"/>
          <w:szCs w:val="26"/>
        </w:rPr>
        <w:t>ROM</w:t>
      </w:r>
      <w:r w:rsidRPr="00952B34" w:rsidR="000411E3">
        <w:rPr>
          <w:rFonts w:ascii="Book Antiqua" w:hAnsi="Book Antiqua"/>
          <w:szCs w:val="26"/>
        </w:rPr>
        <w:t>)</w:t>
      </w:r>
      <w:r w:rsidRPr="00952B34">
        <w:rPr>
          <w:rFonts w:ascii="Book Antiqua" w:hAnsi="Book Antiqua"/>
          <w:szCs w:val="26"/>
        </w:rPr>
        <w:t xml:space="preserve"> methods</w:t>
      </w:r>
      <w:r w:rsidRPr="00952B34" w:rsidR="000411E3">
        <w:rPr>
          <w:rFonts w:ascii="Book Antiqua" w:hAnsi="Book Antiqua"/>
          <w:szCs w:val="26"/>
        </w:rPr>
        <w:t>.</w:t>
      </w:r>
      <w:r w:rsidRPr="00952B34" w:rsidR="008D5F50">
        <w:rPr>
          <w:rStyle w:val="FootnoteReference"/>
          <w:rFonts w:ascii="Book Antiqua" w:hAnsi="Book Antiqua"/>
          <w:sz w:val="26"/>
          <w:szCs w:val="26"/>
        </w:rPr>
        <w:t xml:space="preserve"> </w:t>
      </w:r>
      <w:r w:rsidRPr="00952B34" w:rsidR="008D5F50">
        <w:rPr>
          <w:rStyle w:val="FootnoteReference"/>
          <w:rFonts w:ascii="Book Antiqua" w:hAnsi="Book Antiqua"/>
          <w:sz w:val="26"/>
          <w:szCs w:val="26"/>
        </w:rPr>
        <w:footnoteReference w:id="14"/>
      </w:r>
      <w:r w:rsidRPr="00952B34" w:rsidR="000411E3">
        <w:rPr>
          <w:rFonts w:ascii="Book Antiqua" w:hAnsi="Book Antiqua"/>
          <w:szCs w:val="26"/>
        </w:rPr>
        <w:t xml:space="preserve"> </w:t>
      </w:r>
      <w:r w:rsidRPr="00952B34" w:rsidR="006217DA">
        <w:rPr>
          <w:rFonts w:ascii="Book Antiqua" w:hAnsi="Book Antiqua"/>
          <w:szCs w:val="26"/>
        </w:rPr>
        <w:t xml:space="preserve"> </w:t>
      </w:r>
      <w:bookmarkStart w:name="_Hlk31631398" w:id="25"/>
      <w:r w:rsidRPr="00952B34" w:rsidR="009564AB">
        <w:rPr>
          <w:rFonts w:ascii="Book Antiqua" w:hAnsi="Book Antiqua"/>
          <w:szCs w:val="26"/>
        </w:rPr>
        <w:t>L</w:t>
      </w:r>
      <w:r w:rsidRPr="00952B34" w:rsidR="002A0B6C">
        <w:rPr>
          <w:rFonts w:ascii="Book Antiqua" w:hAnsi="Book Antiqua"/>
          <w:szCs w:val="26"/>
        </w:rPr>
        <w:t>eisure Lake ME serves 211 service connections</w:t>
      </w:r>
      <w:bookmarkEnd w:id="25"/>
      <w:r w:rsidRPr="00952B34" w:rsidR="002A0B6C">
        <w:rPr>
          <w:rFonts w:ascii="Book Antiqua" w:hAnsi="Book Antiqua"/>
          <w:szCs w:val="26"/>
        </w:rPr>
        <w:t xml:space="preserve">.  </w:t>
      </w:r>
    </w:p>
    <w:p w:rsidRPr="00952B34" w:rsidR="008E1732" w:rsidP="008E1732" w:rsidRDefault="008E1732" w14:paraId="542FC41B" w14:textId="70522EDF">
      <w:pPr>
        <w:pStyle w:val="standard"/>
        <w:rPr>
          <w:rFonts w:ascii="Book Antiqua" w:hAnsi="Book Antiqua"/>
          <w:szCs w:val="26"/>
        </w:rPr>
      </w:pPr>
      <w:bookmarkStart w:name="_Hlk30601473" w:id="26"/>
      <w:r w:rsidRPr="00952B34">
        <w:rPr>
          <w:rFonts w:ascii="Book Antiqua" w:hAnsi="Book Antiqua"/>
          <w:szCs w:val="26"/>
        </w:rPr>
        <w:lastRenderedPageBreak/>
        <w:t xml:space="preserve">WD </w:t>
      </w:r>
      <w:r w:rsidRPr="00952B34" w:rsidR="00F23423">
        <w:rPr>
          <w:rFonts w:ascii="Book Antiqua" w:hAnsi="Book Antiqua"/>
          <w:szCs w:val="26"/>
        </w:rPr>
        <w:t xml:space="preserve">used </w:t>
      </w:r>
      <w:r w:rsidRPr="00952B34">
        <w:rPr>
          <w:rFonts w:ascii="Book Antiqua" w:hAnsi="Book Antiqua"/>
          <w:szCs w:val="26"/>
        </w:rPr>
        <w:t xml:space="preserve">the ROM methodology as applicable for setting rates for Class D water utilities with less than 500 service connections for its cost-of-service analysis.  The revenue requirement under the ROM method is based on overall utility expenses including O&amp;M and depreciation expenses, income and other taxes, plus an operating margin percentage.  </w:t>
      </w:r>
      <w:r w:rsidRPr="00952B34" w:rsidR="00EA3E73">
        <w:rPr>
          <w:rFonts w:ascii="Book Antiqua" w:hAnsi="Book Antiqua"/>
          <w:szCs w:val="26"/>
        </w:rPr>
        <w:t>T</w:t>
      </w:r>
      <w:r w:rsidRPr="00952B34">
        <w:rPr>
          <w:rFonts w:ascii="Book Antiqua" w:hAnsi="Book Antiqua"/>
          <w:szCs w:val="26"/>
        </w:rPr>
        <w:t xml:space="preserve">he use of the ROM methodology </w:t>
      </w:r>
      <w:r w:rsidRPr="00952B34" w:rsidR="00EA3E73">
        <w:rPr>
          <w:rFonts w:ascii="Book Antiqua" w:hAnsi="Book Antiqua"/>
          <w:szCs w:val="26"/>
        </w:rPr>
        <w:t xml:space="preserve">is </w:t>
      </w:r>
      <w:r w:rsidRPr="00952B34">
        <w:rPr>
          <w:rFonts w:ascii="Book Antiqua" w:hAnsi="Book Antiqua"/>
          <w:szCs w:val="26"/>
        </w:rPr>
        <w:t xml:space="preserve">reasonable in the context of the WD analysis </w:t>
      </w:r>
      <w:r w:rsidRPr="00952B34" w:rsidR="002A0B6C">
        <w:rPr>
          <w:rFonts w:ascii="Book Antiqua" w:hAnsi="Book Antiqua"/>
          <w:szCs w:val="26"/>
        </w:rPr>
        <w:t xml:space="preserve">for </w:t>
      </w:r>
      <w:r w:rsidRPr="00952B34">
        <w:rPr>
          <w:rFonts w:ascii="Book Antiqua" w:hAnsi="Book Antiqua"/>
          <w:szCs w:val="26"/>
        </w:rPr>
        <w:t xml:space="preserve">this proceeding. </w:t>
      </w:r>
    </w:p>
    <w:p w:rsidRPr="00952B34" w:rsidR="008E1732" w:rsidP="00372845" w:rsidRDefault="008E1732" w14:paraId="294C6B7C" w14:textId="1DF13FBC">
      <w:pPr>
        <w:pStyle w:val="standard"/>
        <w:rPr>
          <w:rFonts w:ascii="Book Antiqua" w:hAnsi="Book Antiqua"/>
          <w:szCs w:val="26"/>
        </w:rPr>
      </w:pPr>
      <w:r w:rsidRPr="00952B34">
        <w:rPr>
          <w:rFonts w:ascii="Book Antiqua" w:hAnsi="Book Antiqua"/>
          <w:szCs w:val="26"/>
        </w:rPr>
        <w:t>T</w:t>
      </w:r>
      <w:r w:rsidRPr="00952B34" w:rsidR="00372845">
        <w:rPr>
          <w:rFonts w:ascii="Book Antiqua" w:hAnsi="Book Antiqua"/>
          <w:szCs w:val="26"/>
        </w:rPr>
        <w:t>he WD</w:t>
      </w:r>
      <w:r w:rsidRPr="00952B34" w:rsidR="00BE68F5">
        <w:rPr>
          <w:rFonts w:ascii="Book Antiqua" w:hAnsi="Book Antiqua"/>
          <w:szCs w:val="26"/>
        </w:rPr>
        <w:t xml:space="preserve"> </w:t>
      </w:r>
      <w:r w:rsidRPr="00952B34" w:rsidR="00353F69">
        <w:rPr>
          <w:rFonts w:ascii="Book Antiqua" w:hAnsi="Book Antiqua"/>
          <w:szCs w:val="26"/>
        </w:rPr>
        <w:t xml:space="preserve">did not </w:t>
      </w:r>
      <w:r w:rsidRPr="00952B34" w:rsidR="00BE68F5">
        <w:rPr>
          <w:rFonts w:ascii="Book Antiqua" w:hAnsi="Book Antiqua"/>
          <w:szCs w:val="26"/>
        </w:rPr>
        <w:t xml:space="preserve">use </w:t>
      </w:r>
      <w:r w:rsidRPr="00952B34" w:rsidR="00CF3057">
        <w:rPr>
          <w:rFonts w:ascii="Book Antiqua" w:hAnsi="Book Antiqua"/>
          <w:szCs w:val="26"/>
        </w:rPr>
        <w:t>the ROR method</w:t>
      </w:r>
      <w:r w:rsidRPr="00952B34" w:rsidR="00353F69">
        <w:rPr>
          <w:rFonts w:ascii="Book Antiqua" w:hAnsi="Book Antiqua"/>
          <w:szCs w:val="26"/>
        </w:rPr>
        <w:t xml:space="preserve"> for its analysis</w:t>
      </w:r>
      <w:r w:rsidRPr="00952B34" w:rsidR="00CF3057">
        <w:rPr>
          <w:rFonts w:ascii="Book Antiqua" w:hAnsi="Book Antiqua"/>
          <w:szCs w:val="26"/>
        </w:rPr>
        <w:t xml:space="preserve">.  </w:t>
      </w:r>
      <w:r w:rsidRPr="00952B34" w:rsidR="00BE68F5">
        <w:rPr>
          <w:rFonts w:ascii="Book Antiqua" w:hAnsi="Book Antiqua"/>
          <w:szCs w:val="26"/>
        </w:rPr>
        <w:t>The revenue requirement and rates under the ROR method are based on the net-dollar investment of the utility</w:t>
      </w:r>
      <w:r w:rsidRPr="00952B34">
        <w:rPr>
          <w:rFonts w:ascii="Book Antiqua" w:hAnsi="Book Antiqua"/>
          <w:szCs w:val="26"/>
        </w:rPr>
        <w:t xml:space="preserve"> (</w:t>
      </w:r>
      <w:r w:rsidRPr="003561B6">
        <w:rPr>
          <w:rFonts w:ascii="Book Antiqua" w:hAnsi="Book Antiqua"/>
          <w:i/>
          <w:iCs/>
          <w:szCs w:val="26"/>
        </w:rPr>
        <w:t>i.e.</w:t>
      </w:r>
      <w:r w:rsidRPr="00952B34">
        <w:rPr>
          <w:rFonts w:ascii="Book Antiqua" w:hAnsi="Book Antiqua"/>
          <w:szCs w:val="26"/>
        </w:rPr>
        <w:t xml:space="preserve">, </w:t>
      </w:r>
      <w:r w:rsidRPr="00952B34" w:rsidR="002E43FE">
        <w:rPr>
          <w:rFonts w:ascii="Book Antiqua" w:hAnsi="Book Antiqua"/>
          <w:szCs w:val="26"/>
        </w:rPr>
        <w:t>the rate base</w:t>
      </w:r>
      <w:r w:rsidRPr="00952B34">
        <w:rPr>
          <w:rFonts w:ascii="Book Antiqua" w:hAnsi="Book Antiqua"/>
          <w:szCs w:val="26"/>
        </w:rPr>
        <w:t>)</w:t>
      </w:r>
      <w:r w:rsidRPr="00952B34" w:rsidR="00BE68F5">
        <w:rPr>
          <w:rFonts w:ascii="Book Antiqua" w:hAnsi="Book Antiqua"/>
          <w:szCs w:val="26"/>
        </w:rPr>
        <w:t xml:space="preserve">.  </w:t>
      </w:r>
      <w:r w:rsidRPr="00952B34" w:rsidR="002E43FE">
        <w:rPr>
          <w:rFonts w:ascii="Book Antiqua" w:hAnsi="Book Antiqua"/>
          <w:szCs w:val="26"/>
        </w:rPr>
        <w:t xml:space="preserve">The </w:t>
      </w:r>
      <w:r w:rsidRPr="00952B34" w:rsidR="00BE68F5">
        <w:rPr>
          <w:rFonts w:ascii="Book Antiqua" w:hAnsi="Book Antiqua"/>
          <w:szCs w:val="26"/>
        </w:rPr>
        <w:t xml:space="preserve">rate base is calculated by </w:t>
      </w:r>
      <w:r w:rsidRPr="00952B34" w:rsidR="00353F69">
        <w:rPr>
          <w:rFonts w:ascii="Book Antiqua" w:hAnsi="Book Antiqua"/>
          <w:szCs w:val="26"/>
        </w:rPr>
        <w:t xml:space="preserve">starting with </w:t>
      </w:r>
      <w:r w:rsidRPr="00952B34" w:rsidR="00BE68F5">
        <w:rPr>
          <w:rFonts w:ascii="Book Antiqua" w:hAnsi="Book Antiqua"/>
          <w:szCs w:val="26"/>
        </w:rPr>
        <w:t>plant in service, subtracting accumulated depreciation of plant, deferred income tax reserve, contributions and advances, and adding working cash plus materials and supplies.</w:t>
      </w:r>
      <w:r w:rsidRPr="00952B34" w:rsidR="00BE68F5">
        <w:rPr>
          <w:rFonts w:ascii="Book Antiqua" w:hAnsi="Book Antiqua"/>
          <w:szCs w:val="26"/>
          <w:vertAlign w:val="superscript"/>
        </w:rPr>
        <w:footnoteReference w:id="15"/>
      </w:r>
      <w:r w:rsidRPr="00952B34" w:rsidR="00BE68F5">
        <w:rPr>
          <w:rFonts w:ascii="Book Antiqua" w:hAnsi="Book Antiqua"/>
          <w:szCs w:val="26"/>
        </w:rPr>
        <w:t xml:space="preserve">  The utility</w:t>
      </w:r>
      <w:r w:rsidRPr="00952B34" w:rsidR="002A0B6C">
        <w:rPr>
          <w:rFonts w:ascii="Book Antiqua" w:hAnsi="Book Antiqua"/>
          <w:szCs w:val="26"/>
        </w:rPr>
        <w:t xml:space="preserve"> </w:t>
      </w:r>
      <w:r w:rsidRPr="00952B34" w:rsidR="00BE68F5">
        <w:rPr>
          <w:rFonts w:ascii="Book Antiqua" w:hAnsi="Book Antiqua"/>
          <w:szCs w:val="26"/>
        </w:rPr>
        <w:t xml:space="preserve">revenue requirement is determined by applying a ROR on rate base.   </w:t>
      </w:r>
    </w:p>
    <w:p w:rsidRPr="00952B34" w:rsidR="00046CFD" w:rsidP="008E1732" w:rsidRDefault="00BE68F5" w14:paraId="6F388075" w14:textId="3F2107C2">
      <w:pPr>
        <w:pStyle w:val="standard"/>
        <w:rPr>
          <w:rFonts w:ascii="Book Antiqua" w:hAnsi="Book Antiqua"/>
          <w:szCs w:val="26"/>
        </w:rPr>
      </w:pPr>
      <w:r w:rsidRPr="00952B34">
        <w:rPr>
          <w:rFonts w:ascii="Book Antiqua" w:hAnsi="Book Antiqua"/>
          <w:szCs w:val="26"/>
        </w:rPr>
        <w:t xml:space="preserve">An analysis based on the ROR method would have required reconstructing </w:t>
      </w:r>
      <w:r w:rsidRPr="00952B34" w:rsidR="0043122C">
        <w:rPr>
          <w:rFonts w:ascii="Book Antiqua" w:hAnsi="Book Antiqua"/>
          <w:szCs w:val="26"/>
        </w:rPr>
        <w:t xml:space="preserve">the utility plant-in-service records </w:t>
      </w:r>
      <w:r w:rsidRPr="00952B34" w:rsidR="00372845">
        <w:rPr>
          <w:rFonts w:ascii="Book Antiqua" w:hAnsi="Book Antiqua"/>
          <w:szCs w:val="26"/>
        </w:rPr>
        <w:t xml:space="preserve">to make an accurate and reasonable </w:t>
      </w:r>
      <w:r w:rsidRPr="00952B34" w:rsidR="0043122C">
        <w:rPr>
          <w:rFonts w:ascii="Book Antiqua" w:hAnsi="Book Antiqua"/>
          <w:szCs w:val="26"/>
        </w:rPr>
        <w:t xml:space="preserve">rate base </w:t>
      </w:r>
      <w:r w:rsidRPr="00952B34" w:rsidR="00372845">
        <w:rPr>
          <w:rFonts w:ascii="Book Antiqua" w:hAnsi="Book Antiqua"/>
          <w:szCs w:val="26"/>
        </w:rPr>
        <w:t>estimate</w:t>
      </w:r>
      <w:r w:rsidRPr="00952B34">
        <w:rPr>
          <w:rFonts w:ascii="Book Antiqua" w:hAnsi="Book Antiqua"/>
          <w:szCs w:val="26"/>
        </w:rPr>
        <w:t xml:space="preserve">.  </w:t>
      </w:r>
      <w:bookmarkStart w:name="_Hlk30601585" w:id="27"/>
      <w:bookmarkEnd w:id="26"/>
      <w:r w:rsidRPr="00952B34">
        <w:rPr>
          <w:rFonts w:ascii="Book Antiqua" w:hAnsi="Book Antiqua"/>
          <w:szCs w:val="26"/>
        </w:rPr>
        <w:t xml:space="preserve">The WD </w:t>
      </w:r>
      <w:r w:rsidRPr="00952B34" w:rsidR="00587F72">
        <w:rPr>
          <w:rFonts w:ascii="Book Antiqua" w:hAnsi="Book Antiqua"/>
          <w:szCs w:val="26"/>
        </w:rPr>
        <w:t xml:space="preserve">would have </w:t>
      </w:r>
      <w:r w:rsidRPr="00952B34">
        <w:rPr>
          <w:rFonts w:ascii="Book Antiqua" w:hAnsi="Book Antiqua"/>
          <w:szCs w:val="26"/>
        </w:rPr>
        <w:t xml:space="preserve">to delve into </w:t>
      </w:r>
      <w:r w:rsidRPr="00952B34" w:rsidR="00372845">
        <w:rPr>
          <w:rFonts w:ascii="Book Antiqua" w:hAnsi="Book Antiqua"/>
          <w:szCs w:val="26"/>
        </w:rPr>
        <w:t>plant</w:t>
      </w:r>
      <w:r w:rsidRPr="00952B34" w:rsidR="00CF3057">
        <w:rPr>
          <w:rFonts w:ascii="Book Antiqua" w:hAnsi="Book Antiqua"/>
          <w:szCs w:val="26"/>
        </w:rPr>
        <w:t xml:space="preserve"> </w:t>
      </w:r>
      <w:r w:rsidRPr="00952B34" w:rsidR="00372845">
        <w:rPr>
          <w:rFonts w:ascii="Book Antiqua" w:hAnsi="Book Antiqua"/>
          <w:szCs w:val="26"/>
        </w:rPr>
        <w:t>construction timelines and cost records and mak</w:t>
      </w:r>
      <w:r w:rsidRPr="00952B34">
        <w:rPr>
          <w:rFonts w:ascii="Book Antiqua" w:hAnsi="Book Antiqua"/>
          <w:szCs w:val="26"/>
        </w:rPr>
        <w:t xml:space="preserve">e multiple </w:t>
      </w:r>
      <w:r w:rsidRPr="00952B34" w:rsidR="00372845">
        <w:rPr>
          <w:rFonts w:ascii="Book Antiqua" w:hAnsi="Book Antiqua"/>
          <w:szCs w:val="26"/>
        </w:rPr>
        <w:t xml:space="preserve">assumptions </w:t>
      </w:r>
      <w:r w:rsidRPr="00952B34">
        <w:rPr>
          <w:rFonts w:ascii="Book Antiqua" w:hAnsi="Book Antiqua"/>
          <w:szCs w:val="26"/>
        </w:rPr>
        <w:t xml:space="preserve">as to </w:t>
      </w:r>
      <w:r w:rsidRPr="00952B34" w:rsidR="00372845">
        <w:rPr>
          <w:rFonts w:ascii="Book Antiqua" w:hAnsi="Book Antiqua"/>
          <w:szCs w:val="26"/>
        </w:rPr>
        <w:t>the age of infrastructure for calculating accumulated depreciation.</w:t>
      </w:r>
      <w:bookmarkEnd w:id="27"/>
      <w:r w:rsidRPr="00952B34" w:rsidR="00372845">
        <w:rPr>
          <w:rFonts w:ascii="Book Antiqua" w:hAnsi="Book Antiqua"/>
          <w:szCs w:val="26"/>
        </w:rPr>
        <w:t xml:space="preserve">  </w:t>
      </w:r>
      <w:r w:rsidRPr="00952B34" w:rsidR="00353F69">
        <w:rPr>
          <w:rFonts w:ascii="Book Antiqua" w:hAnsi="Book Antiqua"/>
          <w:szCs w:val="26"/>
        </w:rPr>
        <w:t xml:space="preserve">Use </w:t>
      </w:r>
      <w:r w:rsidRPr="00952B34" w:rsidR="00372845">
        <w:rPr>
          <w:rFonts w:ascii="Book Antiqua" w:hAnsi="Book Antiqua"/>
          <w:szCs w:val="26"/>
        </w:rPr>
        <w:t xml:space="preserve">of the ROM ratemaking method </w:t>
      </w:r>
      <w:r w:rsidRPr="00952B34">
        <w:rPr>
          <w:rFonts w:ascii="Book Antiqua" w:hAnsi="Book Antiqua"/>
          <w:szCs w:val="26"/>
        </w:rPr>
        <w:t xml:space="preserve">avoids these complexities, and </w:t>
      </w:r>
      <w:r w:rsidRPr="00952B34" w:rsidR="00372845">
        <w:rPr>
          <w:rFonts w:ascii="Book Antiqua" w:hAnsi="Book Antiqua"/>
          <w:szCs w:val="26"/>
        </w:rPr>
        <w:t>results in a</w:t>
      </w:r>
      <w:r w:rsidRPr="00952B34" w:rsidR="002A0B6C">
        <w:rPr>
          <w:rFonts w:ascii="Book Antiqua" w:hAnsi="Book Antiqua"/>
          <w:szCs w:val="26"/>
        </w:rPr>
        <w:t xml:space="preserve"> </w:t>
      </w:r>
      <w:r w:rsidRPr="00952B34" w:rsidR="00372845">
        <w:rPr>
          <w:rFonts w:ascii="Book Antiqua" w:hAnsi="Book Antiqua"/>
          <w:szCs w:val="26"/>
        </w:rPr>
        <w:t xml:space="preserve">reasonable comparison between Leisure Lake </w:t>
      </w:r>
      <w:r w:rsidRPr="00952B34" w:rsidR="008E1732">
        <w:rPr>
          <w:rFonts w:ascii="Book Antiqua" w:hAnsi="Book Antiqua"/>
          <w:szCs w:val="26"/>
        </w:rPr>
        <w:t xml:space="preserve">ME </w:t>
      </w:r>
      <w:r w:rsidRPr="00952B34" w:rsidR="00372845">
        <w:rPr>
          <w:rFonts w:ascii="Book Antiqua" w:hAnsi="Book Antiqua"/>
          <w:szCs w:val="26"/>
        </w:rPr>
        <w:t>and a Commission</w:t>
      </w:r>
      <w:r w:rsidRPr="00952B34" w:rsidR="008E1732">
        <w:rPr>
          <w:rFonts w:ascii="Book Antiqua" w:hAnsi="Book Antiqua"/>
          <w:szCs w:val="26"/>
        </w:rPr>
        <w:t>-</w:t>
      </w:r>
      <w:r w:rsidRPr="00952B34" w:rsidR="00372845">
        <w:rPr>
          <w:rFonts w:ascii="Book Antiqua" w:hAnsi="Book Antiqua"/>
          <w:szCs w:val="26"/>
        </w:rPr>
        <w:t>regulated Class D water utility</w:t>
      </w:r>
      <w:r w:rsidRPr="00952B34" w:rsidR="00AE2DCF">
        <w:rPr>
          <w:rFonts w:ascii="Book Antiqua" w:hAnsi="Book Antiqua"/>
          <w:szCs w:val="26"/>
        </w:rPr>
        <w:t xml:space="preserve">. </w:t>
      </w:r>
      <w:bookmarkStart w:name="_Hlk30601684" w:id="28"/>
      <w:r w:rsidRPr="00952B34" w:rsidR="008E1732">
        <w:rPr>
          <w:rFonts w:ascii="Book Antiqua" w:hAnsi="Book Antiqua"/>
          <w:szCs w:val="26"/>
        </w:rPr>
        <w:t xml:space="preserve"> U</w:t>
      </w:r>
      <w:r w:rsidRPr="00952B34" w:rsidR="00AE2DCF">
        <w:rPr>
          <w:rFonts w:ascii="Book Antiqua" w:hAnsi="Book Antiqua"/>
          <w:szCs w:val="26"/>
        </w:rPr>
        <w:t xml:space="preserve">se of </w:t>
      </w:r>
      <w:r w:rsidRPr="00952B34" w:rsidR="00372845">
        <w:rPr>
          <w:rFonts w:ascii="Book Antiqua" w:hAnsi="Book Antiqua"/>
          <w:szCs w:val="26"/>
        </w:rPr>
        <w:t xml:space="preserve">the ROM </w:t>
      </w:r>
      <w:r w:rsidRPr="00952B34" w:rsidR="00AE2DCF">
        <w:rPr>
          <w:rFonts w:ascii="Book Antiqua" w:hAnsi="Book Antiqua"/>
          <w:szCs w:val="26"/>
        </w:rPr>
        <w:t xml:space="preserve">method </w:t>
      </w:r>
      <w:r w:rsidRPr="00952B34" w:rsidR="00587F72">
        <w:rPr>
          <w:rFonts w:ascii="Book Antiqua" w:hAnsi="Book Antiqua"/>
          <w:szCs w:val="26"/>
        </w:rPr>
        <w:t xml:space="preserve">usually </w:t>
      </w:r>
      <w:r w:rsidRPr="00952B34" w:rsidR="00372845">
        <w:rPr>
          <w:rFonts w:ascii="Book Antiqua" w:hAnsi="Book Antiqua"/>
          <w:szCs w:val="26"/>
        </w:rPr>
        <w:t>yields a higher revenue requirement</w:t>
      </w:r>
      <w:r w:rsidRPr="00952B34" w:rsidR="00AE2DCF">
        <w:rPr>
          <w:rFonts w:ascii="Book Antiqua" w:hAnsi="Book Antiqua"/>
          <w:szCs w:val="26"/>
        </w:rPr>
        <w:t xml:space="preserve"> because </w:t>
      </w:r>
      <w:r w:rsidRPr="00952B34" w:rsidR="00372845">
        <w:rPr>
          <w:rFonts w:ascii="Book Antiqua" w:hAnsi="Book Antiqua"/>
          <w:szCs w:val="26"/>
        </w:rPr>
        <w:t xml:space="preserve">Class D water utilities </w:t>
      </w:r>
      <w:r w:rsidRPr="00952B34" w:rsidR="00587F72">
        <w:rPr>
          <w:rFonts w:ascii="Book Antiqua" w:hAnsi="Book Antiqua"/>
          <w:szCs w:val="26"/>
        </w:rPr>
        <w:t xml:space="preserve">typically </w:t>
      </w:r>
      <w:r w:rsidRPr="00952B34" w:rsidR="00372845">
        <w:rPr>
          <w:rFonts w:ascii="Book Antiqua" w:hAnsi="Book Antiqua"/>
          <w:szCs w:val="26"/>
        </w:rPr>
        <w:t>hav</w:t>
      </w:r>
      <w:r w:rsidRPr="00952B34" w:rsidR="00587F72">
        <w:rPr>
          <w:rFonts w:ascii="Book Antiqua" w:hAnsi="Book Antiqua"/>
          <w:szCs w:val="26"/>
        </w:rPr>
        <w:t>e</w:t>
      </w:r>
      <w:r w:rsidRPr="00952B34" w:rsidR="00372845">
        <w:rPr>
          <w:rFonts w:ascii="Book Antiqua" w:hAnsi="Book Antiqua"/>
          <w:szCs w:val="26"/>
        </w:rPr>
        <w:t xml:space="preserve"> a small amount of rate base and/or most of their utility plant has been depreciated.  </w:t>
      </w:r>
      <w:bookmarkEnd w:id="28"/>
      <w:r w:rsidRPr="00952B34" w:rsidR="00046CFD">
        <w:rPr>
          <w:rFonts w:ascii="Book Antiqua" w:hAnsi="Book Antiqua"/>
          <w:szCs w:val="26"/>
        </w:rPr>
        <w:t>The</w:t>
      </w:r>
      <w:r w:rsidRPr="00952B34" w:rsidR="00F23423">
        <w:rPr>
          <w:rFonts w:ascii="Book Antiqua" w:hAnsi="Book Antiqua"/>
          <w:szCs w:val="26"/>
        </w:rPr>
        <w:t xml:space="preserve"> </w:t>
      </w:r>
      <w:r w:rsidRPr="00952B34" w:rsidR="00046CFD">
        <w:rPr>
          <w:rFonts w:ascii="Book Antiqua" w:hAnsi="Book Antiqua"/>
          <w:szCs w:val="26"/>
        </w:rPr>
        <w:t>formula for the revenue requirement under the ROM ratemaking method is:</w:t>
      </w:r>
    </w:p>
    <w:p w:rsidRPr="00952B34" w:rsidR="00046CFD" w:rsidP="003561B6" w:rsidRDefault="00046CFD" w14:paraId="65A508EE" w14:textId="77777777">
      <w:pPr>
        <w:pStyle w:val="standard"/>
        <w:jc w:val="center"/>
        <w:rPr>
          <w:rFonts w:ascii="Book Antiqua" w:hAnsi="Book Antiqua"/>
          <w:b/>
          <w:bCs/>
          <w:szCs w:val="26"/>
        </w:rPr>
      </w:pPr>
      <w:r w:rsidRPr="00952B34">
        <w:rPr>
          <w:rFonts w:ascii="Book Antiqua" w:hAnsi="Book Antiqua"/>
          <w:b/>
          <w:bCs/>
          <w:szCs w:val="26"/>
        </w:rPr>
        <w:lastRenderedPageBreak/>
        <w:t>RR = O&amp;M + D + T + ROM*(O&amp;M + D)</w:t>
      </w:r>
    </w:p>
    <w:p w:rsidRPr="00952B34" w:rsidR="00046CFD" w:rsidP="003561B6" w:rsidRDefault="00046CFD" w14:paraId="07547931" w14:textId="77777777">
      <w:pPr>
        <w:pStyle w:val="standard"/>
        <w:spacing w:after="120" w:line="240" w:lineRule="auto"/>
        <w:ind w:left="720" w:right="1440" w:firstLine="0"/>
        <w:rPr>
          <w:rFonts w:ascii="Book Antiqua" w:hAnsi="Book Antiqua"/>
          <w:szCs w:val="26"/>
        </w:rPr>
      </w:pPr>
      <w:r w:rsidRPr="00952B34">
        <w:rPr>
          <w:rFonts w:ascii="Book Antiqua" w:hAnsi="Book Antiqua"/>
          <w:szCs w:val="26"/>
        </w:rPr>
        <w:t>Where:</w:t>
      </w:r>
    </w:p>
    <w:p w:rsidRPr="00952B34" w:rsidR="00046CFD" w:rsidP="003561B6" w:rsidRDefault="00046CFD" w14:paraId="4EBA0166" w14:textId="77777777">
      <w:pPr>
        <w:pStyle w:val="standard"/>
        <w:spacing w:after="120" w:line="240" w:lineRule="auto"/>
        <w:ind w:left="720" w:right="1440" w:firstLine="0"/>
        <w:rPr>
          <w:rFonts w:ascii="Book Antiqua" w:hAnsi="Book Antiqua"/>
          <w:szCs w:val="26"/>
        </w:rPr>
      </w:pPr>
      <w:r w:rsidRPr="00952B34">
        <w:rPr>
          <w:rFonts w:ascii="Book Antiqua" w:hAnsi="Book Antiqua"/>
          <w:szCs w:val="26"/>
        </w:rPr>
        <w:t>RR= Revenue Requirement</w:t>
      </w:r>
    </w:p>
    <w:p w:rsidRPr="00952B34" w:rsidR="00046CFD" w:rsidP="003561B6" w:rsidRDefault="00046CFD" w14:paraId="50D49386" w14:textId="77777777">
      <w:pPr>
        <w:pStyle w:val="standard"/>
        <w:spacing w:after="120" w:line="240" w:lineRule="auto"/>
        <w:ind w:left="720" w:right="1440" w:firstLine="0"/>
        <w:rPr>
          <w:rFonts w:ascii="Book Antiqua" w:hAnsi="Book Antiqua"/>
          <w:szCs w:val="26"/>
        </w:rPr>
      </w:pPr>
      <w:r w:rsidRPr="00952B34">
        <w:rPr>
          <w:rFonts w:ascii="Book Antiqua" w:hAnsi="Book Antiqua"/>
          <w:szCs w:val="26"/>
        </w:rPr>
        <w:t>O&amp;M = Operating and Maintenance Expense</w:t>
      </w:r>
    </w:p>
    <w:p w:rsidRPr="00952B34" w:rsidR="00046CFD" w:rsidP="003561B6" w:rsidRDefault="00046CFD" w14:paraId="062C63FC" w14:textId="77777777">
      <w:pPr>
        <w:pStyle w:val="standard"/>
        <w:spacing w:after="120" w:line="240" w:lineRule="auto"/>
        <w:ind w:left="720" w:right="1440" w:firstLine="0"/>
        <w:rPr>
          <w:rFonts w:ascii="Book Antiqua" w:hAnsi="Book Antiqua"/>
          <w:szCs w:val="26"/>
        </w:rPr>
      </w:pPr>
      <w:r w:rsidRPr="00952B34">
        <w:rPr>
          <w:rFonts w:ascii="Book Antiqua" w:hAnsi="Book Antiqua"/>
          <w:szCs w:val="26"/>
        </w:rPr>
        <w:t>D= Depreciation</w:t>
      </w:r>
    </w:p>
    <w:p w:rsidRPr="00952B34" w:rsidR="00046CFD" w:rsidP="003561B6" w:rsidRDefault="00046CFD" w14:paraId="70046807" w14:textId="77777777">
      <w:pPr>
        <w:pStyle w:val="standard"/>
        <w:spacing w:after="120" w:line="240" w:lineRule="auto"/>
        <w:ind w:left="720" w:right="1440" w:firstLine="0"/>
        <w:rPr>
          <w:rFonts w:ascii="Book Antiqua" w:hAnsi="Book Antiqua"/>
          <w:szCs w:val="26"/>
        </w:rPr>
      </w:pPr>
      <w:r w:rsidRPr="00952B34">
        <w:rPr>
          <w:rFonts w:ascii="Book Antiqua" w:hAnsi="Book Antiqua"/>
          <w:szCs w:val="26"/>
        </w:rPr>
        <w:t>T= Income and Other Taxes</w:t>
      </w:r>
    </w:p>
    <w:p w:rsidRPr="00952B34" w:rsidR="00046CFD" w:rsidP="003561B6" w:rsidRDefault="00046CFD" w14:paraId="2F0C409F" w14:textId="77777777">
      <w:pPr>
        <w:pStyle w:val="standard"/>
        <w:spacing w:after="120" w:line="240" w:lineRule="auto"/>
        <w:ind w:left="720" w:right="1440" w:firstLine="0"/>
        <w:rPr>
          <w:rFonts w:ascii="Book Antiqua" w:hAnsi="Book Antiqua"/>
          <w:szCs w:val="26"/>
        </w:rPr>
      </w:pPr>
      <w:r w:rsidRPr="00952B34">
        <w:rPr>
          <w:rFonts w:ascii="Book Antiqua" w:hAnsi="Book Antiqua"/>
          <w:szCs w:val="26"/>
        </w:rPr>
        <w:t>ROM = Rate of Margin</w:t>
      </w:r>
    </w:p>
    <w:p w:rsidRPr="003561B6" w:rsidR="004853A6" w:rsidP="003561B6" w:rsidRDefault="00372845" w14:paraId="78013A5B" w14:textId="37093D2D">
      <w:pPr>
        <w:pStyle w:val="standard"/>
        <w:rPr>
          <w:rFonts w:ascii="Book Antiqua" w:hAnsi="Book Antiqua"/>
          <w:szCs w:val="26"/>
        </w:rPr>
      </w:pPr>
      <w:r w:rsidRPr="00952B34">
        <w:rPr>
          <w:rFonts w:ascii="Book Antiqua" w:hAnsi="Book Antiqua"/>
          <w:szCs w:val="26"/>
        </w:rPr>
        <w:t>For 2019</w:t>
      </w:r>
      <w:r w:rsidRPr="00952B34" w:rsidR="00046CFD">
        <w:rPr>
          <w:rFonts w:ascii="Book Antiqua" w:hAnsi="Book Antiqua"/>
          <w:szCs w:val="26"/>
        </w:rPr>
        <w:t xml:space="preserve">, </w:t>
      </w:r>
      <w:r w:rsidRPr="00952B34">
        <w:rPr>
          <w:rFonts w:ascii="Book Antiqua" w:hAnsi="Book Antiqua"/>
          <w:szCs w:val="26"/>
        </w:rPr>
        <w:t>the WD’s recommended ROM for Class D water utilities is 23.65</w:t>
      </w:r>
      <w:r w:rsidR="003561B6">
        <w:rPr>
          <w:rFonts w:ascii="Book Antiqua" w:hAnsi="Book Antiqua"/>
          <w:szCs w:val="26"/>
        </w:rPr>
        <w:t> percent</w:t>
      </w:r>
      <w:r w:rsidRPr="00952B34">
        <w:rPr>
          <w:rFonts w:ascii="Book Antiqua" w:hAnsi="Book Antiqua"/>
          <w:szCs w:val="26"/>
        </w:rPr>
        <w:t>.</w:t>
      </w:r>
      <w:r w:rsidRPr="00952B34">
        <w:rPr>
          <w:rFonts w:ascii="Book Antiqua" w:hAnsi="Book Antiqua"/>
          <w:szCs w:val="26"/>
          <w:vertAlign w:val="superscript"/>
        </w:rPr>
        <w:footnoteReference w:id="16"/>
      </w:r>
      <w:r w:rsidRPr="00952B34">
        <w:rPr>
          <w:rFonts w:ascii="Book Antiqua" w:hAnsi="Book Antiqua"/>
          <w:szCs w:val="26"/>
        </w:rPr>
        <w:t xml:space="preserve">  Using th</w:t>
      </w:r>
      <w:r w:rsidRPr="00952B34" w:rsidR="00587F72">
        <w:rPr>
          <w:rFonts w:ascii="Book Antiqua" w:hAnsi="Book Antiqua"/>
          <w:szCs w:val="26"/>
        </w:rPr>
        <w:t>is</w:t>
      </w:r>
      <w:r w:rsidRPr="00952B34">
        <w:rPr>
          <w:rFonts w:ascii="Book Antiqua" w:hAnsi="Book Antiqua"/>
          <w:szCs w:val="26"/>
        </w:rPr>
        <w:t xml:space="preserve"> </w:t>
      </w:r>
      <w:r w:rsidRPr="00952B34" w:rsidR="008E1732">
        <w:rPr>
          <w:rFonts w:ascii="Book Antiqua" w:hAnsi="Book Antiqua"/>
          <w:szCs w:val="26"/>
        </w:rPr>
        <w:t>figure</w:t>
      </w:r>
      <w:r w:rsidRPr="00952B34">
        <w:rPr>
          <w:rFonts w:ascii="Book Antiqua" w:hAnsi="Book Antiqua"/>
          <w:szCs w:val="26"/>
        </w:rPr>
        <w:t>, the WD calculated a revenue requirement for Leisure Lake</w:t>
      </w:r>
      <w:r w:rsidRPr="00952B34" w:rsidR="002A0B6C">
        <w:rPr>
          <w:rFonts w:ascii="Book Antiqua" w:hAnsi="Book Antiqua"/>
          <w:szCs w:val="26"/>
        </w:rPr>
        <w:t xml:space="preserve"> ME</w:t>
      </w:r>
      <w:r w:rsidRPr="00952B34">
        <w:rPr>
          <w:rFonts w:ascii="Book Antiqua" w:hAnsi="Book Antiqua"/>
          <w:szCs w:val="26"/>
        </w:rPr>
        <w:t xml:space="preserve"> of $82,300.  </w:t>
      </w:r>
      <w:r w:rsidRPr="00952B34" w:rsidR="00AE2DCF">
        <w:rPr>
          <w:rFonts w:ascii="Book Antiqua" w:hAnsi="Book Antiqua"/>
          <w:szCs w:val="26"/>
        </w:rPr>
        <w:t>T</w:t>
      </w:r>
      <w:r w:rsidRPr="00952B34">
        <w:rPr>
          <w:rFonts w:ascii="Book Antiqua" w:hAnsi="Book Antiqua"/>
          <w:szCs w:val="26"/>
        </w:rPr>
        <w:t>h</w:t>
      </w:r>
      <w:r w:rsidRPr="00952B34" w:rsidR="00AE2DCF">
        <w:rPr>
          <w:rFonts w:ascii="Book Antiqua" w:hAnsi="Book Antiqua"/>
          <w:szCs w:val="26"/>
        </w:rPr>
        <w:t xml:space="preserve">is </w:t>
      </w:r>
      <w:r w:rsidRPr="00952B34">
        <w:rPr>
          <w:rFonts w:ascii="Book Antiqua" w:hAnsi="Book Antiqua"/>
          <w:szCs w:val="26"/>
        </w:rPr>
        <w:t xml:space="preserve">revenue </w:t>
      </w:r>
      <w:r w:rsidRPr="00952B34" w:rsidR="00587F72">
        <w:rPr>
          <w:rFonts w:ascii="Book Antiqua" w:hAnsi="Book Antiqua"/>
          <w:szCs w:val="26"/>
        </w:rPr>
        <w:t xml:space="preserve">requirement </w:t>
      </w:r>
      <w:r w:rsidRPr="00952B34">
        <w:rPr>
          <w:rFonts w:ascii="Book Antiqua" w:hAnsi="Book Antiqua"/>
          <w:szCs w:val="26"/>
        </w:rPr>
        <w:t>is based on annual operating expenses of $57,026</w:t>
      </w:r>
      <w:r w:rsidRPr="00952B34" w:rsidR="00587F72">
        <w:rPr>
          <w:rFonts w:ascii="Book Antiqua" w:hAnsi="Book Antiqua"/>
          <w:szCs w:val="26"/>
        </w:rPr>
        <w:t xml:space="preserve"> (as noted </w:t>
      </w:r>
      <w:r w:rsidRPr="00952B34" w:rsidR="008E1732">
        <w:rPr>
          <w:rFonts w:ascii="Book Antiqua" w:hAnsi="Book Antiqua"/>
          <w:szCs w:val="26"/>
        </w:rPr>
        <w:t>above</w:t>
      </w:r>
      <w:r w:rsidRPr="00952B34" w:rsidR="00587F72">
        <w:rPr>
          <w:rFonts w:ascii="Book Antiqua" w:hAnsi="Book Antiqua"/>
          <w:szCs w:val="26"/>
        </w:rPr>
        <w:t>)</w:t>
      </w:r>
      <w:r w:rsidRPr="00952B34">
        <w:rPr>
          <w:rFonts w:ascii="Book Antiqua" w:hAnsi="Book Antiqua"/>
          <w:szCs w:val="26"/>
        </w:rPr>
        <w:t xml:space="preserve"> and applicable taxes</w:t>
      </w:r>
      <w:r w:rsidRPr="00952B34" w:rsidR="00AE2DCF">
        <w:rPr>
          <w:rFonts w:ascii="Book Antiqua" w:hAnsi="Book Antiqua"/>
          <w:szCs w:val="26"/>
        </w:rPr>
        <w:t>, as shown in Table 2 of the WD Report, reproduced below:</w:t>
      </w:r>
    </w:p>
    <w:p w:rsidRPr="00EC4C04" w:rsidR="00411D9E" w:rsidP="003561B6" w:rsidRDefault="00411D9E" w14:paraId="696138AA" w14:textId="6F5ABDBD">
      <w:pPr>
        <w:pStyle w:val="standard"/>
        <w:spacing w:after="120"/>
        <w:ind w:firstLine="0"/>
        <w:jc w:val="center"/>
        <w:rPr>
          <w:rFonts w:ascii="Book Antiqua" w:hAnsi="Book Antiqua"/>
          <w:b/>
          <w:bCs/>
        </w:rPr>
      </w:pPr>
      <w:r w:rsidRPr="00EC4C04">
        <w:rPr>
          <w:rFonts w:ascii="Book Antiqua" w:hAnsi="Book Antiqua"/>
          <w:b/>
          <w:bCs/>
        </w:rPr>
        <w:t>Table 2</w:t>
      </w:r>
    </w:p>
    <w:p w:rsidRPr="00EC4C04" w:rsidR="00411D9E" w:rsidP="00F82802" w:rsidRDefault="00411D9E" w14:paraId="03149DEB" w14:textId="5F3A96C0">
      <w:pPr>
        <w:pStyle w:val="standard"/>
        <w:rPr>
          <w:rFonts w:ascii="Book Antiqua" w:hAnsi="Book Antiqua"/>
        </w:rPr>
      </w:pPr>
      <w:r w:rsidRPr="00EC4C04">
        <w:rPr>
          <w:rFonts w:ascii="Book Antiqua" w:hAnsi="Book Antiqua"/>
        </w:rPr>
        <w:t xml:space="preserve">           </w:t>
      </w:r>
      <w:r w:rsidRPr="00EC4C04">
        <w:rPr>
          <w:rFonts w:ascii="Book Antiqua" w:hAnsi="Book Antiqua"/>
        </w:rPr>
        <w:pict>
          <v:shape id="_x0000_i1026" style="width:303pt;height:177.75pt" o:ole="" type="#_x0000_t75">
            <v:imagedata o:title="" r:id="rId14"/>
          </v:shape>
        </w:pict>
      </w:r>
    </w:p>
    <w:p w:rsidRPr="00EC4C04" w:rsidR="003561B6" w:rsidP="00F82802" w:rsidRDefault="003561B6" w14:paraId="65B63A6F" w14:textId="77777777">
      <w:pPr>
        <w:pStyle w:val="standard"/>
        <w:rPr>
          <w:rFonts w:ascii="Book Antiqua" w:hAnsi="Book Antiqua"/>
          <w:sz w:val="10"/>
          <w:szCs w:val="10"/>
        </w:rPr>
      </w:pPr>
    </w:p>
    <w:p w:rsidRPr="00952B34" w:rsidR="002C4950" w:rsidP="004853A6" w:rsidRDefault="00411D9E" w14:paraId="6C3C802D" w14:textId="6E95C9AD">
      <w:pPr>
        <w:pStyle w:val="standard"/>
        <w:rPr>
          <w:rFonts w:ascii="Book Antiqua" w:hAnsi="Book Antiqua"/>
        </w:rPr>
      </w:pPr>
      <w:r w:rsidRPr="00952B34">
        <w:rPr>
          <w:rFonts w:ascii="Book Antiqua" w:hAnsi="Book Antiqua"/>
        </w:rPr>
        <w:lastRenderedPageBreak/>
        <w:t xml:space="preserve">Under </w:t>
      </w:r>
      <w:r w:rsidRPr="00952B34" w:rsidR="00741529">
        <w:rPr>
          <w:rFonts w:ascii="Book Antiqua" w:hAnsi="Book Antiqua"/>
        </w:rPr>
        <w:t>Commission ratemaking policy for Class D water utilities</w:t>
      </w:r>
      <w:r w:rsidRPr="00952B34">
        <w:rPr>
          <w:rFonts w:ascii="Book Antiqua" w:hAnsi="Book Antiqua"/>
        </w:rPr>
        <w:t xml:space="preserve">, </w:t>
      </w:r>
      <w:r w:rsidRPr="00952B34" w:rsidR="00741529">
        <w:rPr>
          <w:rFonts w:ascii="Book Antiqua" w:hAnsi="Book Antiqua"/>
        </w:rPr>
        <w:t>up to 100</w:t>
      </w:r>
      <w:r w:rsidR="003561B6">
        <w:rPr>
          <w:rFonts w:ascii="Book Antiqua" w:hAnsi="Book Antiqua"/>
        </w:rPr>
        <w:t xml:space="preserve"> percent </w:t>
      </w:r>
      <w:r w:rsidRPr="00952B34" w:rsidR="00741529">
        <w:rPr>
          <w:rFonts w:ascii="Book Antiqua" w:hAnsi="Book Antiqua"/>
        </w:rPr>
        <w:t xml:space="preserve">of fixed operating costs </w:t>
      </w:r>
      <w:r w:rsidRPr="00952B34">
        <w:rPr>
          <w:rFonts w:ascii="Book Antiqua" w:hAnsi="Book Antiqua"/>
        </w:rPr>
        <w:t xml:space="preserve">may </w:t>
      </w:r>
      <w:r w:rsidRPr="00952B34" w:rsidR="00741529">
        <w:rPr>
          <w:rFonts w:ascii="Book Antiqua" w:hAnsi="Book Antiqua"/>
        </w:rPr>
        <w:t xml:space="preserve">be recovered through </w:t>
      </w:r>
      <w:r w:rsidRPr="00952B34" w:rsidR="002A0B6C">
        <w:rPr>
          <w:rFonts w:ascii="Book Antiqua" w:hAnsi="Book Antiqua"/>
        </w:rPr>
        <w:t xml:space="preserve">a </w:t>
      </w:r>
      <w:r w:rsidRPr="00952B34" w:rsidR="00741529">
        <w:rPr>
          <w:rFonts w:ascii="Book Antiqua" w:hAnsi="Book Antiqua"/>
        </w:rPr>
        <w:t>service charge.</w:t>
      </w:r>
      <w:r w:rsidRPr="00952B34" w:rsidR="00741529">
        <w:rPr>
          <w:rFonts w:ascii="Book Antiqua" w:hAnsi="Book Antiqua"/>
          <w:vertAlign w:val="superscript"/>
        </w:rPr>
        <w:footnoteReference w:id="17"/>
      </w:r>
      <w:r w:rsidRPr="00952B34" w:rsidR="00741529">
        <w:rPr>
          <w:rFonts w:ascii="Book Antiqua" w:hAnsi="Book Antiqua"/>
        </w:rPr>
        <w:t xml:space="preserve">  Accordingly, the WD used 100% cost recovery of fixed costs in its service charge calculation.</w:t>
      </w:r>
      <w:r w:rsidRPr="00952B34" w:rsidR="00741529">
        <w:rPr>
          <w:rFonts w:ascii="Book Antiqua" w:hAnsi="Book Antiqua"/>
          <w:vertAlign w:val="superscript"/>
        </w:rPr>
        <w:footnoteReference w:id="18"/>
      </w:r>
      <w:r w:rsidRPr="00952B34" w:rsidR="00741529">
        <w:rPr>
          <w:rFonts w:ascii="Book Antiqua" w:hAnsi="Book Antiqua"/>
        </w:rPr>
        <w:t xml:space="preserve">  Table 3 </w:t>
      </w:r>
      <w:r w:rsidRPr="00952B34" w:rsidR="00587F72">
        <w:rPr>
          <w:rFonts w:ascii="Book Antiqua" w:hAnsi="Book Antiqua"/>
        </w:rPr>
        <w:t xml:space="preserve">below </w:t>
      </w:r>
      <w:r w:rsidRPr="00952B34" w:rsidR="00046CFD">
        <w:rPr>
          <w:rFonts w:ascii="Book Antiqua" w:hAnsi="Book Antiqua"/>
        </w:rPr>
        <w:t xml:space="preserve">shows </w:t>
      </w:r>
      <w:r w:rsidRPr="00952B34" w:rsidR="00741529">
        <w:rPr>
          <w:rFonts w:ascii="Book Antiqua" w:hAnsi="Book Antiqua"/>
        </w:rPr>
        <w:t xml:space="preserve">WD’s calculation of fixed costs </w:t>
      </w:r>
      <w:r w:rsidRPr="00952B34" w:rsidR="00587F72">
        <w:rPr>
          <w:rFonts w:ascii="Book Antiqua" w:hAnsi="Book Antiqua"/>
        </w:rPr>
        <w:t>of $52, 877</w:t>
      </w:r>
      <w:r w:rsidRPr="00952B34" w:rsidR="00AE2DCF">
        <w:rPr>
          <w:rFonts w:ascii="Book Antiqua" w:hAnsi="Book Antiqua"/>
        </w:rPr>
        <w:t>, as follows:</w:t>
      </w:r>
    </w:p>
    <w:p w:rsidRPr="00EC4C04" w:rsidR="00587F72" w:rsidP="003561B6" w:rsidRDefault="00587F72" w14:paraId="2C95E134" w14:textId="0DDA8C56">
      <w:pPr>
        <w:pStyle w:val="standard"/>
        <w:spacing w:after="120"/>
        <w:jc w:val="center"/>
        <w:rPr>
          <w:rFonts w:ascii="Book Antiqua" w:hAnsi="Book Antiqua"/>
          <w:b/>
          <w:bCs/>
        </w:rPr>
      </w:pPr>
      <w:r w:rsidRPr="00EC4C04">
        <w:rPr>
          <w:rFonts w:ascii="Book Antiqua" w:hAnsi="Book Antiqua"/>
          <w:b/>
          <w:bCs/>
        </w:rPr>
        <w:t>Table 3</w:t>
      </w:r>
    </w:p>
    <w:p w:rsidRPr="00EC4C04" w:rsidR="00587F72" w:rsidP="00587F72" w:rsidRDefault="00587F72" w14:paraId="0CED55F8" w14:textId="7E69EB4F">
      <w:pPr>
        <w:pStyle w:val="standard"/>
        <w:rPr>
          <w:rFonts w:ascii="Book Antiqua" w:hAnsi="Book Antiqua"/>
        </w:rPr>
      </w:pPr>
      <w:r w:rsidRPr="00EC4C04">
        <w:rPr>
          <w:rFonts w:ascii="Book Antiqua" w:hAnsi="Book Antiqua"/>
        </w:rPr>
        <w:t xml:space="preserve">         </w:t>
      </w:r>
      <w:r w:rsidRPr="00EC4C04" w:rsidR="003561B6">
        <w:rPr>
          <w:rFonts w:ascii="Book Antiqua" w:hAnsi="Book Antiqua"/>
        </w:rPr>
        <w:pict>
          <v:shape id="_x0000_i1027" style="width:324.75pt;height:151.5pt" o:ole="" type="#_x0000_t75">
            <v:imagedata o:title="" r:id="rId16"/>
          </v:shape>
        </w:pict>
      </w:r>
    </w:p>
    <w:p w:rsidRPr="00EC4C04" w:rsidR="00587F72" w:rsidP="00046CFD" w:rsidRDefault="00587F72" w14:paraId="7C920A9F" w14:textId="77777777">
      <w:pPr>
        <w:pStyle w:val="standard"/>
        <w:rPr>
          <w:rFonts w:ascii="Book Antiqua" w:hAnsi="Book Antiqua"/>
          <w:sz w:val="10"/>
          <w:szCs w:val="10"/>
        </w:rPr>
      </w:pPr>
    </w:p>
    <w:p w:rsidRPr="003561B6" w:rsidR="002A0B6C" w:rsidP="003561B6" w:rsidRDefault="00046CFD" w14:paraId="4AECBCBF" w14:textId="6AE628CA">
      <w:pPr>
        <w:pStyle w:val="standard"/>
        <w:rPr>
          <w:rFonts w:ascii="Book Antiqua" w:hAnsi="Book Antiqua"/>
        </w:rPr>
      </w:pPr>
      <w:r w:rsidRPr="00952B34">
        <w:rPr>
          <w:rFonts w:ascii="Book Antiqua" w:hAnsi="Book Antiqua"/>
        </w:rPr>
        <w:t>Using the ROM ratemaking methodology, Leisure Lake</w:t>
      </w:r>
      <w:r w:rsidRPr="00952B34" w:rsidR="002B6D9D">
        <w:rPr>
          <w:rFonts w:ascii="Book Antiqua" w:hAnsi="Book Antiqua"/>
        </w:rPr>
        <w:t xml:space="preserve"> ME</w:t>
      </w:r>
      <w:r w:rsidRPr="00952B34">
        <w:rPr>
          <w:rFonts w:ascii="Book Antiqua" w:hAnsi="Book Antiqua"/>
        </w:rPr>
        <w:t xml:space="preserve">’s O&amp;M expenses associated with </w:t>
      </w:r>
      <w:r w:rsidRPr="00952B34" w:rsidR="0082655B">
        <w:rPr>
          <w:rFonts w:ascii="Book Antiqua" w:hAnsi="Book Antiqua"/>
        </w:rPr>
        <w:t xml:space="preserve">its </w:t>
      </w:r>
      <w:r w:rsidRPr="00952B34">
        <w:rPr>
          <w:rFonts w:ascii="Book Antiqua" w:hAnsi="Book Antiqua"/>
        </w:rPr>
        <w:t xml:space="preserve">water </w:t>
      </w:r>
      <w:r w:rsidRPr="00952B34" w:rsidR="0082655B">
        <w:rPr>
          <w:rFonts w:ascii="Book Antiqua" w:hAnsi="Book Antiqua"/>
        </w:rPr>
        <w:t xml:space="preserve">system </w:t>
      </w:r>
      <w:r w:rsidRPr="00952B34">
        <w:rPr>
          <w:rFonts w:ascii="Book Antiqua" w:hAnsi="Book Antiqua"/>
        </w:rPr>
        <w:t xml:space="preserve">operations, and water usage data (included in the Report), the WD computed a monthly service charge of $20.88 and quantity rate of $2.48 per </w:t>
      </w:r>
      <w:r w:rsidRPr="00952B34" w:rsidR="00F66D8A">
        <w:rPr>
          <w:rFonts w:ascii="Book Antiqua" w:hAnsi="Book Antiqua"/>
        </w:rPr>
        <w:t>hundred cubic feet (</w:t>
      </w:r>
      <w:r w:rsidRPr="00952B34">
        <w:rPr>
          <w:rFonts w:ascii="Book Antiqua" w:hAnsi="Book Antiqua"/>
        </w:rPr>
        <w:t>CCF</w:t>
      </w:r>
      <w:r w:rsidRPr="00952B34" w:rsidR="00F66D8A">
        <w:rPr>
          <w:rFonts w:ascii="Book Antiqua" w:hAnsi="Book Antiqua"/>
        </w:rPr>
        <w:t>), as shown in Table 4 below:</w:t>
      </w:r>
      <w:r w:rsidRPr="00952B34" w:rsidR="00AE2DCF">
        <w:rPr>
          <w:rStyle w:val="FootnoteReference"/>
          <w:rFonts w:ascii="Book Antiqua" w:hAnsi="Book Antiqua"/>
        </w:rPr>
        <w:footnoteReference w:id="19"/>
      </w:r>
    </w:p>
    <w:p w:rsidRPr="00EC4C04" w:rsidR="00AE2DCF" w:rsidP="003561B6" w:rsidRDefault="00AE2DCF" w14:paraId="31BE2405" w14:textId="3873BB7F">
      <w:pPr>
        <w:pStyle w:val="standard"/>
        <w:keepNext/>
        <w:keepLines/>
        <w:spacing w:after="120"/>
        <w:ind w:firstLine="0"/>
        <w:jc w:val="center"/>
        <w:rPr>
          <w:rFonts w:ascii="Book Antiqua" w:hAnsi="Book Antiqua"/>
          <w:bCs/>
        </w:rPr>
      </w:pPr>
      <w:r w:rsidRPr="00EC4C04">
        <w:rPr>
          <w:rFonts w:ascii="Book Antiqua" w:hAnsi="Book Antiqua"/>
          <w:bCs/>
        </w:rPr>
        <w:lastRenderedPageBreak/>
        <w:t>Table 4</w:t>
      </w:r>
    </w:p>
    <w:p w:rsidRPr="00EC4C04" w:rsidR="00AE2DCF" w:rsidP="003561B6" w:rsidRDefault="003561B6" w14:paraId="497215C0" w14:textId="6D64FC48">
      <w:pPr>
        <w:pStyle w:val="standard"/>
        <w:keepNext/>
        <w:keepLines/>
        <w:ind w:firstLine="0"/>
        <w:jc w:val="center"/>
        <w:rPr>
          <w:rFonts w:ascii="Book Antiqua" w:hAnsi="Book Antiqua"/>
        </w:rPr>
      </w:pPr>
      <w:r w:rsidRPr="00EC4C04">
        <w:rPr>
          <w:rFonts w:ascii="Book Antiqua" w:hAnsi="Book Antiqua"/>
        </w:rPr>
        <w:pict>
          <v:shape id="_x0000_i1028" style="width:332.25pt;height:252pt" o:ole="" type="#_x0000_t75">
            <v:imagedata o:title="" r:id="rId18"/>
          </v:shape>
        </w:pict>
      </w:r>
    </w:p>
    <w:p w:rsidRPr="00EC4C04" w:rsidR="00AE2DCF" w:rsidP="00046CFD" w:rsidRDefault="00AE2DCF" w14:paraId="68EBD385" w14:textId="7B61C2C6">
      <w:pPr>
        <w:pStyle w:val="standard"/>
        <w:rPr>
          <w:rFonts w:ascii="Book Antiqua" w:hAnsi="Book Antiqua"/>
          <w:sz w:val="10"/>
          <w:szCs w:val="10"/>
        </w:rPr>
      </w:pPr>
    </w:p>
    <w:p w:rsidRPr="00952B34" w:rsidR="00675BFE" w:rsidP="00675BFE" w:rsidRDefault="00675BFE" w14:paraId="1832A23E" w14:textId="029465DC">
      <w:pPr>
        <w:pStyle w:val="standard"/>
        <w:rPr>
          <w:rFonts w:ascii="Book Antiqua" w:hAnsi="Book Antiqua"/>
          <w:szCs w:val="26"/>
        </w:rPr>
      </w:pPr>
      <w:r w:rsidRPr="00952B34">
        <w:rPr>
          <w:rFonts w:ascii="Book Antiqua" w:hAnsi="Book Antiqua"/>
          <w:szCs w:val="26"/>
        </w:rPr>
        <w:t>For determining the quantity rate, the WD estimated annual water usage of 11,844 hundred cubic feet (CCF),</w:t>
      </w:r>
      <w:r w:rsidRPr="00952B34">
        <w:rPr>
          <w:rFonts w:ascii="Book Antiqua" w:hAnsi="Book Antiqua"/>
          <w:szCs w:val="26"/>
          <w:vertAlign w:val="superscript"/>
        </w:rPr>
        <w:footnoteReference w:id="20"/>
      </w:r>
      <w:r w:rsidRPr="00952B34">
        <w:rPr>
          <w:rFonts w:ascii="Book Antiqua" w:hAnsi="Book Antiqua"/>
          <w:szCs w:val="26"/>
        </w:rPr>
        <w:t xml:space="preserve"> based on data provided by Leisure Lake </w:t>
      </w:r>
      <w:r w:rsidRPr="00952B34" w:rsidR="002B6D9D">
        <w:rPr>
          <w:rFonts w:ascii="Book Antiqua" w:hAnsi="Book Antiqua"/>
          <w:szCs w:val="26"/>
        </w:rPr>
        <w:t xml:space="preserve">ME </w:t>
      </w:r>
      <w:r w:rsidRPr="00952B34">
        <w:rPr>
          <w:rFonts w:ascii="Book Antiqua" w:hAnsi="Book Antiqua"/>
          <w:szCs w:val="26"/>
        </w:rPr>
        <w:t>for February through September 2019.  To compute a full year of water usage data, the WD assumed the same water consumption for the September 15</w:t>
      </w:r>
      <w:r w:rsidRPr="00952B34">
        <w:rPr>
          <w:rFonts w:ascii="Book Antiqua" w:hAnsi="Book Antiqua"/>
          <w:szCs w:val="26"/>
          <w:vertAlign w:val="superscript"/>
        </w:rPr>
        <w:t>th</w:t>
      </w:r>
      <w:r w:rsidRPr="00952B34">
        <w:rPr>
          <w:rFonts w:ascii="Book Antiqua" w:hAnsi="Book Antiqua"/>
          <w:szCs w:val="26"/>
        </w:rPr>
        <w:t xml:space="preserve"> through November 15</w:t>
      </w:r>
      <w:r w:rsidRPr="00952B34">
        <w:rPr>
          <w:rFonts w:ascii="Book Antiqua" w:hAnsi="Book Antiqua"/>
          <w:szCs w:val="26"/>
          <w:vertAlign w:val="superscript"/>
        </w:rPr>
        <w:t>th</w:t>
      </w:r>
      <w:r w:rsidRPr="00952B34">
        <w:rPr>
          <w:rFonts w:ascii="Book Antiqua" w:hAnsi="Book Antiqua"/>
          <w:szCs w:val="26"/>
        </w:rPr>
        <w:t xml:space="preserve"> period as in the August 15</w:t>
      </w:r>
      <w:r w:rsidRPr="00952B34">
        <w:rPr>
          <w:rFonts w:ascii="Book Antiqua" w:hAnsi="Book Antiqua"/>
          <w:szCs w:val="26"/>
          <w:vertAlign w:val="superscript"/>
        </w:rPr>
        <w:t>th</w:t>
      </w:r>
      <w:r w:rsidRPr="00952B34">
        <w:rPr>
          <w:rFonts w:ascii="Book Antiqua" w:hAnsi="Book Antiqua"/>
          <w:szCs w:val="26"/>
        </w:rPr>
        <w:t xml:space="preserve"> through September 15</w:t>
      </w:r>
      <w:r w:rsidRPr="00952B34">
        <w:rPr>
          <w:rFonts w:ascii="Book Antiqua" w:hAnsi="Book Antiqua"/>
          <w:szCs w:val="26"/>
          <w:vertAlign w:val="superscript"/>
        </w:rPr>
        <w:t>th</w:t>
      </w:r>
      <w:r w:rsidRPr="00952B34">
        <w:rPr>
          <w:rFonts w:ascii="Book Antiqua" w:hAnsi="Book Antiqua"/>
          <w:szCs w:val="26"/>
        </w:rPr>
        <w:t xml:space="preserve"> period of 127,490 cubic feet (CF), and for the November 15</w:t>
      </w:r>
      <w:r w:rsidRPr="00952B34">
        <w:rPr>
          <w:rFonts w:ascii="Book Antiqua" w:hAnsi="Book Antiqua"/>
          <w:szCs w:val="26"/>
          <w:vertAlign w:val="superscript"/>
        </w:rPr>
        <w:t>th</w:t>
      </w:r>
      <w:r w:rsidRPr="00952B34">
        <w:rPr>
          <w:rFonts w:ascii="Book Antiqua" w:hAnsi="Book Antiqua"/>
          <w:szCs w:val="26"/>
        </w:rPr>
        <w:t xml:space="preserve"> through February</w:t>
      </w:r>
      <w:r w:rsidR="003561B6">
        <w:rPr>
          <w:rFonts w:ascii="Book Antiqua" w:hAnsi="Book Antiqua"/>
          <w:szCs w:val="26"/>
        </w:rPr>
        <w:t> </w:t>
      </w:r>
      <w:r w:rsidRPr="00952B34">
        <w:rPr>
          <w:rFonts w:ascii="Book Antiqua" w:hAnsi="Book Antiqua"/>
          <w:szCs w:val="26"/>
        </w:rPr>
        <w:t>15</w:t>
      </w:r>
      <w:r w:rsidRPr="00952B34">
        <w:rPr>
          <w:rFonts w:ascii="Book Antiqua" w:hAnsi="Book Antiqua"/>
          <w:szCs w:val="26"/>
          <w:vertAlign w:val="superscript"/>
        </w:rPr>
        <w:t>th</w:t>
      </w:r>
      <w:r w:rsidRPr="00952B34">
        <w:rPr>
          <w:rFonts w:ascii="Book Antiqua" w:hAnsi="Book Antiqua"/>
          <w:szCs w:val="26"/>
        </w:rPr>
        <w:t xml:space="preserve"> period the same water consumption as in the February 15</w:t>
      </w:r>
      <w:r w:rsidRPr="00952B34">
        <w:rPr>
          <w:rFonts w:ascii="Book Antiqua" w:hAnsi="Book Antiqua"/>
          <w:szCs w:val="26"/>
          <w:vertAlign w:val="superscript"/>
        </w:rPr>
        <w:t>th</w:t>
      </w:r>
      <w:r w:rsidRPr="00952B34">
        <w:rPr>
          <w:rFonts w:ascii="Book Antiqua" w:hAnsi="Book Antiqua"/>
          <w:szCs w:val="26"/>
        </w:rPr>
        <w:t xml:space="preserve"> through March</w:t>
      </w:r>
      <w:r w:rsidR="003561B6">
        <w:rPr>
          <w:rFonts w:ascii="Book Antiqua" w:hAnsi="Book Antiqua"/>
          <w:szCs w:val="26"/>
        </w:rPr>
        <w:t> </w:t>
      </w:r>
      <w:r w:rsidRPr="00952B34">
        <w:rPr>
          <w:rFonts w:ascii="Book Antiqua" w:hAnsi="Book Antiqua"/>
          <w:szCs w:val="26"/>
        </w:rPr>
        <w:t>14</w:t>
      </w:r>
      <w:r w:rsidRPr="00952B34">
        <w:rPr>
          <w:rFonts w:ascii="Book Antiqua" w:hAnsi="Book Antiqua"/>
          <w:szCs w:val="26"/>
          <w:vertAlign w:val="superscript"/>
        </w:rPr>
        <w:t>th</w:t>
      </w:r>
      <w:r w:rsidRPr="00952B34">
        <w:rPr>
          <w:rFonts w:ascii="Book Antiqua" w:hAnsi="Book Antiqua"/>
          <w:szCs w:val="26"/>
        </w:rPr>
        <w:t xml:space="preserve"> period of 71,757 CF.</w:t>
      </w:r>
      <w:r w:rsidRPr="00952B34">
        <w:rPr>
          <w:rStyle w:val="FootnoteReference"/>
          <w:rFonts w:ascii="Book Antiqua" w:hAnsi="Book Antiqua"/>
          <w:sz w:val="26"/>
          <w:szCs w:val="26"/>
        </w:rPr>
        <w:footnoteReference w:id="21"/>
      </w:r>
    </w:p>
    <w:p w:rsidRPr="00952B34" w:rsidR="00675BFE" w:rsidP="004853A6" w:rsidRDefault="00675BFE" w14:paraId="707A2036" w14:textId="568E78E0">
      <w:pPr>
        <w:pStyle w:val="standard"/>
        <w:rPr>
          <w:rFonts w:ascii="Book Antiqua" w:hAnsi="Book Antiqua"/>
          <w:szCs w:val="26"/>
        </w:rPr>
      </w:pPr>
      <w:r w:rsidRPr="00952B34">
        <w:rPr>
          <w:rFonts w:ascii="Book Antiqua" w:hAnsi="Book Antiqua"/>
          <w:szCs w:val="26"/>
        </w:rPr>
        <w:t xml:space="preserve">Based on cost recovery of $29,423 through the quantity rate (as shown in Table 4 above), and estimated annual water usage of 11,844 CCF, the WD computed a quantity rate of $2.48 per CCF.  Therefore, the estimated monthly bill </w:t>
      </w:r>
      <w:r w:rsidRPr="00952B34">
        <w:rPr>
          <w:rFonts w:ascii="Book Antiqua" w:hAnsi="Book Antiqua"/>
          <w:szCs w:val="26"/>
        </w:rPr>
        <w:lastRenderedPageBreak/>
        <w:t xml:space="preserve">for a Leisure Lake customer using an average water usage of 4.68 CCF and the service and quantity rates computed by </w:t>
      </w:r>
      <w:r w:rsidRPr="00952B34" w:rsidR="002B6D9D">
        <w:rPr>
          <w:rFonts w:ascii="Book Antiqua" w:hAnsi="Book Antiqua"/>
          <w:szCs w:val="26"/>
        </w:rPr>
        <w:t xml:space="preserve">the </w:t>
      </w:r>
      <w:r w:rsidRPr="00952B34">
        <w:rPr>
          <w:rFonts w:ascii="Book Antiqua" w:hAnsi="Book Antiqua"/>
          <w:szCs w:val="26"/>
        </w:rPr>
        <w:t xml:space="preserve">WD would be $32.51.  </w:t>
      </w:r>
    </w:p>
    <w:p w:rsidRPr="003561B6" w:rsidR="002A0B6C" w:rsidP="003561B6" w:rsidRDefault="00046CFD" w14:paraId="7BF9C34B" w14:textId="64B093AB">
      <w:pPr>
        <w:pStyle w:val="standard"/>
        <w:rPr>
          <w:rFonts w:ascii="Book Antiqua" w:hAnsi="Book Antiqua"/>
          <w:szCs w:val="26"/>
        </w:rPr>
      </w:pPr>
      <w:bookmarkStart w:name="_Hlk30601354" w:id="29"/>
      <w:r w:rsidRPr="00952B34">
        <w:rPr>
          <w:rFonts w:ascii="Book Antiqua" w:hAnsi="Book Antiqua"/>
          <w:szCs w:val="26"/>
        </w:rPr>
        <w:t xml:space="preserve">If Leisure Lake </w:t>
      </w:r>
      <w:r w:rsidRPr="00952B34" w:rsidR="002A0B6C">
        <w:rPr>
          <w:rFonts w:ascii="Book Antiqua" w:hAnsi="Book Antiqua"/>
          <w:szCs w:val="26"/>
        </w:rPr>
        <w:t xml:space="preserve">ME </w:t>
      </w:r>
      <w:r w:rsidRPr="00952B34">
        <w:rPr>
          <w:rFonts w:ascii="Book Antiqua" w:hAnsi="Book Antiqua"/>
          <w:szCs w:val="26"/>
        </w:rPr>
        <w:t>were a Class D water utility</w:t>
      </w:r>
      <w:r w:rsidRPr="00952B34" w:rsidR="00AE2DCF">
        <w:rPr>
          <w:rFonts w:ascii="Book Antiqua" w:hAnsi="Book Antiqua"/>
          <w:szCs w:val="26"/>
        </w:rPr>
        <w:t>,</w:t>
      </w:r>
      <w:r w:rsidRPr="00952B34">
        <w:rPr>
          <w:rFonts w:ascii="Book Antiqua" w:hAnsi="Book Antiqua"/>
          <w:szCs w:val="26"/>
        </w:rPr>
        <w:t xml:space="preserve"> an average monthly bill based on an average use of 4.68 CCF would be $32.51. </w:t>
      </w:r>
      <w:bookmarkStart w:name="_Hlk32242795" w:id="30"/>
      <w:bookmarkEnd w:id="29"/>
      <w:r w:rsidRPr="00952B34">
        <w:rPr>
          <w:rFonts w:ascii="Book Antiqua" w:hAnsi="Book Antiqua"/>
          <w:szCs w:val="26"/>
        </w:rPr>
        <w:t xml:space="preserve">This </w:t>
      </w:r>
      <w:r w:rsidRPr="00952B34" w:rsidR="00F66D8A">
        <w:rPr>
          <w:rFonts w:ascii="Book Antiqua" w:hAnsi="Book Antiqua"/>
          <w:szCs w:val="26"/>
        </w:rPr>
        <w:t xml:space="preserve">amount </w:t>
      </w:r>
      <w:r w:rsidRPr="00952B34">
        <w:rPr>
          <w:rFonts w:ascii="Book Antiqua" w:hAnsi="Book Antiqua"/>
          <w:szCs w:val="26"/>
        </w:rPr>
        <w:t>compares to Leisure Lake</w:t>
      </w:r>
      <w:r w:rsidRPr="00952B34" w:rsidR="002A0B6C">
        <w:rPr>
          <w:rFonts w:ascii="Book Antiqua" w:hAnsi="Book Antiqua"/>
          <w:szCs w:val="26"/>
        </w:rPr>
        <w:t xml:space="preserve"> ME</w:t>
      </w:r>
      <w:r w:rsidRPr="00952B34">
        <w:rPr>
          <w:rFonts w:ascii="Book Antiqua" w:hAnsi="Book Antiqua"/>
          <w:szCs w:val="26"/>
        </w:rPr>
        <w:t xml:space="preserve">’s actual monthly charge of $20.00 for service and $5.85 for </w:t>
      </w:r>
      <w:r w:rsidRPr="00952B34" w:rsidR="00C52BBC">
        <w:rPr>
          <w:rFonts w:ascii="Book Antiqua" w:hAnsi="Book Antiqua"/>
          <w:szCs w:val="26"/>
        </w:rPr>
        <w:t xml:space="preserve">average usage of </w:t>
      </w:r>
      <w:r w:rsidRPr="00952B34">
        <w:rPr>
          <w:rFonts w:ascii="Book Antiqua" w:hAnsi="Book Antiqua"/>
          <w:szCs w:val="26"/>
        </w:rPr>
        <w:t xml:space="preserve">4.68 </w:t>
      </w:r>
      <w:r w:rsidRPr="00952B34" w:rsidR="00C52BBC">
        <w:rPr>
          <w:rFonts w:ascii="Book Antiqua" w:hAnsi="Book Antiqua"/>
          <w:szCs w:val="26"/>
        </w:rPr>
        <w:t>CCF per connection</w:t>
      </w:r>
      <w:r w:rsidRPr="00952B34">
        <w:rPr>
          <w:rFonts w:ascii="Book Antiqua" w:hAnsi="Book Antiqua"/>
          <w:szCs w:val="26"/>
        </w:rPr>
        <w:t>, for a total bill of $25.85</w:t>
      </w:r>
      <w:bookmarkEnd w:id="30"/>
      <w:r w:rsidRPr="00952B34">
        <w:rPr>
          <w:rFonts w:ascii="Book Antiqua" w:hAnsi="Book Antiqua"/>
          <w:szCs w:val="26"/>
        </w:rPr>
        <w:t>. At greater quantity usages, the differences between a theorical Class D water utility and Leisure Lake</w:t>
      </w:r>
      <w:r w:rsidRPr="00952B34" w:rsidR="002A0B6C">
        <w:rPr>
          <w:rFonts w:ascii="Book Antiqua" w:hAnsi="Book Antiqua"/>
          <w:szCs w:val="26"/>
        </w:rPr>
        <w:t xml:space="preserve"> ME</w:t>
      </w:r>
      <w:r w:rsidRPr="00952B34">
        <w:rPr>
          <w:rFonts w:ascii="Book Antiqua" w:hAnsi="Book Antiqua"/>
          <w:szCs w:val="26"/>
        </w:rPr>
        <w:t xml:space="preserve">’s bill would be greater. </w:t>
      </w:r>
      <w:r w:rsidRPr="00952B34" w:rsidR="00195B81">
        <w:rPr>
          <w:rFonts w:ascii="Book Antiqua" w:hAnsi="Book Antiqua"/>
          <w:szCs w:val="26"/>
        </w:rPr>
        <w:t xml:space="preserve"> Table 5 below provides the Leisure Lake ME monthly bill calculation.</w:t>
      </w:r>
    </w:p>
    <w:p w:rsidRPr="00EC4C04" w:rsidR="00195B81" w:rsidP="00D53A5B" w:rsidRDefault="00195B81" w14:paraId="39F18DF2" w14:textId="7F49633E">
      <w:pPr>
        <w:pStyle w:val="standard"/>
        <w:spacing w:after="120"/>
        <w:ind w:firstLine="0"/>
        <w:jc w:val="center"/>
        <w:rPr>
          <w:rFonts w:ascii="Book Antiqua" w:hAnsi="Book Antiqua"/>
          <w:bCs/>
        </w:rPr>
      </w:pPr>
      <w:r w:rsidRPr="00EC4C04">
        <w:rPr>
          <w:rFonts w:ascii="Book Antiqua" w:hAnsi="Book Antiqua"/>
          <w:bCs/>
        </w:rPr>
        <w:t>Table 5</w:t>
      </w:r>
    </w:p>
    <w:p w:rsidRPr="00EC4C04" w:rsidR="00195B81" w:rsidP="00D53A5B" w:rsidRDefault="00195B81" w14:paraId="02DF5376" w14:textId="77777777">
      <w:pPr>
        <w:pStyle w:val="standard"/>
        <w:spacing w:after="120"/>
        <w:ind w:firstLine="0"/>
        <w:jc w:val="center"/>
        <w:rPr>
          <w:rFonts w:ascii="Book Antiqua" w:hAnsi="Book Antiqua"/>
        </w:rPr>
      </w:pPr>
      <w:r w:rsidRPr="00EC4C04">
        <w:rPr>
          <w:rFonts w:ascii="Book Antiqua" w:hAnsi="Book Antiqua"/>
        </w:rPr>
        <w:pict>
          <v:shape id="_x0000_i1029" style="width:311.25pt;height:165.75pt" o:ole="" type="#_x0000_t75">
            <v:imagedata o:title="" r:id="rId20"/>
          </v:shape>
        </w:pict>
      </w:r>
    </w:p>
    <w:p w:rsidRPr="00EC4C04" w:rsidR="00195B81" w:rsidP="00046CFD" w:rsidRDefault="00195B81" w14:paraId="2528C30B" w14:textId="77777777">
      <w:pPr>
        <w:pStyle w:val="standard"/>
        <w:rPr>
          <w:rFonts w:ascii="Book Antiqua" w:hAnsi="Book Antiqua"/>
          <w:sz w:val="10"/>
          <w:szCs w:val="10"/>
        </w:rPr>
      </w:pPr>
    </w:p>
    <w:p w:rsidRPr="00952B34" w:rsidR="00A31B75" w:rsidP="00EA3E73" w:rsidRDefault="00046CFD" w14:paraId="42189C75" w14:textId="26516DB3">
      <w:pPr>
        <w:pStyle w:val="standard"/>
        <w:rPr>
          <w:rFonts w:ascii="Book Antiqua" w:hAnsi="Book Antiqua"/>
        </w:rPr>
      </w:pPr>
      <w:r w:rsidRPr="00952B34">
        <w:rPr>
          <w:rFonts w:ascii="Book Antiqua" w:hAnsi="Book Antiqua"/>
        </w:rPr>
        <w:t>Consequently, in view of this</w:t>
      </w:r>
      <w:r w:rsidRPr="00952B34" w:rsidR="0066458C">
        <w:rPr>
          <w:rFonts w:ascii="Book Antiqua" w:hAnsi="Book Antiqua"/>
        </w:rPr>
        <w:t xml:space="preserve"> analysis </w:t>
      </w:r>
      <w:r w:rsidRPr="00952B34">
        <w:rPr>
          <w:rFonts w:ascii="Book Antiqua" w:hAnsi="Book Antiqua"/>
        </w:rPr>
        <w:t xml:space="preserve">of </w:t>
      </w:r>
      <w:r w:rsidRPr="00952B34" w:rsidR="0066458C">
        <w:rPr>
          <w:rFonts w:ascii="Book Antiqua" w:hAnsi="Book Antiqua"/>
        </w:rPr>
        <w:t>Leisure Lake ME costs presented in the WD Report</w:t>
      </w:r>
      <w:r w:rsidRPr="00952B34">
        <w:rPr>
          <w:rFonts w:ascii="Book Antiqua" w:hAnsi="Book Antiqua"/>
        </w:rPr>
        <w:t xml:space="preserve">, </w:t>
      </w:r>
      <w:r w:rsidRPr="00952B34" w:rsidR="00EA3E73">
        <w:rPr>
          <w:rFonts w:ascii="Book Antiqua" w:hAnsi="Book Antiqua"/>
        </w:rPr>
        <w:t xml:space="preserve">it is </w:t>
      </w:r>
      <w:r w:rsidRPr="00952B34" w:rsidR="00C52BBC">
        <w:rPr>
          <w:rFonts w:ascii="Book Antiqua" w:hAnsi="Book Antiqua"/>
        </w:rPr>
        <w:t>con</w:t>
      </w:r>
      <w:r w:rsidRPr="00952B34" w:rsidR="0066458C">
        <w:rPr>
          <w:rFonts w:ascii="Book Antiqua" w:hAnsi="Book Antiqua"/>
        </w:rPr>
        <w:t>clude</w:t>
      </w:r>
      <w:r w:rsidRPr="00952B34" w:rsidR="00EA3E73">
        <w:rPr>
          <w:rFonts w:ascii="Book Antiqua" w:hAnsi="Book Antiqua"/>
        </w:rPr>
        <w:t>d</w:t>
      </w:r>
      <w:r w:rsidRPr="00952B34" w:rsidR="0066458C">
        <w:rPr>
          <w:rFonts w:ascii="Book Antiqua" w:hAnsi="Book Antiqua"/>
        </w:rPr>
        <w:t xml:space="preserve"> that </w:t>
      </w:r>
      <w:r w:rsidRPr="00952B34">
        <w:rPr>
          <w:rFonts w:ascii="Book Antiqua" w:hAnsi="Book Antiqua"/>
        </w:rPr>
        <w:t xml:space="preserve">Leisure Lake’s </w:t>
      </w:r>
      <w:r w:rsidRPr="00952B34" w:rsidR="00C52BBC">
        <w:rPr>
          <w:rFonts w:ascii="Book Antiqua" w:hAnsi="Book Antiqua"/>
        </w:rPr>
        <w:t xml:space="preserve">water </w:t>
      </w:r>
      <w:r w:rsidRPr="00952B34">
        <w:rPr>
          <w:rFonts w:ascii="Book Antiqua" w:hAnsi="Book Antiqua"/>
        </w:rPr>
        <w:t xml:space="preserve">rates are </w:t>
      </w:r>
      <w:r w:rsidRPr="00952B34" w:rsidR="008E1732">
        <w:rPr>
          <w:rFonts w:ascii="Book Antiqua" w:hAnsi="Book Antiqua"/>
        </w:rPr>
        <w:t xml:space="preserve">just and </w:t>
      </w:r>
      <w:r w:rsidRPr="00952B34">
        <w:rPr>
          <w:rFonts w:ascii="Book Antiqua" w:hAnsi="Book Antiqua"/>
        </w:rPr>
        <w:t>reasonable.</w:t>
      </w:r>
      <w:r w:rsidRPr="00952B34" w:rsidR="008E1732">
        <w:rPr>
          <w:rFonts w:ascii="Book Antiqua" w:hAnsi="Book Antiqua"/>
        </w:rPr>
        <w:t xml:space="preserve">  Accordingly, </w:t>
      </w:r>
      <w:r w:rsidRPr="00952B34" w:rsidR="00EA3E73">
        <w:rPr>
          <w:rFonts w:ascii="Book Antiqua" w:hAnsi="Book Antiqua"/>
        </w:rPr>
        <w:t>there is</w:t>
      </w:r>
      <w:r w:rsidRPr="00952B34" w:rsidR="008E1732">
        <w:rPr>
          <w:rFonts w:ascii="Book Antiqua" w:hAnsi="Book Antiqua"/>
        </w:rPr>
        <w:t xml:space="preserve"> no basis to order any change in existing water rates charged by Leisure Lake ME, or to impose fines or penalties</w:t>
      </w:r>
      <w:r w:rsidRPr="00952B34" w:rsidR="0066458C">
        <w:rPr>
          <w:rFonts w:ascii="Book Antiqua" w:hAnsi="Book Antiqua"/>
        </w:rPr>
        <w:t>, as requested by Complainant</w:t>
      </w:r>
      <w:r w:rsidRPr="00952B34" w:rsidR="008E1732">
        <w:rPr>
          <w:rFonts w:ascii="Book Antiqua" w:hAnsi="Book Antiqua"/>
        </w:rPr>
        <w:t xml:space="preserve">. </w:t>
      </w:r>
    </w:p>
    <w:p w:rsidRPr="00EC4C04" w:rsidR="00A31B75" w:rsidP="00D53A5B" w:rsidRDefault="00B952C8" w14:paraId="5EF007CA" w14:textId="6908D162">
      <w:pPr>
        <w:pStyle w:val="Heading1"/>
        <w:numPr>
          <w:ilvl w:val="0"/>
          <w:numId w:val="17"/>
        </w:numPr>
        <w:spacing w:before="0"/>
        <w:ind w:left="360"/>
        <w:rPr>
          <w:rFonts w:ascii="Arial" w:hAnsi="Arial"/>
        </w:rPr>
      </w:pPr>
      <w:bookmarkStart w:name="_Toc43914768" w:id="31"/>
      <w:r w:rsidRPr="00EC4C04">
        <w:rPr>
          <w:rFonts w:ascii="Arial" w:hAnsi="Arial"/>
        </w:rPr>
        <w:t>Requirements for Notice</w:t>
      </w:r>
      <w:r w:rsidRPr="00EC4C04" w:rsidR="00744D47">
        <w:rPr>
          <w:rFonts w:ascii="Arial" w:hAnsi="Arial"/>
        </w:rPr>
        <w:t>s</w:t>
      </w:r>
      <w:r w:rsidRPr="00EC4C04">
        <w:rPr>
          <w:rFonts w:ascii="Arial" w:hAnsi="Arial"/>
        </w:rPr>
        <w:t xml:space="preserve"> to </w:t>
      </w:r>
      <w:r w:rsidRPr="00EC4C04" w:rsidR="00BE2A2C">
        <w:rPr>
          <w:rFonts w:ascii="Arial" w:hAnsi="Arial"/>
        </w:rPr>
        <w:t xml:space="preserve">Mobile Home Park </w:t>
      </w:r>
      <w:r w:rsidRPr="00EC4C04">
        <w:rPr>
          <w:rFonts w:ascii="Arial" w:hAnsi="Arial"/>
        </w:rPr>
        <w:t>Tenants</w:t>
      </w:r>
      <w:bookmarkEnd w:id="31"/>
      <w:r w:rsidRPr="00EC4C04">
        <w:rPr>
          <w:rFonts w:ascii="Arial" w:hAnsi="Arial"/>
        </w:rPr>
        <w:t xml:space="preserve"> </w:t>
      </w:r>
    </w:p>
    <w:p w:rsidRPr="00952B34" w:rsidR="00D5296C" w:rsidP="007B6299" w:rsidRDefault="00D5296C" w14:paraId="0FC40258" w14:textId="49148496">
      <w:pPr>
        <w:pStyle w:val="standard"/>
        <w:rPr>
          <w:rFonts w:ascii="Book Antiqua" w:hAnsi="Book Antiqua"/>
        </w:rPr>
      </w:pPr>
      <w:r w:rsidRPr="00952B34">
        <w:rPr>
          <w:rFonts w:ascii="Book Antiqua" w:hAnsi="Book Antiqua"/>
        </w:rPr>
        <w:t xml:space="preserve">As noted in the Scoping Memo, one of the issues in </w:t>
      </w:r>
      <w:r w:rsidRPr="00952B34" w:rsidR="00F23423">
        <w:rPr>
          <w:rFonts w:ascii="Book Antiqua" w:hAnsi="Book Antiqua"/>
        </w:rPr>
        <w:t xml:space="preserve">the </w:t>
      </w:r>
      <w:r w:rsidRPr="00952B34" w:rsidR="00737542">
        <w:rPr>
          <w:rFonts w:ascii="Book Antiqua" w:hAnsi="Book Antiqua"/>
        </w:rPr>
        <w:t>proceeding</w:t>
      </w:r>
      <w:r w:rsidRPr="00952B34">
        <w:rPr>
          <w:rFonts w:ascii="Book Antiqua" w:hAnsi="Book Antiqua"/>
        </w:rPr>
        <w:t xml:space="preserve"> is whether Leisure Lakes ME violated § 2705.6 by failing to provide notices to new tenants at the time they establish service and each time that Leisure Lakes </w:t>
      </w:r>
      <w:r w:rsidRPr="00952B34">
        <w:rPr>
          <w:rFonts w:ascii="Book Antiqua" w:hAnsi="Book Antiqua"/>
        </w:rPr>
        <w:lastRenderedPageBreak/>
        <w:t>changes water service or rates</w:t>
      </w:r>
      <w:r w:rsidRPr="00952B34" w:rsidR="00744D47">
        <w:rPr>
          <w:rFonts w:ascii="Book Antiqua" w:hAnsi="Book Antiqua"/>
        </w:rPr>
        <w:t>.  A related issue identified in the Scoping Memo is whether Leisure Lakes violated § 2705.6 by failing to provide tenants of their right to file a complaint with the Commission.</w:t>
      </w:r>
      <w:r w:rsidR="00D53A5B">
        <w:rPr>
          <w:rFonts w:ascii="Book Antiqua" w:hAnsi="Book Antiqua"/>
        </w:rPr>
        <w:t xml:space="preserve"> </w:t>
      </w:r>
      <w:r w:rsidRPr="00952B34" w:rsidR="00744D47">
        <w:rPr>
          <w:rFonts w:ascii="Book Antiqua" w:hAnsi="Book Antiqua"/>
        </w:rPr>
        <w:t xml:space="preserve"> If so, </w:t>
      </w:r>
      <w:r w:rsidRPr="00952B34" w:rsidR="00EA3E73">
        <w:rPr>
          <w:rFonts w:ascii="Book Antiqua" w:hAnsi="Book Antiqua"/>
        </w:rPr>
        <w:t>the decision</w:t>
      </w:r>
      <w:r w:rsidRPr="00952B34" w:rsidR="00F23423">
        <w:rPr>
          <w:rFonts w:ascii="Book Antiqua" w:hAnsi="Book Antiqua"/>
        </w:rPr>
        <w:t xml:space="preserve"> would consider whether </w:t>
      </w:r>
      <w:r w:rsidRPr="00952B34" w:rsidR="00744D47">
        <w:rPr>
          <w:rFonts w:ascii="Book Antiqua" w:hAnsi="Book Antiqua"/>
        </w:rPr>
        <w:t xml:space="preserve">Leisure Lakes </w:t>
      </w:r>
      <w:r w:rsidRPr="00952B34" w:rsidR="00F23423">
        <w:rPr>
          <w:rFonts w:ascii="Book Antiqua" w:hAnsi="Book Antiqua"/>
        </w:rPr>
        <w:t xml:space="preserve">ME should </w:t>
      </w:r>
      <w:r w:rsidRPr="00952B34" w:rsidR="00744D47">
        <w:rPr>
          <w:rFonts w:ascii="Book Antiqua" w:hAnsi="Book Antiqua"/>
        </w:rPr>
        <w:t xml:space="preserve">be subject to a fine. </w:t>
      </w:r>
    </w:p>
    <w:p w:rsidRPr="00952B34" w:rsidR="00737542" w:rsidP="007B27A5" w:rsidRDefault="00737542" w14:paraId="413A5EF8" w14:textId="7C5FE6D3">
      <w:pPr>
        <w:pStyle w:val="standard"/>
        <w:rPr>
          <w:rFonts w:ascii="Book Antiqua" w:hAnsi="Book Antiqua"/>
        </w:rPr>
      </w:pPr>
      <w:r w:rsidRPr="00952B34">
        <w:rPr>
          <w:rFonts w:ascii="Book Antiqua" w:hAnsi="Book Antiqua"/>
        </w:rPr>
        <w:t xml:space="preserve">Complainant claims that Defendant is in violation of </w:t>
      </w:r>
      <w:r w:rsidRPr="00952B34" w:rsidR="00744D47">
        <w:rPr>
          <w:rFonts w:ascii="Book Antiqua" w:hAnsi="Book Antiqua"/>
        </w:rPr>
        <w:t>statutory</w:t>
      </w:r>
      <w:r w:rsidRPr="00952B34">
        <w:rPr>
          <w:rFonts w:ascii="Book Antiqua" w:hAnsi="Book Antiqua"/>
        </w:rPr>
        <w:t xml:space="preserve"> requirements by never giving </w:t>
      </w:r>
      <w:r w:rsidRPr="00952B34" w:rsidR="00744D47">
        <w:rPr>
          <w:rFonts w:ascii="Book Antiqua" w:hAnsi="Book Antiqua"/>
        </w:rPr>
        <w:t xml:space="preserve">notice to each tenant </w:t>
      </w:r>
      <w:r w:rsidRPr="00952B34">
        <w:rPr>
          <w:rFonts w:ascii="Book Antiqua" w:hAnsi="Book Antiqua"/>
        </w:rPr>
        <w:t xml:space="preserve">or posting a notice of tenants’ right to complain about new water service rates from the period </w:t>
      </w:r>
      <w:r w:rsidRPr="00D53A5B">
        <w:t>November</w:t>
      </w:r>
      <w:r w:rsidR="00D53A5B">
        <w:t> </w:t>
      </w:r>
      <w:r w:rsidRPr="00D53A5B">
        <w:t>21</w:t>
      </w:r>
      <w:r w:rsidRPr="00952B34">
        <w:rPr>
          <w:rFonts w:ascii="Book Antiqua" w:hAnsi="Book Antiqua"/>
        </w:rPr>
        <w:t>,</w:t>
      </w:r>
      <w:r w:rsidR="00D53A5B">
        <w:rPr>
          <w:rFonts w:ascii="Book Antiqua" w:hAnsi="Book Antiqua"/>
        </w:rPr>
        <w:t> </w:t>
      </w:r>
      <w:r w:rsidRPr="00952B34">
        <w:rPr>
          <w:rFonts w:ascii="Book Antiqua" w:hAnsi="Book Antiqua"/>
        </w:rPr>
        <w:t xml:space="preserve">2017 to the date of the Complaint filing.  Complainants ask that a penalty be imposed of $500 to $50,000 for each offense. </w:t>
      </w:r>
    </w:p>
    <w:p w:rsidRPr="00952B34" w:rsidR="00F23423" w:rsidP="00EA3E73" w:rsidRDefault="007B27A5" w14:paraId="1110D494" w14:textId="10E7B443">
      <w:pPr>
        <w:pStyle w:val="standard"/>
        <w:rPr>
          <w:rFonts w:ascii="Book Antiqua" w:hAnsi="Book Antiqua"/>
        </w:rPr>
      </w:pPr>
      <w:r w:rsidRPr="00952B34">
        <w:rPr>
          <w:rFonts w:ascii="Book Antiqua" w:hAnsi="Book Antiqua"/>
        </w:rPr>
        <w:t>Defendant denies that</w:t>
      </w:r>
      <w:r w:rsidRPr="00952B34" w:rsidR="00737542">
        <w:rPr>
          <w:rFonts w:ascii="Book Antiqua" w:hAnsi="Book Antiqua"/>
        </w:rPr>
        <w:t xml:space="preserve"> any penalties</w:t>
      </w:r>
      <w:r w:rsidRPr="00952B34">
        <w:rPr>
          <w:rFonts w:ascii="Book Antiqua" w:hAnsi="Book Antiqua"/>
        </w:rPr>
        <w:t xml:space="preserve"> are warranted in this regard, but acknowledges that it has, in the past, included water as part of tenants’ rent.  Leisure Like ME reduced tenants’ rent, however, so that water rates could be charged separately. </w:t>
      </w:r>
    </w:p>
    <w:p w:rsidRPr="00EC4C04" w:rsidR="00F23423" w:rsidP="00D53A5B" w:rsidRDefault="00F23423" w14:paraId="14C383C2" w14:textId="094604DA">
      <w:pPr>
        <w:pStyle w:val="Heading2"/>
        <w:numPr>
          <w:ilvl w:val="1"/>
          <w:numId w:val="17"/>
        </w:numPr>
        <w:spacing w:before="0"/>
        <w:ind w:left="1440"/>
        <w:rPr>
          <w:rFonts w:ascii="Arial" w:hAnsi="Arial"/>
        </w:rPr>
      </w:pPr>
      <w:bookmarkStart w:name="_Toc43914769" w:id="32"/>
      <w:r w:rsidRPr="00EC4C04">
        <w:rPr>
          <w:rFonts w:ascii="Arial" w:hAnsi="Arial"/>
        </w:rPr>
        <w:t>Discussion</w:t>
      </w:r>
      <w:bookmarkEnd w:id="32"/>
      <w:r w:rsidRPr="00EC4C04">
        <w:rPr>
          <w:rFonts w:ascii="Arial" w:hAnsi="Arial"/>
        </w:rPr>
        <w:t xml:space="preserve"> </w:t>
      </w:r>
    </w:p>
    <w:p w:rsidRPr="00952B34" w:rsidR="007B27A5" w:rsidP="00D5296C" w:rsidRDefault="007B27A5" w14:paraId="4A610CE0" w14:textId="534D0BDE">
      <w:pPr>
        <w:pStyle w:val="standard"/>
        <w:rPr>
          <w:rFonts w:ascii="Book Antiqua" w:hAnsi="Book Antiqua"/>
        </w:rPr>
      </w:pPr>
      <w:r w:rsidRPr="00952B34">
        <w:rPr>
          <w:rFonts w:ascii="Book Antiqua" w:hAnsi="Book Antiqua"/>
        </w:rPr>
        <w:t xml:space="preserve">Based on the information provided in response to the ALJ ruling, </w:t>
      </w:r>
      <w:r w:rsidRPr="00952B34" w:rsidR="00EA3E73">
        <w:rPr>
          <w:rFonts w:ascii="Book Antiqua" w:hAnsi="Book Antiqua"/>
        </w:rPr>
        <w:t>there is</w:t>
      </w:r>
      <w:r w:rsidRPr="00952B34">
        <w:rPr>
          <w:rFonts w:ascii="Book Antiqua" w:hAnsi="Book Antiqua"/>
        </w:rPr>
        <w:t xml:space="preserve"> no evidence that Leisure Lake ME failed to provide </w:t>
      </w:r>
      <w:r w:rsidRPr="00952B34" w:rsidR="00737542">
        <w:rPr>
          <w:rFonts w:ascii="Book Antiqua" w:hAnsi="Book Antiqua"/>
        </w:rPr>
        <w:t xml:space="preserve">due </w:t>
      </w:r>
      <w:r w:rsidRPr="00952B34">
        <w:rPr>
          <w:rFonts w:ascii="Book Antiqua" w:hAnsi="Book Antiqua"/>
        </w:rPr>
        <w:t>notice to tenants</w:t>
      </w:r>
      <w:r w:rsidRPr="00952B34" w:rsidR="00744D47">
        <w:rPr>
          <w:rFonts w:ascii="Book Antiqua" w:hAnsi="Book Antiqua"/>
        </w:rPr>
        <w:t xml:space="preserve"> of increases in water service rates</w:t>
      </w:r>
      <w:r w:rsidRPr="00952B34">
        <w:rPr>
          <w:rFonts w:ascii="Book Antiqua" w:hAnsi="Book Antiqua"/>
        </w:rPr>
        <w:t xml:space="preserve">.  </w:t>
      </w:r>
      <w:r w:rsidRPr="00952B34" w:rsidR="00744D47">
        <w:rPr>
          <w:rFonts w:ascii="Book Antiqua" w:hAnsi="Book Antiqua"/>
        </w:rPr>
        <w:t xml:space="preserve">In Attachment 3 of the Complaint, </w:t>
      </w:r>
      <w:bookmarkStart w:name="_Hlk32411066" w:id="33"/>
      <w:r w:rsidRPr="00952B34" w:rsidR="00744D47">
        <w:rPr>
          <w:rFonts w:ascii="Book Antiqua" w:hAnsi="Book Antiqua"/>
        </w:rPr>
        <w:t xml:space="preserve">the increase that occurred on October 21, 2017 was identified as a </w:t>
      </w:r>
      <w:r w:rsidRPr="00952B34" w:rsidR="00744D47">
        <w:rPr>
          <w:rFonts w:ascii="Book Antiqua" w:hAnsi="Book Antiqua"/>
          <w:i/>
          <w:iCs/>
        </w:rPr>
        <w:t xml:space="preserve">rent increase, </w:t>
      </w:r>
      <w:r w:rsidRPr="00952B34" w:rsidR="00744D47">
        <w:rPr>
          <w:rFonts w:ascii="Book Antiqua" w:hAnsi="Book Antiqua"/>
        </w:rPr>
        <w:t xml:space="preserve">not a water </w:t>
      </w:r>
      <w:r w:rsidRPr="00952B34" w:rsidR="0075587D">
        <w:rPr>
          <w:rFonts w:ascii="Book Antiqua" w:hAnsi="Book Antiqua"/>
        </w:rPr>
        <w:t xml:space="preserve">rate change.  Such </w:t>
      </w:r>
      <w:bookmarkStart w:name="_Hlk33437174" w:id="34"/>
      <w:r w:rsidRPr="00952B34" w:rsidR="0075587D">
        <w:rPr>
          <w:rFonts w:ascii="Book Antiqua" w:hAnsi="Book Antiqua"/>
        </w:rPr>
        <w:t>rent control and tenants issues are beyond the scope of the proceeding, as noted at the PHC</w:t>
      </w:r>
      <w:bookmarkEnd w:id="33"/>
      <w:bookmarkEnd w:id="34"/>
      <w:r w:rsidRPr="00952B34" w:rsidR="0075587D">
        <w:rPr>
          <w:rFonts w:ascii="Book Antiqua" w:hAnsi="Book Antiqua"/>
        </w:rPr>
        <w:t xml:space="preserve">.  </w:t>
      </w:r>
      <w:r w:rsidRPr="00952B34">
        <w:rPr>
          <w:rFonts w:ascii="Book Antiqua" w:hAnsi="Book Antiqua"/>
        </w:rPr>
        <w:t xml:space="preserve">Accordingly, </w:t>
      </w:r>
      <w:r w:rsidRPr="00952B34" w:rsidR="00EA3E73">
        <w:rPr>
          <w:rFonts w:ascii="Book Antiqua" w:hAnsi="Book Antiqua"/>
        </w:rPr>
        <w:t>there is</w:t>
      </w:r>
      <w:r w:rsidRPr="00952B34" w:rsidR="00F23423">
        <w:rPr>
          <w:rFonts w:ascii="Book Antiqua" w:hAnsi="Book Antiqua"/>
        </w:rPr>
        <w:t xml:space="preserve"> no basis </w:t>
      </w:r>
      <w:r w:rsidRPr="00952B34">
        <w:rPr>
          <w:rFonts w:ascii="Book Antiqua" w:hAnsi="Book Antiqua"/>
        </w:rPr>
        <w:t>to impose penalties based on</w:t>
      </w:r>
      <w:r w:rsidRPr="00952B34" w:rsidR="0075587D">
        <w:rPr>
          <w:rFonts w:ascii="Book Antiqua" w:hAnsi="Book Antiqua"/>
        </w:rPr>
        <w:t xml:space="preserve"> claims of lack of notice of a </w:t>
      </w:r>
      <w:r w:rsidRPr="00952B34" w:rsidR="007B6299">
        <w:rPr>
          <w:rFonts w:ascii="Book Antiqua" w:hAnsi="Book Antiqua"/>
        </w:rPr>
        <w:t xml:space="preserve">water </w:t>
      </w:r>
      <w:r w:rsidRPr="00952B34" w:rsidR="0075587D">
        <w:rPr>
          <w:rFonts w:ascii="Book Antiqua" w:hAnsi="Book Antiqua"/>
        </w:rPr>
        <w:t>rate increase</w:t>
      </w:r>
      <w:r w:rsidRPr="00952B34">
        <w:rPr>
          <w:rFonts w:ascii="Book Antiqua" w:hAnsi="Book Antiqua"/>
        </w:rPr>
        <w:t xml:space="preserve">. </w:t>
      </w:r>
    </w:p>
    <w:p w:rsidRPr="00952B34" w:rsidR="00D5296C" w:rsidP="00EA3E73" w:rsidRDefault="00744D47" w14:paraId="2038163D" w14:textId="483DC516">
      <w:pPr>
        <w:pStyle w:val="standard"/>
        <w:rPr>
          <w:rFonts w:ascii="Book Antiqua" w:hAnsi="Book Antiqua"/>
        </w:rPr>
      </w:pPr>
      <w:r w:rsidRPr="00952B34">
        <w:rPr>
          <w:rFonts w:ascii="Book Antiqua" w:hAnsi="Book Antiqua"/>
        </w:rPr>
        <w:t>Based on the</w:t>
      </w:r>
      <w:r w:rsidRPr="00952B34" w:rsidR="0075587D">
        <w:rPr>
          <w:rFonts w:ascii="Book Antiqua" w:hAnsi="Book Antiqua"/>
        </w:rPr>
        <w:t xml:space="preserve"> record</w:t>
      </w:r>
      <w:r w:rsidRPr="00952B34">
        <w:rPr>
          <w:rFonts w:ascii="Book Antiqua" w:hAnsi="Book Antiqua"/>
        </w:rPr>
        <w:t xml:space="preserve">, </w:t>
      </w:r>
      <w:r w:rsidRPr="00952B34" w:rsidR="00EA3E73">
        <w:rPr>
          <w:rFonts w:ascii="Book Antiqua" w:hAnsi="Book Antiqua"/>
        </w:rPr>
        <w:t xml:space="preserve">there is </w:t>
      </w:r>
      <w:r w:rsidRPr="00952B34" w:rsidR="005E2F97">
        <w:rPr>
          <w:rFonts w:ascii="Book Antiqua" w:hAnsi="Book Antiqua"/>
        </w:rPr>
        <w:t>no</w:t>
      </w:r>
      <w:r w:rsidRPr="00952B34" w:rsidR="0075587D">
        <w:rPr>
          <w:rFonts w:ascii="Book Antiqua" w:hAnsi="Book Antiqua"/>
        </w:rPr>
        <w:t xml:space="preserve"> </w:t>
      </w:r>
      <w:r w:rsidRPr="00952B34" w:rsidR="007B27A5">
        <w:rPr>
          <w:rFonts w:ascii="Book Antiqua" w:hAnsi="Book Antiqua"/>
        </w:rPr>
        <w:t xml:space="preserve">evidence to conclude that Complainants were denied notice of their right to file a complaint.  </w:t>
      </w:r>
      <w:r w:rsidRPr="00952B34">
        <w:rPr>
          <w:rFonts w:ascii="Book Antiqua" w:hAnsi="Book Antiqua"/>
        </w:rPr>
        <w:t>Moreover, since</w:t>
      </w:r>
      <w:r w:rsidRPr="00952B34" w:rsidR="0075587D">
        <w:rPr>
          <w:rFonts w:ascii="Book Antiqua" w:hAnsi="Book Antiqua"/>
        </w:rPr>
        <w:t xml:space="preserve"> Leisure Lake ME </w:t>
      </w:r>
      <w:r w:rsidRPr="00952B34">
        <w:rPr>
          <w:rFonts w:ascii="Book Antiqua" w:hAnsi="Book Antiqua"/>
        </w:rPr>
        <w:t xml:space="preserve">water rates are </w:t>
      </w:r>
      <w:r w:rsidRPr="00952B34" w:rsidR="0075587D">
        <w:rPr>
          <w:rFonts w:ascii="Book Antiqua" w:hAnsi="Book Antiqua"/>
        </w:rPr>
        <w:t xml:space="preserve">found </w:t>
      </w:r>
      <w:r w:rsidRPr="00952B34">
        <w:rPr>
          <w:rFonts w:ascii="Book Antiqua" w:hAnsi="Book Antiqua"/>
        </w:rPr>
        <w:t xml:space="preserve">just and reasonable, there is no evidence that Complainants suffered harm as a result of not filing a complaint sooner.  </w:t>
      </w:r>
      <w:r w:rsidRPr="00952B34" w:rsidR="007B27A5">
        <w:rPr>
          <w:rFonts w:ascii="Book Antiqua" w:hAnsi="Book Antiqua"/>
        </w:rPr>
        <w:t xml:space="preserve">Accordingly, </w:t>
      </w:r>
      <w:r w:rsidRPr="00952B34" w:rsidR="00EA3E73">
        <w:rPr>
          <w:rFonts w:ascii="Book Antiqua" w:hAnsi="Book Antiqua"/>
        </w:rPr>
        <w:t>the decision</w:t>
      </w:r>
      <w:r w:rsidRPr="00952B34" w:rsidR="007B27A5">
        <w:rPr>
          <w:rFonts w:ascii="Book Antiqua" w:hAnsi="Book Antiqua"/>
        </w:rPr>
        <w:t xml:space="preserve"> decline</w:t>
      </w:r>
      <w:r w:rsidRPr="00952B34" w:rsidR="00EA3E73">
        <w:rPr>
          <w:rFonts w:ascii="Book Antiqua" w:hAnsi="Book Antiqua"/>
        </w:rPr>
        <w:t>s</w:t>
      </w:r>
      <w:r w:rsidRPr="00952B34" w:rsidR="007B27A5">
        <w:rPr>
          <w:rFonts w:ascii="Book Antiqua" w:hAnsi="Book Antiqua"/>
        </w:rPr>
        <w:t xml:space="preserve"> to impose penalties based on this claim. </w:t>
      </w:r>
    </w:p>
    <w:p w:rsidRPr="00EC4C04" w:rsidR="00D5296C" w:rsidP="00D53A5B" w:rsidRDefault="00D5296C" w14:paraId="3CBC47F5" w14:textId="74256178">
      <w:pPr>
        <w:pStyle w:val="Heading1"/>
        <w:numPr>
          <w:ilvl w:val="0"/>
          <w:numId w:val="17"/>
        </w:numPr>
        <w:ind w:left="360"/>
        <w:rPr>
          <w:rFonts w:ascii="Arial" w:hAnsi="Arial"/>
        </w:rPr>
      </w:pPr>
      <w:bookmarkStart w:name="_Toc43914770" w:id="35"/>
      <w:r w:rsidRPr="00EC4C04">
        <w:rPr>
          <w:rFonts w:ascii="Arial" w:hAnsi="Arial"/>
        </w:rPr>
        <w:lastRenderedPageBreak/>
        <w:t>Safety Issues</w:t>
      </w:r>
      <w:bookmarkEnd w:id="35"/>
      <w:r w:rsidRPr="00EC4C04">
        <w:rPr>
          <w:rFonts w:ascii="Arial" w:hAnsi="Arial"/>
        </w:rPr>
        <w:t xml:space="preserve"> </w:t>
      </w:r>
    </w:p>
    <w:p w:rsidRPr="00952B34" w:rsidR="005E2F97" w:rsidP="007B27A5" w:rsidRDefault="00D5296C" w14:paraId="46C6C1F1" w14:textId="77777777">
      <w:pPr>
        <w:pStyle w:val="standard"/>
        <w:rPr>
          <w:rFonts w:ascii="Book Antiqua" w:hAnsi="Book Antiqua"/>
        </w:rPr>
      </w:pPr>
      <w:r w:rsidRPr="00952B34">
        <w:rPr>
          <w:rFonts w:ascii="Book Antiqua" w:hAnsi="Book Antiqua"/>
        </w:rPr>
        <w:t>Another issue identified in the Scoping Memo is whether there are safety issues that need to be addressed as a result of this proceeding pursuant to</w:t>
      </w:r>
      <w:r w:rsidRPr="00952B34" w:rsidR="005E2F97">
        <w:rPr>
          <w:rFonts w:ascii="Book Antiqua" w:hAnsi="Book Antiqua"/>
        </w:rPr>
        <w:t xml:space="preserve"> </w:t>
      </w:r>
      <w:r w:rsidRPr="00952B34">
        <w:rPr>
          <w:rFonts w:ascii="Book Antiqua" w:hAnsi="Book Antiqua"/>
        </w:rPr>
        <w:t>§ 451.</w:t>
      </w:r>
      <w:r w:rsidRPr="00952B34" w:rsidR="007B27A5">
        <w:rPr>
          <w:rFonts w:ascii="Book Antiqua" w:hAnsi="Book Antiqua"/>
        </w:rPr>
        <w:t xml:space="preserve"> </w:t>
      </w:r>
      <w:r w:rsidRPr="00952B34" w:rsidR="001C5562">
        <w:rPr>
          <w:rFonts w:ascii="Book Antiqua" w:hAnsi="Book Antiqua"/>
        </w:rPr>
        <w:t xml:space="preserve"> </w:t>
      </w:r>
    </w:p>
    <w:p w:rsidRPr="00952B34" w:rsidR="007B27A5" w:rsidP="005E2F97" w:rsidRDefault="001C5562" w14:paraId="0C7CCB63" w14:textId="62677A82">
      <w:pPr>
        <w:pStyle w:val="standard"/>
        <w:rPr>
          <w:rFonts w:ascii="Book Antiqua" w:hAnsi="Book Antiqua"/>
        </w:rPr>
      </w:pPr>
      <w:r w:rsidRPr="00952B34">
        <w:rPr>
          <w:rFonts w:ascii="Book Antiqua" w:hAnsi="Book Antiqua"/>
        </w:rPr>
        <w:t xml:space="preserve">The WD Report described Leisure Lake ME water distribution system as follows. </w:t>
      </w:r>
      <w:r w:rsidR="00D53A5B">
        <w:rPr>
          <w:rFonts w:ascii="Book Antiqua" w:hAnsi="Book Antiqua"/>
        </w:rPr>
        <w:t xml:space="preserve"> </w:t>
      </w:r>
      <w:r w:rsidRPr="00952B34">
        <w:rPr>
          <w:rFonts w:ascii="Book Antiqua" w:hAnsi="Book Antiqua"/>
        </w:rPr>
        <w:t xml:space="preserve">The </w:t>
      </w:r>
      <w:r w:rsidRPr="00952B34" w:rsidR="007B27A5">
        <w:rPr>
          <w:rFonts w:ascii="Book Antiqua" w:hAnsi="Book Antiqua"/>
        </w:rPr>
        <w:t>water distribution system consists of two water wells (Well #1 and</w:t>
      </w:r>
      <w:r w:rsidR="00D53A5B">
        <w:rPr>
          <w:rFonts w:ascii="Book Antiqua" w:hAnsi="Book Antiqua"/>
        </w:rPr>
        <w:t> </w:t>
      </w:r>
      <w:r w:rsidRPr="00952B34" w:rsidR="007B27A5">
        <w:rPr>
          <w:rFonts w:ascii="Book Antiqua" w:hAnsi="Book Antiqua"/>
        </w:rPr>
        <w:t>#2), a 108,000-gallon steel storage tank, and a hydro-pneumatic tank, and two pump stations.</w:t>
      </w:r>
      <w:r w:rsidRPr="00952B34" w:rsidR="007B27A5">
        <w:rPr>
          <w:rFonts w:ascii="Book Antiqua" w:hAnsi="Book Antiqua"/>
          <w:vertAlign w:val="superscript"/>
        </w:rPr>
        <w:footnoteReference w:id="22"/>
      </w:r>
      <w:r w:rsidRPr="00952B34" w:rsidR="007B27A5">
        <w:rPr>
          <w:rFonts w:ascii="Book Antiqua" w:hAnsi="Book Antiqua"/>
        </w:rPr>
        <w:t xml:space="preserve">  Well #1 is the main source of water supply with an estimated capacity of 175 gallons per minute.  Well #2 has been off-line due high levels of arsenic that exceed the allowable maximum contaminant levels for potable water use.  In 2018, Leisure Lake ME completed installation of an arsenic treatment facility.</w:t>
      </w:r>
      <w:r w:rsidRPr="00952B34" w:rsidR="007B27A5">
        <w:rPr>
          <w:rFonts w:ascii="Book Antiqua" w:hAnsi="Book Antiqua"/>
          <w:vertAlign w:val="superscript"/>
        </w:rPr>
        <w:footnoteReference w:id="23"/>
      </w:r>
      <w:r w:rsidRPr="00952B34" w:rsidR="007B27A5">
        <w:rPr>
          <w:rFonts w:ascii="Book Antiqua" w:hAnsi="Book Antiqua"/>
        </w:rPr>
        <w:t xml:space="preserve">  Approval of the permit amendment authorizing use of this well is pending before the State Water Resources Control Board.  Once the permit amendment is approved, Well #2 will return on-line for use as a secondary supply source for the water distribution system.</w:t>
      </w:r>
    </w:p>
    <w:p w:rsidRPr="00952B34" w:rsidR="00B30FF9" w:rsidP="0095082C" w:rsidRDefault="001C5562" w14:paraId="0D843589" w14:textId="6DC32416">
      <w:pPr>
        <w:pStyle w:val="standard"/>
        <w:rPr>
          <w:rFonts w:ascii="Book Antiqua" w:hAnsi="Book Antiqua"/>
        </w:rPr>
      </w:pPr>
      <w:bookmarkStart w:name="_Hlk32412618" w:id="36"/>
      <w:r w:rsidRPr="00952B34">
        <w:rPr>
          <w:rFonts w:ascii="Book Antiqua" w:hAnsi="Book Antiqua"/>
        </w:rPr>
        <w:t xml:space="preserve">Based on the </w:t>
      </w:r>
      <w:r w:rsidRPr="00952B34" w:rsidR="005E2F97">
        <w:rPr>
          <w:rFonts w:ascii="Book Antiqua" w:hAnsi="Book Antiqua"/>
        </w:rPr>
        <w:t xml:space="preserve">information provided in the </w:t>
      </w:r>
      <w:r w:rsidRPr="00952B34">
        <w:rPr>
          <w:rFonts w:ascii="Book Antiqua" w:hAnsi="Book Antiqua"/>
        </w:rPr>
        <w:t xml:space="preserve">WD Report, </w:t>
      </w:r>
      <w:r w:rsidRPr="00952B34" w:rsidR="00EA3E73">
        <w:rPr>
          <w:rFonts w:ascii="Book Antiqua" w:hAnsi="Book Antiqua"/>
        </w:rPr>
        <w:t xml:space="preserve">this decision </w:t>
      </w:r>
      <w:r w:rsidRPr="00952B34">
        <w:rPr>
          <w:rFonts w:ascii="Book Antiqua" w:hAnsi="Book Antiqua"/>
        </w:rPr>
        <w:t>conclude</w:t>
      </w:r>
      <w:r w:rsidRPr="00952B34" w:rsidR="00EA3E73">
        <w:rPr>
          <w:rFonts w:ascii="Book Antiqua" w:hAnsi="Book Antiqua"/>
        </w:rPr>
        <w:t>s</w:t>
      </w:r>
      <w:r w:rsidRPr="00952B34">
        <w:rPr>
          <w:rFonts w:ascii="Book Antiqua" w:hAnsi="Book Antiqua"/>
        </w:rPr>
        <w:t xml:space="preserve"> that there are no safety-related issues </w:t>
      </w:r>
      <w:r w:rsidRPr="00952B34" w:rsidR="0075587D">
        <w:rPr>
          <w:rFonts w:ascii="Book Antiqua" w:hAnsi="Book Antiqua"/>
        </w:rPr>
        <w:t xml:space="preserve">identified in this proceeding </w:t>
      </w:r>
      <w:r w:rsidRPr="00952B34">
        <w:rPr>
          <w:rFonts w:ascii="Book Antiqua" w:hAnsi="Book Antiqua"/>
        </w:rPr>
        <w:t xml:space="preserve">that need to be addressed. </w:t>
      </w:r>
    </w:p>
    <w:p w:rsidRPr="00EC4C04" w:rsidR="009135DE" w:rsidP="00D53A5B" w:rsidRDefault="00654618" w14:paraId="3C5B5197" w14:textId="057942E2">
      <w:pPr>
        <w:pStyle w:val="Heading1"/>
        <w:numPr>
          <w:ilvl w:val="0"/>
          <w:numId w:val="17"/>
        </w:numPr>
        <w:spacing w:before="0"/>
        <w:ind w:left="360"/>
        <w:rPr>
          <w:rFonts w:ascii="Arial" w:hAnsi="Arial"/>
        </w:rPr>
      </w:pPr>
      <w:bookmarkStart w:name="_Toc43914771" w:id="37"/>
      <w:bookmarkEnd w:id="36"/>
      <w:r>
        <w:rPr>
          <w:rFonts w:ascii="Arial" w:hAnsi="Arial"/>
        </w:rPr>
        <w:t>Comments</w:t>
      </w:r>
      <w:bookmarkEnd w:id="37"/>
    </w:p>
    <w:p w:rsidR="00630545" w:rsidP="00B27B59" w:rsidRDefault="00B27B59" w14:paraId="0E1B8AF9" w14:textId="77777777">
      <w:pPr>
        <w:pStyle w:val="Standard0"/>
      </w:pPr>
      <w:bookmarkStart w:name="_Hlk19607909" w:id="38"/>
      <w:bookmarkStart w:name="_Toc43914772" w:id="39"/>
      <w:r>
        <w:t xml:space="preserve">The proposed decision of ALJ Kelly in this matter was mailed to the parties in accordance with Section 311 of the Public Utilities Code and comments were </w:t>
      </w:r>
      <w:r w:rsidRPr="00B27B59">
        <w:t>allowed</w:t>
      </w:r>
      <w:r>
        <w:t xml:space="preserve"> under Rule 14.3 of the Commission’s Rules of Practice and Procedure.  </w:t>
      </w:r>
    </w:p>
    <w:p w:rsidRPr="007D6982" w:rsidR="00630545" w:rsidP="00630545" w:rsidRDefault="00630545" w14:paraId="51AF3478" w14:textId="77777777">
      <w:pPr>
        <w:spacing w:line="360" w:lineRule="auto"/>
        <w:ind w:firstLine="720"/>
        <w:rPr>
          <w:rFonts w:ascii="Book Antiqua" w:hAnsi="Book Antiqua"/>
        </w:rPr>
      </w:pPr>
      <w:r w:rsidRPr="007D6982">
        <w:rPr>
          <w:rFonts w:ascii="Book Antiqua" w:hAnsi="Book Antiqua"/>
        </w:rPr>
        <w:t xml:space="preserve">On July 20, 2020, Complainants filed opening comments on the proposed decision.  The comments </w:t>
      </w:r>
      <w:r>
        <w:rPr>
          <w:rFonts w:ascii="Book Antiqua" w:hAnsi="Book Antiqua"/>
        </w:rPr>
        <w:t>state</w:t>
      </w:r>
      <w:r w:rsidRPr="007D6982">
        <w:rPr>
          <w:rFonts w:ascii="Book Antiqua" w:hAnsi="Book Antiqua"/>
        </w:rPr>
        <w:t xml:space="preserve"> that the Commission </w:t>
      </w:r>
      <w:r>
        <w:rPr>
          <w:rFonts w:ascii="Book Antiqua" w:hAnsi="Book Antiqua"/>
        </w:rPr>
        <w:t xml:space="preserve">should </w:t>
      </w:r>
      <w:r w:rsidRPr="007D6982">
        <w:rPr>
          <w:rFonts w:ascii="Book Antiqua" w:hAnsi="Book Antiqua"/>
        </w:rPr>
        <w:t xml:space="preserve">put on hold or reject </w:t>
      </w:r>
      <w:r w:rsidRPr="007D6982">
        <w:rPr>
          <w:rFonts w:ascii="Book Antiqua" w:hAnsi="Book Antiqua"/>
        </w:rPr>
        <w:lastRenderedPageBreak/>
        <w:t xml:space="preserve">the proposed decision and reinstate the proceeding as adjudicatory, order additional evidence and hearings to eliminate any appearance that the Complainants were not afforded due process in this proceeding.  Additionally, the opening comments state that the Commission should acknowledge that just because a rate is just does not mean that it is reasonable.  The opening comments proceed to again raise the issue that the Defendant did not provide the proper notice as required by AB-1830.  </w:t>
      </w:r>
      <w:r>
        <w:rPr>
          <w:rFonts w:ascii="Book Antiqua" w:hAnsi="Book Antiqua"/>
        </w:rPr>
        <w:t xml:space="preserve">Although the complainants argue that the decision should be changed, they </w:t>
      </w:r>
      <w:r w:rsidRPr="007D6982">
        <w:rPr>
          <w:rFonts w:ascii="Book Antiqua" w:hAnsi="Book Antiqua"/>
        </w:rPr>
        <w:t xml:space="preserve">acknowledge </w:t>
      </w:r>
      <w:r>
        <w:rPr>
          <w:rFonts w:ascii="Book Antiqua" w:hAnsi="Book Antiqua"/>
        </w:rPr>
        <w:t xml:space="preserve">in their Opening Comments </w:t>
      </w:r>
      <w:r w:rsidRPr="007D6982">
        <w:rPr>
          <w:rFonts w:ascii="Book Antiqua" w:hAnsi="Book Antiqua"/>
        </w:rPr>
        <w:t>that the proposed decision is based on the record</w:t>
      </w:r>
      <w:r>
        <w:rPr>
          <w:rFonts w:ascii="Book Antiqua" w:hAnsi="Book Antiqua"/>
        </w:rPr>
        <w:t xml:space="preserve">.  Although acknowledging that the decision is based on the record, they assert that </w:t>
      </w:r>
      <w:r w:rsidRPr="007D6982">
        <w:rPr>
          <w:rFonts w:ascii="Book Antiqua" w:hAnsi="Book Antiqua"/>
        </w:rPr>
        <w:t>it is too lenient or generous to the Defendant.</w:t>
      </w:r>
    </w:p>
    <w:p w:rsidR="00630545" w:rsidP="00630545" w:rsidRDefault="00630545" w14:paraId="497CBA68" w14:textId="4BA2B236">
      <w:pPr>
        <w:spacing w:line="360" w:lineRule="auto"/>
        <w:ind w:firstLine="720"/>
        <w:rPr>
          <w:rFonts w:ascii="Book Antiqua" w:hAnsi="Book Antiqua"/>
        </w:rPr>
      </w:pPr>
      <w:r w:rsidRPr="007D6982">
        <w:rPr>
          <w:rFonts w:ascii="Book Antiqua" w:hAnsi="Book Antiqua"/>
        </w:rPr>
        <w:t>As it relates to the issue of alleged due process violations, the Complainants assert that they were not given the opportunity to be heard, present witnesses, or evidence.  They also reassert the allegation that they were unfairly denied the opportunity to file a written response to the Defendant’s Answer.  They go on to assert that had they been given the opportunity to submit a reply to the Defendant’s Answer and allowed to present dozens of witnesses the result of the proposed decision would have been different.  Furthermore, they assert that they were not provided with the data that was used by the Commission’s Water Division in the Rate Analysis Report.</w:t>
      </w:r>
    </w:p>
    <w:p w:rsidR="00A8678B" w:rsidP="00A8678B" w:rsidRDefault="00A8678B" w14:paraId="06912EA3" w14:textId="77777777">
      <w:pPr>
        <w:spacing w:line="360" w:lineRule="auto"/>
        <w:ind w:firstLine="720"/>
        <w:rPr>
          <w:rFonts w:ascii="Book Antiqua" w:hAnsi="Book Antiqua"/>
        </w:rPr>
      </w:pPr>
      <w:r>
        <w:rPr>
          <w:rFonts w:ascii="Book Antiqua" w:hAnsi="Book Antiqua"/>
        </w:rPr>
        <w:t>Reply comments were filed by the Defendant on July 24, 2020.  The reply comments contend that the Complainant’s allegations of not being able to be heard or present witnesses or evidence in this matter are false and they state that there was no due process violation</w:t>
      </w:r>
      <w:r>
        <w:rPr>
          <w:rStyle w:val="FootnoteReference"/>
          <w:rFonts w:ascii="Book Antiqua" w:hAnsi="Book Antiqua"/>
        </w:rPr>
        <w:footnoteReference w:id="24"/>
      </w:r>
      <w:r>
        <w:rPr>
          <w:rFonts w:ascii="Book Antiqua" w:hAnsi="Book Antiqua"/>
        </w:rPr>
        <w:t xml:space="preserve">.  The reply comments go on to state that all </w:t>
      </w:r>
      <w:r>
        <w:rPr>
          <w:rFonts w:ascii="Book Antiqua" w:hAnsi="Book Antiqua"/>
        </w:rPr>
        <w:lastRenderedPageBreak/>
        <w:t xml:space="preserve">of Complainant’s issues, including the issue of penalties were considered in the process and the proposed decision appropriately addresses all the issues presented.  Defendant believes that the Complainants are simply unhappy with the decision and they simply want a “do-over.”  Defendant’s reply comments note that the proceeding afforded the Complainants due process and the decision was properly based on the evidence. </w:t>
      </w:r>
    </w:p>
    <w:p w:rsidRPr="007D6982" w:rsidR="00630545" w:rsidP="00A8678B" w:rsidRDefault="00630545" w14:paraId="51080750" w14:textId="1A9FFBF2">
      <w:pPr>
        <w:spacing w:line="360" w:lineRule="auto"/>
        <w:ind w:firstLine="720"/>
        <w:rPr>
          <w:rFonts w:ascii="Book Antiqua" w:hAnsi="Book Antiqua"/>
        </w:rPr>
      </w:pPr>
      <w:r w:rsidRPr="007D6982">
        <w:rPr>
          <w:rFonts w:ascii="Book Antiqua" w:hAnsi="Book Antiqua"/>
        </w:rPr>
        <w:t xml:space="preserve">Here, the Complainants filed a Complaint and the Defendant is required to file an Answer.  Nothing in the Commission’s Rules provide the Complainants with a right to file written comments on the Defendant’s Answer.  It is up to the discretion of the ALJ whether to allow Complainants the opportunity to file a written response to Defendant’s Answer.  The ALJ correctly used his discretion to </w:t>
      </w:r>
      <w:r>
        <w:rPr>
          <w:rFonts w:ascii="Book Antiqua" w:hAnsi="Book Antiqua"/>
        </w:rPr>
        <w:t xml:space="preserve">deny </w:t>
      </w:r>
      <w:r w:rsidRPr="007D6982">
        <w:rPr>
          <w:rFonts w:ascii="Book Antiqua" w:hAnsi="Book Antiqua"/>
        </w:rPr>
        <w:t xml:space="preserve">the Complainant’s </w:t>
      </w:r>
      <w:r>
        <w:rPr>
          <w:rFonts w:ascii="Book Antiqua" w:hAnsi="Book Antiqua"/>
        </w:rPr>
        <w:t xml:space="preserve">request </w:t>
      </w:r>
      <w:r w:rsidRPr="007D6982">
        <w:rPr>
          <w:rFonts w:ascii="Book Antiqua" w:hAnsi="Book Antiqua"/>
        </w:rPr>
        <w:t>to file a written response to the Defendant’s Answer.</w:t>
      </w:r>
    </w:p>
    <w:p w:rsidRPr="007D6982" w:rsidR="00630545" w:rsidP="00630545" w:rsidRDefault="00630545" w14:paraId="3C0D789B" w14:textId="4C174F53">
      <w:pPr>
        <w:spacing w:line="360" w:lineRule="auto"/>
        <w:ind w:firstLine="720"/>
        <w:rPr>
          <w:rFonts w:ascii="Book Antiqua" w:hAnsi="Book Antiqua"/>
        </w:rPr>
      </w:pPr>
      <w:r w:rsidRPr="007D6982">
        <w:rPr>
          <w:rFonts w:ascii="Book Antiqua" w:hAnsi="Book Antiqua"/>
        </w:rPr>
        <w:t xml:space="preserve">A review of the Commission’s Docket for this proceeding reveals that the Complainants were provided with the data that was used by the Commission’s Water Division when it performed </w:t>
      </w:r>
      <w:r>
        <w:rPr>
          <w:rFonts w:ascii="Book Antiqua" w:hAnsi="Book Antiqua"/>
        </w:rPr>
        <w:t>the</w:t>
      </w:r>
      <w:r w:rsidRPr="007D6982">
        <w:rPr>
          <w:rFonts w:ascii="Book Antiqua" w:hAnsi="Book Antiqua"/>
        </w:rPr>
        <w:t xml:space="preserve"> rate analysis in this proceeding.  On August 26, 2019, the ALJ issued an email ruling to the Defendant requiring the submission of various data.  On September 25, 2019, the Defendant filed the information requested in the ALJ’s August 26, 2019 email ruling.  In addition to filing this information with the Commission’s Docket Office this information was also served on the Service List for this proceeding.  On October 2, 2019, the Complainants filed comments on the data</w:t>
      </w:r>
      <w:r>
        <w:rPr>
          <w:rFonts w:ascii="Book Antiqua" w:hAnsi="Book Antiqua"/>
        </w:rPr>
        <w:t xml:space="preserve"> </w:t>
      </w:r>
      <w:r w:rsidRPr="007D6982">
        <w:rPr>
          <w:rFonts w:ascii="Book Antiqua" w:hAnsi="Book Antiqua"/>
        </w:rPr>
        <w:t>submitted by the Defendant</w:t>
      </w:r>
      <w:r>
        <w:rPr>
          <w:rFonts w:ascii="Book Antiqua" w:hAnsi="Book Antiqua"/>
        </w:rPr>
        <w:t>, which establishes that they received the data</w:t>
      </w:r>
      <w:r w:rsidRPr="007D6982">
        <w:rPr>
          <w:rFonts w:ascii="Book Antiqua" w:hAnsi="Book Antiqua"/>
        </w:rPr>
        <w:t xml:space="preserve">.  On December 12, 2019, the ALJ filed a ruling admitting the Water Division’s Rate Analysis Report into the official record for this proceeding.  The ruling presented the parties with the opportunity to file Opening and Reply Briefs on the Rate Analysis Report.  Additionally, the Water Division’s Report contained various links and described what data was </w:t>
      </w:r>
      <w:r w:rsidRPr="007D6982">
        <w:rPr>
          <w:rFonts w:ascii="Book Antiqua" w:hAnsi="Book Antiqua"/>
        </w:rPr>
        <w:lastRenderedPageBreak/>
        <w:t xml:space="preserve">used in making its determination. The Complainants filed their Opening Brief on December 31, 2019.  </w:t>
      </w:r>
    </w:p>
    <w:p w:rsidRPr="007D6982" w:rsidR="00630545" w:rsidP="00630545" w:rsidRDefault="00630545" w14:paraId="6BD8A567" w14:textId="6037EB23">
      <w:pPr>
        <w:spacing w:line="360" w:lineRule="auto"/>
        <w:ind w:firstLine="720"/>
        <w:rPr>
          <w:rFonts w:ascii="Book Antiqua" w:hAnsi="Book Antiqua"/>
        </w:rPr>
      </w:pPr>
      <w:r w:rsidRPr="007D6982">
        <w:rPr>
          <w:rFonts w:ascii="Book Antiqua" w:hAnsi="Book Antiqua"/>
        </w:rPr>
        <w:t xml:space="preserve">The Complainants also assert that they were misled into believing that there would be evidentiary hearings in this proceeding and that if they were granted the opportunity to present their numerous witnesses, the result in this proceeding would be different.  The Scoping Memo in this proceeding was issued on September 26, 2019 and it stated that hearings were not necessary in this matter.  Additionally, the Scoping Memo noted that following the issuance of the Water Division’s Rate Analysis Report the Complainants and Defendant could file Opening and Reply Briefs and that following the submission of said briefs a Proposed Decision would be issued.  </w:t>
      </w:r>
      <w:r>
        <w:rPr>
          <w:rFonts w:ascii="Book Antiqua" w:hAnsi="Book Antiqua"/>
        </w:rPr>
        <w:t xml:space="preserve">The Scoping Memo clearly indicated that there would be no evidentiary hearings in this matter.  </w:t>
      </w:r>
      <w:r w:rsidRPr="007D6982">
        <w:rPr>
          <w:rFonts w:ascii="Book Antiqua" w:hAnsi="Book Antiqua"/>
        </w:rPr>
        <w:t>As set forth above, the Complainants and Defendant were provided several opportunities to present evidence in this proceeding.</w:t>
      </w:r>
      <w:r w:rsidR="00DB399D">
        <w:rPr>
          <w:rFonts w:ascii="Book Antiqua" w:hAnsi="Book Antiqua"/>
        </w:rPr>
        <w:t xml:space="preserve">  </w:t>
      </w:r>
      <w:r w:rsidRPr="007D6982">
        <w:rPr>
          <w:rFonts w:ascii="Book Antiqua" w:hAnsi="Book Antiqua"/>
        </w:rPr>
        <w:t>The decision in this matter was based upon the evidence presented by the parties and the Water Division’s Rate Analysis.</w:t>
      </w:r>
      <w:r>
        <w:rPr>
          <w:rFonts w:ascii="Book Antiqua" w:hAnsi="Book Antiqua"/>
        </w:rPr>
        <w:t xml:space="preserve">  Hearing testimony from lay witnesses would not change the data that was submitted or the Water Division’s Rate Analysis Report.</w:t>
      </w:r>
      <w:r w:rsidRPr="007D6982">
        <w:rPr>
          <w:rFonts w:ascii="Book Antiqua" w:hAnsi="Book Antiqua"/>
        </w:rPr>
        <w:t xml:space="preserve"> </w:t>
      </w:r>
    </w:p>
    <w:p w:rsidR="00DB399D" w:rsidP="00DB399D" w:rsidRDefault="0088303F" w14:paraId="6B722FAD" w14:textId="77777777">
      <w:pPr>
        <w:spacing w:line="360" w:lineRule="auto"/>
        <w:ind w:firstLine="720"/>
        <w:rPr>
          <w:rFonts w:ascii="Book Antiqua" w:hAnsi="Book Antiqua"/>
        </w:rPr>
      </w:pPr>
      <w:r w:rsidRPr="007D6982">
        <w:rPr>
          <w:rFonts w:ascii="Book Antiqua" w:hAnsi="Book Antiqua"/>
        </w:rPr>
        <w:t xml:space="preserve">Although sympathetic to the Complainants in this matter, they failed to provide any factual, legal, or technical errors that would mandate any changes to the proposed decision </w:t>
      </w:r>
      <w:r>
        <w:rPr>
          <w:rFonts w:ascii="Book Antiqua" w:hAnsi="Book Antiqua"/>
        </w:rPr>
        <w:t>as</w:t>
      </w:r>
      <w:r w:rsidRPr="007D6982">
        <w:rPr>
          <w:rFonts w:ascii="Book Antiqua" w:hAnsi="Book Antiqua"/>
        </w:rPr>
        <w:t xml:space="preserve"> they simply reargue their </w:t>
      </w:r>
      <w:r>
        <w:rPr>
          <w:rFonts w:ascii="Book Antiqua" w:hAnsi="Book Antiqua"/>
        </w:rPr>
        <w:t xml:space="preserve">original </w:t>
      </w:r>
      <w:r w:rsidRPr="007D6982">
        <w:rPr>
          <w:rFonts w:ascii="Book Antiqua" w:hAnsi="Book Antiqua"/>
        </w:rPr>
        <w:t>position.  Therefore, we decline to make any changes to the decision.</w:t>
      </w:r>
    </w:p>
    <w:p w:rsidRPr="00A76278" w:rsidR="00B27B59" w:rsidP="00A76278" w:rsidRDefault="00B27B59" w14:paraId="45D5D0D4" w14:textId="432B217B">
      <w:pPr>
        <w:spacing w:line="360" w:lineRule="auto"/>
        <w:ind w:firstLine="720"/>
      </w:pPr>
    </w:p>
    <w:bookmarkEnd w:id="38"/>
    <w:p w:rsidRPr="00EC4C04" w:rsidR="00B30FF9" w:rsidP="00D53A5B" w:rsidRDefault="00B30FF9" w14:paraId="05E17944" w14:textId="77777777">
      <w:pPr>
        <w:pStyle w:val="Heading1"/>
        <w:numPr>
          <w:ilvl w:val="0"/>
          <w:numId w:val="17"/>
        </w:numPr>
        <w:spacing w:before="0"/>
        <w:ind w:left="360"/>
        <w:rPr>
          <w:rFonts w:ascii="Arial" w:hAnsi="Arial"/>
        </w:rPr>
      </w:pPr>
      <w:r w:rsidRPr="00EC4C04">
        <w:rPr>
          <w:rFonts w:ascii="Arial" w:hAnsi="Arial"/>
        </w:rPr>
        <w:t>Assignment of Proceeding</w:t>
      </w:r>
      <w:bookmarkEnd w:id="39"/>
    </w:p>
    <w:p w:rsidRPr="00952B34" w:rsidR="00B30FF9" w:rsidRDefault="00CF7615" w14:paraId="35F5D4AF" w14:textId="72D4A0CB">
      <w:pPr>
        <w:pStyle w:val="standard"/>
        <w:rPr>
          <w:rFonts w:ascii="Book Antiqua" w:hAnsi="Book Antiqua"/>
        </w:rPr>
      </w:pPr>
      <w:r w:rsidRPr="00952B34">
        <w:rPr>
          <w:rFonts w:ascii="Book Antiqua" w:hAnsi="Book Antiqua"/>
        </w:rPr>
        <w:t xml:space="preserve">Genevieve Shiroma </w:t>
      </w:r>
      <w:r w:rsidRPr="00952B34" w:rsidR="00B30FF9">
        <w:rPr>
          <w:rFonts w:ascii="Book Antiqua" w:hAnsi="Book Antiqua"/>
        </w:rPr>
        <w:t xml:space="preserve">is the assigned Commissioner and </w:t>
      </w:r>
      <w:r w:rsidRPr="00952B34">
        <w:rPr>
          <w:rFonts w:ascii="Book Antiqua" w:hAnsi="Book Antiqua"/>
        </w:rPr>
        <w:t xml:space="preserve">Gerald F. Kelly </w:t>
      </w:r>
      <w:r w:rsidRPr="00952B34" w:rsidR="00B30FF9">
        <w:rPr>
          <w:rFonts w:ascii="Book Antiqua" w:hAnsi="Book Antiqua"/>
        </w:rPr>
        <w:t xml:space="preserve">is the assigned Administrative Law Judge </w:t>
      </w:r>
      <w:r w:rsidRPr="00952B34">
        <w:rPr>
          <w:rFonts w:ascii="Book Antiqua" w:hAnsi="Book Antiqua"/>
        </w:rPr>
        <w:t xml:space="preserve">and presiding officer </w:t>
      </w:r>
      <w:r w:rsidRPr="00952B34" w:rsidR="00B30FF9">
        <w:rPr>
          <w:rFonts w:ascii="Book Antiqua" w:hAnsi="Book Antiqua"/>
        </w:rPr>
        <w:t>in this proceeding.</w:t>
      </w:r>
    </w:p>
    <w:p w:rsidRPr="00EC4C04" w:rsidR="00B30FF9" w:rsidP="00C147F4" w:rsidRDefault="00B30FF9" w14:paraId="32ED1325" w14:textId="77777777">
      <w:pPr>
        <w:pStyle w:val="Heading1"/>
        <w:numPr>
          <w:ilvl w:val="0"/>
          <w:numId w:val="0"/>
        </w:numPr>
        <w:rPr>
          <w:rFonts w:ascii="Arial" w:hAnsi="Arial"/>
        </w:rPr>
      </w:pPr>
      <w:bookmarkStart w:name="_Toc450990219" w:id="40"/>
      <w:bookmarkStart w:name="_Toc451151266" w:id="41"/>
      <w:bookmarkStart w:name="_Toc43914773" w:id="42"/>
      <w:r w:rsidRPr="00EC4C04">
        <w:rPr>
          <w:rFonts w:ascii="Arial" w:hAnsi="Arial"/>
        </w:rPr>
        <w:lastRenderedPageBreak/>
        <w:t>Findings of Fact</w:t>
      </w:r>
      <w:bookmarkEnd w:id="40"/>
      <w:bookmarkEnd w:id="41"/>
      <w:bookmarkEnd w:id="42"/>
    </w:p>
    <w:p w:rsidRPr="00952B34" w:rsidR="00F16707" w:rsidP="00D53A5B" w:rsidRDefault="00F16707" w14:paraId="7CCDE57A" w14:textId="6DA309C4">
      <w:pPr>
        <w:pStyle w:val="num1"/>
        <w:numPr>
          <w:ilvl w:val="0"/>
          <w:numId w:val="15"/>
        </w:numPr>
        <w:rPr>
          <w:rFonts w:ascii="Book Antiqua" w:hAnsi="Book Antiqua"/>
        </w:rPr>
      </w:pPr>
      <w:r w:rsidRPr="00952B34">
        <w:rPr>
          <w:rFonts w:ascii="Book Antiqua" w:hAnsi="Book Antiqua"/>
        </w:rPr>
        <w:t>Clan Keith Real Estate Investments, LLC doing business as Leisure Lake Mobile Estates is a mobile home park that serves 211 water service connections in the mobile home park from its water distribution system.</w:t>
      </w:r>
    </w:p>
    <w:p w:rsidRPr="00952B34" w:rsidR="00F16707" w:rsidP="00D53A5B" w:rsidRDefault="00F16707" w14:paraId="4A2DA3DE" w14:textId="210151D4">
      <w:pPr>
        <w:pStyle w:val="num1"/>
        <w:numPr>
          <w:ilvl w:val="0"/>
          <w:numId w:val="15"/>
        </w:numPr>
        <w:rPr>
          <w:rFonts w:ascii="Book Antiqua" w:hAnsi="Book Antiqua"/>
        </w:rPr>
      </w:pPr>
      <w:r w:rsidRPr="00952B34">
        <w:rPr>
          <w:rFonts w:ascii="Book Antiqua" w:hAnsi="Book Antiqua"/>
        </w:rPr>
        <w:t>A group of about 10</w:t>
      </w:r>
      <w:r w:rsidR="00D53A5B">
        <w:rPr>
          <w:rFonts w:ascii="Book Antiqua" w:hAnsi="Book Antiqua"/>
        </w:rPr>
        <w:t xml:space="preserve"> percent</w:t>
      </w:r>
      <w:r w:rsidRPr="00952B34">
        <w:rPr>
          <w:rFonts w:ascii="Book Antiqua" w:hAnsi="Book Antiqua"/>
        </w:rPr>
        <w:t xml:space="preserve"> of the tenant residents of the Leisure Lakes Homeowners Association who are served by Leisure Lake Mobile Estates, filed C</w:t>
      </w:r>
      <w:r w:rsidR="00D53A5B">
        <w:rPr>
          <w:rFonts w:ascii="Book Antiqua" w:hAnsi="Book Antiqua"/>
        </w:rPr>
        <w:t>.</w:t>
      </w:r>
      <w:r w:rsidRPr="00952B34">
        <w:rPr>
          <w:rFonts w:ascii="Book Antiqua" w:hAnsi="Book Antiqua"/>
        </w:rPr>
        <w:t xml:space="preserve">19-05-044.  </w:t>
      </w:r>
    </w:p>
    <w:p w:rsidRPr="00952B34" w:rsidR="00C43F8E" w:rsidP="00D53A5B" w:rsidRDefault="00C43F8E" w14:paraId="43C90231" w14:textId="0577D3B9">
      <w:pPr>
        <w:pStyle w:val="num1"/>
        <w:numPr>
          <w:ilvl w:val="0"/>
          <w:numId w:val="15"/>
        </w:numPr>
        <w:rPr>
          <w:rFonts w:ascii="Book Antiqua" w:hAnsi="Book Antiqua"/>
        </w:rPr>
      </w:pPr>
      <w:r w:rsidRPr="00952B34">
        <w:rPr>
          <w:rFonts w:ascii="Book Antiqua" w:hAnsi="Book Antiqua"/>
        </w:rPr>
        <w:t xml:space="preserve">The </w:t>
      </w:r>
      <w:r w:rsidRPr="00952B34" w:rsidR="009564AB">
        <w:rPr>
          <w:rFonts w:ascii="Book Antiqua" w:hAnsi="Book Antiqua"/>
        </w:rPr>
        <w:t xml:space="preserve">Commission’s </w:t>
      </w:r>
      <w:r w:rsidRPr="00952B34">
        <w:rPr>
          <w:rFonts w:ascii="Book Antiqua" w:hAnsi="Book Antiqua"/>
        </w:rPr>
        <w:t xml:space="preserve">Water Division (WD) conducted an independent analysis of the water service rates charge by Leisure Lake to 211 service connections by using the cost-of-service ratemaking methodology and criteria for Class D Commission regulated water utilities following the guidelines provided in the WD’s Standard Practice </w:t>
      </w:r>
      <w:r w:rsidRPr="00952B34" w:rsidR="009B705D">
        <w:rPr>
          <w:rFonts w:ascii="Book Antiqua" w:hAnsi="Book Antiqua"/>
        </w:rPr>
        <w:t>documents</w:t>
      </w:r>
      <w:r w:rsidRPr="00952B34">
        <w:rPr>
          <w:rFonts w:ascii="Book Antiqua" w:hAnsi="Book Antiqua"/>
        </w:rPr>
        <w:t>.</w:t>
      </w:r>
    </w:p>
    <w:p w:rsidRPr="00952B34" w:rsidR="00F6029A" w:rsidP="00D53A5B" w:rsidRDefault="00F6029A" w14:paraId="6520276E" w14:textId="300CDC0A">
      <w:pPr>
        <w:pStyle w:val="num1"/>
        <w:numPr>
          <w:ilvl w:val="0"/>
          <w:numId w:val="15"/>
        </w:numPr>
        <w:rPr>
          <w:rFonts w:ascii="Book Antiqua" w:hAnsi="Book Antiqua"/>
        </w:rPr>
      </w:pPr>
      <w:r w:rsidRPr="00952B34">
        <w:rPr>
          <w:rFonts w:ascii="Book Antiqua" w:hAnsi="Book Antiqua"/>
        </w:rPr>
        <w:t xml:space="preserve">The </w:t>
      </w:r>
      <w:r w:rsidRPr="00952B34" w:rsidR="00EA3E8A">
        <w:rPr>
          <w:rFonts w:ascii="Book Antiqua" w:hAnsi="Book Antiqua"/>
        </w:rPr>
        <w:t xml:space="preserve">Water Division </w:t>
      </w:r>
      <w:r w:rsidRPr="00952B34">
        <w:rPr>
          <w:rFonts w:ascii="Book Antiqua" w:hAnsi="Book Antiqua"/>
        </w:rPr>
        <w:t>Report</w:t>
      </w:r>
      <w:r w:rsidRPr="00952B34" w:rsidR="00BE2A2C">
        <w:rPr>
          <w:rFonts w:ascii="Book Antiqua" w:hAnsi="Book Antiqua"/>
        </w:rPr>
        <w:t xml:space="preserve">, as submitted in this proceeding, </w:t>
      </w:r>
      <w:r w:rsidRPr="00952B34">
        <w:rPr>
          <w:rFonts w:ascii="Book Antiqua" w:hAnsi="Book Antiqua"/>
        </w:rPr>
        <w:t xml:space="preserve">provides an appropriate and adequate basis to determine whether Leisure Lake ME rates for water service are </w:t>
      </w:r>
      <w:r w:rsidRPr="00952B34" w:rsidR="00BE2A2C">
        <w:rPr>
          <w:rFonts w:ascii="Book Antiqua" w:hAnsi="Book Antiqua"/>
        </w:rPr>
        <w:t xml:space="preserve">just and reasonable </w:t>
      </w:r>
      <w:r w:rsidRPr="00952B34">
        <w:rPr>
          <w:rFonts w:ascii="Book Antiqua" w:hAnsi="Book Antiqua"/>
        </w:rPr>
        <w:t>in relation to costs.</w:t>
      </w:r>
    </w:p>
    <w:p w:rsidRPr="00952B34" w:rsidR="008743FC" w:rsidP="00D53A5B" w:rsidRDefault="0024473B" w14:paraId="6E07B729" w14:textId="6491B7AA">
      <w:pPr>
        <w:pStyle w:val="num1"/>
        <w:numPr>
          <w:ilvl w:val="0"/>
          <w:numId w:val="15"/>
        </w:numPr>
        <w:rPr>
          <w:rFonts w:ascii="Book Antiqua" w:hAnsi="Book Antiqua"/>
        </w:rPr>
      </w:pPr>
      <w:r w:rsidRPr="00952B34">
        <w:rPr>
          <w:rFonts w:ascii="Book Antiqua" w:hAnsi="Book Antiqua"/>
        </w:rPr>
        <w:t>The W</w:t>
      </w:r>
      <w:r w:rsidRPr="00952B34" w:rsidR="00EA3E8A">
        <w:rPr>
          <w:rFonts w:ascii="Book Antiqua" w:hAnsi="Book Antiqua"/>
        </w:rPr>
        <w:t xml:space="preserve">ater Division </w:t>
      </w:r>
      <w:r w:rsidRPr="00952B34" w:rsidR="00F6029A">
        <w:rPr>
          <w:rFonts w:ascii="Book Antiqua" w:hAnsi="Book Antiqua"/>
        </w:rPr>
        <w:t xml:space="preserve">Report </w:t>
      </w:r>
      <w:r w:rsidRPr="00952B34">
        <w:rPr>
          <w:rFonts w:ascii="Book Antiqua" w:hAnsi="Book Antiqua"/>
        </w:rPr>
        <w:t xml:space="preserve">employed the Rate </w:t>
      </w:r>
      <w:r w:rsidRPr="00952B34" w:rsidR="009B705D">
        <w:rPr>
          <w:rFonts w:ascii="Book Antiqua" w:hAnsi="Book Antiqua"/>
        </w:rPr>
        <w:t>of</w:t>
      </w:r>
      <w:r w:rsidRPr="00952B34">
        <w:rPr>
          <w:rFonts w:ascii="Book Antiqua" w:hAnsi="Book Antiqua"/>
        </w:rPr>
        <w:t xml:space="preserve"> Margin ratemaking method in its </w:t>
      </w:r>
      <w:r w:rsidRPr="00952B34" w:rsidR="009B705D">
        <w:rPr>
          <w:rFonts w:ascii="Book Antiqua" w:hAnsi="Book Antiqua"/>
        </w:rPr>
        <w:t xml:space="preserve">cost-of-service rate </w:t>
      </w:r>
      <w:r w:rsidRPr="00952B34">
        <w:rPr>
          <w:rFonts w:ascii="Book Antiqua" w:hAnsi="Book Antiqua"/>
        </w:rPr>
        <w:t>analysi</w:t>
      </w:r>
      <w:r w:rsidRPr="00952B34" w:rsidR="008743FC">
        <w:rPr>
          <w:rFonts w:ascii="Book Antiqua" w:hAnsi="Book Antiqua"/>
        </w:rPr>
        <w:t>s</w:t>
      </w:r>
      <w:r w:rsidRPr="00952B34" w:rsidR="002C4950">
        <w:rPr>
          <w:rFonts w:ascii="Book Antiqua" w:hAnsi="Book Antiqua"/>
        </w:rPr>
        <w:t xml:space="preserve"> of Leisure Lake</w:t>
      </w:r>
      <w:r w:rsidRPr="00952B34" w:rsidR="00DE2032">
        <w:rPr>
          <w:rFonts w:ascii="Book Antiqua" w:hAnsi="Book Antiqua"/>
        </w:rPr>
        <w:t xml:space="preserve"> ME</w:t>
      </w:r>
      <w:r w:rsidRPr="00952B34" w:rsidR="009B705D">
        <w:rPr>
          <w:rFonts w:ascii="Book Antiqua" w:hAnsi="Book Antiqua"/>
        </w:rPr>
        <w:t>’s water rates</w:t>
      </w:r>
      <w:r w:rsidRPr="00952B34" w:rsidR="008743FC">
        <w:rPr>
          <w:rFonts w:ascii="Book Antiqua" w:hAnsi="Book Antiqua"/>
        </w:rPr>
        <w:t xml:space="preserve">.  </w:t>
      </w:r>
      <w:r w:rsidRPr="00952B34">
        <w:rPr>
          <w:rFonts w:ascii="Book Antiqua" w:hAnsi="Book Antiqua"/>
        </w:rPr>
        <w:t xml:space="preserve"> </w:t>
      </w:r>
    </w:p>
    <w:p w:rsidRPr="00952B34" w:rsidR="0024473B" w:rsidP="00D53A5B" w:rsidRDefault="00F6029A" w14:paraId="454DF805" w14:textId="713A44F0">
      <w:pPr>
        <w:pStyle w:val="num1"/>
        <w:numPr>
          <w:ilvl w:val="0"/>
          <w:numId w:val="15"/>
        </w:numPr>
        <w:rPr>
          <w:rFonts w:ascii="Book Antiqua" w:hAnsi="Book Antiqua"/>
        </w:rPr>
      </w:pPr>
      <w:r w:rsidRPr="00952B34">
        <w:rPr>
          <w:rFonts w:ascii="Book Antiqua" w:hAnsi="Book Antiqua"/>
        </w:rPr>
        <w:t>U</w:t>
      </w:r>
      <w:r w:rsidRPr="00952B34" w:rsidR="008743FC">
        <w:rPr>
          <w:rFonts w:ascii="Book Antiqua" w:hAnsi="Book Antiqua"/>
        </w:rPr>
        <w:t xml:space="preserve">se of the Rate of Return methodology </w:t>
      </w:r>
      <w:r w:rsidRPr="00952B34" w:rsidR="001C5562">
        <w:rPr>
          <w:rFonts w:ascii="Book Antiqua" w:hAnsi="Book Antiqua"/>
        </w:rPr>
        <w:t xml:space="preserve">for analyzing rate levels in this proceeding </w:t>
      </w:r>
      <w:r w:rsidRPr="00952B34" w:rsidR="008743FC">
        <w:rPr>
          <w:rFonts w:ascii="Book Antiqua" w:hAnsi="Book Antiqua"/>
        </w:rPr>
        <w:t xml:space="preserve">would require </w:t>
      </w:r>
      <w:r w:rsidRPr="00952B34" w:rsidR="0024473B">
        <w:rPr>
          <w:rFonts w:ascii="Book Antiqua" w:hAnsi="Book Antiqua"/>
        </w:rPr>
        <w:t>reconstructing plant</w:t>
      </w:r>
      <w:r w:rsidRPr="00952B34" w:rsidR="001C5562">
        <w:rPr>
          <w:rFonts w:ascii="Book Antiqua" w:hAnsi="Book Antiqua"/>
        </w:rPr>
        <w:t xml:space="preserve"> </w:t>
      </w:r>
      <w:r w:rsidRPr="00952B34" w:rsidR="0024473B">
        <w:rPr>
          <w:rFonts w:ascii="Book Antiqua" w:hAnsi="Book Antiqua"/>
        </w:rPr>
        <w:t>construction timelines and costs records and making a significant number of assumptions on the age of the infrastructure for calculating accumulated depreciation</w:t>
      </w:r>
      <w:r w:rsidRPr="00952B34" w:rsidR="00C83A63">
        <w:rPr>
          <w:rFonts w:ascii="Book Antiqua" w:hAnsi="Book Antiqua"/>
        </w:rPr>
        <w:t xml:space="preserve"> </w:t>
      </w:r>
      <w:r w:rsidRPr="00952B34" w:rsidR="00DE2032">
        <w:rPr>
          <w:rFonts w:ascii="Book Antiqua" w:hAnsi="Book Antiqua"/>
        </w:rPr>
        <w:t xml:space="preserve">in order </w:t>
      </w:r>
      <w:r w:rsidRPr="00952B34" w:rsidR="00C83A63">
        <w:rPr>
          <w:rFonts w:ascii="Book Antiqua" w:hAnsi="Book Antiqua"/>
        </w:rPr>
        <w:t xml:space="preserve">to make a reasonable </w:t>
      </w:r>
      <w:r w:rsidRPr="00952B34" w:rsidR="0030756B">
        <w:rPr>
          <w:rFonts w:ascii="Book Antiqua" w:hAnsi="Book Antiqua"/>
        </w:rPr>
        <w:t xml:space="preserve">rate base </w:t>
      </w:r>
      <w:r w:rsidRPr="00952B34" w:rsidR="00C83A63">
        <w:rPr>
          <w:rFonts w:ascii="Book Antiqua" w:hAnsi="Book Antiqua"/>
        </w:rPr>
        <w:t>estimate</w:t>
      </w:r>
      <w:r w:rsidRPr="00952B34" w:rsidR="0024473B">
        <w:rPr>
          <w:rFonts w:ascii="Book Antiqua" w:hAnsi="Book Antiqua"/>
        </w:rPr>
        <w:t>.</w:t>
      </w:r>
    </w:p>
    <w:p w:rsidRPr="00952B34" w:rsidR="001C5562" w:rsidP="00D53A5B" w:rsidRDefault="0024473B" w14:paraId="7E527607" w14:textId="77777777">
      <w:pPr>
        <w:pStyle w:val="num1"/>
        <w:numPr>
          <w:ilvl w:val="0"/>
          <w:numId w:val="15"/>
        </w:numPr>
        <w:rPr>
          <w:rFonts w:ascii="Book Antiqua" w:hAnsi="Book Antiqua"/>
        </w:rPr>
      </w:pPr>
      <w:r w:rsidRPr="00952B34">
        <w:rPr>
          <w:rFonts w:ascii="Book Antiqua" w:hAnsi="Book Antiqua"/>
        </w:rPr>
        <w:t>In most instances</w:t>
      </w:r>
      <w:r w:rsidRPr="00952B34" w:rsidR="001C5562">
        <w:rPr>
          <w:rFonts w:ascii="Book Antiqua" w:hAnsi="Book Antiqua"/>
        </w:rPr>
        <w:t xml:space="preserve">, </w:t>
      </w:r>
      <w:r w:rsidRPr="00952B34">
        <w:rPr>
          <w:rFonts w:ascii="Book Antiqua" w:hAnsi="Book Antiqua"/>
        </w:rPr>
        <w:t xml:space="preserve">the </w:t>
      </w:r>
      <w:r w:rsidRPr="00952B34" w:rsidR="002C4950">
        <w:rPr>
          <w:rFonts w:ascii="Book Antiqua" w:hAnsi="Book Antiqua"/>
        </w:rPr>
        <w:t xml:space="preserve">Rate of Margin method </w:t>
      </w:r>
      <w:r w:rsidRPr="00952B34">
        <w:rPr>
          <w:rFonts w:ascii="Book Antiqua" w:hAnsi="Book Antiqua"/>
        </w:rPr>
        <w:t xml:space="preserve">yields a higher revenue requirement </w:t>
      </w:r>
      <w:r w:rsidRPr="00952B34" w:rsidR="002C4950">
        <w:rPr>
          <w:rFonts w:ascii="Book Antiqua" w:hAnsi="Book Antiqua"/>
        </w:rPr>
        <w:t xml:space="preserve">than the Rate of Return method </w:t>
      </w:r>
      <w:r w:rsidRPr="00952B34">
        <w:rPr>
          <w:rFonts w:ascii="Book Antiqua" w:hAnsi="Book Antiqua"/>
        </w:rPr>
        <w:t xml:space="preserve">due to Class D water utilities having a small amount of rate base and/or most of their utility plant investment has been depreciated.   </w:t>
      </w:r>
    </w:p>
    <w:p w:rsidRPr="00952B34" w:rsidR="00C43F8E" w:rsidP="00D53A5B" w:rsidRDefault="00C43F8E" w14:paraId="07E2702F" w14:textId="4CEB723A">
      <w:pPr>
        <w:pStyle w:val="num1"/>
        <w:numPr>
          <w:ilvl w:val="0"/>
          <w:numId w:val="15"/>
        </w:numPr>
        <w:rPr>
          <w:rFonts w:ascii="Book Antiqua" w:hAnsi="Book Antiqua"/>
        </w:rPr>
      </w:pPr>
      <w:r w:rsidRPr="00952B34">
        <w:rPr>
          <w:rFonts w:ascii="Book Antiqua" w:hAnsi="Book Antiqua"/>
        </w:rPr>
        <w:lastRenderedPageBreak/>
        <w:t>Using the Rate of Margin ratemaking methodology, Leisure Lake</w:t>
      </w:r>
      <w:r w:rsidRPr="00952B34" w:rsidR="00DE2032">
        <w:rPr>
          <w:rFonts w:ascii="Book Antiqua" w:hAnsi="Book Antiqua"/>
        </w:rPr>
        <w:t xml:space="preserve"> ME</w:t>
      </w:r>
      <w:r w:rsidRPr="00952B34">
        <w:rPr>
          <w:rFonts w:ascii="Book Antiqua" w:hAnsi="Book Antiqua"/>
        </w:rPr>
        <w:t xml:space="preserve">’s </w:t>
      </w:r>
      <w:r w:rsidRPr="00952B34" w:rsidR="002C4950">
        <w:rPr>
          <w:rFonts w:ascii="Book Antiqua" w:hAnsi="Book Antiqua"/>
        </w:rPr>
        <w:t>operating and maintenance</w:t>
      </w:r>
      <w:r w:rsidRPr="00952B34">
        <w:rPr>
          <w:rFonts w:ascii="Book Antiqua" w:hAnsi="Book Antiqua"/>
        </w:rPr>
        <w:t xml:space="preserve"> expenses associated with its water distribution operations, and water usage data, the W</w:t>
      </w:r>
      <w:r w:rsidRPr="00952B34" w:rsidR="00EA3E8A">
        <w:rPr>
          <w:rFonts w:ascii="Book Antiqua" w:hAnsi="Book Antiqua"/>
        </w:rPr>
        <w:t xml:space="preserve">ater Division </w:t>
      </w:r>
      <w:r w:rsidRPr="00952B34">
        <w:rPr>
          <w:rFonts w:ascii="Book Antiqua" w:hAnsi="Book Antiqua"/>
        </w:rPr>
        <w:t xml:space="preserve">computed a monthly service charge of $20.88 and quantity rate of $2.48 per </w:t>
      </w:r>
      <w:r w:rsidRPr="00952B34" w:rsidR="008743FC">
        <w:rPr>
          <w:rFonts w:ascii="Book Antiqua" w:hAnsi="Book Antiqua"/>
        </w:rPr>
        <w:t>hundred cubic feet</w:t>
      </w:r>
      <w:r w:rsidRPr="00952B34" w:rsidR="005F513C">
        <w:rPr>
          <w:rFonts w:ascii="Book Antiqua" w:hAnsi="Book Antiqua"/>
        </w:rPr>
        <w:t xml:space="preserve"> (CCF)</w:t>
      </w:r>
      <w:r w:rsidRPr="00952B34" w:rsidR="008743FC">
        <w:rPr>
          <w:rFonts w:ascii="Book Antiqua" w:hAnsi="Book Antiqua"/>
        </w:rPr>
        <w:t xml:space="preserve">. </w:t>
      </w:r>
    </w:p>
    <w:p w:rsidRPr="00952B34" w:rsidR="0024473B" w:rsidP="00D53A5B" w:rsidRDefault="0024473B" w14:paraId="132EEF90" w14:textId="75F2D4EB">
      <w:pPr>
        <w:pStyle w:val="num1"/>
        <w:numPr>
          <w:ilvl w:val="0"/>
          <w:numId w:val="15"/>
        </w:numPr>
        <w:rPr>
          <w:rFonts w:ascii="Book Antiqua" w:hAnsi="Book Antiqua"/>
        </w:rPr>
      </w:pPr>
      <w:r w:rsidRPr="00952B34">
        <w:rPr>
          <w:rFonts w:ascii="Book Antiqua" w:hAnsi="Book Antiqua"/>
        </w:rPr>
        <w:t xml:space="preserve">If Leisure Lake </w:t>
      </w:r>
      <w:r w:rsidRPr="00952B34" w:rsidR="001C5562">
        <w:rPr>
          <w:rFonts w:ascii="Book Antiqua" w:hAnsi="Book Antiqua"/>
        </w:rPr>
        <w:t xml:space="preserve">ME </w:t>
      </w:r>
      <w:r w:rsidRPr="00952B34">
        <w:rPr>
          <w:rFonts w:ascii="Book Antiqua" w:hAnsi="Book Antiqua"/>
        </w:rPr>
        <w:t>were a Class D water utility an average monthly service charge based on an average quantity use of 4.68 CCF would be $32.51.</w:t>
      </w:r>
      <w:r w:rsidRPr="00952B34" w:rsidR="001C5562">
        <w:rPr>
          <w:rFonts w:ascii="Book Antiqua" w:hAnsi="Book Antiqua"/>
        </w:rPr>
        <w:t xml:space="preserve"> This amount compares to Leisure Lake ME’s actual monthly charge of $20.00 for service and $5.85 for average usage of 4.68 CCF per connection, for a total bill of $25.85.</w:t>
      </w:r>
    </w:p>
    <w:p w:rsidRPr="00952B34" w:rsidR="001C5562" w:rsidP="00D53A5B" w:rsidRDefault="001C5562" w14:paraId="6CD65264" w14:textId="044A2B0C">
      <w:pPr>
        <w:pStyle w:val="num1"/>
        <w:numPr>
          <w:ilvl w:val="0"/>
          <w:numId w:val="15"/>
        </w:numPr>
        <w:rPr>
          <w:rFonts w:ascii="Book Antiqua" w:hAnsi="Book Antiqua"/>
        </w:rPr>
      </w:pPr>
      <w:r w:rsidRPr="00952B34">
        <w:rPr>
          <w:rFonts w:ascii="Book Antiqua" w:hAnsi="Book Antiqua"/>
        </w:rPr>
        <w:t>Based on the favorable comparison of water rates charged by Leisure Lake ME with the amounts calculated in the W</w:t>
      </w:r>
      <w:r w:rsidRPr="00952B34" w:rsidR="00EA3E8A">
        <w:rPr>
          <w:rFonts w:ascii="Book Antiqua" w:hAnsi="Book Antiqua"/>
        </w:rPr>
        <w:t>ater Division</w:t>
      </w:r>
      <w:r w:rsidRPr="00952B34">
        <w:rPr>
          <w:rFonts w:ascii="Book Antiqua" w:hAnsi="Book Antiqua"/>
        </w:rPr>
        <w:t xml:space="preserve"> Report for a Class D water utility, t</w:t>
      </w:r>
      <w:r w:rsidRPr="00952B34" w:rsidR="00F66D8A">
        <w:rPr>
          <w:rFonts w:ascii="Book Antiqua" w:hAnsi="Book Antiqua"/>
        </w:rPr>
        <w:t xml:space="preserve">here is no evidence that </w:t>
      </w:r>
      <w:r w:rsidRPr="00952B34">
        <w:rPr>
          <w:rFonts w:ascii="Book Antiqua" w:hAnsi="Book Antiqua"/>
        </w:rPr>
        <w:t xml:space="preserve">the </w:t>
      </w:r>
      <w:r w:rsidRPr="00952B34" w:rsidR="00F66D8A">
        <w:rPr>
          <w:rFonts w:ascii="Book Antiqua" w:hAnsi="Book Antiqua"/>
        </w:rPr>
        <w:t>Defendant</w:t>
      </w:r>
      <w:r w:rsidRPr="00952B34">
        <w:rPr>
          <w:rFonts w:ascii="Book Antiqua" w:hAnsi="Book Antiqua"/>
        </w:rPr>
        <w:t xml:space="preserve">’s rates </w:t>
      </w:r>
      <w:r w:rsidRPr="00952B34" w:rsidR="00F6029A">
        <w:rPr>
          <w:rFonts w:ascii="Book Antiqua" w:hAnsi="Book Antiqua"/>
        </w:rPr>
        <w:t xml:space="preserve">for water service </w:t>
      </w:r>
      <w:r w:rsidRPr="00952B34">
        <w:rPr>
          <w:rFonts w:ascii="Book Antiqua" w:hAnsi="Book Antiqua"/>
        </w:rPr>
        <w:t xml:space="preserve">are unreasonable or excessive.  </w:t>
      </w:r>
    </w:p>
    <w:p w:rsidRPr="00952B34" w:rsidR="001C5562" w:rsidP="00D53A5B" w:rsidRDefault="001C5562" w14:paraId="29434CB2" w14:textId="48541BF6">
      <w:pPr>
        <w:pStyle w:val="num1"/>
        <w:numPr>
          <w:ilvl w:val="0"/>
          <w:numId w:val="15"/>
        </w:numPr>
        <w:rPr>
          <w:rFonts w:ascii="Book Antiqua" w:hAnsi="Book Antiqua"/>
        </w:rPr>
      </w:pPr>
      <w:r w:rsidRPr="00952B34">
        <w:rPr>
          <w:rFonts w:ascii="Book Antiqua" w:hAnsi="Book Antiqua"/>
        </w:rPr>
        <w:t>There is no evidence</w:t>
      </w:r>
      <w:r w:rsidRPr="00952B34" w:rsidR="00F6029A">
        <w:rPr>
          <w:rFonts w:ascii="Book Antiqua" w:hAnsi="Book Antiqua"/>
        </w:rPr>
        <w:t xml:space="preserve"> </w:t>
      </w:r>
      <w:r w:rsidRPr="00952B34">
        <w:rPr>
          <w:rFonts w:ascii="Book Antiqua" w:hAnsi="Book Antiqua"/>
        </w:rPr>
        <w:t xml:space="preserve">to conclude that Defendant </w:t>
      </w:r>
      <w:r w:rsidRPr="00952B34" w:rsidR="00F66D8A">
        <w:rPr>
          <w:rFonts w:ascii="Book Antiqua" w:hAnsi="Book Antiqua"/>
        </w:rPr>
        <w:t xml:space="preserve">failed to provide </w:t>
      </w:r>
      <w:r w:rsidRPr="00952B34" w:rsidR="00862909">
        <w:rPr>
          <w:rFonts w:ascii="Book Antiqua" w:hAnsi="Book Antiqua"/>
        </w:rPr>
        <w:t xml:space="preserve">its </w:t>
      </w:r>
      <w:r w:rsidRPr="00952B34" w:rsidR="00F66D8A">
        <w:rPr>
          <w:rFonts w:ascii="Book Antiqua" w:hAnsi="Book Antiqua"/>
        </w:rPr>
        <w:t xml:space="preserve">tenants with </w:t>
      </w:r>
      <w:r w:rsidRPr="00952B34" w:rsidR="00F6029A">
        <w:rPr>
          <w:rFonts w:ascii="Book Antiqua" w:hAnsi="Book Antiqua"/>
        </w:rPr>
        <w:t xml:space="preserve">due </w:t>
      </w:r>
      <w:r w:rsidRPr="00952B34" w:rsidR="00F66D8A">
        <w:rPr>
          <w:rFonts w:ascii="Book Antiqua" w:hAnsi="Book Antiqua"/>
        </w:rPr>
        <w:t xml:space="preserve">notice </w:t>
      </w:r>
      <w:r w:rsidRPr="00952B34" w:rsidR="007B6299">
        <w:rPr>
          <w:rFonts w:ascii="Book Antiqua" w:hAnsi="Book Antiqua"/>
        </w:rPr>
        <w:t xml:space="preserve">of their rights to complain </w:t>
      </w:r>
      <w:r w:rsidRPr="00952B34" w:rsidR="00F66D8A">
        <w:rPr>
          <w:rFonts w:ascii="Book Antiqua" w:hAnsi="Book Antiqua"/>
        </w:rPr>
        <w:t xml:space="preserve">as required by </w:t>
      </w:r>
      <w:r w:rsidRPr="00952B34" w:rsidR="007B6299">
        <w:rPr>
          <w:rFonts w:ascii="Book Antiqua" w:hAnsi="Book Antiqua"/>
        </w:rPr>
        <w:t xml:space="preserve">Pub. Util. Code </w:t>
      </w:r>
      <w:r w:rsidRPr="00952B34" w:rsidR="0088700E">
        <w:rPr>
          <w:rFonts w:ascii="Book Antiqua" w:hAnsi="Book Antiqua"/>
        </w:rPr>
        <w:t>§</w:t>
      </w:r>
      <w:r w:rsidRPr="00952B34">
        <w:rPr>
          <w:rFonts w:ascii="Book Antiqua" w:hAnsi="Book Antiqua"/>
        </w:rPr>
        <w:t xml:space="preserve"> 2705.6</w:t>
      </w:r>
      <w:r w:rsidRPr="00952B34" w:rsidR="00F66D8A">
        <w:rPr>
          <w:rFonts w:ascii="Book Antiqua" w:hAnsi="Book Antiqua"/>
        </w:rPr>
        <w:t xml:space="preserve">. </w:t>
      </w:r>
    </w:p>
    <w:p w:rsidRPr="00952B34" w:rsidR="00854BF2" w:rsidP="00D53A5B" w:rsidRDefault="00854BF2" w14:paraId="22F121C0" w14:textId="76CE0E26">
      <w:pPr>
        <w:pStyle w:val="num1"/>
        <w:numPr>
          <w:ilvl w:val="0"/>
          <w:numId w:val="15"/>
        </w:numPr>
        <w:rPr>
          <w:rFonts w:ascii="Book Antiqua" w:hAnsi="Book Antiqua"/>
        </w:rPr>
      </w:pPr>
      <w:r w:rsidRPr="00952B34">
        <w:rPr>
          <w:rFonts w:ascii="Book Antiqua" w:hAnsi="Book Antiqua"/>
        </w:rPr>
        <w:t xml:space="preserve">There is no basis to </w:t>
      </w:r>
      <w:r w:rsidRPr="00952B34" w:rsidR="003B3D93">
        <w:rPr>
          <w:rFonts w:ascii="Book Antiqua" w:hAnsi="Book Antiqua"/>
        </w:rPr>
        <w:t xml:space="preserve">impose a </w:t>
      </w:r>
      <w:r w:rsidRPr="00952B34">
        <w:rPr>
          <w:rFonts w:ascii="Book Antiqua" w:hAnsi="Book Antiqua"/>
        </w:rPr>
        <w:t>fine of $10,000</w:t>
      </w:r>
      <w:r w:rsidRPr="00952B34" w:rsidR="003B3D93">
        <w:rPr>
          <w:rFonts w:ascii="Book Antiqua" w:hAnsi="Book Antiqua"/>
        </w:rPr>
        <w:t xml:space="preserve"> </w:t>
      </w:r>
      <w:r w:rsidRPr="00952B34">
        <w:rPr>
          <w:rFonts w:ascii="Book Antiqua" w:hAnsi="Book Antiqua"/>
        </w:rPr>
        <w:t xml:space="preserve">on Complainants for </w:t>
      </w:r>
      <w:r w:rsidRPr="00952B34" w:rsidR="002C4950">
        <w:rPr>
          <w:rFonts w:ascii="Book Antiqua" w:hAnsi="Book Antiqua"/>
        </w:rPr>
        <w:t xml:space="preserve">patterns of </w:t>
      </w:r>
      <w:r w:rsidRPr="00952B34">
        <w:rPr>
          <w:rFonts w:ascii="Book Antiqua" w:hAnsi="Book Antiqua"/>
        </w:rPr>
        <w:t xml:space="preserve">behavior as alleged in the Motion to Dismiss. </w:t>
      </w:r>
    </w:p>
    <w:p w:rsidRPr="00952B34" w:rsidR="003B3D93" w:rsidP="00D53A5B" w:rsidRDefault="003B3D93" w14:paraId="5A01B6C6" w14:textId="6F6F62F5">
      <w:pPr>
        <w:pStyle w:val="num1"/>
        <w:numPr>
          <w:ilvl w:val="0"/>
          <w:numId w:val="15"/>
        </w:numPr>
        <w:rPr>
          <w:rFonts w:ascii="Book Antiqua" w:hAnsi="Book Antiqua"/>
        </w:rPr>
      </w:pPr>
      <w:r w:rsidRPr="00952B34">
        <w:rPr>
          <w:rFonts w:ascii="Book Antiqua" w:hAnsi="Book Antiqua"/>
        </w:rPr>
        <w:t xml:space="preserve">There is no basis to impose a fine of from $500 to $5,000 on Defendants for alleged violations of provisions of Public Utilities Code </w:t>
      </w:r>
      <w:r w:rsidRPr="00952B34" w:rsidR="0088700E">
        <w:rPr>
          <w:rFonts w:ascii="Book Antiqua" w:hAnsi="Book Antiqua"/>
        </w:rPr>
        <w:t>§</w:t>
      </w:r>
      <w:r w:rsidRPr="00952B34">
        <w:rPr>
          <w:rFonts w:ascii="Book Antiqua" w:hAnsi="Book Antiqua"/>
        </w:rPr>
        <w:t xml:space="preserve"> 2705.6.</w:t>
      </w:r>
    </w:p>
    <w:p w:rsidRPr="00952B34" w:rsidR="003B3D93" w:rsidP="00D53A5B" w:rsidRDefault="007B6299" w14:paraId="23840E70" w14:textId="19E9AAC2">
      <w:pPr>
        <w:pStyle w:val="num1"/>
        <w:numPr>
          <w:ilvl w:val="0"/>
          <w:numId w:val="15"/>
        </w:numPr>
        <w:rPr>
          <w:rFonts w:ascii="Book Antiqua" w:hAnsi="Book Antiqua"/>
        </w:rPr>
      </w:pPr>
      <w:r w:rsidRPr="00952B34">
        <w:rPr>
          <w:rFonts w:ascii="Book Antiqua" w:hAnsi="Book Antiqua"/>
        </w:rPr>
        <w:t xml:space="preserve">The increase that Leisure Lake tenants experienced on October 21, 2017 was identified as a </w:t>
      </w:r>
      <w:r w:rsidRPr="00952B34">
        <w:rPr>
          <w:rFonts w:ascii="Book Antiqua" w:hAnsi="Book Antiqua"/>
          <w:i/>
          <w:iCs/>
        </w:rPr>
        <w:t xml:space="preserve">rent increase, </w:t>
      </w:r>
      <w:r w:rsidRPr="00952B34">
        <w:rPr>
          <w:rFonts w:ascii="Book Antiqua" w:hAnsi="Book Antiqua"/>
        </w:rPr>
        <w:t xml:space="preserve">not a water rate change.  Since rent control and </w:t>
      </w:r>
      <w:r w:rsidRPr="00952B34" w:rsidR="00EA3E73">
        <w:rPr>
          <w:rFonts w:ascii="Book Antiqua" w:hAnsi="Book Antiqua"/>
        </w:rPr>
        <w:t>tenants’</w:t>
      </w:r>
      <w:r w:rsidRPr="00952B34">
        <w:rPr>
          <w:rFonts w:ascii="Book Antiqua" w:hAnsi="Book Antiqua"/>
        </w:rPr>
        <w:t xml:space="preserve"> issues are beyond the scope of the proceeding, there is no basis to find that Defendant violated </w:t>
      </w:r>
      <w:bookmarkStart w:name="_Hlk32412737" w:id="43"/>
      <w:r w:rsidRPr="00952B34">
        <w:rPr>
          <w:rFonts w:ascii="Book Antiqua" w:hAnsi="Book Antiqua"/>
        </w:rPr>
        <w:t xml:space="preserve">Public Utilities Code </w:t>
      </w:r>
      <w:r w:rsidRPr="00952B34" w:rsidR="0088700E">
        <w:rPr>
          <w:rFonts w:ascii="Book Antiqua" w:hAnsi="Book Antiqua"/>
        </w:rPr>
        <w:t>§</w:t>
      </w:r>
      <w:r w:rsidRPr="00952B34">
        <w:rPr>
          <w:rFonts w:ascii="Book Antiqua" w:hAnsi="Book Antiqua"/>
        </w:rPr>
        <w:t xml:space="preserve"> 2705.6 </w:t>
      </w:r>
      <w:bookmarkEnd w:id="43"/>
      <w:r w:rsidRPr="00952B34">
        <w:rPr>
          <w:rFonts w:ascii="Book Antiqua" w:hAnsi="Book Antiqua"/>
        </w:rPr>
        <w:t>relating to notice of water rate increases.</w:t>
      </w:r>
    </w:p>
    <w:p w:rsidRPr="00952B34" w:rsidR="003B3D93" w:rsidP="00D53A5B" w:rsidRDefault="003B3D93" w14:paraId="43DC984B" w14:textId="5083FA84">
      <w:pPr>
        <w:pStyle w:val="num1"/>
        <w:numPr>
          <w:ilvl w:val="0"/>
          <w:numId w:val="15"/>
        </w:numPr>
        <w:rPr>
          <w:rFonts w:ascii="Book Antiqua" w:hAnsi="Book Antiqua"/>
        </w:rPr>
      </w:pPr>
      <w:r w:rsidRPr="00952B34">
        <w:rPr>
          <w:rFonts w:ascii="Book Antiqua" w:hAnsi="Book Antiqua"/>
        </w:rPr>
        <w:t xml:space="preserve">Based on the WD Report, there are no safety-related issues identified in this proceeding that need to be addressed. </w:t>
      </w:r>
    </w:p>
    <w:p w:rsidRPr="00EC4C04" w:rsidR="00B30FF9" w:rsidP="00C147F4" w:rsidRDefault="00B30FF9" w14:paraId="58AD9D55" w14:textId="77777777">
      <w:pPr>
        <w:pStyle w:val="Heading1"/>
        <w:numPr>
          <w:ilvl w:val="0"/>
          <w:numId w:val="0"/>
        </w:numPr>
        <w:ind w:left="720" w:hanging="720"/>
        <w:rPr>
          <w:rFonts w:ascii="Arial" w:hAnsi="Arial"/>
        </w:rPr>
      </w:pPr>
      <w:bookmarkStart w:name="_Toc370798914" w:id="44"/>
      <w:bookmarkStart w:name="_Toc450990220" w:id="45"/>
      <w:bookmarkStart w:name="_Toc451151267" w:id="46"/>
      <w:bookmarkStart w:name="_Toc43914774" w:id="47"/>
      <w:r w:rsidRPr="00EC4C04">
        <w:rPr>
          <w:rFonts w:ascii="Arial" w:hAnsi="Arial"/>
        </w:rPr>
        <w:lastRenderedPageBreak/>
        <w:t>Conclusions of Law</w:t>
      </w:r>
      <w:bookmarkEnd w:id="44"/>
      <w:bookmarkEnd w:id="45"/>
      <w:bookmarkEnd w:id="46"/>
      <w:bookmarkEnd w:id="47"/>
    </w:p>
    <w:p w:rsidRPr="00952B34" w:rsidR="00143DC6" w:rsidP="00143DC6" w:rsidRDefault="00143DC6" w14:paraId="55865D2A" w14:textId="5587FEA0">
      <w:pPr>
        <w:pStyle w:val="num1"/>
        <w:numPr>
          <w:ilvl w:val="0"/>
          <w:numId w:val="13"/>
        </w:numPr>
        <w:rPr>
          <w:rFonts w:ascii="Book Antiqua" w:hAnsi="Book Antiqua"/>
        </w:rPr>
      </w:pPr>
      <w:r w:rsidRPr="00952B34">
        <w:rPr>
          <w:rFonts w:ascii="Book Antiqua" w:hAnsi="Book Antiqua"/>
        </w:rPr>
        <w:t>Pub</w:t>
      </w:r>
      <w:r w:rsidR="00D53A5B">
        <w:rPr>
          <w:rFonts w:ascii="Book Antiqua" w:hAnsi="Book Antiqua"/>
        </w:rPr>
        <w:t xml:space="preserve">. </w:t>
      </w:r>
      <w:r w:rsidRPr="00952B34">
        <w:rPr>
          <w:rFonts w:ascii="Book Antiqua" w:hAnsi="Book Antiqua"/>
        </w:rPr>
        <w:t>Util</w:t>
      </w:r>
      <w:r w:rsidR="00D53A5B">
        <w:rPr>
          <w:rFonts w:ascii="Book Antiqua" w:hAnsi="Book Antiqua"/>
        </w:rPr>
        <w:t>.</w:t>
      </w:r>
      <w:r w:rsidRPr="00952B34">
        <w:rPr>
          <w:rFonts w:ascii="Book Antiqua" w:hAnsi="Book Antiqua"/>
        </w:rPr>
        <w:t xml:space="preserve"> Code </w:t>
      </w:r>
      <w:r w:rsidRPr="00952B34" w:rsidR="0088700E">
        <w:rPr>
          <w:rFonts w:ascii="Book Antiqua" w:hAnsi="Book Antiqua"/>
        </w:rPr>
        <w:t>§</w:t>
      </w:r>
      <w:r w:rsidRPr="00952B34">
        <w:rPr>
          <w:rFonts w:ascii="Book Antiqua" w:hAnsi="Book Antiqua"/>
        </w:rPr>
        <w:t xml:space="preserve"> 2705.6 prescribes the Commission’s jurisdiction with respect to the provision of water service by a mobile home park from water supplies and facilities it owns.</w:t>
      </w:r>
    </w:p>
    <w:p w:rsidRPr="00952B34" w:rsidR="00B30FF9" w:rsidP="00143DC6" w:rsidRDefault="001F5990" w14:paraId="1779A51E" w14:textId="5B845968">
      <w:pPr>
        <w:pStyle w:val="num1"/>
        <w:numPr>
          <w:ilvl w:val="0"/>
          <w:numId w:val="13"/>
        </w:numPr>
        <w:rPr>
          <w:rFonts w:ascii="Book Antiqua" w:hAnsi="Book Antiqua"/>
        </w:rPr>
      </w:pPr>
      <w:r w:rsidRPr="00952B34">
        <w:rPr>
          <w:rFonts w:ascii="Book Antiqua" w:hAnsi="Book Antiqua"/>
        </w:rPr>
        <w:t xml:space="preserve">The Commission has jurisdiction to adjudicate the instant complaint under Pub. Util. Code </w:t>
      </w:r>
      <w:r w:rsidRPr="00952B34" w:rsidR="0088700E">
        <w:rPr>
          <w:rFonts w:ascii="Book Antiqua" w:hAnsi="Book Antiqua"/>
        </w:rPr>
        <w:t>§</w:t>
      </w:r>
      <w:r w:rsidRPr="00952B34">
        <w:rPr>
          <w:rFonts w:ascii="Book Antiqua" w:hAnsi="Book Antiqua"/>
        </w:rPr>
        <w:t xml:space="preserve"> 2705.6</w:t>
      </w:r>
      <w:r w:rsidRPr="00952B34" w:rsidR="000B5AEF">
        <w:rPr>
          <w:rFonts w:ascii="Book Antiqua" w:hAnsi="Book Antiqua"/>
        </w:rPr>
        <w:t xml:space="preserve"> insofar as it relates to the reasonableness of retail rates charged </w:t>
      </w:r>
      <w:bookmarkStart w:name="_Hlk31629074" w:id="48"/>
      <w:r w:rsidRPr="00952B34" w:rsidR="000B5AEF">
        <w:rPr>
          <w:rFonts w:ascii="Book Antiqua" w:hAnsi="Book Antiqua"/>
        </w:rPr>
        <w:t xml:space="preserve">to tenants of Leisure Lake </w:t>
      </w:r>
      <w:r w:rsidRPr="00952B34" w:rsidR="00143DC6">
        <w:rPr>
          <w:rFonts w:ascii="Book Antiqua" w:hAnsi="Book Antiqua"/>
        </w:rPr>
        <w:t>Mobile Estates</w:t>
      </w:r>
      <w:r w:rsidRPr="00952B34" w:rsidR="000B5AEF">
        <w:rPr>
          <w:rFonts w:ascii="Book Antiqua" w:hAnsi="Book Antiqua"/>
        </w:rPr>
        <w:t xml:space="preserve"> </w:t>
      </w:r>
      <w:bookmarkEnd w:id="48"/>
      <w:r w:rsidRPr="00952B34" w:rsidR="000B5AEF">
        <w:rPr>
          <w:rFonts w:ascii="Book Antiqua" w:hAnsi="Book Antiqua"/>
        </w:rPr>
        <w:t>for water service</w:t>
      </w:r>
      <w:r w:rsidRPr="00952B34">
        <w:rPr>
          <w:rFonts w:ascii="Book Antiqua" w:hAnsi="Book Antiqua"/>
        </w:rPr>
        <w:t>.</w:t>
      </w:r>
    </w:p>
    <w:p w:rsidRPr="00952B34" w:rsidR="000B5AEF" w:rsidP="0095082C" w:rsidRDefault="000B5AEF" w14:paraId="4FD55F08" w14:textId="5D401F35">
      <w:pPr>
        <w:pStyle w:val="num1"/>
        <w:numPr>
          <w:ilvl w:val="0"/>
          <w:numId w:val="13"/>
        </w:numPr>
        <w:rPr>
          <w:rFonts w:ascii="Book Antiqua" w:hAnsi="Book Antiqua"/>
        </w:rPr>
      </w:pPr>
      <w:r w:rsidRPr="00952B34">
        <w:rPr>
          <w:rFonts w:ascii="Book Antiqua" w:hAnsi="Book Antiqua"/>
        </w:rPr>
        <w:t xml:space="preserve">The Commission does not have jurisdiction to </w:t>
      </w:r>
      <w:r w:rsidRPr="00952B34" w:rsidR="00143DC6">
        <w:rPr>
          <w:rFonts w:ascii="Book Antiqua" w:hAnsi="Book Antiqua"/>
        </w:rPr>
        <w:t xml:space="preserve">adjudicate complaints as to </w:t>
      </w:r>
      <w:r w:rsidRPr="00952B34">
        <w:rPr>
          <w:rFonts w:ascii="Book Antiqua" w:hAnsi="Book Antiqua"/>
        </w:rPr>
        <w:t>the rates charged to tenants of Leisure Lake ME for sewer servic</w:t>
      </w:r>
      <w:r w:rsidRPr="00952B34" w:rsidR="0095082C">
        <w:rPr>
          <w:rFonts w:ascii="Book Antiqua" w:hAnsi="Book Antiqua"/>
        </w:rPr>
        <w:t xml:space="preserve">e, or </w:t>
      </w:r>
      <w:r w:rsidRPr="00952B34">
        <w:rPr>
          <w:rFonts w:ascii="Book Antiqua" w:hAnsi="Book Antiqua"/>
        </w:rPr>
        <w:t xml:space="preserve">to </w:t>
      </w:r>
      <w:r w:rsidRPr="00952B34" w:rsidR="00E509EB">
        <w:rPr>
          <w:rFonts w:ascii="Book Antiqua" w:hAnsi="Book Antiqua"/>
        </w:rPr>
        <w:t xml:space="preserve">adjudicate </w:t>
      </w:r>
      <w:r w:rsidRPr="00952B34">
        <w:rPr>
          <w:rFonts w:ascii="Book Antiqua" w:hAnsi="Book Antiqua"/>
        </w:rPr>
        <w:t>whether Defendant is providing appropriate low</w:t>
      </w:r>
      <w:r w:rsidRPr="00952B34" w:rsidR="005F513C">
        <w:rPr>
          <w:rFonts w:ascii="Book Antiqua" w:hAnsi="Book Antiqua"/>
        </w:rPr>
        <w:t>-</w:t>
      </w:r>
      <w:r w:rsidRPr="00952B34">
        <w:rPr>
          <w:rFonts w:ascii="Book Antiqua" w:hAnsi="Book Antiqua"/>
        </w:rPr>
        <w:t>income rates to eligible tenants.</w:t>
      </w:r>
    </w:p>
    <w:p w:rsidRPr="00952B34" w:rsidR="001F5990" w:rsidP="00442915" w:rsidRDefault="0095082C" w14:paraId="31C142BC" w14:textId="3C612FB2">
      <w:pPr>
        <w:pStyle w:val="num1"/>
        <w:numPr>
          <w:ilvl w:val="0"/>
          <w:numId w:val="13"/>
        </w:numPr>
        <w:rPr>
          <w:rFonts w:ascii="Book Antiqua" w:hAnsi="Book Antiqua"/>
        </w:rPr>
      </w:pPr>
      <w:r w:rsidRPr="00952B34">
        <w:rPr>
          <w:rFonts w:ascii="Book Antiqua" w:hAnsi="Book Antiqua"/>
        </w:rPr>
        <w:t>Because Complainants ha</w:t>
      </w:r>
      <w:r w:rsidRPr="00952B34" w:rsidR="005F513C">
        <w:rPr>
          <w:rFonts w:ascii="Book Antiqua" w:hAnsi="Book Antiqua"/>
        </w:rPr>
        <w:t>ve</w:t>
      </w:r>
      <w:r w:rsidRPr="00952B34">
        <w:rPr>
          <w:rFonts w:ascii="Book Antiqua" w:hAnsi="Book Antiqua"/>
        </w:rPr>
        <w:t xml:space="preserve"> made an initial showing that the Commission should investigate whether the rates are reasonable or not, </w:t>
      </w:r>
      <w:r w:rsidRPr="00952B34" w:rsidR="00BE2A2C">
        <w:rPr>
          <w:rFonts w:ascii="Book Antiqua" w:hAnsi="Book Antiqua"/>
        </w:rPr>
        <w:t xml:space="preserve">and Defendant’s due process rights have not been violated, </w:t>
      </w:r>
      <w:r w:rsidRPr="00952B34">
        <w:rPr>
          <w:rFonts w:ascii="Book Antiqua" w:hAnsi="Book Antiqua"/>
        </w:rPr>
        <w:t>t</w:t>
      </w:r>
      <w:r w:rsidRPr="00952B34" w:rsidR="00854BF2">
        <w:rPr>
          <w:rFonts w:ascii="Book Antiqua" w:hAnsi="Book Antiqua"/>
        </w:rPr>
        <w:t xml:space="preserve">he </w:t>
      </w:r>
      <w:r w:rsidRPr="00952B34" w:rsidR="00BE2A2C">
        <w:rPr>
          <w:rFonts w:ascii="Book Antiqua" w:hAnsi="Book Antiqua"/>
        </w:rPr>
        <w:t xml:space="preserve">Amended </w:t>
      </w:r>
      <w:r w:rsidRPr="00952B34" w:rsidR="00854BF2">
        <w:rPr>
          <w:rFonts w:ascii="Book Antiqua" w:hAnsi="Book Antiqua"/>
        </w:rPr>
        <w:t xml:space="preserve">Motion to Dismiss </w:t>
      </w:r>
      <w:r w:rsidRPr="00952B34">
        <w:rPr>
          <w:rFonts w:ascii="Book Antiqua" w:hAnsi="Book Antiqua"/>
        </w:rPr>
        <w:t xml:space="preserve">with prejudice, as </w:t>
      </w:r>
      <w:r w:rsidRPr="00952B34" w:rsidR="00E509EB">
        <w:rPr>
          <w:rFonts w:ascii="Book Antiqua" w:hAnsi="Book Antiqua"/>
        </w:rPr>
        <w:t>filed by Defendant</w:t>
      </w:r>
      <w:r w:rsidRPr="00952B34">
        <w:rPr>
          <w:rFonts w:ascii="Book Antiqua" w:hAnsi="Book Antiqua"/>
        </w:rPr>
        <w:t>,</w:t>
      </w:r>
      <w:r w:rsidRPr="00952B34" w:rsidR="00E509EB">
        <w:rPr>
          <w:rFonts w:ascii="Book Antiqua" w:hAnsi="Book Antiqua"/>
        </w:rPr>
        <w:t xml:space="preserve"> </w:t>
      </w:r>
      <w:r w:rsidRPr="00952B34" w:rsidR="00854BF2">
        <w:rPr>
          <w:rFonts w:ascii="Book Antiqua" w:hAnsi="Book Antiqua"/>
        </w:rPr>
        <w:t>should be denied.</w:t>
      </w:r>
    </w:p>
    <w:p w:rsidRPr="00952B34" w:rsidR="00854BF2" w:rsidP="00442915" w:rsidRDefault="0095082C" w14:paraId="4A8A409B" w14:textId="331CCD92">
      <w:pPr>
        <w:pStyle w:val="num1"/>
        <w:numPr>
          <w:ilvl w:val="0"/>
          <w:numId w:val="13"/>
        </w:numPr>
        <w:rPr>
          <w:rFonts w:ascii="Book Antiqua" w:hAnsi="Book Antiqua"/>
        </w:rPr>
      </w:pPr>
      <w:r w:rsidRPr="00952B34">
        <w:rPr>
          <w:rFonts w:ascii="Book Antiqua" w:hAnsi="Book Antiqua"/>
        </w:rPr>
        <w:t xml:space="preserve">Because Complainant has not provided evidence that Leisure Lake ME is charging unreasonable rates, </w:t>
      </w:r>
      <w:r w:rsidRPr="00952B34" w:rsidR="00854BF2">
        <w:rPr>
          <w:rFonts w:ascii="Book Antiqua" w:hAnsi="Book Antiqua"/>
        </w:rPr>
        <w:t>the re</w:t>
      </w:r>
      <w:r w:rsidRPr="00952B34">
        <w:rPr>
          <w:rFonts w:ascii="Book Antiqua" w:hAnsi="Book Antiqua"/>
        </w:rPr>
        <w:t xml:space="preserve">quest calling for reductions in water rates </w:t>
      </w:r>
      <w:r w:rsidRPr="00952B34" w:rsidR="00854BF2">
        <w:rPr>
          <w:rFonts w:ascii="Book Antiqua" w:hAnsi="Book Antiqua"/>
        </w:rPr>
        <w:t>should be denied.</w:t>
      </w:r>
    </w:p>
    <w:p w:rsidRPr="00952B34" w:rsidR="00F6029A" w:rsidP="00442915" w:rsidRDefault="00F6029A" w14:paraId="730717DA" w14:textId="33D4E24C">
      <w:pPr>
        <w:pStyle w:val="num1"/>
        <w:numPr>
          <w:ilvl w:val="0"/>
          <w:numId w:val="13"/>
        </w:numPr>
        <w:rPr>
          <w:rFonts w:ascii="Book Antiqua" w:hAnsi="Book Antiqua"/>
        </w:rPr>
      </w:pPr>
      <w:r w:rsidRPr="00952B34">
        <w:rPr>
          <w:rFonts w:ascii="Book Antiqua" w:hAnsi="Book Antiqua"/>
        </w:rPr>
        <w:t xml:space="preserve">Defendant has not provided a basis to warrant summary dismissal of this proceeding with prejudice. </w:t>
      </w:r>
    </w:p>
    <w:p w:rsidRPr="00952B34" w:rsidR="00F6029A" w:rsidP="00442915" w:rsidRDefault="00F6029A" w14:paraId="46769FB4" w14:textId="54AF99DF">
      <w:pPr>
        <w:pStyle w:val="num1"/>
        <w:numPr>
          <w:ilvl w:val="0"/>
          <w:numId w:val="13"/>
        </w:numPr>
        <w:rPr>
          <w:rFonts w:ascii="Book Antiqua" w:hAnsi="Book Antiqua"/>
        </w:rPr>
      </w:pPr>
      <w:r w:rsidRPr="00952B34">
        <w:rPr>
          <w:rFonts w:ascii="Book Antiqua" w:hAnsi="Book Antiqua"/>
        </w:rPr>
        <w:t xml:space="preserve">Complainant has not provided a basis to warrant </w:t>
      </w:r>
      <w:r w:rsidRPr="00952B34" w:rsidR="00EA3E8A">
        <w:rPr>
          <w:rFonts w:ascii="Book Antiqua" w:hAnsi="Book Antiqua"/>
        </w:rPr>
        <w:t xml:space="preserve">a Commission order </w:t>
      </w:r>
      <w:r w:rsidRPr="00952B34">
        <w:rPr>
          <w:rFonts w:ascii="Book Antiqua" w:hAnsi="Book Antiqua"/>
        </w:rPr>
        <w:t xml:space="preserve">imposing any penalties on Defendant. </w:t>
      </w:r>
    </w:p>
    <w:p w:rsidRPr="00952B34" w:rsidR="00854BF2" w:rsidP="00442915" w:rsidRDefault="00854BF2" w14:paraId="6D1CAD89" w14:textId="2C622A4D">
      <w:pPr>
        <w:pStyle w:val="num1"/>
        <w:numPr>
          <w:ilvl w:val="0"/>
          <w:numId w:val="13"/>
        </w:numPr>
        <w:rPr>
          <w:rFonts w:ascii="Book Antiqua" w:hAnsi="Book Antiqua"/>
        </w:rPr>
      </w:pPr>
      <w:r w:rsidRPr="00952B34">
        <w:rPr>
          <w:rFonts w:ascii="Book Antiqua" w:hAnsi="Book Antiqua"/>
        </w:rPr>
        <w:t>Upon adoption of the instant decision, this proceeding should be closed</w:t>
      </w:r>
      <w:r w:rsidRPr="00952B34" w:rsidR="00EA3E8A">
        <w:rPr>
          <w:rFonts w:ascii="Book Antiqua" w:hAnsi="Book Antiqua"/>
        </w:rPr>
        <w:t>.</w:t>
      </w:r>
    </w:p>
    <w:p w:rsidR="004853A6" w:rsidP="004853A6" w:rsidRDefault="004853A6" w14:paraId="08626CDD" w14:textId="77777777">
      <w:pPr>
        <w:pStyle w:val="mainex"/>
        <w:tabs>
          <w:tab w:val="left" w:pos="4157"/>
        </w:tabs>
        <w:jc w:val="left"/>
      </w:pPr>
      <w:bookmarkStart w:name="_Toc370798915" w:id="49"/>
      <w:bookmarkStart w:name="_Toc450990221" w:id="50"/>
      <w:bookmarkStart w:name="_Toc451151268" w:id="51"/>
      <w:bookmarkStart w:name="OLE_LINK1" w:id="52"/>
      <w:bookmarkStart w:name="OLE_LINK2" w:id="53"/>
    </w:p>
    <w:p w:rsidRPr="00EC4C04" w:rsidR="00442915" w:rsidP="002030B6" w:rsidRDefault="00B30FF9" w14:paraId="0273A8CC" w14:textId="6DD0F5BC">
      <w:pPr>
        <w:pStyle w:val="mainex"/>
        <w:keepNext/>
        <w:keepLines/>
        <w:rPr>
          <w:rFonts w:ascii="Arial" w:hAnsi="Arial"/>
        </w:rPr>
      </w:pPr>
      <w:bookmarkStart w:name="_Toc43914775" w:id="54"/>
      <w:r w:rsidRPr="00EC4C04">
        <w:rPr>
          <w:rFonts w:ascii="Arial" w:hAnsi="Arial"/>
        </w:rPr>
        <w:t>ORDER</w:t>
      </w:r>
      <w:bookmarkEnd w:id="49"/>
      <w:bookmarkEnd w:id="50"/>
      <w:bookmarkEnd w:id="51"/>
      <w:bookmarkEnd w:id="52"/>
      <w:bookmarkEnd w:id="53"/>
      <w:bookmarkEnd w:id="54"/>
    </w:p>
    <w:p w:rsidRPr="00952B34" w:rsidR="00B30FF9" w:rsidP="002030B6" w:rsidRDefault="00B30FF9" w14:paraId="2A1F4E7C" w14:textId="77777777">
      <w:pPr>
        <w:pStyle w:val="standard"/>
        <w:keepNext/>
        <w:keepLines/>
        <w:rPr>
          <w:rFonts w:ascii="Book Antiqua" w:hAnsi="Book Antiqua"/>
        </w:rPr>
      </w:pPr>
      <w:r w:rsidRPr="00952B34">
        <w:rPr>
          <w:rFonts w:ascii="Book Antiqua" w:hAnsi="Book Antiqua"/>
          <w:b/>
        </w:rPr>
        <w:t>IT IS ORDERED</w:t>
      </w:r>
      <w:r w:rsidRPr="00952B34">
        <w:rPr>
          <w:rFonts w:ascii="Book Antiqua" w:hAnsi="Book Antiqua"/>
        </w:rPr>
        <w:t xml:space="preserve"> that:</w:t>
      </w:r>
    </w:p>
    <w:p w:rsidRPr="00952B34" w:rsidR="008743FC" w:rsidP="00D53A5B" w:rsidRDefault="008743FC" w14:paraId="7694B5FD" w14:textId="4E7D3C95">
      <w:pPr>
        <w:pStyle w:val="num1"/>
        <w:numPr>
          <w:ilvl w:val="0"/>
          <w:numId w:val="3"/>
        </w:numPr>
        <w:suppressAutoHyphens w:val="0"/>
        <w:rPr>
          <w:rFonts w:ascii="Book Antiqua" w:hAnsi="Book Antiqua"/>
        </w:rPr>
      </w:pPr>
      <w:r w:rsidRPr="00952B34">
        <w:rPr>
          <w:rFonts w:ascii="Book Antiqua" w:hAnsi="Book Antiqua"/>
        </w:rPr>
        <w:t>C</w:t>
      </w:r>
      <w:r w:rsidR="00D53A5B">
        <w:rPr>
          <w:rFonts w:ascii="Book Antiqua" w:hAnsi="Book Antiqua"/>
        </w:rPr>
        <w:t>ase</w:t>
      </w:r>
      <w:r w:rsidRPr="00952B34">
        <w:rPr>
          <w:rFonts w:ascii="Book Antiqua" w:hAnsi="Book Antiqua"/>
        </w:rPr>
        <w:t xml:space="preserve"> 19-05-004, filed on May 7, 2019, by Leisure Lake Homeowners’ Association (Complainant) is denied. </w:t>
      </w:r>
    </w:p>
    <w:p w:rsidRPr="00952B34" w:rsidR="001C1CF6" w:rsidP="00BE2A2C" w:rsidRDefault="008743FC" w14:paraId="6E987993" w14:textId="036CE107">
      <w:pPr>
        <w:pStyle w:val="num1"/>
        <w:keepNext/>
        <w:keepLines/>
        <w:numPr>
          <w:ilvl w:val="0"/>
          <w:numId w:val="3"/>
        </w:numPr>
        <w:rPr>
          <w:rFonts w:ascii="Book Antiqua" w:hAnsi="Book Antiqua"/>
        </w:rPr>
      </w:pPr>
      <w:r w:rsidRPr="00952B34">
        <w:rPr>
          <w:rFonts w:ascii="Book Antiqua" w:hAnsi="Book Antiqua"/>
        </w:rPr>
        <w:lastRenderedPageBreak/>
        <w:t xml:space="preserve">The </w:t>
      </w:r>
      <w:r w:rsidRPr="00952B34" w:rsidR="007B6299">
        <w:rPr>
          <w:rFonts w:ascii="Book Antiqua" w:hAnsi="Book Antiqua"/>
        </w:rPr>
        <w:t xml:space="preserve">Amended </w:t>
      </w:r>
      <w:r w:rsidRPr="00952B34">
        <w:rPr>
          <w:rFonts w:ascii="Book Antiqua" w:hAnsi="Book Antiqua"/>
        </w:rPr>
        <w:t xml:space="preserve">Motion to Dismiss </w:t>
      </w:r>
      <w:r w:rsidRPr="00952B34" w:rsidR="007B6299">
        <w:rPr>
          <w:rFonts w:ascii="Book Antiqua" w:hAnsi="Book Antiqua"/>
        </w:rPr>
        <w:t xml:space="preserve">the Complaint with prejudice </w:t>
      </w:r>
      <w:r w:rsidRPr="00952B34">
        <w:rPr>
          <w:rFonts w:ascii="Book Antiqua" w:hAnsi="Book Antiqua"/>
        </w:rPr>
        <w:t xml:space="preserve">filed </w:t>
      </w:r>
      <w:r w:rsidR="00566F2D">
        <w:rPr>
          <w:rFonts w:ascii="Book Antiqua" w:hAnsi="Book Antiqua"/>
        </w:rPr>
        <w:t xml:space="preserve">by </w:t>
      </w:r>
      <w:r w:rsidRPr="00952B34">
        <w:rPr>
          <w:rFonts w:ascii="Book Antiqua" w:hAnsi="Book Antiqua"/>
        </w:rPr>
        <w:t>Clan Keith Real Estate Investments, LLC (Defendant) is denied.</w:t>
      </w:r>
    </w:p>
    <w:p w:rsidRPr="00952B34" w:rsidR="00B30FF9" w:rsidP="007B6299" w:rsidRDefault="007B6299" w14:paraId="430F2A43" w14:textId="18BB9038">
      <w:pPr>
        <w:pStyle w:val="num1"/>
        <w:keepNext/>
        <w:keepLines/>
        <w:numPr>
          <w:ilvl w:val="0"/>
          <w:numId w:val="3"/>
        </w:numPr>
        <w:rPr>
          <w:rFonts w:ascii="Book Antiqua" w:hAnsi="Book Antiqua"/>
        </w:rPr>
      </w:pPr>
      <w:r w:rsidRPr="00952B34">
        <w:rPr>
          <w:rFonts w:ascii="Book Antiqua" w:hAnsi="Book Antiqua"/>
        </w:rPr>
        <w:t xml:space="preserve">Case </w:t>
      </w:r>
      <w:r w:rsidRPr="00952B34" w:rsidR="008743FC">
        <w:rPr>
          <w:rFonts w:ascii="Book Antiqua" w:hAnsi="Book Antiqua"/>
        </w:rPr>
        <w:t>19-05-004</w:t>
      </w:r>
      <w:r w:rsidRPr="00952B34" w:rsidR="00B30FF9">
        <w:rPr>
          <w:rFonts w:ascii="Book Antiqua" w:hAnsi="Book Antiqua"/>
        </w:rPr>
        <w:t xml:space="preserve"> is closed</w:t>
      </w:r>
    </w:p>
    <w:p w:rsidRPr="00952B34" w:rsidR="00B30FF9" w:rsidRDefault="00B30FF9" w14:paraId="37D51506" w14:textId="77777777">
      <w:pPr>
        <w:pStyle w:val="standard"/>
        <w:rPr>
          <w:rFonts w:ascii="Book Antiqua" w:hAnsi="Book Antiqua"/>
        </w:rPr>
      </w:pPr>
      <w:r w:rsidRPr="00952B34">
        <w:rPr>
          <w:rFonts w:ascii="Book Antiqua" w:hAnsi="Book Antiqua"/>
        </w:rPr>
        <w:t>This order is effective today.</w:t>
      </w:r>
    </w:p>
    <w:p w:rsidRPr="00952B34" w:rsidR="00B30FF9" w:rsidP="007E6E0C" w:rsidRDefault="00B30FF9" w14:paraId="04944D77" w14:textId="5953EAF7">
      <w:pPr>
        <w:pStyle w:val="standard"/>
        <w:tabs>
          <w:tab w:val="left" w:pos="5040"/>
        </w:tabs>
        <w:rPr>
          <w:rFonts w:ascii="Book Antiqua" w:hAnsi="Book Antiqua"/>
        </w:rPr>
      </w:pPr>
      <w:r w:rsidRPr="00952B34">
        <w:rPr>
          <w:rFonts w:ascii="Book Antiqua" w:hAnsi="Book Antiqua"/>
        </w:rPr>
        <w:t>Dated</w:t>
      </w:r>
      <w:r w:rsidR="00867844">
        <w:rPr>
          <w:rFonts w:ascii="Book Antiqua" w:hAnsi="Book Antiqua"/>
        </w:rPr>
        <w:t xml:space="preserve"> August 6, 2020</w:t>
      </w:r>
      <w:r w:rsidRPr="00952B34">
        <w:rPr>
          <w:rFonts w:ascii="Book Antiqua" w:hAnsi="Book Antiqua"/>
        </w:rPr>
        <w:t xml:space="preserve">, at </w:t>
      </w:r>
      <w:r w:rsidR="00A61BDD">
        <w:rPr>
          <w:rFonts w:ascii="Book Antiqua" w:hAnsi="Book Antiqua"/>
        </w:rPr>
        <w:t>San Francisco</w:t>
      </w:r>
      <w:r w:rsidRPr="00952B34">
        <w:rPr>
          <w:rFonts w:ascii="Book Antiqua" w:hAnsi="Book Antiqua"/>
        </w:rPr>
        <w:t xml:space="preserve">, California. </w:t>
      </w:r>
    </w:p>
    <w:p w:rsidR="00B30FF9" w:rsidP="00867844" w:rsidRDefault="00B30FF9" w14:paraId="486C903E" w14:textId="2B06C2C6">
      <w:pPr>
        <w:pStyle w:val="standard"/>
      </w:pPr>
    </w:p>
    <w:p w:rsidRPr="00867844" w:rsidR="00867844" w:rsidP="00867844" w:rsidRDefault="00867844" w14:paraId="2E68C334" w14:textId="77777777">
      <w:pPr>
        <w:autoSpaceDE w:val="0"/>
        <w:autoSpaceDN w:val="0"/>
        <w:adjustRightInd w:val="0"/>
        <w:ind w:left="4320"/>
        <w:jc w:val="both"/>
        <w:rPr>
          <w:rFonts w:ascii="Book Antiqua" w:hAnsi="Book Antiqua" w:cs="Palatino"/>
          <w:szCs w:val="26"/>
        </w:rPr>
      </w:pPr>
      <w:bookmarkStart w:name="_Hlk17215919" w:id="55"/>
      <w:r w:rsidRPr="00867844">
        <w:rPr>
          <w:rFonts w:ascii="Book Antiqua" w:hAnsi="Book Antiqua" w:cs="Courier New"/>
          <w:szCs w:val="26"/>
        </w:rPr>
        <w:t>MARYBEL BATJER</w:t>
      </w:r>
    </w:p>
    <w:p w:rsidRPr="00867844" w:rsidR="00867844" w:rsidP="00867844" w:rsidRDefault="00867844" w14:paraId="04155DD6" w14:textId="77777777">
      <w:pPr>
        <w:autoSpaceDE w:val="0"/>
        <w:autoSpaceDN w:val="0"/>
        <w:adjustRightInd w:val="0"/>
        <w:ind w:firstLine="720"/>
        <w:jc w:val="both"/>
        <w:rPr>
          <w:rFonts w:ascii="Book Antiqua" w:hAnsi="Book Antiqua" w:cs="Palatino"/>
          <w:szCs w:val="26"/>
        </w:rPr>
      </w:pPr>
      <w:r w:rsidRPr="00867844">
        <w:rPr>
          <w:rFonts w:ascii="Book Antiqua" w:hAnsi="Book Antiqua" w:cs="Palatino"/>
          <w:szCs w:val="26"/>
        </w:rPr>
        <w:tab/>
      </w:r>
      <w:r w:rsidRPr="00867844">
        <w:rPr>
          <w:rFonts w:ascii="Book Antiqua" w:hAnsi="Book Antiqua" w:cs="Palatino"/>
          <w:szCs w:val="26"/>
        </w:rPr>
        <w:tab/>
      </w:r>
      <w:r w:rsidRPr="00867844">
        <w:rPr>
          <w:rFonts w:ascii="Book Antiqua" w:hAnsi="Book Antiqua" w:cs="Palatino"/>
          <w:szCs w:val="26"/>
        </w:rPr>
        <w:tab/>
      </w:r>
      <w:r w:rsidRPr="00867844">
        <w:rPr>
          <w:rFonts w:ascii="Book Antiqua" w:hAnsi="Book Antiqua" w:cs="Palatino"/>
          <w:szCs w:val="26"/>
        </w:rPr>
        <w:tab/>
      </w:r>
      <w:r w:rsidRPr="00867844">
        <w:rPr>
          <w:rFonts w:ascii="Book Antiqua" w:hAnsi="Book Antiqua" w:cs="Palatino"/>
          <w:szCs w:val="26"/>
        </w:rPr>
        <w:tab/>
        <w:t xml:space="preserve">                       President</w:t>
      </w:r>
    </w:p>
    <w:p w:rsidRPr="00867844" w:rsidR="00867844" w:rsidP="00867844" w:rsidRDefault="00867844" w14:paraId="42BD9A35" w14:textId="77777777">
      <w:pPr>
        <w:autoSpaceDE w:val="0"/>
        <w:autoSpaceDN w:val="0"/>
        <w:adjustRightInd w:val="0"/>
        <w:ind w:left="4320"/>
        <w:jc w:val="both"/>
        <w:rPr>
          <w:rFonts w:ascii="Book Antiqua" w:hAnsi="Book Antiqua" w:cs="Courier New"/>
          <w:szCs w:val="26"/>
        </w:rPr>
      </w:pPr>
      <w:r w:rsidRPr="00867844">
        <w:rPr>
          <w:rFonts w:ascii="Book Antiqua" w:hAnsi="Book Antiqua" w:cs="Courier New"/>
          <w:szCs w:val="26"/>
        </w:rPr>
        <w:t>LIANE M. RANDOLPH</w:t>
      </w:r>
    </w:p>
    <w:p w:rsidRPr="00867844" w:rsidR="00867844" w:rsidP="00867844" w:rsidRDefault="00867844" w14:paraId="7ED1B752" w14:textId="77777777">
      <w:pPr>
        <w:autoSpaceDE w:val="0"/>
        <w:autoSpaceDN w:val="0"/>
        <w:adjustRightInd w:val="0"/>
        <w:ind w:left="4320"/>
        <w:jc w:val="both"/>
        <w:rPr>
          <w:rFonts w:ascii="Book Antiqua" w:hAnsi="Book Antiqua" w:cs="Arial"/>
          <w:sz w:val="28"/>
          <w:szCs w:val="28"/>
        </w:rPr>
      </w:pPr>
      <w:r w:rsidRPr="00867844">
        <w:rPr>
          <w:rFonts w:ascii="Book Antiqua" w:hAnsi="Book Antiqua" w:cs="Arial"/>
          <w:sz w:val="28"/>
          <w:szCs w:val="28"/>
        </w:rPr>
        <w:t>MARTHA GUZMAN ACEVES</w:t>
      </w:r>
    </w:p>
    <w:p w:rsidRPr="00867844" w:rsidR="00867844" w:rsidP="00867844" w:rsidRDefault="00867844" w14:paraId="4E72BD59" w14:textId="77777777">
      <w:pPr>
        <w:autoSpaceDE w:val="0"/>
        <w:autoSpaceDN w:val="0"/>
        <w:adjustRightInd w:val="0"/>
        <w:ind w:left="4320"/>
        <w:jc w:val="both"/>
        <w:rPr>
          <w:rFonts w:ascii="Book Antiqua" w:hAnsi="Book Antiqua" w:cs="Arial"/>
          <w:sz w:val="28"/>
          <w:szCs w:val="28"/>
        </w:rPr>
      </w:pPr>
      <w:r w:rsidRPr="00867844">
        <w:rPr>
          <w:rFonts w:ascii="Book Antiqua" w:hAnsi="Book Antiqua" w:cs="Arial"/>
          <w:sz w:val="28"/>
          <w:szCs w:val="28"/>
        </w:rPr>
        <w:t>CLIFFORD RECHTSCHAFFEN</w:t>
      </w:r>
    </w:p>
    <w:p w:rsidRPr="00867844" w:rsidR="00867844" w:rsidP="00867844" w:rsidRDefault="00867844" w14:paraId="22D6E337" w14:textId="77777777">
      <w:pPr>
        <w:autoSpaceDE w:val="0"/>
        <w:autoSpaceDN w:val="0"/>
        <w:adjustRightInd w:val="0"/>
        <w:ind w:left="4320"/>
        <w:jc w:val="both"/>
        <w:rPr>
          <w:rFonts w:ascii="Book Antiqua" w:hAnsi="Book Antiqua" w:cs="Arial"/>
          <w:sz w:val="28"/>
          <w:szCs w:val="28"/>
        </w:rPr>
      </w:pPr>
      <w:r w:rsidRPr="00867844">
        <w:rPr>
          <w:rFonts w:ascii="Book Antiqua" w:hAnsi="Book Antiqua" w:cs="Arial"/>
          <w:sz w:val="28"/>
          <w:szCs w:val="28"/>
        </w:rPr>
        <w:t>GENEVIEVE SHIROMA</w:t>
      </w:r>
    </w:p>
    <w:p w:rsidRPr="00867844" w:rsidR="00867844" w:rsidP="00867844" w:rsidRDefault="00867844" w14:paraId="28D76D54" w14:textId="77777777">
      <w:pPr>
        <w:autoSpaceDE w:val="0"/>
        <w:autoSpaceDN w:val="0"/>
        <w:adjustRightInd w:val="0"/>
        <w:ind w:left="4320" w:firstLine="720"/>
        <w:jc w:val="both"/>
        <w:rPr>
          <w:rFonts w:ascii="Book Antiqua" w:hAnsi="Book Antiqua" w:cs="Palatino"/>
          <w:szCs w:val="26"/>
        </w:rPr>
      </w:pPr>
      <w:r w:rsidRPr="00867844">
        <w:rPr>
          <w:rFonts w:ascii="Book Antiqua" w:hAnsi="Book Antiqua" w:cs="Palatino"/>
          <w:szCs w:val="26"/>
        </w:rPr>
        <w:t xml:space="preserve">                 Commissioners</w:t>
      </w:r>
    </w:p>
    <w:bookmarkEnd w:id="55"/>
    <w:p w:rsidRPr="00867844" w:rsidR="00867844" w:rsidP="00867844" w:rsidRDefault="00867844" w14:paraId="6B89F9C4" w14:textId="77777777">
      <w:pPr>
        <w:rPr>
          <w:rFonts w:cs="Arial"/>
          <w:sz w:val="24"/>
          <w:szCs w:val="24"/>
        </w:rPr>
      </w:pPr>
    </w:p>
    <w:p w:rsidR="00867844" w:rsidP="00867844" w:rsidRDefault="00867844" w14:paraId="3D6AED69" w14:textId="77777777">
      <w:pPr>
        <w:pStyle w:val="standard"/>
      </w:pPr>
    </w:p>
    <w:sectPr w:rsidR="00867844" w:rsidSect="00C147F4">
      <w:headerReference w:type="first" r:id="rId22"/>
      <w:footerReference w:type="first" r:id="rId23"/>
      <w:pgSz w:w="12240" w:h="15840" w:code="1"/>
      <w:pgMar w:top="1152" w:right="1440" w:bottom="1440"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6B01B" w14:textId="77777777" w:rsidR="00A35148" w:rsidRDefault="00A35148">
      <w:r>
        <w:separator/>
      </w:r>
    </w:p>
  </w:endnote>
  <w:endnote w:type="continuationSeparator" w:id="0">
    <w:p w14:paraId="4338D8FB" w14:textId="77777777" w:rsidR="00A35148" w:rsidRDefault="00A3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Antiqua">
    <w:altName w:val="Cambria"/>
    <w:panose1 w:val="00000000000000000000"/>
    <w:charset w:val="00"/>
    <w:family w:val="roman"/>
    <w:notTrueType/>
    <w:pitch w:val="default"/>
    <w:sig w:usb0="00000003" w:usb1="00000000" w:usb2="00000000" w:usb3="00000000" w:csb0="00000001" w:csb1="00000000"/>
  </w:font>
  <w:font w:name="LiberationMono">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87DC" w14:textId="307A7E09" w:rsidR="004F71B4" w:rsidRDefault="008924A8" w:rsidP="005313F5">
    <w:pPr>
      <w:pStyle w:val="Footer"/>
      <w:jc w:val="left"/>
    </w:pPr>
    <w:r w:rsidRPr="008924A8">
      <w:rPr>
        <w:sz w:val="20"/>
      </w:rPr>
      <w:t>345006267</w:t>
    </w:r>
    <w:r w:rsidR="004F71B4">
      <w:tab/>
    </w:r>
    <w:sdt>
      <w:sdtPr>
        <w:id w:val="2029974819"/>
        <w:docPartObj>
          <w:docPartGallery w:val="Page Numbers (Bottom of Page)"/>
          <w:docPartUnique/>
        </w:docPartObj>
      </w:sdtPr>
      <w:sdtEndPr>
        <w:rPr>
          <w:noProof/>
        </w:rPr>
      </w:sdtEndPr>
      <w:sdtContent>
        <w:r w:rsidR="004F71B4">
          <w:fldChar w:fldCharType="begin"/>
        </w:r>
        <w:r w:rsidR="004F71B4">
          <w:instrText xml:space="preserve"> PAGE   \* MERGEFORMAT </w:instrText>
        </w:r>
        <w:r w:rsidR="004F71B4">
          <w:fldChar w:fldCharType="separate"/>
        </w:r>
        <w:r w:rsidR="004F71B4">
          <w:rPr>
            <w:noProof/>
          </w:rPr>
          <w:t>2</w:t>
        </w:r>
        <w:r w:rsidR="004F71B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581618"/>
      <w:docPartObj>
        <w:docPartGallery w:val="Page Numbers (Bottom of Page)"/>
        <w:docPartUnique/>
      </w:docPartObj>
    </w:sdtPr>
    <w:sdtEndPr>
      <w:rPr>
        <w:noProof/>
      </w:rPr>
    </w:sdtEndPr>
    <w:sdtContent>
      <w:p w14:paraId="267794D3" w14:textId="77777777" w:rsidR="00C147F4" w:rsidRDefault="00C147F4" w:rsidP="00C147F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570086"/>
      <w:docPartObj>
        <w:docPartGallery w:val="Page Numbers (Bottom of Page)"/>
        <w:docPartUnique/>
      </w:docPartObj>
    </w:sdtPr>
    <w:sdtEndPr>
      <w:rPr>
        <w:noProof/>
      </w:rPr>
    </w:sdtEndPr>
    <w:sdtContent>
      <w:p w14:paraId="6CC3562D" w14:textId="77777777" w:rsidR="00C147F4" w:rsidRDefault="00C147F4" w:rsidP="00C147F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D220A" w14:textId="77777777" w:rsidR="00A35148" w:rsidRDefault="00A35148">
      <w:r>
        <w:separator/>
      </w:r>
    </w:p>
  </w:footnote>
  <w:footnote w:type="continuationSeparator" w:id="0">
    <w:p w14:paraId="2F9B21F2" w14:textId="77777777" w:rsidR="00A35148" w:rsidRDefault="00A35148">
      <w:r>
        <w:continuationSeparator/>
      </w:r>
    </w:p>
  </w:footnote>
  <w:footnote w:type="continuationNotice" w:id="1">
    <w:p w14:paraId="4B6E0752" w14:textId="77777777" w:rsidR="00A35148" w:rsidRDefault="00A35148">
      <w:pPr>
        <w:rPr>
          <w:sz w:val="22"/>
        </w:rPr>
      </w:pPr>
    </w:p>
    <w:p w14:paraId="571BC34F" w14:textId="77777777" w:rsidR="00A35148" w:rsidRDefault="00A35148">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1C005184" w14:textId="7A0CF4AD" w:rsidR="00C147F4" w:rsidRPr="008A4FEA" w:rsidRDefault="00C147F4" w:rsidP="0005024B">
      <w:pPr>
        <w:pStyle w:val="FootnoteText"/>
        <w:rPr>
          <w:rFonts w:ascii="Book Antiqua" w:hAnsi="Book Antiqua"/>
          <w:sz w:val="22"/>
          <w:szCs w:val="22"/>
        </w:rPr>
      </w:pPr>
      <w:r w:rsidRPr="008A4FEA">
        <w:rPr>
          <w:rStyle w:val="FootnoteReference"/>
          <w:rFonts w:ascii="Book Antiqua" w:hAnsi="Book Antiqua"/>
          <w:sz w:val="22"/>
          <w:szCs w:val="22"/>
        </w:rPr>
        <w:footnoteRef/>
      </w:r>
      <w:r w:rsidRPr="008A4FEA">
        <w:rPr>
          <w:rFonts w:ascii="Book Antiqua" w:hAnsi="Book Antiqua"/>
          <w:sz w:val="22"/>
          <w:szCs w:val="22"/>
        </w:rPr>
        <w:t xml:space="preserve">  Complainants are:  Ron Renter, Bob Baker, Kathy Russell, Robert Weaver, Sherry Tripoli, Annette Torres, Vincent Consolo, Bernie Coughlyn, Joe Hagen,  Dan Petrozzi, Linda Gleason, Marilyn Morrow, James Buck, Michael McEachern, Stan Pratt, Rick McQuown, Mary Perry, Vonalie Bennett, Mark Miller, Mary Ann Raymond, Clara Burgum, Lee Alverez, and Elain Browne. These individuals represent at least 10% of Leisure Lakes Mobile Estate’s water service connections in compliance with the requirements of Pub. Util. Code § 2705.6(a).   </w:t>
      </w:r>
    </w:p>
  </w:footnote>
  <w:footnote w:id="3">
    <w:p w14:paraId="597F0EAF" w14:textId="5E137FF7" w:rsidR="00C147F4" w:rsidRDefault="00C147F4">
      <w:pPr>
        <w:pStyle w:val="FootnoteText"/>
      </w:pPr>
      <w:r w:rsidRPr="008A4FEA">
        <w:rPr>
          <w:rStyle w:val="FootnoteReference"/>
          <w:rFonts w:ascii="Book Antiqua" w:hAnsi="Book Antiqua"/>
          <w:sz w:val="22"/>
          <w:szCs w:val="22"/>
        </w:rPr>
        <w:footnoteRef/>
      </w:r>
      <w:r w:rsidRPr="008A4FEA">
        <w:rPr>
          <w:rFonts w:ascii="Book Antiqua" w:hAnsi="Book Antiqua"/>
          <w:sz w:val="22"/>
          <w:szCs w:val="22"/>
        </w:rPr>
        <w:t xml:space="preserve">  Unless otherwise noted, all subsequent section references herein are to the Public Utilities Code</w:t>
      </w:r>
      <w:r>
        <w:t xml:space="preserve"> </w:t>
      </w:r>
    </w:p>
  </w:footnote>
  <w:footnote w:id="4">
    <w:p w14:paraId="3CC12FCF" w14:textId="4602D9D9" w:rsidR="00C147F4" w:rsidRPr="00952B34" w:rsidRDefault="00C147F4" w:rsidP="00CB5F8A">
      <w:pPr>
        <w:autoSpaceDE w:val="0"/>
        <w:autoSpaceDN w:val="0"/>
        <w:adjustRightInd w:val="0"/>
        <w:rPr>
          <w:rFonts w:ascii="Book Antiqua" w:hAnsi="Book Antiqua" w:cs="BookAntiqua"/>
          <w:sz w:val="22"/>
          <w:szCs w:val="22"/>
        </w:rPr>
      </w:pPr>
      <w:r w:rsidRPr="00952B34">
        <w:rPr>
          <w:rStyle w:val="FootnoteReference"/>
          <w:rFonts w:ascii="Book Antiqua" w:hAnsi="Book Antiqua"/>
          <w:sz w:val="22"/>
          <w:szCs w:val="22"/>
        </w:rPr>
        <w:footnoteRef/>
      </w:r>
      <w:r w:rsidRPr="00952B34">
        <w:rPr>
          <w:rFonts w:ascii="Book Antiqua" w:hAnsi="Book Antiqua"/>
          <w:sz w:val="22"/>
          <w:szCs w:val="22"/>
        </w:rPr>
        <w:t xml:space="preserve">  </w:t>
      </w:r>
      <w:r w:rsidRPr="00952B34">
        <w:rPr>
          <w:rFonts w:ascii="Book Antiqua" w:hAnsi="Book Antiqua" w:cs="BookAntiqua"/>
          <w:sz w:val="22"/>
          <w:szCs w:val="22"/>
        </w:rPr>
        <w:t xml:space="preserve">The request for injunction was denied by ruling at the prehearing conference.  This decision affirms this ruling. </w:t>
      </w:r>
      <w:r>
        <w:rPr>
          <w:rFonts w:ascii="Book Antiqua" w:hAnsi="Book Antiqua" w:cs="BookAntiqua"/>
          <w:sz w:val="22"/>
          <w:szCs w:val="22"/>
        </w:rPr>
        <w:t xml:space="preserve"> </w:t>
      </w:r>
      <w:r w:rsidRPr="00952B34">
        <w:rPr>
          <w:rFonts w:ascii="Book Antiqua" w:hAnsi="Book Antiqua" w:cs="BookAntiqua"/>
          <w:sz w:val="22"/>
          <w:szCs w:val="22"/>
        </w:rPr>
        <w:t xml:space="preserve">Defendant is not a regulated utility. </w:t>
      </w:r>
      <w:bookmarkStart w:id="10" w:name="_Hlk31194677"/>
      <w:r w:rsidRPr="00952B34">
        <w:rPr>
          <w:rFonts w:ascii="Book Antiqua" w:hAnsi="Book Antiqua" w:cs="BookAntiqua"/>
          <w:sz w:val="22"/>
          <w:szCs w:val="22"/>
        </w:rPr>
        <w:t xml:space="preserve"> AB 1830 only provides the Commission with jurisdiction to determine whether the rates being charges are just and reasonable.  The Commission does not have jurisdiction to evaluate the rates charged for sewer service, nor does it have the jurisdiction to evaluate whether the Defendant is providing the appropriate low</w:t>
      </w:r>
      <w:r>
        <w:rPr>
          <w:rFonts w:ascii="Book Antiqua" w:hAnsi="Book Antiqua" w:cs="BookAntiqua"/>
          <w:sz w:val="22"/>
          <w:szCs w:val="22"/>
        </w:rPr>
        <w:noBreakHyphen/>
      </w:r>
      <w:r w:rsidRPr="00952B34">
        <w:rPr>
          <w:rFonts w:ascii="Book Antiqua" w:hAnsi="Book Antiqua" w:cs="BookAntiqua"/>
          <w:sz w:val="22"/>
          <w:szCs w:val="22"/>
        </w:rPr>
        <w:t>income rates to eligible tenants.</w:t>
      </w:r>
    </w:p>
    <w:bookmarkEnd w:id="10"/>
  </w:footnote>
  <w:footnote w:id="5">
    <w:p w14:paraId="0479E394" w14:textId="766C4653" w:rsidR="00C147F4" w:rsidRDefault="00C147F4" w:rsidP="002E1440">
      <w:pPr>
        <w:pStyle w:val="FootnoteText"/>
      </w:pPr>
      <w:r w:rsidRPr="00952B34">
        <w:rPr>
          <w:rStyle w:val="FootnoteReference"/>
          <w:rFonts w:ascii="Book Antiqua" w:hAnsi="Book Antiqua"/>
          <w:sz w:val="22"/>
          <w:szCs w:val="22"/>
        </w:rPr>
        <w:footnoteRef/>
      </w:r>
      <w:r w:rsidRPr="00952B34">
        <w:rPr>
          <w:rFonts w:ascii="Book Antiqua" w:hAnsi="Book Antiqua"/>
          <w:sz w:val="22"/>
          <w:szCs w:val="22"/>
        </w:rPr>
        <w:t xml:space="preserve">  </w:t>
      </w:r>
      <w:r w:rsidRPr="00952B34">
        <w:rPr>
          <w:rFonts w:ascii="Book Antiqua" w:hAnsi="Book Antiqua"/>
          <w:i/>
          <w:iCs/>
          <w:sz w:val="22"/>
          <w:szCs w:val="22"/>
        </w:rPr>
        <w:t>See</w:t>
      </w:r>
      <w:r w:rsidRPr="00952B34">
        <w:rPr>
          <w:rFonts w:ascii="Book Antiqua" w:hAnsi="Book Antiqua"/>
          <w:sz w:val="22"/>
          <w:szCs w:val="22"/>
        </w:rPr>
        <w:t xml:space="preserve"> Reporter’s Transcript of the PHC at 17.</w:t>
      </w:r>
      <w:r>
        <w:t xml:space="preserve"> </w:t>
      </w:r>
    </w:p>
  </w:footnote>
  <w:footnote w:id="6">
    <w:p w14:paraId="1A3940DF" w14:textId="11AB7824" w:rsidR="00C147F4" w:rsidRDefault="00C147F4">
      <w:pPr>
        <w:pStyle w:val="FootnoteText"/>
      </w:pPr>
      <w:r w:rsidRPr="00D21ECA">
        <w:rPr>
          <w:rStyle w:val="FootnoteReference"/>
          <w:rFonts w:ascii="Book Antiqua" w:hAnsi="Book Antiqua"/>
          <w:sz w:val="22"/>
          <w:szCs w:val="22"/>
        </w:rPr>
        <w:footnoteRef/>
      </w:r>
      <w:r w:rsidRPr="00D21ECA">
        <w:rPr>
          <w:rFonts w:ascii="Book Antiqua" w:hAnsi="Book Antiqua"/>
          <w:sz w:val="22"/>
          <w:szCs w:val="22"/>
        </w:rPr>
        <w:t xml:space="preserve"> </w:t>
      </w:r>
      <w:r>
        <w:rPr>
          <w:rFonts w:ascii="Book Antiqua" w:hAnsi="Book Antiqua"/>
          <w:sz w:val="22"/>
          <w:szCs w:val="22"/>
        </w:rPr>
        <w:t xml:space="preserve"> </w:t>
      </w:r>
      <w:r w:rsidRPr="00D21ECA">
        <w:rPr>
          <w:rFonts w:ascii="Book Antiqua" w:hAnsi="Book Antiqua"/>
          <w:sz w:val="22"/>
          <w:szCs w:val="22"/>
        </w:rPr>
        <w:t>Pursuant to Rule 1.1 of the Commission's Rules of Practice and Procedure, any person who transacts business with the Commission may never mislead the Commission or its staff by an artifice or false statement of fact or law.</w:t>
      </w:r>
    </w:p>
  </w:footnote>
  <w:footnote w:id="7">
    <w:p w14:paraId="6A6F5FB9" w14:textId="6495F70F" w:rsidR="00C147F4" w:rsidRPr="00887F34" w:rsidRDefault="00C147F4">
      <w:pPr>
        <w:pStyle w:val="FootnoteText"/>
        <w:rPr>
          <w:rFonts w:ascii="Book Antiqua" w:hAnsi="Book Antiqua"/>
          <w:sz w:val="22"/>
          <w:szCs w:val="22"/>
        </w:rPr>
      </w:pPr>
      <w:r w:rsidRPr="00887F34">
        <w:rPr>
          <w:rStyle w:val="FootnoteReference"/>
          <w:rFonts w:ascii="Book Antiqua" w:hAnsi="Book Antiqua"/>
          <w:sz w:val="22"/>
          <w:szCs w:val="22"/>
        </w:rPr>
        <w:footnoteRef/>
      </w:r>
      <w:r>
        <w:rPr>
          <w:rFonts w:ascii="Book Antiqua" w:hAnsi="Book Antiqua"/>
          <w:sz w:val="22"/>
          <w:szCs w:val="22"/>
        </w:rPr>
        <w:t xml:space="preserve"> </w:t>
      </w:r>
      <w:r w:rsidRPr="00887F34">
        <w:rPr>
          <w:rFonts w:ascii="Book Antiqua" w:hAnsi="Book Antiqua"/>
          <w:sz w:val="22"/>
          <w:szCs w:val="22"/>
        </w:rPr>
        <w:t xml:space="preserve"> Complainants refer to the “Antelope Valley Water Judgement” as authority for this claim but provide no legal citation to identify the reference or to show whether or how it is relevant controlling authority in adjudicating this proceeding.</w:t>
      </w:r>
    </w:p>
  </w:footnote>
  <w:footnote w:id="8">
    <w:p w14:paraId="4BE93694" w14:textId="46EDB870" w:rsidR="00C147F4" w:rsidRPr="003561B6" w:rsidRDefault="00C147F4">
      <w:pPr>
        <w:pStyle w:val="FootnoteText"/>
        <w:rPr>
          <w:rFonts w:ascii="Book Antiqua" w:hAnsi="Book Antiqua"/>
          <w:sz w:val="22"/>
          <w:szCs w:val="22"/>
        </w:rPr>
      </w:pPr>
      <w:r>
        <w:rPr>
          <w:rStyle w:val="FootnoteReference"/>
        </w:rPr>
        <w:footnoteRef/>
      </w:r>
      <w:r>
        <w:t xml:space="preserve">  </w:t>
      </w:r>
      <w:r w:rsidRPr="003561B6">
        <w:rPr>
          <w:rFonts w:ascii="Book Antiqua" w:hAnsi="Book Antiqua"/>
          <w:i/>
          <w:iCs/>
          <w:sz w:val="22"/>
          <w:szCs w:val="22"/>
        </w:rPr>
        <w:t>See</w:t>
      </w:r>
      <w:r w:rsidRPr="003561B6">
        <w:rPr>
          <w:rFonts w:ascii="Book Antiqua" w:hAnsi="Book Antiqua"/>
          <w:sz w:val="22"/>
          <w:szCs w:val="22"/>
        </w:rPr>
        <w:t xml:space="preserve"> PHC Reporter’s Transcript, August 12, 2019, </w:t>
      </w:r>
      <w:r>
        <w:rPr>
          <w:rFonts w:ascii="Book Antiqua" w:hAnsi="Book Antiqua"/>
          <w:sz w:val="22"/>
          <w:szCs w:val="22"/>
        </w:rPr>
        <w:t>at</w:t>
      </w:r>
      <w:r w:rsidRPr="003561B6">
        <w:rPr>
          <w:rFonts w:ascii="Book Antiqua" w:hAnsi="Book Antiqua"/>
          <w:sz w:val="22"/>
          <w:szCs w:val="22"/>
        </w:rPr>
        <w:t xml:space="preserve"> 213, lines 91-11</w:t>
      </w:r>
    </w:p>
  </w:footnote>
  <w:footnote w:id="9">
    <w:p w14:paraId="21D7420B" w14:textId="63151A73" w:rsidR="00C147F4" w:rsidRPr="003561B6" w:rsidRDefault="00C147F4">
      <w:pPr>
        <w:pStyle w:val="FootnoteText"/>
        <w:rPr>
          <w:rFonts w:ascii="Book Antiqua" w:hAnsi="Book Antiqua"/>
          <w:sz w:val="22"/>
          <w:szCs w:val="22"/>
        </w:rPr>
      </w:pPr>
      <w:r w:rsidRPr="003561B6">
        <w:rPr>
          <w:rStyle w:val="FootnoteReference"/>
          <w:rFonts w:ascii="Book Antiqua" w:hAnsi="Book Antiqua"/>
          <w:sz w:val="22"/>
          <w:szCs w:val="22"/>
        </w:rPr>
        <w:footnoteRef/>
      </w:r>
      <w:r w:rsidRPr="003561B6">
        <w:rPr>
          <w:rFonts w:ascii="Book Antiqua" w:hAnsi="Book Antiqua"/>
          <w:sz w:val="22"/>
          <w:szCs w:val="22"/>
        </w:rPr>
        <w:t xml:space="preserve">  Because Complainant provided only a vague reference to the “Antelope Valley Water Basin Judgement”, this decision finds insufficient basis to ascertain whether or how this reference may inform our decision in this proceeding.  </w:t>
      </w:r>
    </w:p>
  </w:footnote>
  <w:footnote w:id="10">
    <w:p w14:paraId="402A42C4" w14:textId="67FCD87D" w:rsidR="00C147F4" w:rsidRPr="003561B6" w:rsidRDefault="00C147F4">
      <w:pPr>
        <w:pStyle w:val="FootnoteText"/>
        <w:rPr>
          <w:rFonts w:ascii="Book Antiqua" w:hAnsi="Book Antiqua"/>
          <w:sz w:val="22"/>
          <w:szCs w:val="22"/>
        </w:rPr>
      </w:pPr>
      <w:r w:rsidRPr="003561B6">
        <w:rPr>
          <w:rStyle w:val="FootnoteReference"/>
          <w:rFonts w:ascii="Book Antiqua" w:hAnsi="Book Antiqua"/>
          <w:sz w:val="22"/>
          <w:szCs w:val="22"/>
        </w:rPr>
        <w:footnoteRef/>
      </w:r>
      <w:r w:rsidRPr="003561B6">
        <w:rPr>
          <w:rFonts w:ascii="Book Antiqua" w:hAnsi="Book Antiqua"/>
          <w:sz w:val="22"/>
          <w:szCs w:val="22"/>
        </w:rPr>
        <w:t xml:space="preserve">   </w:t>
      </w:r>
      <w:r w:rsidRPr="003561B6">
        <w:rPr>
          <w:rFonts w:ascii="Book Antiqua" w:hAnsi="Book Antiqua"/>
          <w:i/>
          <w:iCs/>
          <w:sz w:val="22"/>
          <w:szCs w:val="22"/>
        </w:rPr>
        <w:t>See</w:t>
      </w:r>
      <w:r w:rsidRPr="003561B6">
        <w:rPr>
          <w:rFonts w:ascii="Book Antiqua" w:hAnsi="Book Antiqua"/>
          <w:sz w:val="22"/>
          <w:szCs w:val="22"/>
        </w:rPr>
        <w:t xml:space="preserve"> WD Report, </w:t>
      </w:r>
      <w:r>
        <w:rPr>
          <w:rFonts w:ascii="Book Antiqua" w:hAnsi="Book Antiqua"/>
          <w:sz w:val="22"/>
          <w:szCs w:val="22"/>
        </w:rPr>
        <w:t>at</w:t>
      </w:r>
      <w:r w:rsidRPr="003561B6">
        <w:rPr>
          <w:rFonts w:ascii="Book Antiqua" w:hAnsi="Book Antiqua"/>
          <w:sz w:val="22"/>
          <w:szCs w:val="22"/>
        </w:rPr>
        <w:t xml:space="preserve"> 1. </w:t>
      </w:r>
    </w:p>
  </w:footnote>
  <w:footnote w:id="11">
    <w:p w14:paraId="5CA74C77" w14:textId="1927EFB2" w:rsidR="00C147F4" w:rsidRPr="003561B6" w:rsidRDefault="00C147F4">
      <w:pPr>
        <w:pStyle w:val="FootnoteText"/>
        <w:rPr>
          <w:rFonts w:ascii="Book Antiqua" w:hAnsi="Book Antiqua"/>
          <w:i/>
          <w:iCs/>
          <w:sz w:val="22"/>
          <w:szCs w:val="22"/>
        </w:rPr>
      </w:pPr>
      <w:r w:rsidRPr="003561B6">
        <w:rPr>
          <w:rStyle w:val="FootnoteReference"/>
          <w:rFonts w:ascii="Book Antiqua" w:hAnsi="Book Antiqua"/>
          <w:sz w:val="22"/>
          <w:szCs w:val="22"/>
        </w:rPr>
        <w:footnoteRef/>
      </w:r>
      <w:r w:rsidRPr="003561B6">
        <w:rPr>
          <w:rFonts w:ascii="Book Antiqua" w:hAnsi="Book Antiqua"/>
          <w:sz w:val="22"/>
          <w:szCs w:val="22"/>
        </w:rPr>
        <w:t xml:space="preserve">  </w:t>
      </w:r>
      <w:r>
        <w:rPr>
          <w:rFonts w:ascii="Book Antiqua" w:hAnsi="Book Antiqua"/>
          <w:sz w:val="22"/>
          <w:szCs w:val="22"/>
        </w:rPr>
        <w:t xml:space="preserve"> </w:t>
      </w:r>
      <w:r w:rsidRPr="003561B6">
        <w:rPr>
          <w:rFonts w:ascii="Book Antiqua" w:hAnsi="Book Antiqua"/>
          <w:i/>
          <w:iCs/>
          <w:sz w:val="22"/>
          <w:szCs w:val="22"/>
        </w:rPr>
        <w:t>See</w:t>
      </w:r>
      <w:r w:rsidRPr="003561B6">
        <w:rPr>
          <w:rFonts w:ascii="Book Antiqua" w:hAnsi="Book Antiqua"/>
          <w:sz w:val="22"/>
          <w:szCs w:val="22"/>
        </w:rPr>
        <w:t xml:space="preserve">:  Standard Practice (SP) U-9-SM for </w:t>
      </w:r>
      <w:r w:rsidRPr="003561B6">
        <w:rPr>
          <w:rFonts w:ascii="Book Antiqua" w:hAnsi="Book Antiqua"/>
          <w:i/>
          <w:iCs/>
          <w:sz w:val="22"/>
          <w:szCs w:val="22"/>
        </w:rPr>
        <w:t>Processing Informal General Rate Cases of Small Water and Sewer Utilities; SP U-3-SM for Preparing Results of Operation Reports for General Rate Increase Requests of Water Utilities Other Than Major Companies; and SP U-7-W: Rate Design for Water and Sewer System Utilities Including Master Metered Facilities.</w:t>
      </w:r>
    </w:p>
  </w:footnote>
  <w:footnote w:id="12">
    <w:p w14:paraId="48954E6A" w14:textId="2C232D12" w:rsidR="00C147F4" w:rsidRPr="003561B6" w:rsidRDefault="00C147F4" w:rsidP="00C43F8E">
      <w:pPr>
        <w:pStyle w:val="FootnoteText"/>
        <w:rPr>
          <w:rFonts w:ascii="Book Antiqua" w:hAnsi="Book Antiqua"/>
          <w:sz w:val="22"/>
          <w:szCs w:val="22"/>
        </w:rPr>
      </w:pPr>
      <w:r w:rsidRPr="003561B6">
        <w:rPr>
          <w:rStyle w:val="FootnoteReference"/>
          <w:rFonts w:ascii="Book Antiqua" w:hAnsi="Book Antiqua"/>
          <w:sz w:val="22"/>
          <w:szCs w:val="22"/>
        </w:rPr>
        <w:footnoteRef/>
      </w:r>
      <w:r w:rsidRPr="003561B6">
        <w:rPr>
          <w:rFonts w:ascii="Book Antiqua" w:hAnsi="Book Antiqua"/>
          <w:sz w:val="22"/>
          <w:szCs w:val="22"/>
        </w:rPr>
        <w:t xml:space="preserve"> </w:t>
      </w:r>
      <w:bookmarkStart w:id="24" w:name="_Hlk31026879"/>
      <w:r>
        <w:rPr>
          <w:rFonts w:ascii="Book Antiqua" w:hAnsi="Book Antiqua"/>
          <w:sz w:val="22"/>
          <w:szCs w:val="22"/>
        </w:rPr>
        <w:t xml:space="preserve"> </w:t>
      </w:r>
      <w:r w:rsidRPr="003561B6">
        <w:rPr>
          <w:rFonts w:ascii="Book Antiqua" w:hAnsi="Book Antiqua"/>
          <w:sz w:val="22"/>
          <w:szCs w:val="22"/>
        </w:rPr>
        <w:t xml:space="preserve">As defined in General Order 96-B Water Industry Rules Section 1.2, Class C and D water utilities serve 501 through 2,000, and less than 500 service connections, respectively.  </w:t>
      </w:r>
    </w:p>
    <w:bookmarkEnd w:id="24"/>
  </w:footnote>
  <w:footnote w:id="13">
    <w:p w14:paraId="0142301D" w14:textId="5C84E839" w:rsidR="00C147F4" w:rsidRPr="007F169C" w:rsidRDefault="00C147F4" w:rsidP="00372845">
      <w:pPr>
        <w:pStyle w:val="FootnoteText"/>
        <w:rPr>
          <w:rFonts w:ascii="Times New Roman" w:hAnsi="Times New Roman"/>
          <w:sz w:val="22"/>
          <w:szCs w:val="22"/>
        </w:rPr>
      </w:pPr>
      <w:r w:rsidRPr="003561B6">
        <w:rPr>
          <w:rStyle w:val="FootnoteReference"/>
          <w:rFonts w:ascii="Book Antiqua" w:hAnsi="Book Antiqua"/>
          <w:sz w:val="22"/>
          <w:szCs w:val="22"/>
        </w:rPr>
        <w:footnoteRef/>
      </w:r>
      <w:r w:rsidRPr="003561B6">
        <w:rPr>
          <w:rFonts w:ascii="Book Antiqua" w:hAnsi="Book Antiqua"/>
          <w:sz w:val="22"/>
          <w:szCs w:val="22"/>
        </w:rPr>
        <w:t xml:space="preserve"> </w:t>
      </w:r>
      <w:r>
        <w:rPr>
          <w:rFonts w:ascii="Book Antiqua" w:hAnsi="Book Antiqua"/>
          <w:sz w:val="22"/>
          <w:szCs w:val="22"/>
        </w:rPr>
        <w:t xml:space="preserve"> </w:t>
      </w:r>
      <w:r w:rsidRPr="003561B6">
        <w:rPr>
          <w:rFonts w:ascii="Book Antiqua" w:hAnsi="Book Antiqua"/>
          <w:sz w:val="22"/>
          <w:szCs w:val="22"/>
        </w:rPr>
        <w:t>Leisure Lake’s invoices for its operating expenses based on 2018 and 2019 data were provided in response to the ALJ’s August 26, 2019 Ruling.</w:t>
      </w:r>
    </w:p>
  </w:footnote>
  <w:footnote w:id="14">
    <w:p w14:paraId="5A623792" w14:textId="57D1FE6E" w:rsidR="00C147F4" w:rsidRPr="003561B6" w:rsidRDefault="00C147F4" w:rsidP="008D5F50">
      <w:pPr>
        <w:pStyle w:val="FootnoteText"/>
        <w:rPr>
          <w:rFonts w:ascii="Book Antiqua" w:hAnsi="Book Antiqua"/>
          <w:sz w:val="22"/>
          <w:szCs w:val="22"/>
        </w:rPr>
      </w:pPr>
      <w:r w:rsidRPr="003561B6">
        <w:rPr>
          <w:rStyle w:val="FootnoteReference"/>
          <w:rFonts w:ascii="Book Antiqua" w:hAnsi="Book Antiqua"/>
          <w:sz w:val="22"/>
          <w:szCs w:val="22"/>
        </w:rPr>
        <w:footnoteRef/>
      </w:r>
      <w:r w:rsidRPr="003561B6">
        <w:rPr>
          <w:rFonts w:ascii="Book Antiqua" w:hAnsi="Book Antiqua"/>
          <w:sz w:val="22"/>
          <w:szCs w:val="22"/>
        </w:rPr>
        <w:t xml:space="preserve">  </w:t>
      </w:r>
      <w:r w:rsidRPr="003561B6">
        <w:rPr>
          <w:rFonts w:ascii="Book Antiqua" w:hAnsi="Book Antiqua"/>
          <w:i/>
          <w:iCs/>
          <w:sz w:val="22"/>
          <w:szCs w:val="22"/>
        </w:rPr>
        <w:t>See</w:t>
      </w:r>
      <w:r w:rsidRPr="003561B6">
        <w:rPr>
          <w:rFonts w:ascii="Book Antiqua" w:hAnsi="Book Antiqua"/>
          <w:sz w:val="22"/>
          <w:szCs w:val="22"/>
        </w:rPr>
        <w:t xml:space="preserve"> D. 92-03-093 and Resolution W-4524 and Standard Practice U-3-SM</w:t>
      </w:r>
      <w:r>
        <w:rPr>
          <w:rFonts w:ascii="Book Antiqua" w:hAnsi="Book Antiqua"/>
          <w:sz w:val="22"/>
          <w:szCs w:val="22"/>
        </w:rPr>
        <w:t>.</w:t>
      </w:r>
    </w:p>
  </w:footnote>
  <w:footnote w:id="15">
    <w:p w14:paraId="1BEE6439" w14:textId="5FAF9373" w:rsidR="00C147F4" w:rsidRPr="003561B6" w:rsidRDefault="00C147F4" w:rsidP="00BE68F5">
      <w:pPr>
        <w:pStyle w:val="FootnoteText"/>
        <w:rPr>
          <w:rFonts w:ascii="Book Antiqua" w:hAnsi="Book Antiqua"/>
          <w:sz w:val="22"/>
          <w:szCs w:val="22"/>
        </w:rPr>
      </w:pPr>
      <w:r w:rsidRPr="00C27482">
        <w:rPr>
          <w:rStyle w:val="FootnoteReference"/>
          <w:rFonts w:ascii="Times New Roman" w:hAnsi="Times New Roman"/>
          <w:sz w:val="22"/>
          <w:szCs w:val="22"/>
        </w:rPr>
        <w:footnoteRef/>
      </w:r>
      <w:r w:rsidRPr="00C27482">
        <w:rPr>
          <w:rFonts w:ascii="Times New Roman" w:hAnsi="Times New Roman"/>
          <w:sz w:val="22"/>
          <w:szCs w:val="22"/>
        </w:rPr>
        <w:t xml:space="preserve"> </w:t>
      </w:r>
      <w:r>
        <w:rPr>
          <w:rFonts w:ascii="Times New Roman" w:hAnsi="Times New Roman"/>
          <w:sz w:val="22"/>
          <w:szCs w:val="22"/>
        </w:rPr>
        <w:t xml:space="preserve"> </w:t>
      </w:r>
      <w:r w:rsidRPr="003561B6">
        <w:rPr>
          <w:rFonts w:ascii="Book Antiqua" w:hAnsi="Book Antiqua"/>
          <w:sz w:val="22"/>
          <w:szCs w:val="22"/>
        </w:rPr>
        <w:t xml:space="preserve">For more information on the methodology for calculating rate base, </w:t>
      </w:r>
      <w:r w:rsidRPr="003561B6">
        <w:rPr>
          <w:rFonts w:ascii="Book Antiqua" w:hAnsi="Book Antiqua"/>
          <w:i/>
          <w:iCs/>
          <w:sz w:val="22"/>
          <w:szCs w:val="22"/>
        </w:rPr>
        <w:t>see</w:t>
      </w:r>
      <w:r w:rsidRPr="003561B6">
        <w:rPr>
          <w:rFonts w:ascii="Book Antiqua" w:hAnsi="Book Antiqua"/>
          <w:sz w:val="22"/>
          <w:szCs w:val="22"/>
        </w:rPr>
        <w:t xml:space="preserve"> Standard Practice U</w:t>
      </w:r>
      <w:r>
        <w:rPr>
          <w:rFonts w:ascii="Book Antiqua" w:hAnsi="Book Antiqua"/>
          <w:sz w:val="22"/>
          <w:szCs w:val="22"/>
        </w:rPr>
        <w:noBreakHyphen/>
      </w:r>
      <w:r w:rsidRPr="003561B6">
        <w:rPr>
          <w:rFonts w:ascii="Book Antiqua" w:hAnsi="Book Antiqua"/>
          <w:sz w:val="22"/>
          <w:szCs w:val="22"/>
        </w:rPr>
        <w:t xml:space="preserve">5-SM.  </w:t>
      </w:r>
      <w:hyperlink r:id="rId1" w:history="1">
        <w:r w:rsidRPr="003561B6">
          <w:rPr>
            <w:rStyle w:val="Hyperlink"/>
            <w:rFonts w:ascii="Book Antiqua" w:hAnsi="Book Antiqua"/>
            <w:sz w:val="22"/>
            <w:szCs w:val="22"/>
          </w:rPr>
          <w:t>http://docs.cpuc.ca.gov/PublishedDocs/Published/G000/M039/K595/39595200.PDF</w:t>
        </w:r>
      </w:hyperlink>
    </w:p>
  </w:footnote>
  <w:footnote w:id="16">
    <w:p w14:paraId="5828493A" w14:textId="6823ACEE" w:rsidR="00C147F4" w:rsidRPr="003561B6" w:rsidRDefault="00C147F4" w:rsidP="00372845">
      <w:pPr>
        <w:pStyle w:val="FootnoteText"/>
        <w:rPr>
          <w:rFonts w:ascii="Book Antiqua" w:hAnsi="Book Antiqua"/>
          <w:sz w:val="22"/>
          <w:szCs w:val="22"/>
        </w:rPr>
      </w:pPr>
      <w:r w:rsidRPr="003561B6">
        <w:rPr>
          <w:rStyle w:val="FootnoteReference"/>
          <w:rFonts w:ascii="Book Antiqua" w:hAnsi="Book Antiqua"/>
          <w:sz w:val="22"/>
          <w:szCs w:val="22"/>
        </w:rPr>
        <w:footnoteRef/>
      </w:r>
      <w:r w:rsidRPr="003561B6">
        <w:rPr>
          <w:rFonts w:ascii="Book Antiqua" w:hAnsi="Book Antiqua"/>
          <w:sz w:val="22"/>
          <w:szCs w:val="22"/>
        </w:rPr>
        <w:t xml:space="preserve">  Water Division’s February 29, 2019 memorandum on the recommended Rates of Return and Rates of Margin for Class C and D Water and Sewer Utilities. </w:t>
      </w:r>
      <w:hyperlink r:id="rId2" w:history="1">
        <w:r w:rsidRPr="003561B6">
          <w:rPr>
            <w:rStyle w:val="Hyperlink"/>
            <w:rFonts w:ascii="Book Antiqua" w:hAnsi="Book Antiqua"/>
            <w:sz w:val="22"/>
            <w:szCs w:val="22"/>
          </w:rPr>
          <w:t>https://www.cpuc.ca.gov/uploadedFiles/CPUC_Public_Website/Content/Utilities_and_Industries/Water/2019%20Rates%20of%20Return%20and%20Rates%20of%20Margin%20for%20Class%20C%20and%20D%20Water%20Utilities.pdf</w:t>
        </w:r>
      </w:hyperlink>
    </w:p>
  </w:footnote>
  <w:footnote w:id="17">
    <w:p w14:paraId="1C8E2351" w14:textId="1B0E0056" w:rsidR="00C147F4" w:rsidRPr="003561B6" w:rsidRDefault="00C147F4" w:rsidP="00741529">
      <w:pPr>
        <w:pStyle w:val="FootnoteText"/>
        <w:rPr>
          <w:rFonts w:ascii="Book Antiqua" w:hAnsi="Book Antiqua"/>
          <w:sz w:val="22"/>
          <w:szCs w:val="22"/>
        </w:rPr>
      </w:pPr>
      <w:r w:rsidRPr="003561B6">
        <w:rPr>
          <w:rStyle w:val="FootnoteReference"/>
          <w:rFonts w:ascii="Book Antiqua" w:hAnsi="Book Antiqua"/>
          <w:sz w:val="22"/>
          <w:szCs w:val="22"/>
        </w:rPr>
        <w:footnoteRef/>
      </w:r>
      <w:r w:rsidRPr="003561B6">
        <w:rPr>
          <w:rFonts w:ascii="Book Antiqua" w:hAnsi="Book Antiqua"/>
          <w:sz w:val="22"/>
          <w:szCs w:val="22"/>
        </w:rPr>
        <w:t xml:space="preserve">  D.92-03-093, Ordering Paragraph No. 6.</w:t>
      </w:r>
    </w:p>
  </w:footnote>
  <w:footnote w:id="18">
    <w:p w14:paraId="13EDADD3" w14:textId="6633B13F" w:rsidR="00C147F4" w:rsidRPr="008E6709" w:rsidRDefault="00C147F4" w:rsidP="00741529">
      <w:pPr>
        <w:pStyle w:val="FootnoteText"/>
        <w:rPr>
          <w:rFonts w:ascii="Times New Roman" w:hAnsi="Times New Roman"/>
          <w:sz w:val="22"/>
          <w:szCs w:val="22"/>
        </w:rPr>
      </w:pPr>
      <w:r w:rsidRPr="003561B6">
        <w:rPr>
          <w:rStyle w:val="FootnoteReference"/>
          <w:rFonts w:ascii="Book Antiqua" w:hAnsi="Book Antiqua"/>
          <w:sz w:val="22"/>
          <w:szCs w:val="22"/>
        </w:rPr>
        <w:footnoteRef/>
      </w:r>
      <w:r w:rsidRPr="003561B6">
        <w:rPr>
          <w:rFonts w:ascii="Book Antiqua" w:hAnsi="Book Antiqua"/>
          <w:sz w:val="22"/>
          <w:szCs w:val="22"/>
        </w:rPr>
        <w:t xml:space="preserve"> </w:t>
      </w:r>
      <w:r>
        <w:rPr>
          <w:rFonts w:ascii="Book Antiqua" w:hAnsi="Book Antiqua"/>
          <w:sz w:val="22"/>
          <w:szCs w:val="22"/>
        </w:rPr>
        <w:t xml:space="preserve"> </w:t>
      </w:r>
      <w:r w:rsidRPr="003561B6">
        <w:rPr>
          <w:rFonts w:ascii="Book Antiqua" w:hAnsi="Book Antiqua"/>
          <w:sz w:val="22"/>
          <w:szCs w:val="22"/>
        </w:rPr>
        <w:t>Fixed costs are those costs that do not change with the amount of water delivered and includes profit, SP-U-7-W at 2.</w:t>
      </w:r>
    </w:p>
  </w:footnote>
  <w:footnote w:id="19">
    <w:p w14:paraId="2E23C0AB" w14:textId="6CA91B9B" w:rsidR="00C147F4" w:rsidRDefault="00C147F4">
      <w:pPr>
        <w:pStyle w:val="FootnoteText"/>
      </w:pPr>
      <w:r w:rsidRPr="003561B6">
        <w:rPr>
          <w:rStyle w:val="FootnoteReference"/>
          <w:rFonts w:ascii="Book Antiqua" w:hAnsi="Book Antiqua"/>
          <w:sz w:val="22"/>
          <w:szCs w:val="22"/>
        </w:rPr>
        <w:footnoteRef/>
      </w:r>
      <w:r>
        <w:rPr>
          <w:rFonts w:ascii="Book Antiqua" w:hAnsi="Book Antiqua"/>
          <w:sz w:val="22"/>
          <w:szCs w:val="22"/>
        </w:rPr>
        <w:t xml:space="preserve"> </w:t>
      </w:r>
      <w:r w:rsidRPr="003561B6">
        <w:rPr>
          <w:rFonts w:ascii="Book Antiqua" w:hAnsi="Book Antiqua"/>
          <w:sz w:val="22"/>
          <w:szCs w:val="22"/>
        </w:rPr>
        <w:t xml:space="preserve"> For determining the quantity rate, the WD estimated an annual water usage of 11,844 CCF based on data provided by Leisure Lake for February through September 2019.  The water usage data used for calculating the quantity rate is provided in Appendix B of the WD Report.</w:t>
      </w:r>
    </w:p>
  </w:footnote>
  <w:footnote w:id="20">
    <w:p w14:paraId="77D6AA1D" w14:textId="3A9BAA65" w:rsidR="00C147F4" w:rsidRPr="003561B6" w:rsidRDefault="00C147F4" w:rsidP="00675BFE">
      <w:pPr>
        <w:pStyle w:val="FootnoteText"/>
        <w:rPr>
          <w:rFonts w:ascii="Book Antiqua" w:hAnsi="Book Antiqua"/>
          <w:sz w:val="22"/>
          <w:szCs w:val="22"/>
        </w:rPr>
      </w:pPr>
      <w:r>
        <w:rPr>
          <w:rStyle w:val="FootnoteReference"/>
        </w:rPr>
        <w:footnoteRef/>
      </w:r>
      <w:r>
        <w:t xml:space="preserve">  </w:t>
      </w:r>
      <w:r w:rsidRPr="003561B6">
        <w:rPr>
          <w:rFonts w:ascii="Book Antiqua" w:hAnsi="Book Antiqua"/>
          <w:sz w:val="22"/>
          <w:szCs w:val="22"/>
        </w:rPr>
        <w:t>One CCF equals 748.1 gallons.</w:t>
      </w:r>
    </w:p>
  </w:footnote>
  <w:footnote w:id="21">
    <w:p w14:paraId="6B4BE526" w14:textId="5D47F0B8" w:rsidR="00C147F4" w:rsidRDefault="00C147F4" w:rsidP="00675BFE">
      <w:pPr>
        <w:pStyle w:val="FootnoteText"/>
      </w:pPr>
      <w:r w:rsidRPr="003561B6">
        <w:rPr>
          <w:rStyle w:val="FootnoteReference"/>
          <w:rFonts w:ascii="Book Antiqua" w:hAnsi="Book Antiqua"/>
          <w:sz w:val="22"/>
          <w:szCs w:val="22"/>
        </w:rPr>
        <w:footnoteRef/>
      </w:r>
      <w:r w:rsidRPr="003561B6">
        <w:rPr>
          <w:rFonts w:ascii="Book Antiqua" w:hAnsi="Book Antiqua"/>
          <w:sz w:val="22"/>
          <w:szCs w:val="22"/>
        </w:rPr>
        <w:t xml:space="preserve">  The water usage data used for calculating the quantity rate is provided in Appendix B of the WD Report.</w:t>
      </w:r>
    </w:p>
  </w:footnote>
  <w:footnote w:id="22">
    <w:p w14:paraId="2A9353AE" w14:textId="0E62A9A6" w:rsidR="00C147F4" w:rsidRPr="00D53A5B" w:rsidRDefault="00C147F4" w:rsidP="007B27A5">
      <w:pPr>
        <w:pStyle w:val="FootnoteText"/>
        <w:rPr>
          <w:rFonts w:ascii="Book Antiqua" w:hAnsi="Book Antiqua"/>
          <w:sz w:val="22"/>
          <w:szCs w:val="22"/>
        </w:rPr>
      </w:pPr>
      <w:r w:rsidRPr="00622D6C">
        <w:rPr>
          <w:rStyle w:val="FootnoteReference"/>
          <w:rFonts w:ascii="Times New Roman" w:hAnsi="Times New Roman"/>
          <w:sz w:val="22"/>
          <w:szCs w:val="22"/>
        </w:rPr>
        <w:footnoteRef/>
      </w:r>
      <w:r w:rsidRPr="00622D6C">
        <w:rPr>
          <w:rFonts w:ascii="Times New Roman" w:hAnsi="Times New Roman"/>
          <w:sz w:val="22"/>
          <w:szCs w:val="22"/>
        </w:rPr>
        <w:t xml:space="preserve"> </w:t>
      </w:r>
      <w:r>
        <w:rPr>
          <w:rFonts w:ascii="Times New Roman" w:hAnsi="Times New Roman"/>
          <w:sz w:val="22"/>
          <w:szCs w:val="22"/>
        </w:rPr>
        <w:t xml:space="preserve"> </w:t>
      </w:r>
      <w:r w:rsidRPr="00D53A5B">
        <w:rPr>
          <w:rFonts w:ascii="Book Antiqua" w:hAnsi="Book Antiqua"/>
          <w:sz w:val="22"/>
          <w:szCs w:val="22"/>
        </w:rPr>
        <w:t>May 13, 2015 State Water Resources Control Board Sanitary Survey.</w:t>
      </w:r>
    </w:p>
  </w:footnote>
  <w:footnote w:id="23">
    <w:p w14:paraId="70FE1552" w14:textId="7A12F541" w:rsidR="00C147F4" w:rsidRPr="007F169C" w:rsidRDefault="00C147F4" w:rsidP="007B27A5">
      <w:pPr>
        <w:pStyle w:val="FootnoteText"/>
        <w:rPr>
          <w:rFonts w:ascii="Times New Roman" w:hAnsi="Times New Roman"/>
          <w:sz w:val="22"/>
          <w:szCs w:val="22"/>
        </w:rPr>
      </w:pPr>
      <w:r w:rsidRPr="00D53A5B">
        <w:rPr>
          <w:rStyle w:val="FootnoteReference"/>
          <w:rFonts w:ascii="Book Antiqua" w:hAnsi="Book Antiqua"/>
          <w:sz w:val="22"/>
          <w:szCs w:val="22"/>
        </w:rPr>
        <w:footnoteRef/>
      </w:r>
      <w:r w:rsidRPr="00D53A5B">
        <w:rPr>
          <w:rFonts w:ascii="Book Antiqua" w:hAnsi="Book Antiqua"/>
          <w:sz w:val="22"/>
          <w:szCs w:val="22"/>
        </w:rPr>
        <w:t xml:space="preserve">  The arsenic treatment facility was funded through Proposition 84 grant funds.</w:t>
      </w:r>
    </w:p>
  </w:footnote>
  <w:footnote w:id="24">
    <w:p w14:paraId="33EF0CF7" w14:textId="77777777" w:rsidR="00A8678B" w:rsidRPr="007A5D86" w:rsidRDefault="00A8678B" w:rsidP="00A8678B">
      <w:pPr>
        <w:pStyle w:val="FootnoteText"/>
      </w:pPr>
      <w:r>
        <w:rPr>
          <w:rStyle w:val="FootnoteReference"/>
        </w:rPr>
        <w:footnoteRef/>
      </w:r>
      <w:r>
        <w:t xml:space="preserve"> The Defendant notes that at the Prehearing Conference (PHC), the ALJ outlined the steps that would provide due process and that the Complainants did not object to those steps at the PHC.  (</w:t>
      </w:r>
      <w:r>
        <w:rPr>
          <w:i/>
          <w:iCs/>
        </w:rPr>
        <w:t>See,</w:t>
      </w:r>
      <w:r>
        <w:t xml:space="preserve"> PHC Transcript page 27 at line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4081" w14:textId="00583109" w:rsidR="00A61BDD" w:rsidRDefault="00A61BDD">
    <w:pPr>
      <w:pStyle w:val="Header"/>
      <w:rPr>
        <w:b/>
      </w:rPr>
    </w:pPr>
    <w:r>
      <w:t>C.19-05-</w:t>
    </w:r>
    <w:proofErr w:type="gramStart"/>
    <w:r>
      <w:t>004  ALJ</w:t>
    </w:r>
    <w:proofErr w:type="gramEnd"/>
    <w:r>
      <w:t>/GK1/gp2</w:t>
    </w:r>
    <w:r>
      <w:tab/>
    </w:r>
    <w:r>
      <w:tab/>
    </w:r>
  </w:p>
  <w:p w14:paraId="11779CAD" w14:textId="77777777" w:rsidR="00A61BDD" w:rsidRDefault="00A61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9011" w14:textId="61838558" w:rsidR="00DB6F33" w:rsidRDefault="00C147F4" w:rsidP="00A61BDD">
    <w:pPr>
      <w:pStyle w:val="Header"/>
      <w:tabs>
        <w:tab w:val="left" w:pos="5490"/>
        <w:tab w:val="left" w:pos="6390"/>
      </w:tabs>
      <w:rPr>
        <w:b/>
      </w:rPr>
    </w:pPr>
    <w:r>
      <w:t>C.19-05-</w:t>
    </w:r>
    <w:proofErr w:type="gramStart"/>
    <w:r>
      <w:t>004  ALJ</w:t>
    </w:r>
    <w:proofErr w:type="gramEnd"/>
    <w:r>
      <w:t>/GK1/gp2</w:t>
    </w:r>
    <w:r w:rsidR="00A61BDD">
      <w:tab/>
    </w:r>
    <w:r>
      <w:tab/>
    </w:r>
    <w:r w:rsidR="00A61BDD">
      <w:rPr>
        <w:b/>
      </w:rPr>
      <w:t xml:space="preserve"> </w:t>
    </w:r>
  </w:p>
  <w:p w14:paraId="3A018012" w14:textId="77777777" w:rsidR="00C147F4" w:rsidRDefault="00C14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B042A" w14:textId="14567C0C" w:rsidR="00B27B59" w:rsidRDefault="00B27B59" w:rsidP="00A61BDD">
    <w:pPr>
      <w:pStyle w:val="Header"/>
      <w:tabs>
        <w:tab w:val="left" w:pos="5490"/>
      </w:tabs>
      <w:rPr>
        <w:b/>
      </w:rPr>
    </w:pPr>
    <w:r>
      <w:t>C.19-05-</w:t>
    </w:r>
    <w:proofErr w:type="gramStart"/>
    <w:r>
      <w:t>004  ALJ</w:t>
    </w:r>
    <w:proofErr w:type="gramEnd"/>
    <w:r>
      <w:t>/GK1/gp2</w:t>
    </w:r>
    <w:r>
      <w:tab/>
    </w:r>
    <w:r>
      <w:tab/>
    </w:r>
  </w:p>
  <w:p w14:paraId="79E41FE2" w14:textId="77777777" w:rsidR="00C147F4" w:rsidRPr="00B27B59" w:rsidRDefault="00C147F4" w:rsidP="00B27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9EBC05C4"/>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10B17BD0"/>
    <w:multiLevelType w:val="singleLevel"/>
    <w:tmpl w:val="2FB6A734"/>
    <w:lvl w:ilvl="0">
      <w:start w:val="1"/>
      <w:numFmt w:val="decimal"/>
      <w:lvlText w:val="%1."/>
      <w:legacy w:legacy="1" w:legacySpace="144" w:legacyIndent="0"/>
      <w:lvlJc w:val="left"/>
    </w:lvl>
  </w:abstractNum>
  <w:abstractNum w:abstractNumId="2" w15:restartNumberingAfterBreak="0">
    <w:nsid w:val="113B381E"/>
    <w:multiLevelType w:val="singleLevel"/>
    <w:tmpl w:val="2FB6A734"/>
    <w:lvl w:ilvl="0">
      <w:start w:val="1"/>
      <w:numFmt w:val="decimal"/>
      <w:lvlText w:val="%1."/>
      <w:legacy w:legacy="1" w:legacySpace="144" w:legacyIndent="0"/>
      <w:lvlJc w:val="left"/>
    </w:lvl>
  </w:abstractNum>
  <w:abstractNum w:abstractNumId="3" w15:restartNumberingAfterBreak="0">
    <w:nsid w:val="14570FBB"/>
    <w:multiLevelType w:val="multilevel"/>
    <w:tmpl w:val="A8FEA08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Zero"/>
      <w:isLgl/>
      <w:lvlText w:val="%1.%2.%3"/>
      <w:lvlJc w:val="left"/>
      <w:pPr>
        <w:ind w:left="1800" w:hanging="720"/>
      </w:pPr>
      <w:rPr>
        <w:rFonts w:hint="default"/>
      </w:rPr>
    </w:lvl>
    <w:lvl w:ilvl="3">
      <w:start w:val="1"/>
      <w:numFmt w:val="decimalZero"/>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2D1C545D"/>
    <w:multiLevelType w:val="singleLevel"/>
    <w:tmpl w:val="2FB6A734"/>
    <w:lvl w:ilvl="0">
      <w:start w:val="1"/>
      <w:numFmt w:val="decimal"/>
      <w:lvlText w:val="%1."/>
      <w:legacy w:legacy="1" w:legacySpace="144" w:legacyIndent="0"/>
      <w:lvlJc w:val="left"/>
    </w:lvl>
  </w:abstractNum>
  <w:abstractNum w:abstractNumId="5" w15:restartNumberingAfterBreak="0">
    <w:nsid w:val="2DD46003"/>
    <w:multiLevelType w:val="singleLevel"/>
    <w:tmpl w:val="408002C8"/>
    <w:lvl w:ilvl="0">
      <w:start w:val="1"/>
      <w:numFmt w:val="decimal"/>
      <w:lvlText w:val="%1."/>
      <w:legacy w:legacy="1" w:legacySpace="144" w:legacyIndent="0"/>
      <w:lvlJc w:val="left"/>
    </w:lvl>
  </w:abstractNum>
  <w:abstractNum w:abstractNumId="6" w15:restartNumberingAfterBreak="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8" w15:restartNumberingAfterBreak="0">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D84097"/>
    <w:multiLevelType w:val="hybridMultilevel"/>
    <w:tmpl w:val="41FA7668"/>
    <w:lvl w:ilvl="0" w:tplc="12F0C3F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1A2413"/>
    <w:multiLevelType w:val="hybridMultilevel"/>
    <w:tmpl w:val="FC8AF6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30D6C"/>
    <w:multiLevelType w:val="hybridMultilevel"/>
    <w:tmpl w:val="620CC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0556F"/>
    <w:multiLevelType w:val="hybridMultilevel"/>
    <w:tmpl w:val="B9F22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D726F"/>
    <w:multiLevelType w:val="singleLevel"/>
    <w:tmpl w:val="A87E780A"/>
    <w:lvl w:ilvl="0">
      <w:start w:val="1"/>
      <w:numFmt w:val="decimal"/>
      <w:lvlText w:val="%1."/>
      <w:legacy w:legacy="1" w:legacySpace="144" w:legacyIndent="0"/>
      <w:lvlJc w:val="left"/>
      <w:rPr>
        <w:rFonts w:ascii="Palatino" w:eastAsia="Times New Roman" w:hAnsi="Palatino" w:cs="Times New Roman"/>
      </w:rPr>
    </w:lvl>
  </w:abstractNum>
  <w:abstractNum w:abstractNumId="14" w15:restartNumberingAfterBreak="0">
    <w:nsid w:val="7B1C30FD"/>
    <w:multiLevelType w:val="singleLevel"/>
    <w:tmpl w:val="2FB6A734"/>
    <w:lvl w:ilvl="0">
      <w:start w:val="1"/>
      <w:numFmt w:val="decimal"/>
      <w:lvlText w:val="%1."/>
      <w:legacy w:legacy="1" w:legacySpace="144" w:legacyIndent="0"/>
      <w:lvlJc w:val="left"/>
    </w:lvl>
  </w:abstractNum>
  <w:num w:numId="1">
    <w:abstractNumId w:val="5"/>
  </w:num>
  <w:num w:numId="2">
    <w:abstractNumId w:val="2"/>
  </w:num>
  <w:num w:numId="3">
    <w:abstractNumId w:val="14"/>
  </w:num>
  <w:num w:numId="4">
    <w:abstractNumId w:val="6"/>
  </w:num>
  <w:num w:numId="5">
    <w:abstractNumId w:val="8"/>
  </w:num>
  <w:num w:numId="6">
    <w:abstractNumId w:val="0"/>
  </w:num>
  <w:num w:numId="7">
    <w:abstractNumId w:val="7"/>
  </w:num>
  <w:num w:numId="8">
    <w:abstractNumId w:val="0"/>
  </w:num>
  <w:num w:numId="9">
    <w:abstractNumId w:val="0"/>
  </w:num>
  <w:num w:numId="10">
    <w:abstractNumId w:val="10"/>
  </w:num>
  <w:num w:numId="11">
    <w:abstractNumId w:val="9"/>
  </w:num>
  <w:num w:numId="12">
    <w:abstractNumId w:val="0"/>
    <w:lvlOverride w:ilvl="0">
      <w:startOverride w:val="1"/>
    </w:lvlOverride>
  </w:num>
  <w:num w:numId="13">
    <w:abstractNumId w:val="13"/>
  </w:num>
  <w:num w:numId="14">
    <w:abstractNumId w:val="12"/>
  </w:num>
  <w:num w:numId="15">
    <w:abstractNumId w:val="1"/>
  </w:num>
  <w:num w:numId="16">
    <w:abstractNumId w:val="4"/>
  </w:num>
  <w:num w:numId="17">
    <w:abstractNumId w:val="3"/>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8A"/>
    <w:rsid w:val="00000B71"/>
    <w:rsid w:val="000411E3"/>
    <w:rsid w:val="00046CFD"/>
    <w:rsid w:val="00047098"/>
    <w:rsid w:val="0005024B"/>
    <w:rsid w:val="000730C3"/>
    <w:rsid w:val="0008233C"/>
    <w:rsid w:val="00090376"/>
    <w:rsid w:val="000926C6"/>
    <w:rsid w:val="000A50CD"/>
    <w:rsid w:val="000B5AEF"/>
    <w:rsid w:val="000C46C0"/>
    <w:rsid w:val="000D558A"/>
    <w:rsid w:val="000E0F0B"/>
    <w:rsid w:val="000E3EFA"/>
    <w:rsid w:val="000E4509"/>
    <w:rsid w:val="000E5903"/>
    <w:rsid w:val="00117F7B"/>
    <w:rsid w:val="00120664"/>
    <w:rsid w:val="00127F22"/>
    <w:rsid w:val="001339EC"/>
    <w:rsid w:val="00134E7B"/>
    <w:rsid w:val="00143DC6"/>
    <w:rsid w:val="00150E0F"/>
    <w:rsid w:val="00161C72"/>
    <w:rsid w:val="00195B81"/>
    <w:rsid w:val="001A02F9"/>
    <w:rsid w:val="001A410C"/>
    <w:rsid w:val="001B6FD2"/>
    <w:rsid w:val="001B7ACC"/>
    <w:rsid w:val="001C1CF6"/>
    <w:rsid w:val="001C2D3A"/>
    <w:rsid w:val="001C5562"/>
    <w:rsid w:val="001C59DF"/>
    <w:rsid w:val="001E395F"/>
    <w:rsid w:val="001E473E"/>
    <w:rsid w:val="001F15EB"/>
    <w:rsid w:val="001F5990"/>
    <w:rsid w:val="002030B6"/>
    <w:rsid w:val="00205CEC"/>
    <w:rsid w:val="00214CE8"/>
    <w:rsid w:val="00226EEF"/>
    <w:rsid w:val="00237CCE"/>
    <w:rsid w:val="0024473B"/>
    <w:rsid w:val="00267952"/>
    <w:rsid w:val="00277DFB"/>
    <w:rsid w:val="0029152C"/>
    <w:rsid w:val="002950C7"/>
    <w:rsid w:val="002A0B6C"/>
    <w:rsid w:val="002B6D9D"/>
    <w:rsid w:val="002C4950"/>
    <w:rsid w:val="002E1440"/>
    <w:rsid w:val="002E340F"/>
    <w:rsid w:val="002E43FE"/>
    <w:rsid w:val="00301445"/>
    <w:rsid w:val="0030756B"/>
    <w:rsid w:val="0031021E"/>
    <w:rsid w:val="00311EFA"/>
    <w:rsid w:val="003312C6"/>
    <w:rsid w:val="003373BC"/>
    <w:rsid w:val="00337AF2"/>
    <w:rsid w:val="00353F69"/>
    <w:rsid w:val="003561B6"/>
    <w:rsid w:val="00372845"/>
    <w:rsid w:val="00383C17"/>
    <w:rsid w:val="00390AAF"/>
    <w:rsid w:val="00395561"/>
    <w:rsid w:val="003A73B6"/>
    <w:rsid w:val="003B0383"/>
    <w:rsid w:val="003B3D93"/>
    <w:rsid w:val="003D379F"/>
    <w:rsid w:val="003F1870"/>
    <w:rsid w:val="00400642"/>
    <w:rsid w:val="00404552"/>
    <w:rsid w:val="00411D9E"/>
    <w:rsid w:val="00414406"/>
    <w:rsid w:val="00426E70"/>
    <w:rsid w:val="0043122C"/>
    <w:rsid w:val="00442915"/>
    <w:rsid w:val="00443408"/>
    <w:rsid w:val="00450622"/>
    <w:rsid w:val="004853A6"/>
    <w:rsid w:val="004868EF"/>
    <w:rsid w:val="004D78D2"/>
    <w:rsid w:val="004F71B4"/>
    <w:rsid w:val="0052288C"/>
    <w:rsid w:val="0052796B"/>
    <w:rsid w:val="005313F5"/>
    <w:rsid w:val="005325C5"/>
    <w:rsid w:val="00560ACC"/>
    <w:rsid w:val="00561AE3"/>
    <w:rsid w:val="00562D9D"/>
    <w:rsid w:val="00566F2D"/>
    <w:rsid w:val="00571F06"/>
    <w:rsid w:val="00587F72"/>
    <w:rsid w:val="00597055"/>
    <w:rsid w:val="005A63E8"/>
    <w:rsid w:val="005B6E4C"/>
    <w:rsid w:val="005C71DD"/>
    <w:rsid w:val="005D127A"/>
    <w:rsid w:val="005D3141"/>
    <w:rsid w:val="005D5207"/>
    <w:rsid w:val="005E09CF"/>
    <w:rsid w:val="005E11AA"/>
    <w:rsid w:val="005E1C07"/>
    <w:rsid w:val="005E255D"/>
    <w:rsid w:val="005E2F97"/>
    <w:rsid w:val="005F513C"/>
    <w:rsid w:val="005F7344"/>
    <w:rsid w:val="006067CF"/>
    <w:rsid w:val="00614E8A"/>
    <w:rsid w:val="00620B52"/>
    <w:rsid w:val="00621319"/>
    <w:rsid w:val="006217DA"/>
    <w:rsid w:val="006275DA"/>
    <w:rsid w:val="0063008B"/>
    <w:rsid w:val="00630545"/>
    <w:rsid w:val="0064183D"/>
    <w:rsid w:val="00654618"/>
    <w:rsid w:val="0066458C"/>
    <w:rsid w:val="00674F4B"/>
    <w:rsid w:val="00675BFE"/>
    <w:rsid w:val="006830C3"/>
    <w:rsid w:val="006D4DC1"/>
    <w:rsid w:val="006D59C5"/>
    <w:rsid w:val="006E5921"/>
    <w:rsid w:val="00713394"/>
    <w:rsid w:val="007143CC"/>
    <w:rsid w:val="00737542"/>
    <w:rsid w:val="00741529"/>
    <w:rsid w:val="00744D47"/>
    <w:rsid w:val="007516E9"/>
    <w:rsid w:val="0075587D"/>
    <w:rsid w:val="00772BEC"/>
    <w:rsid w:val="007A5D86"/>
    <w:rsid w:val="007B27A5"/>
    <w:rsid w:val="007B6299"/>
    <w:rsid w:val="007B6A14"/>
    <w:rsid w:val="007C1B29"/>
    <w:rsid w:val="007E1485"/>
    <w:rsid w:val="007E6E0C"/>
    <w:rsid w:val="007E72FD"/>
    <w:rsid w:val="007F16FC"/>
    <w:rsid w:val="007F2B7E"/>
    <w:rsid w:val="00803FFC"/>
    <w:rsid w:val="0081284B"/>
    <w:rsid w:val="0082655B"/>
    <w:rsid w:val="00831F98"/>
    <w:rsid w:val="008375D2"/>
    <w:rsid w:val="0084549F"/>
    <w:rsid w:val="00845B8F"/>
    <w:rsid w:val="00852ED9"/>
    <w:rsid w:val="00854BF2"/>
    <w:rsid w:val="00862909"/>
    <w:rsid w:val="008638FC"/>
    <w:rsid w:val="00865DAF"/>
    <w:rsid w:val="00867844"/>
    <w:rsid w:val="008743FC"/>
    <w:rsid w:val="0088303F"/>
    <w:rsid w:val="0088700E"/>
    <w:rsid w:val="00887F34"/>
    <w:rsid w:val="008924A8"/>
    <w:rsid w:val="008A4FEA"/>
    <w:rsid w:val="008C3457"/>
    <w:rsid w:val="008D5F50"/>
    <w:rsid w:val="008E1732"/>
    <w:rsid w:val="008F5123"/>
    <w:rsid w:val="008F62C3"/>
    <w:rsid w:val="009135DE"/>
    <w:rsid w:val="0092162C"/>
    <w:rsid w:val="0093240B"/>
    <w:rsid w:val="00934994"/>
    <w:rsid w:val="00942798"/>
    <w:rsid w:val="0095082C"/>
    <w:rsid w:val="00950C2A"/>
    <w:rsid w:val="00952B34"/>
    <w:rsid w:val="009553CB"/>
    <w:rsid w:val="009564AB"/>
    <w:rsid w:val="009622BB"/>
    <w:rsid w:val="00967508"/>
    <w:rsid w:val="00992A73"/>
    <w:rsid w:val="009A07E9"/>
    <w:rsid w:val="009A10B7"/>
    <w:rsid w:val="009B705D"/>
    <w:rsid w:val="009C2214"/>
    <w:rsid w:val="009C35B1"/>
    <w:rsid w:val="009D2669"/>
    <w:rsid w:val="009D3D1A"/>
    <w:rsid w:val="009D5C9E"/>
    <w:rsid w:val="009E47DA"/>
    <w:rsid w:val="00A07D70"/>
    <w:rsid w:val="00A12CC7"/>
    <w:rsid w:val="00A240EC"/>
    <w:rsid w:val="00A31B75"/>
    <w:rsid w:val="00A3354D"/>
    <w:rsid w:val="00A35148"/>
    <w:rsid w:val="00A45A7C"/>
    <w:rsid w:val="00A5750A"/>
    <w:rsid w:val="00A61BDD"/>
    <w:rsid w:val="00A7488D"/>
    <w:rsid w:val="00A759F0"/>
    <w:rsid w:val="00A76278"/>
    <w:rsid w:val="00A8678B"/>
    <w:rsid w:val="00A976F2"/>
    <w:rsid w:val="00AB5AE7"/>
    <w:rsid w:val="00AC53FF"/>
    <w:rsid w:val="00AE2452"/>
    <w:rsid w:val="00AE2DCF"/>
    <w:rsid w:val="00AE4902"/>
    <w:rsid w:val="00AE64C7"/>
    <w:rsid w:val="00B27B59"/>
    <w:rsid w:val="00B30FF9"/>
    <w:rsid w:val="00B65E39"/>
    <w:rsid w:val="00B7474C"/>
    <w:rsid w:val="00B838D1"/>
    <w:rsid w:val="00B862C0"/>
    <w:rsid w:val="00B952C8"/>
    <w:rsid w:val="00BD3C66"/>
    <w:rsid w:val="00BD4DDF"/>
    <w:rsid w:val="00BE2A2C"/>
    <w:rsid w:val="00BE68F5"/>
    <w:rsid w:val="00BE6EE9"/>
    <w:rsid w:val="00C147F4"/>
    <w:rsid w:val="00C24260"/>
    <w:rsid w:val="00C3561A"/>
    <w:rsid w:val="00C372F2"/>
    <w:rsid w:val="00C41A25"/>
    <w:rsid w:val="00C43F8E"/>
    <w:rsid w:val="00C52BBC"/>
    <w:rsid w:val="00C83A63"/>
    <w:rsid w:val="00C849DF"/>
    <w:rsid w:val="00C84CE2"/>
    <w:rsid w:val="00CB4B11"/>
    <w:rsid w:val="00CB5F8A"/>
    <w:rsid w:val="00CB7A70"/>
    <w:rsid w:val="00CB7D53"/>
    <w:rsid w:val="00CC6BDB"/>
    <w:rsid w:val="00CD5ABA"/>
    <w:rsid w:val="00CD6DB7"/>
    <w:rsid w:val="00CD7FDB"/>
    <w:rsid w:val="00CE05C6"/>
    <w:rsid w:val="00CE50C9"/>
    <w:rsid w:val="00CF3057"/>
    <w:rsid w:val="00CF7615"/>
    <w:rsid w:val="00D014C4"/>
    <w:rsid w:val="00D0388E"/>
    <w:rsid w:val="00D06D4C"/>
    <w:rsid w:val="00D13998"/>
    <w:rsid w:val="00D21ECA"/>
    <w:rsid w:val="00D31D9D"/>
    <w:rsid w:val="00D32A02"/>
    <w:rsid w:val="00D42B99"/>
    <w:rsid w:val="00D5296C"/>
    <w:rsid w:val="00D53A5B"/>
    <w:rsid w:val="00D54728"/>
    <w:rsid w:val="00D57F13"/>
    <w:rsid w:val="00D61D76"/>
    <w:rsid w:val="00D6215A"/>
    <w:rsid w:val="00D70E18"/>
    <w:rsid w:val="00D86F82"/>
    <w:rsid w:val="00D941FA"/>
    <w:rsid w:val="00D964B2"/>
    <w:rsid w:val="00D97A9E"/>
    <w:rsid w:val="00DB399D"/>
    <w:rsid w:val="00DB6F33"/>
    <w:rsid w:val="00DB7E63"/>
    <w:rsid w:val="00DE0378"/>
    <w:rsid w:val="00DE2032"/>
    <w:rsid w:val="00DE39ED"/>
    <w:rsid w:val="00DE7B15"/>
    <w:rsid w:val="00E1362B"/>
    <w:rsid w:val="00E223DA"/>
    <w:rsid w:val="00E224CC"/>
    <w:rsid w:val="00E42C7F"/>
    <w:rsid w:val="00E43932"/>
    <w:rsid w:val="00E509EB"/>
    <w:rsid w:val="00E620E3"/>
    <w:rsid w:val="00E63699"/>
    <w:rsid w:val="00E649A1"/>
    <w:rsid w:val="00E72D94"/>
    <w:rsid w:val="00E900D9"/>
    <w:rsid w:val="00E947EA"/>
    <w:rsid w:val="00EA3E73"/>
    <w:rsid w:val="00EA3E8A"/>
    <w:rsid w:val="00EC4C04"/>
    <w:rsid w:val="00ED1EF4"/>
    <w:rsid w:val="00EE3FED"/>
    <w:rsid w:val="00EE61A6"/>
    <w:rsid w:val="00EE6D18"/>
    <w:rsid w:val="00EF0A7D"/>
    <w:rsid w:val="00EF24D4"/>
    <w:rsid w:val="00EF68F6"/>
    <w:rsid w:val="00F16707"/>
    <w:rsid w:val="00F16CE7"/>
    <w:rsid w:val="00F23423"/>
    <w:rsid w:val="00F6029A"/>
    <w:rsid w:val="00F63733"/>
    <w:rsid w:val="00F66D8A"/>
    <w:rsid w:val="00F758DB"/>
    <w:rsid w:val="00F77D3F"/>
    <w:rsid w:val="00F812DE"/>
    <w:rsid w:val="00F82802"/>
    <w:rsid w:val="00FA3989"/>
    <w:rsid w:val="00FC6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57184F7F"/>
  <w15:docId w15:val="{DD9A550C-BC83-49AC-908C-A82D08B0D6C7}"/>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9"/>
      </w:numPr>
      <w:spacing w:before="120" w:after="120"/>
      <w:outlineLvl w:val="0"/>
    </w:pPr>
    <w:rPr>
      <w:rFonts w:ascii="Helvetica" w:hAnsi="Helvetica"/>
      <w:b/>
      <w:kern w:val="28"/>
      <w:szCs w:val="26"/>
    </w:rPr>
  </w:style>
  <w:style w:type="paragraph" w:styleId="Heading2">
    <w:name w:val="heading 2"/>
    <w:basedOn w:val="Normal"/>
    <w:next w:val="standard"/>
    <w:qFormat/>
    <w:pPr>
      <w:keepNext/>
      <w:numPr>
        <w:ilvl w:val="1"/>
        <w:numId w:val="9"/>
      </w:numPr>
      <w:spacing w:before="120" w:after="120"/>
      <w:outlineLvl w:val="1"/>
    </w:pPr>
    <w:rPr>
      <w:rFonts w:ascii="Helvetica" w:hAnsi="Helvetica"/>
      <w:b/>
      <w:szCs w:val="26"/>
    </w:rPr>
  </w:style>
  <w:style w:type="paragraph" w:styleId="Heading3">
    <w:name w:val="heading 3"/>
    <w:basedOn w:val="Normal"/>
    <w:next w:val="standard"/>
    <w:qFormat/>
    <w:pPr>
      <w:keepNext/>
      <w:numPr>
        <w:ilvl w:val="2"/>
        <w:numId w:val="9"/>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qFormat/>
    <w:pPr>
      <w:keepNext/>
      <w:numPr>
        <w:ilvl w:val="3"/>
        <w:numId w:val="9"/>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9"/>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9"/>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9"/>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9"/>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pPr>
      <w:spacing w:after="120"/>
    </w:pPr>
    <w:rPr>
      <w:sz w:val="24"/>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147F4"/>
    <w:pPr>
      <w:tabs>
        <w:tab w:val="left" w:pos="360"/>
        <w:tab w:val="left" w:pos="1080"/>
        <w:tab w:val="right" w:leader="dot" w:pos="9350"/>
      </w:tabs>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7"/>
      </w:numPr>
    </w:pPr>
    <w:rPr>
      <w:rFonts w:cs="Times New Roman"/>
      <w:bCs w:val="0"/>
      <w:szCs w:val="20"/>
    </w:rPr>
  </w:style>
  <w:style w:type="character" w:styleId="Emphasis">
    <w:name w:val="Emphasis"/>
    <w:basedOn w:val="DefaultParagraphFont"/>
    <w:qFormat/>
    <w:rsid w:val="00134E7B"/>
    <w:rPr>
      <w:i/>
      <w:iCs/>
    </w:rPr>
  </w:style>
  <w:style w:type="character" w:customStyle="1" w:styleId="HeaderChar">
    <w:name w:val="Header Char"/>
    <w:basedOn w:val="DefaultParagraphFont"/>
    <w:link w:val="Header"/>
    <w:uiPriority w:val="99"/>
    <w:rsid w:val="00426E70"/>
    <w:rPr>
      <w:rFonts w:ascii="Palatino" w:hAnsi="Palatino"/>
      <w:sz w:val="26"/>
    </w:rPr>
  </w:style>
  <w:style w:type="character" w:styleId="CommentReference">
    <w:name w:val="annotation reference"/>
    <w:basedOn w:val="DefaultParagraphFont"/>
    <w:semiHidden/>
    <w:unhideWhenUsed/>
    <w:rsid w:val="008F5123"/>
    <w:rPr>
      <w:sz w:val="16"/>
      <w:szCs w:val="16"/>
    </w:rPr>
  </w:style>
  <w:style w:type="paragraph" w:styleId="CommentText">
    <w:name w:val="annotation text"/>
    <w:basedOn w:val="Normal"/>
    <w:link w:val="CommentTextChar"/>
    <w:semiHidden/>
    <w:unhideWhenUsed/>
    <w:rsid w:val="008F5123"/>
    <w:rPr>
      <w:sz w:val="20"/>
    </w:rPr>
  </w:style>
  <w:style w:type="character" w:customStyle="1" w:styleId="CommentTextChar">
    <w:name w:val="Comment Text Char"/>
    <w:basedOn w:val="DefaultParagraphFont"/>
    <w:link w:val="CommentText"/>
    <w:semiHidden/>
    <w:rsid w:val="008F5123"/>
    <w:rPr>
      <w:rFonts w:ascii="Palatino" w:hAnsi="Palatino"/>
    </w:rPr>
  </w:style>
  <w:style w:type="paragraph" w:styleId="CommentSubject">
    <w:name w:val="annotation subject"/>
    <w:basedOn w:val="CommentText"/>
    <w:next w:val="CommentText"/>
    <w:link w:val="CommentSubjectChar"/>
    <w:semiHidden/>
    <w:unhideWhenUsed/>
    <w:rsid w:val="008F5123"/>
    <w:rPr>
      <w:b/>
      <w:bCs/>
    </w:rPr>
  </w:style>
  <w:style w:type="character" w:customStyle="1" w:styleId="CommentSubjectChar">
    <w:name w:val="Comment Subject Char"/>
    <w:basedOn w:val="CommentTextChar"/>
    <w:link w:val="CommentSubject"/>
    <w:semiHidden/>
    <w:rsid w:val="008F5123"/>
    <w:rPr>
      <w:rFonts w:ascii="Palatino" w:hAnsi="Palatino"/>
      <w:b/>
      <w:bCs/>
    </w:rPr>
  </w:style>
  <w:style w:type="paragraph" w:styleId="BalloonText">
    <w:name w:val="Balloon Text"/>
    <w:basedOn w:val="Normal"/>
    <w:link w:val="BalloonTextChar"/>
    <w:semiHidden/>
    <w:unhideWhenUsed/>
    <w:rsid w:val="008F5123"/>
    <w:rPr>
      <w:rFonts w:ascii="Segoe UI" w:hAnsi="Segoe UI" w:cs="Segoe UI"/>
      <w:sz w:val="18"/>
      <w:szCs w:val="18"/>
    </w:rPr>
  </w:style>
  <w:style w:type="character" w:customStyle="1" w:styleId="BalloonTextChar">
    <w:name w:val="Balloon Text Char"/>
    <w:basedOn w:val="DefaultParagraphFont"/>
    <w:link w:val="BalloonText"/>
    <w:semiHidden/>
    <w:rsid w:val="008F5123"/>
    <w:rPr>
      <w:rFonts w:ascii="Segoe UI" w:hAnsi="Segoe UI" w:cs="Segoe UI"/>
      <w:sz w:val="18"/>
      <w:szCs w:val="18"/>
    </w:rPr>
  </w:style>
  <w:style w:type="character" w:customStyle="1" w:styleId="FooterChar">
    <w:name w:val="Footer Char"/>
    <w:basedOn w:val="DefaultParagraphFont"/>
    <w:link w:val="Footer"/>
    <w:uiPriority w:val="99"/>
    <w:rsid w:val="000730C3"/>
    <w:rPr>
      <w:rFonts w:ascii="Palatino" w:hAnsi="Palatino"/>
      <w:sz w:val="26"/>
    </w:rPr>
  </w:style>
  <w:style w:type="character" w:customStyle="1" w:styleId="UnresolvedMention1">
    <w:name w:val="Unresolved Mention1"/>
    <w:basedOn w:val="DefaultParagraphFont"/>
    <w:uiPriority w:val="99"/>
    <w:semiHidden/>
    <w:unhideWhenUsed/>
    <w:rsid w:val="00CF3057"/>
    <w:rPr>
      <w:color w:val="605E5C"/>
      <w:shd w:val="clear" w:color="auto" w:fill="E1DFDD"/>
    </w:rPr>
  </w:style>
  <w:style w:type="paragraph" w:customStyle="1" w:styleId="Main0">
    <w:name w:val="Main"/>
    <w:next w:val="Normal"/>
    <w:uiPriority w:val="19"/>
    <w:rsid w:val="00C147F4"/>
    <w:pPr>
      <w:jc w:val="center"/>
    </w:pPr>
    <w:rPr>
      <w:rFonts w:ascii="Arial" w:eastAsiaTheme="majorEastAsia" w:hAnsi="Arial" w:cstheme="majorBidi"/>
      <w:b/>
      <w:caps/>
      <w:sz w:val="26"/>
      <w:szCs w:val="56"/>
    </w:rPr>
  </w:style>
  <w:style w:type="paragraph" w:customStyle="1" w:styleId="Standard0">
    <w:name w:val="Standard"/>
    <w:basedOn w:val="Normal"/>
    <w:qFormat/>
    <w:rsid w:val="00B27B59"/>
    <w:pPr>
      <w:spacing w:line="360" w:lineRule="auto"/>
      <w:ind w:firstLine="720"/>
    </w:pPr>
    <w:rPr>
      <w:rFonts w:ascii="Book Antiqua" w:eastAsiaTheme="minorHAnsi" w:hAnsi="Book Antiqu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427030">
      <w:bodyDiv w:val="1"/>
      <w:marLeft w:val="0"/>
      <w:marRight w:val="0"/>
      <w:marTop w:val="0"/>
      <w:marBottom w:val="0"/>
      <w:divBdr>
        <w:top w:val="none" w:sz="0" w:space="0" w:color="auto"/>
        <w:left w:val="none" w:sz="0" w:space="0" w:color="auto"/>
        <w:bottom w:val="none" w:sz="0" w:space="0" w:color="auto"/>
        <w:right w:val="none" w:sz="0" w:space="0" w:color="auto"/>
      </w:divBdr>
    </w:div>
    <w:div w:id="15375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image" Target="media/image4.emf"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1.emf" Id="rId12"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image" Target="media/image3.emf" Id="rId16" /><Relationship Type="http://schemas.openxmlformats.org/officeDocument/2006/relationships/image" Target="media/image5.emf"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footer" Target="footer3.xml" Id="rId23"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2.emf" Id="rId14" /><Relationship Type="http://schemas.openxmlformats.org/officeDocument/2006/relationships/header" Target="header3.xml" Id="rId22" /></Relationships>
</file>

<file path=word/_rels/footnotes.xml.rels><?xml version="1.0" encoding="UTF-8" standalone="yes"?>
<Relationships xmlns="http://schemas.openxmlformats.org/package/2006/relationships"><Relationship Id="rId2" Type="http://schemas.openxmlformats.org/officeDocument/2006/relationships/hyperlink" Target="https://www.cpuc.ca.gov/uploadedFiles/CPUC_Public_Website/Content/Utilities_and_Industries/Water/2019%20Rates%20of%20Return%20and%20Rates%20of%20Margin%20for%20Class%20C%20and%20D%20Water%20Utilities.pdf" TargetMode="External"/><Relationship Id="rId1" Type="http://schemas.openxmlformats.org/officeDocument/2006/relationships/hyperlink" Target="http://docs.cpuc.ca.gov/PublishedDocs/Published/G000/M039/K595/39595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DE2D3-536A-4E04-B2F8-54A2E680BCB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28</ap:Pages>
  <ap:Words>6221</ap:Words>
  <ap:Characters>34046</ap:Characters>
  <ap:Application>Microsoft Office Word</ap:Application>
  <ap:DocSecurity>0</ap:DocSecurity>
  <ap:Lines>283</ap:Lines>
  <ap:Paragraphs>80</ap:Paragraphs>
  <ap:ScaleCrop>false</ap:ScaleCrop>
  <ap:HeadingPairs>
    <vt:vector baseType="variant" size="2">
      <vt:variant>
        <vt:lpstr>Title</vt:lpstr>
      </vt:variant>
      <vt:variant>
        <vt:i4>1</vt:i4>
      </vt:variant>
    </vt:vector>
  </ap:HeadingPairs>
  <ap:TitlesOfParts>
    <vt:vector baseType="lpstr" size="1">
      <vt:lpstr>ALJ/MLC/tcg</vt:lpstr>
    </vt:vector>
  </ap:TitlesOfParts>
  <ap:Company/>
  <ap:LinksUpToDate>false</ap:LinksUpToDate>
  <ap:CharactersWithSpaces>40187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2020-07-31T22:50:00Z</cp:lastPrinted>
  <dcterms:created xsi:type="dcterms:W3CDTF">2020-08-11T11:47:59Z</dcterms:created>
  <dcterms:modified xsi:type="dcterms:W3CDTF">2020-08-11T11:47:59Z</dcterms:modified>
</cp:coreProperties>
</file>