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82422" w:rsidR="00C521EC" w:rsidP="00312503" w:rsidRDefault="00A561F7" w14:paraId="62ED3E74" w14:textId="24C8496E">
      <w:pPr>
        <w:pStyle w:val="Header"/>
        <w:tabs>
          <w:tab w:val="clear" w:pos="4320"/>
          <w:tab w:val="clear" w:pos="8640"/>
          <w:tab w:val="center" w:pos="4680"/>
          <w:tab w:val="right" w:pos="9360"/>
        </w:tabs>
        <w:rPr>
          <w:rFonts w:ascii="Book Antiqua" w:hAnsi="Book Antiqua"/>
          <w:b/>
          <w:szCs w:val="26"/>
        </w:rPr>
      </w:pPr>
      <w:r w:rsidRPr="00CD0242">
        <w:rPr>
          <w:rFonts w:ascii="Book Antiqua" w:hAnsi="Book Antiqua"/>
        </w:rPr>
        <w:t>ALJ/</w:t>
      </w:r>
      <w:r w:rsidR="000E6863">
        <w:rPr>
          <w:rFonts w:ascii="Book Antiqua" w:hAnsi="Book Antiqua"/>
        </w:rPr>
        <w:t>CFG</w:t>
      </w:r>
      <w:r w:rsidRPr="00CD0242" w:rsidR="00B65771">
        <w:rPr>
          <w:rFonts w:ascii="Book Antiqua" w:hAnsi="Book Antiqua"/>
        </w:rPr>
        <w:t>/</w:t>
      </w:r>
      <w:proofErr w:type="spellStart"/>
      <w:r w:rsidRPr="00CD0242" w:rsidR="00EA1576">
        <w:rPr>
          <w:rFonts w:ascii="Book Antiqua" w:hAnsi="Book Antiqua"/>
        </w:rPr>
        <w:t>mln</w:t>
      </w:r>
      <w:proofErr w:type="spellEnd"/>
      <w:r w:rsidR="00F3673D">
        <w:rPr>
          <w:rFonts w:ascii="Book Antiqua" w:hAnsi="Book Antiqua"/>
        </w:rPr>
        <w:t>/</w:t>
      </w:r>
      <w:proofErr w:type="spellStart"/>
      <w:r w:rsidR="00F3673D">
        <w:rPr>
          <w:rFonts w:ascii="Book Antiqua" w:hAnsi="Book Antiqua"/>
        </w:rPr>
        <w:t>avs</w:t>
      </w:r>
      <w:proofErr w:type="spellEnd"/>
      <w:r w:rsidR="00BB2F6F">
        <w:rPr>
          <w:rFonts w:ascii="Book Antiqua" w:hAnsi="Book Antiqua"/>
        </w:rPr>
        <w:t xml:space="preserve"> </w:t>
      </w:r>
      <w:r w:rsidRPr="00CD0242" w:rsidR="00C521EC">
        <w:rPr>
          <w:rFonts w:ascii="Book Antiqua" w:hAnsi="Book Antiqua"/>
        </w:rPr>
        <w:tab/>
      </w:r>
      <w:r w:rsidRPr="00CD0242" w:rsidR="00C521EC">
        <w:rPr>
          <w:rFonts w:ascii="Book Antiqua" w:hAnsi="Book Antiqua"/>
          <w:szCs w:val="26"/>
        </w:rPr>
        <w:tab/>
      </w:r>
      <w:r w:rsidR="00312503">
        <w:rPr>
          <w:rFonts w:ascii="Book Antiqua" w:hAnsi="Book Antiqua"/>
          <w:b/>
          <w:szCs w:val="26"/>
        </w:rPr>
        <w:t>Date of Issuance  8/11/2020</w:t>
      </w:r>
      <w:r w:rsidRPr="00D82422" w:rsidR="00C521EC">
        <w:rPr>
          <w:rFonts w:ascii="Book Antiqua" w:hAnsi="Book Antiqua"/>
          <w:b/>
          <w:szCs w:val="26"/>
        </w:rPr>
        <w:tab/>
      </w:r>
      <w:r w:rsidRPr="00D82422" w:rsidR="00C521EC">
        <w:rPr>
          <w:rFonts w:ascii="Book Antiqua" w:hAnsi="Book Antiqua"/>
          <w:b/>
          <w:szCs w:val="26"/>
        </w:rPr>
        <w:tab/>
      </w:r>
    </w:p>
    <w:p w:rsidRPr="007B701A" w:rsidR="00C521EC" w:rsidP="00C521EC" w:rsidRDefault="00C521EC" w14:paraId="4281C820" w14:textId="77777777">
      <w:pPr>
        <w:tabs>
          <w:tab w:val="center" w:pos="4680"/>
          <w:tab w:val="right" w:pos="9360"/>
        </w:tabs>
        <w:rPr>
          <w:rFonts w:ascii="Book Antiqua" w:hAnsi="Book Antiqua"/>
          <w:bCs/>
          <w:szCs w:val="26"/>
        </w:rPr>
      </w:pPr>
    </w:p>
    <w:p w:rsidRPr="00270AB9" w:rsidR="00C521EC" w:rsidP="00C521EC" w:rsidRDefault="00C521EC" w14:paraId="07E74141" w14:textId="5DDF1453">
      <w:pPr>
        <w:suppressAutoHyphens/>
        <w:rPr>
          <w:rFonts w:ascii="Book Antiqua" w:hAnsi="Book Antiqua"/>
          <w:szCs w:val="26"/>
        </w:rPr>
      </w:pPr>
      <w:r w:rsidRPr="00270AB9">
        <w:rPr>
          <w:rFonts w:ascii="Book Antiqua" w:hAnsi="Book Antiqua"/>
          <w:szCs w:val="26"/>
        </w:rPr>
        <w:t xml:space="preserve">Decision </w:t>
      </w:r>
      <w:r w:rsidR="00312503">
        <w:rPr>
          <w:rFonts w:ascii="Book Antiqua" w:hAnsi="Book Antiqua"/>
          <w:szCs w:val="26"/>
        </w:rPr>
        <w:t>20-08-017  August 6, 2020</w:t>
      </w:r>
    </w:p>
    <w:p w:rsidRPr="00A3771F" w:rsidR="00C521EC" w:rsidP="00C521EC" w:rsidRDefault="00C521EC" w14:paraId="4DBF14FB" w14:textId="77777777">
      <w:pPr>
        <w:pStyle w:val="Header"/>
        <w:tabs>
          <w:tab w:val="clear" w:pos="4320"/>
          <w:tab w:val="clear" w:pos="8640"/>
          <w:tab w:val="center" w:pos="4680"/>
          <w:tab w:val="right" w:pos="9360"/>
        </w:tabs>
        <w:rPr>
          <w:rFonts w:ascii="Book Antiqua" w:hAnsi="Book Antiqua"/>
        </w:rPr>
      </w:pPr>
    </w:p>
    <w:p w:rsidRPr="009B2873" w:rsidR="0089195D" w:rsidRDefault="0089195D" w14:paraId="744764B2" w14:textId="77777777">
      <w:pPr>
        <w:pStyle w:val="titlebar"/>
        <w:rPr>
          <w:rFonts w:ascii="Arial" w:hAnsi="Arial" w:cs="Arial"/>
          <w:sz w:val="24"/>
        </w:rPr>
      </w:pPr>
      <w:r w:rsidRPr="009B2873">
        <w:rPr>
          <w:rFonts w:ascii="Arial" w:hAnsi="Arial" w:cs="Arial"/>
          <w:sz w:val="24"/>
        </w:rPr>
        <w:t>BEFORE THE PUBLIC UTILITIES COMMISSION OF THE STATE OF CALIFORNIA</w:t>
      </w:r>
    </w:p>
    <w:p w:rsidRPr="00A3771F" w:rsidR="0089195D" w:rsidRDefault="0089195D" w14:paraId="71EEF27A" w14:textId="77777777">
      <w:pPr>
        <w:suppressAutoHyphens/>
        <w:rPr>
          <w:rFonts w:ascii="Book Antiqua" w:hAnsi="Book Antiqua"/>
        </w:rPr>
      </w:pPr>
    </w:p>
    <w:tbl>
      <w:tblPr>
        <w:tblW w:w="9558" w:type="dxa"/>
        <w:tblLayout w:type="fixed"/>
        <w:tblLook w:val="0000" w:firstRow="0" w:lastRow="0" w:firstColumn="0" w:lastColumn="0" w:noHBand="0" w:noVBand="0"/>
      </w:tblPr>
      <w:tblGrid>
        <w:gridCol w:w="5220"/>
        <w:gridCol w:w="4338"/>
      </w:tblGrid>
      <w:tr w:rsidRPr="00A4369A" w:rsidR="00D16326" w:rsidTr="00F3673D" w14:paraId="6F29EACF" w14:textId="77777777">
        <w:tc>
          <w:tcPr>
            <w:tcW w:w="5220" w:type="dxa"/>
            <w:tcBorders>
              <w:bottom w:val="single" w:color="auto" w:sz="6" w:space="0"/>
              <w:right w:val="single" w:color="auto" w:sz="6" w:space="0"/>
            </w:tcBorders>
            <w:shd w:val="clear" w:color="auto" w:fill="auto"/>
          </w:tcPr>
          <w:p w:rsidR="00BB2F6F" w:rsidP="006E2153" w:rsidRDefault="00BC77B1" w14:paraId="4671FCA9" w14:textId="77777777">
            <w:pPr>
              <w:rPr>
                <w:rFonts w:ascii="Book Antiqua" w:hAnsi="Book Antiqua"/>
              </w:rPr>
            </w:pPr>
            <w:r w:rsidRPr="00BC77B1">
              <w:rPr>
                <w:rFonts w:ascii="Book Antiqua" w:hAnsi="Book Antiqua"/>
              </w:rPr>
              <w:t>Application of the City of Ione for a public road crossing at the extension of Foothill Boulevard and Mile Post No.0.84 of the Amador Central Railroad (AMC) Recreational Railroad – Coalition Historical Society (RRCHS), City of Ione, County of Amador, State of California.</w:t>
            </w:r>
          </w:p>
          <w:p w:rsidRPr="00A4369A" w:rsidR="00BC77B1" w:rsidP="006E2153" w:rsidRDefault="00BC77B1" w14:paraId="04F5961F" w14:textId="65569A80">
            <w:pPr>
              <w:rPr>
                <w:rFonts w:ascii="Book Antiqua" w:hAnsi="Book Antiqua"/>
              </w:rPr>
            </w:pPr>
          </w:p>
        </w:tc>
        <w:tc>
          <w:tcPr>
            <w:tcW w:w="4338" w:type="dxa"/>
            <w:tcBorders>
              <w:left w:val="nil"/>
            </w:tcBorders>
            <w:shd w:val="clear" w:color="auto" w:fill="auto"/>
          </w:tcPr>
          <w:p w:rsidRPr="00A4369A" w:rsidR="00D16326" w:rsidP="007E448B" w:rsidRDefault="00D16326" w14:paraId="5C8CD2D7" w14:textId="77777777">
            <w:pPr>
              <w:jc w:val="center"/>
              <w:rPr>
                <w:rFonts w:ascii="Book Antiqua" w:hAnsi="Book Antiqua"/>
              </w:rPr>
            </w:pPr>
          </w:p>
          <w:p w:rsidR="006F78BE" w:rsidP="007E448B" w:rsidRDefault="006F78BE" w14:paraId="5CA1133B" w14:textId="77777777">
            <w:pPr>
              <w:jc w:val="center"/>
              <w:rPr>
                <w:rFonts w:ascii="Book Antiqua" w:hAnsi="Book Antiqua"/>
              </w:rPr>
            </w:pPr>
          </w:p>
          <w:p w:rsidR="00BC77B1" w:rsidP="007E448B" w:rsidRDefault="00BC77B1" w14:paraId="1F9428CC" w14:textId="77777777">
            <w:pPr>
              <w:jc w:val="center"/>
              <w:rPr>
                <w:rFonts w:ascii="Book Antiqua" w:hAnsi="Book Antiqua"/>
              </w:rPr>
            </w:pPr>
          </w:p>
          <w:p w:rsidRPr="00A4369A" w:rsidR="00D16326" w:rsidP="007E448B" w:rsidRDefault="00C00C15" w14:paraId="7CA82DF3" w14:textId="0BA59705">
            <w:pPr>
              <w:jc w:val="center"/>
              <w:rPr>
                <w:rFonts w:ascii="Book Antiqua" w:hAnsi="Book Antiqua"/>
              </w:rPr>
            </w:pPr>
            <w:r>
              <w:rPr>
                <w:rFonts w:ascii="Book Antiqua" w:hAnsi="Book Antiqua"/>
              </w:rPr>
              <w:t xml:space="preserve">Application </w:t>
            </w:r>
            <w:r w:rsidR="00BC77B1">
              <w:rPr>
                <w:rFonts w:ascii="Book Antiqua" w:hAnsi="Book Antiqua"/>
              </w:rPr>
              <w:t>18-08-010</w:t>
            </w:r>
          </w:p>
          <w:p w:rsidRPr="00A4369A" w:rsidR="00D16326" w:rsidP="007E448B" w:rsidRDefault="00D16326" w14:paraId="5AF7CABF" w14:textId="1F21FF16">
            <w:pPr>
              <w:jc w:val="center"/>
              <w:rPr>
                <w:rFonts w:ascii="Book Antiqua" w:hAnsi="Book Antiqua"/>
              </w:rPr>
            </w:pPr>
          </w:p>
        </w:tc>
      </w:tr>
    </w:tbl>
    <w:p w:rsidR="0089195D" w:rsidRDefault="0089195D" w14:paraId="496C4CBA" w14:textId="77777777"/>
    <w:p w:rsidRPr="00A3771F" w:rsidR="0089195D" w:rsidRDefault="0089195D" w14:paraId="5AC8607F" w14:textId="77777777">
      <w:pPr>
        <w:jc w:val="center"/>
        <w:rPr>
          <w:rFonts w:ascii="Arial" w:hAnsi="Arial" w:cs="Arial"/>
          <w:b/>
          <w:szCs w:val="26"/>
        </w:rPr>
      </w:pPr>
      <w:bookmarkStart w:name="_Toc370798909" w:id="0"/>
      <w:r w:rsidRPr="00A3771F">
        <w:rPr>
          <w:rFonts w:ascii="Arial" w:hAnsi="Arial" w:cs="Arial"/>
          <w:b/>
          <w:szCs w:val="26"/>
        </w:rPr>
        <w:t>ORDER EXTENDING STATUTORY DEADLINE</w:t>
      </w:r>
    </w:p>
    <w:bookmarkEnd w:id="0"/>
    <w:p w:rsidR="0089195D" w:rsidP="00107949" w:rsidRDefault="0089195D" w14:paraId="542ADBAD" w14:textId="77777777">
      <w:pPr>
        <w:tabs>
          <w:tab w:val="left" w:pos="3493"/>
        </w:tabs>
        <w:suppressAutoHyphens/>
      </w:pPr>
    </w:p>
    <w:p w:rsidRPr="009B2873" w:rsidR="003A3FFB" w:rsidP="007A6B7B" w:rsidRDefault="003A3FFB" w14:paraId="0B3A5923" w14:textId="77777777">
      <w:pPr>
        <w:keepNext/>
        <w:tabs>
          <w:tab w:val="center" w:pos="4680"/>
        </w:tabs>
        <w:spacing w:before="120" w:after="120"/>
        <w:outlineLvl w:val="0"/>
        <w:rPr>
          <w:rFonts w:ascii="Arial" w:hAnsi="Arial" w:cs="Arial"/>
          <w:b/>
        </w:rPr>
      </w:pPr>
      <w:bookmarkStart w:name="_Toc370798910" w:id="1"/>
      <w:r w:rsidRPr="009B2873">
        <w:rPr>
          <w:rFonts w:ascii="Arial" w:hAnsi="Arial" w:cs="Arial"/>
          <w:b/>
        </w:rPr>
        <w:t>Summary</w:t>
      </w:r>
    </w:p>
    <w:p w:rsidRPr="0072487E" w:rsidR="003A3FFB" w:rsidP="003A3FFB" w:rsidRDefault="00C00C15" w14:paraId="587A4CA9" w14:textId="1CE2A241">
      <w:pPr>
        <w:spacing w:line="360" w:lineRule="auto"/>
        <w:ind w:firstLine="720"/>
        <w:rPr>
          <w:rFonts w:ascii="Book Antiqua" w:hAnsi="Book Antiqua"/>
        </w:rPr>
      </w:pPr>
      <w:r w:rsidRPr="00C00C15">
        <w:rPr>
          <w:rFonts w:ascii="Book Antiqua" w:hAnsi="Book Antiqua"/>
        </w:rPr>
        <w:t xml:space="preserve">This decision extends the statutory deadline in this proceeding until </w:t>
      </w:r>
      <w:r w:rsidRPr="003B0BC8" w:rsidR="003B0BC8">
        <w:rPr>
          <w:rFonts w:ascii="Book Antiqua" w:hAnsi="Book Antiqua"/>
        </w:rPr>
        <w:t>November 20, 2020</w:t>
      </w:r>
      <w:r w:rsidRPr="0072487E" w:rsidR="003A3FFB">
        <w:rPr>
          <w:rFonts w:ascii="Book Antiqua" w:hAnsi="Book Antiqua"/>
        </w:rPr>
        <w:t>.</w:t>
      </w:r>
    </w:p>
    <w:p w:rsidRPr="009B2873" w:rsidR="003A3FFB" w:rsidP="00F3673D" w:rsidRDefault="003A3FFB" w14:paraId="66DBCB08" w14:textId="77777777">
      <w:pPr>
        <w:pStyle w:val="ListParagraph"/>
        <w:keepNext/>
        <w:numPr>
          <w:ilvl w:val="0"/>
          <w:numId w:val="8"/>
        </w:numPr>
        <w:spacing w:after="120"/>
        <w:ind w:left="446" w:hanging="446"/>
        <w:contextualSpacing w:val="0"/>
        <w:outlineLvl w:val="0"/>
        <w:rPr>
          <w:rFonts w:ascii="Arial" w:hAnsi="Arial" w:cs="Arial"/>
          <w:b/>
        </w:rPr>
      </w:pPr>
      <w:r w:rsidRPr="009B2873">
        <w:rPr>
          <w:rFonts w:ascii="Arial" w:hAnsi="Arial" w:cs="Arial"/>
          <w:b/>
        </w:rPr>
        <w:t>Background</w:t>
      </w:r>
      <w:bookmarkEnd w:id="1"/>
    </w:p>
    <w:p w:rsidR="003D43B5" w:rsidP="003D43B5" w:rsidRDefault="003D43B5" w14:paraId="5547D0DA" w14:textId="6FFF7E84">
      <w:pPr>
        <w:pStyle w:val="standard"/>
        <w:rPr>
          <w:rFonts w:ascii="Book Antiqua" w:hAnsi="Book Antiqua"/>
          <w:szCs w:val="26"/>
        </w:rPr>
      </w:pPr>
      <w:bookmarkStart w:name="_Hlk43895816" w:id="2"/>
      <w:r>
        <w:rPr>
          <w:rFonts w:ascii="Book Antiqua" w:hAnsi="Book Antiqua"/>
          <w:szCs w:val="26"/>
        </w:rPr>
        <w:t xml:space="preserve">Public Utilities Code (Pub. Util. Code) § 1701.5(a) provides that the Commission shall resolve the issues raised in the scoping memo of a </w:t>
      </w:r>
      <w:proofErr w:type="spellStart"/>
      <w:r>
        <w:rPr>
          <w:rFonts w:ascii="Book Antiqua" w:hAnsi="Book Antiqua"/>
          <w:szCs w:val="26"/>
        </w:rPr>
        <w:t>ratesetting</w:t>
      </w:r>
      <w:proofErr w:type="spellEnd"/>
      <w:r>
        <w:rPr>
          <w:rFonts w:ascii="Book Antiqua" w:hAnsi="Book Antiqua"/>
          <w:szCs w:val="26"/>
        </w:rPr>
        <w:t xml:space="preserve"> proceeding within 18 months of the date the proceeding is initiated, unless the Commission makes a written determination that the deadline cannot be met, and issues an order extending that deadline.  In this proceeding</w:t>
      </w:r>
      <w:r w:rsidRPr="00D62164">
        <w:rPr>
          <w:rFonts w:ascii="Book Antiqua" w:hAnsi="Book Antiqua"/>
          <w:szCs w:val="26"/>
        </w:rPr>
        <w:t xml:space="preserve">, the statutory deadline for resolving this application is </w:t>
      </w:r>
      <w:r w:rsidRPr="00D62164" w:rsidR="00244CB2">
        <w:rPr>
          <w:rFonts w:ascii="Book Antiqua" w:hAnsi="Book Antiqua"/>
          <w:szCs w:val="26"/>
        </w:rPr>
        <w:t>August 21</w:t>
      </w:r>
      <w:r w:rsidRPr="00D62164">
        <w:rPr>
          <w:rFonts w:ascii="Book Antiqua" w:hAnsi="Book Antiqua"/>
          <w:szCs w:val="26"/>
        </w:rPr>
        <w:t>, 2020.</w:t>
      </w:r>
    </w:p>
    <w:p w:rsidR="003D43B5" w:rsidP="003D43B5" w:rsidRDefault="003D43B5" w14:paraId="3F24176F" w14:textId="77777777">
      <w:pPr>
        <w:pStyle w:val="standard"/>
        <w:rPr>
          <w:rFonts w:ascii="Book Antiqua" w:hAnsi="Book Antiqua"/>
          <w:szCs w:val="26"/>
        </w:rPr>
      </w:pPr>
      <w:r>
        <w:rPr>
          <w:rFonts w:ascii="Book Antiqua" w:hAnsi="Book Antiqua"/>
          <w:szCs w:val="26"/>
        </w:rPr>
        <w:t xml:space="preserve">On August 21, 2018, the City of Ione (City or Ione) filed this application for an order authorizing it to convert a closed, private crossing at Mile Post (MP) 0.84 of the Amador Central Railroad (AMC) to an open, public crossing in order to facilitate the construction of 276 single-family homes in an 85-acre pasture that the City had previously annexed and rezoned for residential development.  In its </w:t>
      </w:r>
      <w:r>
        <w:rPr>
          <w:rFonts w:ascii="Book Antiqua" w:hAnsi="Book Antiqua"/>
          <w:szCs w:val="26"/>
        </w:rPr>
        <w:lastRenderedPageBreak/>
        <w:t>application, Ione asked to be permitted to construct the public rail crossing up to three years after final action on its application by the Commission.  On September 28, 2018, the Rail Safety Division responded to the application by supporting the application in its entirety.</w:t>
      </w:r>
    </w:p>
    <w:p w:rsidR="003D43B5" w:rsidP="003D43B5" w:rsidRDefault="003D43B5" w14:paraId="66A3C7CD" w14:textId="77777777">
      <w:pPr>
        <w:pStyle w:val="standard"/>
        <w:rPr>
          <w:rFonts w:ascii="Book Antiqua" w:hAnsi="Book Antiqua"/>
        </w:rPr>
      </w:pPr>
      <w:r>
        <w:rPr>
          <w:rFonts w:ascii="Book Antiqua" w:hAnsi="Book Antiqua"/>
        </w:rPr>
        <w:t>A prehearing conference (PHC) was held on October 22, 2018 in Sacramento to discuss the issues of law and fact and to determine the need for a hearing and the schedule for resolving the matter.  At the PHC, AMC appeared and requested permission to participate in the proceeding as a party.  AMC’s request was granted.</w:t>
      </w:r>
    </w:p>
    <w:p w:rsidR="003D43B5" w:rsidP="003D43B5" w:rsidRDefault="003D43B5" w14:paraId="3434F271" w14:textId="77777777">
      <w:pPr>
        <w:pStyle w:val="standard"/>
        <w:rPr>
          <w:rFonts w:ascii="Book Antiqua" w:hAnsi="Book Antiqua"/>
        </w:rPr>
      </w:pPr>
      <w:r>
        <w:rPr>
          <w:rFonts w:ascii="Book Antiqua" w:hAnsi="Book Antiqua"/>
        </w:rPr>
        <w:t>In an unexpected development during the PHC, in response to questioning by the assigned Administrative Law Judge (ALJ), Ione’s City Manager disclosed that Ione had already built the public crossing at MP 0.84; that the crossing had been used by a housing developer and the public for a considerable period of time to construct infrastructure and houses on the parcel; that houses had been sold and were already occupied; that the City’s request for a three-year period after a final decision by the Commission in this proceeding to build the public crossing was inappropriate; and that, unlike what the City represented in its Mitigated Negative Declaration for the project, the City had allowed the developer to build only a single means of ingress/egress for the first one hundred homes in the project.</w:t>
      </w:r>
      <w:r>
        <w:rPr>
          <w:rStyle w:val="FootnoteReference"/>
          <w:rFonts w:ascii="Book Antiqua" w:hAnsi="Book Antiqua"/>
        </w:rPr>
        <w:footnoteReference w:id="2"/>
      </w:r>
      <w:r>
        <w:rPr>
          <w:rFonts w:ascii="Book Antiqua" w:hAnsi="Book Antiqua"/>
        </w:rPr>
        <w:t xml:space="preserve"> In the Mitigated Negative Declaration for the project, which the City attached to its application, the City had determined that at least two means of ingress/egress to the development for the residents and the public, as well as access roads for first responders into specific areas of the </w:t>
      </w:r>
      <w:r>
        <w:rPr>
          <w:rFonts w:ascii="Book Antiqua" w:hAnsi="Book Antiqua"/>
        </w:rPr>
        <w:lastRenderedPageBreak/>
        <w:t>development, were necessary to mitigate “the project’s potential for exposure to wildland fires [which] is considered potentially significant.”</w:t>
      </w:r>
      <w:r>
        <w:rPr>
          <w:rStyle w:val="FootnoteReference"/>
          <w:rFonts w:ascii="Book Antiqua" w:hAnsi="Book Antiqua"/>
        </w:rPr>
        <w:footnoteReference w:id="3"/>
      </w:r>
      <w:r>
        <w:rPr>
          <w:rFonts w:ascii="Book Antiqua" w:hAnsi="Book Antiqua"/>
        </w:rPr>
        <w:t xml:space="preserve">  </w:t>
      </w:r>
    </w:p>
    <w:p w:rsidR="003D43B5" w:rsidP="003D43B5" w:rsidRDefault="003D43B5" w14:paraId="6E45B343" w14:textId="77777777">
      <w:pPr>
        <w:pStyle w:val="standard"/>
        <w:rPr>
          <w:rFonts w:ascii="Book Antiqua" w:hAnsi="Book Antiqua"/>
        </w:rPr>
      </w:pPr>
      <w:r>
        <w:rPr>
          <w:rFonts w:ascii="Book Antiqua" w:hAnsi="Book Antiqua"/>
        </w:rPr>
        <w:t xml:space="preserve">On February 1, 2019, the assigned Commissioner issued her Scoping Memo.  She divided the proceeding into two phases: Phase I to address safety and CEQA issues; and, Phase II to address penalty issues for violation of Pub. Util. Code §1201, </w:t>
      </w:r>
      <w:r>
        <w:rPr>
          <w:rFonts w:ascii="Book Antiqua" w:hAnsi="Book Antiqua"/>
          <w:i/>
          <w:iCs/>
        </w:rPr>
        <w:t>et seq.</w:t>
      </w:r>
      <w:r>
        <w:rPr>
          <w:rFonts w:ascii="Book Antiqua" w:hAnsi="Book Antiqua"/>
        </w:rPr>
        <w:t xml:space="preserve"> and Commission Rule 1.1.  </w:t>
      </w:r>
    </w:p>
    <w:p w:rsidR="003D43B5" w:rsidP="003D43B5" w:rsidRDefault="003D43B5" w14:paraId="02FB05DB" w14:textId="77777777">
      <w:pPr>
        <w:pStyle w:val="standard"/>
        <w:rPr>
          <w:rFonts w:ascii="Book Antiqua" w:hAnsi="Book Antiqua"/>
        </w:rPr>
      </w:pPr>
      <w:r>
        <w:rPr>
          <w:rFonts w:ascii="Book Antiqua" w:hAnsi="Book Antiqua"/>
        </w:rPr>
        <w:t>A proposed decision in Phase I is anticipated to issue very soon.</w:t>
      </w:r>
    </w:p>
    <w:p w:rsidR="00CC64ED" w:rsidP="003D43B5" w:rsidRDefault="003D43B5" w14:paraId="571EFD32" w14:textId="1C966F3C">
      <w:pPr>
        <w:pStyle w:val="standard"/>
      </w:pPr>
      <w:r>
        <w:rPr>
          <w:rFonts w:ascii="Book Antiqua" w:hAnsi="Book Antiqua"/>
        </w:rPr>
        <w:t>An extension of the statutory deadline until August 21, 2020, was previously ordered by the Commission on January 16, 2020</w:t>
      </w:r>
      <w:r w:rsidR="00244CB2">
        <w:rPr>
          <w:rFonts w:ascii="Book Antiqua" w:hAnsi="Book Antiqua"/>
        </w:rPr>
        <w:t xml:space="preserve"> </w:t>
      </w:r>
      <w:r w:rsidRPr="00D62164" w:rsidR="00244CB2">
        <w:rPr>
          <w:rFonts w:ascii="Book Antiqua" w:hAnsi="Book Antiqua"/>
        </w:rPr>
        <w:t>with Decision (D.)</w:t>
      </w:r>
      <w:r w:rsidR="00F3673D">
        <w:rPr>
          <w:rFonts w:ascii="Book Antiqua" w:hAnsi="Book Antiqua"/>
        </w:rPr>
        <w:t> </w:t>
      </w:r>
      <w:r w:rsidR="00244CB2">
        <w:rPr>
          <w:rFonts w:ascii="Book Antiqua" w:hAnsi="Book Antiqua"/>
        </w:rPr>
        <w:t>20-01-025</w:t>
      </w:r>
      <w:r>
        <w:rPr>
          <w:rFonts w:ascii="Book Antiqua" w:hAnsi="Book Antiqua"/>
        </w:rPr>
        <w:t>, to allow further time for the Commission to deliberate.  Due in part to difficulties associated with operating during the Covid-19 pandemic, a further extension beyond August 21, 2020, is necessary to complete review of the serious issues raised by the City’s actions and to allow time to issue a proposed decision for public review and comments, and to allow the Commission time to deliberate and issue its final decisions in Phases I and II</w:t>
      </w:r>
      <w:r w:rsidRPr="006555E8" w:rsidR="006555E8">
        <w:rPr>
          <w:rFonts w:ascii="Book Antiqua" w:hAnsi="Book Antiqua"/>
        </w:rPr>
        <w:t>.</w:t>
      </w:r>
    </w:p>
    <w:bookmarkEnd w:id="2"/>
    <w:p w:rsidRPr="009B2873" w:rsidR="00461787" w:rsidP="00E43555" w:rsidRDefault="00461787" w14:paraId="5FB37B53" w14:textId="77777777">
      <w:pPr>
        <w:pStyle w:val="Heading1"/>
        <w:numPr>
          <w:ilvl w:val="0"/>
          <w:numId w:val="8"/>
        </w:numPr>
        <w:spacing w:before="0"/>
        <w:ind w:left="446" w:hanging="446"/>
        <w:rPr>
          <w:rFonts w:ascii="Arial" w:hAnsi="Arial" w:cs="Arial"/>
        </w:rPr>
      </w:pPr>
      <w:r w:rsidRPr="009B2873">
        <w:rPr>
          <w:rFonts w:ascii="Arial" w:hAnsi="Arial" w:cs="Arial"/>
        </w:rPr>
        <w:t>Waiver of Comment Period</w:t>
      </w:r>
    </w:p>
    <w:p w:rsidRPr="00C05D14" w:rsidR="00461787" w:rsidP="00461787" w:rsidRDefault="00AB7453" w14:paraId="038F1219" w14:textId="0D6F21A6">
      <w:pPr>
        <w:pStyle w:val="standard"/>
        <w:rPr>
          <w:rFonts w:ascii="Book Antiqua" w:hAnsi="Book Antiqua" w:cs="Arial"/>
        </w:rPr>
      </w:pPr>
      <w:r w:rsidRPr="00AB7453">
        <w:rPr>
          <w:rFonts w:ascii="Book Antiqua" w:hAnsi="Book Antiqua"/>
        </w:rPr>
        <w:t xml:space="preserve">Under Rule 14.6(c)(4) of the Commission’s Rules of Practice and Procedure, the Commission may reduce or waive the period for public review and comment of the proposed decisions extending the deadline for resolving </w:t>
      </w:r>
      <w:proofErr w:type="spellStart"/>
      <w:r w:rsidRPr="00AB7453">
        <w:rPr>
          <w:rFonts w:ascii="Book Antiqua" w:hAnsi="Book Antiqua"/>
        </w:rPr>
        <w:t>ratesetting</w:t>
      </w:r>
      <w:proofErr w:type="spellEnd"/>
      <w:r w:rsidRPr="00AB7453">
        <w:rPr>
          <w:rFonts w:ascii="Book Antiqua" w:hAnsi="Book Antiqua"/>
        </w:rPr>
        <w:t xml:space="preserve"> proceedings.  Accordingly, the otherwise applicable period for public review and comment is being waived</w:t>
      </w:r>
      <w:r w:rsidRPr="00C05D14" w:rsidR="00502987">
        <w:rPr>
          <w:rFonts w:ascii="Book Antiqua" w:hAnsi="Book Antiqua"/>
        </w:rPr>
        <w:t>.</w:t>
      </w:r>
    </w:p>
    <w:p w:rsidRPr="009B2873" w:rsidR="0089195D" w:rsidP="00E43555" w:rsidRDefault="0089195D" w14:paraId="51F15AFB" w14:textId="77777777">
      <w:pPr>
        <w:pStyle w:val="Heading1"/>
        <w:numPr>
          <w:ilvl w:val="0"/>
          <w:numId w:val="8"/>
        </w:numPr>
        <w:spacing w:before="0"/>
        <w:ind w:left="446" w:hanging="446"/>
        <w:rPr>
          <w:rFonts w:ascii="Arial" w:hAnsi="Arial" w:cs="Arial"/>
        </w:rPr>
      </w:pPr>
      <w:r w:rsidRPr="009B2873">
        <w:rPr>
          <w:rFonts w:ascii="Arial" w:hAnsi="Arial" w:cs="Arial"/>
        </w:rPr>
        <w:t>Assignment of Proceeding</w:t>
      </w:r>
    </w:p>
    <w:p w:rsidRPr="00C05D14" w:rsidR="0089195D" w:rsidRDefault="00AB7453" w14:paraId="333C1E89" w14:textId="0EC7494A">
      <w:pPr>
        <w:pStyle w:val="standard"/>
        <w:rPr>
          <w:rFonts w:ascii="Book Antiqua" w:hAnsi="Book Antiqua"/>
        </w:rPr>
      </w:pPr>
      <w:r w:rsidRPr="00AB7453">
        <w:rPr>
          <w:rFonts w:ascii="Book Antiqua" w:hAnsi="Book Antiqua"/>
        </w:rPr>
        <w:t xml:space="preserve">Liane Randolph is the assigned Commissioner and Charles Ferguson is the assigned </w:t>
      </w:r>
      <w:r w:rsidR="0059010E">
        <w:rPr>
          <w:rFonts w:ascii="Book Antiqua" w:hAnsi="Book Antiqua"/>
        </w:rPr>
        <w:t>ALJ</w:t>
      </w:r>
      <w:r w:rsidRPr="00AB7453">
        <w:rPr>
          <w:rFonts w:ascii="Book Antiqua" w:hAnsi="Book Antiqua"/>
        </w:rPr>
        <w:t xml:space="preserve"> in this proceeding</w:t>
      </w:r>
      <w:r w:rsidRPr="00C05D14" w:rsidR="00EA39F7">
        <w:rPr>
          <w:rFonts w:ascii="Book Antiqua" w:hAnsi="Book Antiqua"/>
        </w:rPr>
        <w:t>.</w:t>
      </w:r>
    </w:p>
    <w:p w:rsidRPr="009B2873" w:rsidR="00553B36" w:rsidP="005330B4" w:rsidRDefault="00553B36" w14:paraId="246C2EF6" w14:textId="77777777">
      <w:pPr>
        <w:pStyle w:val="dummy"/>
        <w:tabs>
          <w:tab w:val="left" w:pos="6973"/>
        </w:tabs>
        <w:spacing w:after="0" w:line="360" w:lineRule="auto"/>
        <w:rPr>
          <w:rFonts w:ascii="Arial" w:hAnsi="Arial" w:cs="Arial"/>
        </w:rPr>
      </w:pPr>
      <w:bookmarkStart w:name="_Toc370798913" w:id="3"/>
      <w:r w:rsidRPr="009B2873">
        <w:rPr>
          <w:rFonts w:ascii="Arial" w:hAnsi="Arial" w:cs="Arial"/>
        </w:rPr>
        <w:lastRenderedPageBreak/>
        <w:t>Findin</w:t>
      </w:r>
      <w:r w:rsidRPr="009B2873" w:rsidR="00EA27F8">
        <w:rPr>
          <w:rFonts w:ascii="Arial" w:hAnsi="Arial" w:cs="Arial"/>
        </w:rPr>
        <w:t>g</w:t>
      </w:r>
      <w:r w:rsidRPr="009B2873">
        <w:rPr>
          <w:rFonts w:ascii="Arial" w:hAnsi="Arial" w:cs="Arial"/>
        </w:rPr>
        <w:t>s of Fact</w:t>
      </w:r>
    </w:p>
    <w:p w:rsidRPr="00AB7453" w:rsidR="00AB7453" w:rsidP="00AB7453" w:rsidRDefault="00AB7453" w14:paraId="59A3C70A" w14:textId="77777777">
      <w:pPr>
        <w:pStyle w:val="num1"/>
        <w:numPr>
          <w:ilvl w:val="0"/>
          <w:numId w:val="1"/>
        </w:numPr>
        <w:rPr>
          <w:rFonts w:ascii="Book Antiqua" w:hAnsi="Book Antiqua"/>
        </w:rPr>
      </w:pPr>
      <w:r w:rsidRPr="00AB7453">
        <w:rPr>
          <w:rFonts w:ascii="Book Antiqua" w:hAnsi="Book Antiqua"/>
        </w:rPr>
        <w:t>This application was filed by the City of Ione on August 21, 2018.</w:t>
      </w:r>
    </w:p>
    <w:p w:rsidRPr="00AB7453" w:rsidR="00AB7453" w:rsidP="00AB7453" w:rsidRDefault="00AB7453" w14:paraId="7B17A897" w14:textId="77777777">
      <w:pPr>
        <w:pStyle w:val="num1"/>
        <w:numPr>
          <w:ilvl w:val="0"/>
          <w:numId w:val="1"/>
        </w:numPr>
        <w:rPr>
          <w:rFonts w:ascii="Book Antiqua" w:hAnsi="Book Antiqua"/>
        </w:rPr>
      </w:pPr>
      <w:r w:rsidRPr="00AB7453">
        <w:rPr>
          <w:rFonts w:ascii="Book Antiqua" w:hAnsi="Book Antiqua"/>
        </w:rPr>
        <w:t>A PHC was held on October 22, 2018.</w:t>
      </w:r>
    </w:p>
    <w:p w:rsidRPr="00AB7453" w:rsidR="00AB7453" w:rsidP="00AB7453" w:rsidRDefault="00AB7453" w14:paraId="55ABA084" w14:textId="77777777">
      <w:pPr>
        <w:pStyle w:val="num1"/>
        <w:numPr>
          <w:ilvl w:val="0"/>
          <w:numId w:val="1"/>
        </w:numPr>
        <w:rPr>
          <w:rFonts w:ascii="Book Antiqua" w:hAnsi="Book Antiqua"/>
        </w:rPr>
      </w:pPr>
      <w:r w:rsidRPr="00AB7453">
        <w:rPr>
          <w:rFonts w:ascii="Book Antiqua" w:hAnsi="Book Antiqua"/>
        </w:rPr>
        <w:t>On February 1, 2019, the scoping memo and ruling was issued.</w:t>
      </w:r>
    </w:p>
    <w:p w:rsidRPr="00AB7453" w:rsidR="00AB7453" w:rsidP="00AB7453" w:rsidRDefault="00AB7453" w14:paraId="3439C4F1" w14:textId="77777777">
      <w:pPr>
        <w:pStyle w:val="num1"/>
        <w:numPr>
          <w:ilvl w:val="0"/>
          <w:numId w:val="1"/>
        </w:numPr>
        <w:rPr>
          <w:rFonts w:ascii="Book Antiqua" w:hAnsi="Book Antiqua"/>
        </w:rPr>
      </w:pPr>
      <w:r w:rsidRPr="00AB7453">
        <w:rPr>
          <w:rFonts w:ascii="Book Antiqua" w:hAnsi="Book Antiqua"/>
        </w:rPr>
        <w:t>Evidentiary hearings were held on May 13-14, 2019 in Sacramento, California.</w:t>
      </w:r>
    </w:p>
    <w:p w:rsidRPr="00D62164" w:rsidR="00AB7453" w:rsidP="00AB7453" w:rsidRDefault="00AB7453" w14:paraId="274514FD" w14:textId="34A56037">
      <w:pPr>
        <w:pStyle w:val="num1"/>
        <w:numPr>
          <w:ilvl w:val="0"/>
          <w:numId w:val="1"/>
        </w:numPr>
        <w:rPr>
          <w:rFonts w:ascii="Book Antiqua" w:hAnsi="Book Antiqua"/>
        </w:rPr>
      </w:pPr>
      <w:r w:rsidRPr="00AB7453">
        <w:rPr>
          <w:rFonts w:ascii="Book Antiqua" w:hAnsi="Book Antiqua"/>
        </w:rPr>
        <w:t>An extension of the statutory deadline to August 21, 2020 was issued on January 16,</w:t>
      </w:r>
      <w:r w:rsidR="00D62164">
        <w:rPr>
          <w:rFonts w:ascii="Book Antiqua" w:hAnsi="Book Antiqua"/>
        </w:rPr>
        <w:t xml:space="preserve"> </w:t>
      </w:r>
      <w:r w:rsidRPr="00D62164">
        <w:rPr>
          <w:rFonts w:ascii="Book Antiqua" w:hAnsi="Book Antiqua"/>
        </w:rPr>
        <w:t>2020</w:t>
      </w:r>
      <w:r w:rsidRPr="00D62164" w:rsidR="00244CB2">
        <w:rPr>
          <w:rFonts w:ascii="Book Antiqua" w:hAnsi="Book Antiqua"/>
        </w:rPr>
        <w:t xml:space="preserve"> by D.20-01-025</w:t>
      </w:r>
      <w:r w:rsidRPr="00D62164">
        <w:rPr>
          <w:rFonts w:ascii="Book Antiqua" w:hAnsi="Book Antiqua"/>
        </w:rPr>
        <w:t>.</w:t>
      </w:r>
    </w:p>
    <w:p w:rsidRPr="00345950" w:rsidR="001B1A49" w:rsidP="00AB7453" w:rsidRDefault="00AB7453" w14:paraId="2C323AAC" w14:textId="2042F3AC">
      <w:pPr>
        <w:pStyle w:val="num1"/>
        <w:numPr>
          <w:ilvl w:val="0"/>
          <w:numId w:val="1"/>
        </w:numPr>
        <w:rPr>
          <w:rFonts w:ascii="Book Antiqua" w:hAnsi="Book Antiqua"/>
        </w:rPr>
      </w:pPr>
      <w:r w:rsidRPr="00AB7453">
        <w:rPr>
          <w:rFonts w:ascii="Book Antiqua" w:hAnsi="Book Antiqua"/>
        </w:rPr>
        <w:t>Due to difficulties associated with operating during the Covid-19 pandemic, a further extension of the statutory deadline is necessary to complete review of the serious issues raised by the City’s actions; to allow time to issue proposed decisions for each phase of the proceeding for public review and comment; and to allow the Commission time to deliberate and issue its final decisions in Phases I and II</w:t>
      </w:r>
      <w:r w:rsidRPr="00C05D14" w:rsidR="001B1A49">
        <w:rPr>
          <w:rFonts w:ascii="Book Antiqua" w:hAnsi="Book Antiqua"/>
        </w:rPr>
        <w:t>.</w:t>
      </w:r>
    </w:p>
    <w:bookmarkEnd w:id="3"/>
    <w:p w:rsidRPr="00CD0242" w:rsidR="006B6592" w:rsidP="006B6592" w:rsidRDefault="006B6592" w14:paraId="4867B213" w14:textId="77777777">
      <w:pPr>
        <w:pStyle w:val="Heading1"/>
        <w:ind w:left="720" w:hanging="720"/>
        <w:rPr>
          <w:rFonts w:ascii="Arial" w:hAnsi="Arial" w:cs="Arial"/>
        </w:rPr>
      </w:pPr>
      <w:r w:rsidRPr="00CD0242">
        <w:rPr>
          <w:rFonts w:ascii="Arial" w:hAnsi="Arial" w:cs="Arial"/>
        </w:rPr>
        <w:t>Conclusion of Law</w:t>
      </w:r>
    </w:p>
    <w:p w:rsidR="006B6592" w:rsidP="006B6592" w:rsidRDefault="004D1909" w14:paraId="4D276415" w14:textId="49A71837">
      <w:pPr>
        <w:pStyle w:val="Standard0"/>
      </w:pPr>
      <w:r w:rsidRPr="004D1909">
        <w:t>Pursuant to the authority granted to the Commission under Pub. Util. Code § 1701.5(a), the statutory deadline for this proceeding should be extended to November 20, 2020</w:t>
      </w:r>
      <w:r w:rsidR="006B6592">
        <w:t>.</w:t>
      </w:r>
    </w:p>
    <w:p w:rsidRPr="00C05D14" w:rsidR="00685DD4" w:rsidP="009164AF" w:rsidRDefault="00685DD4" w14:paraId="702729C1" w14:textId="1B27495E">
      <w:pPr>
        <w:pStyle w:val="standard"/>
        <w:keepNext/>
        <w:keepLines/>
        <w:rPr>
          <w:rFonts w:ascii="Book Antiqua" w:hAnsi="Book Antiqua"/>
        </w:rPr>
      </w:pPr>
      <w:r w:rsidRPr="00C05D14">
        <w:rPr>
          <w:rFonts w:ascii="Arial" w:hAnsi="Arial" w:cs="Arial"/>
          <w:b/>
        </w:rPr>
        <w:lastRenderedPageBreak/>
        <w:t>IT IS ORDERED</w:t>
      </w:r>
      <w:r>
        <w:t xml:space="preserve"> </w:t>
      </w:r>
      <w:r w:rsidRPr="004D1909" w:rsidR="004D1909">
        <w:rPr>
          <w:rFonts w:ascii="Book Antiqua" w:hAnsi="Book Antiqua"/>
        </w:rPr>
        <w:t>that the statutory deadline for this proceeding is extended until November 20, 2020</w:t>
      </w:r>
      <w:r w:rsidRPr="00C05D14">
        <w:rPr>
          <w:rFonts w:ascii="Book Antiqua" w:hAnsi="Book Antiqua"/>
        </w:rPr>
        <w:t xml:space="preserve">. </w:t>
      </w:r>
    </w:p>
    <w:p w:rsidRPr="00C05D14" w:rsidR="006B6592" w:rsidP="009164AF" w:rsidRDefault="006B6592" w14:paraId="21CDE232" w14:textId="77777777">
      <w:pPr>
        <w:pStyle w:val="Standard0"/>
        <w:keepNext/>
        <w:keepLines/>
      </w:pPr>
      <w:r w:rsidRPr="00C05D14">
        <w:t>This order is effective today.</w:t>
      </w:r>
    </w:p>
    <w:p w:rsidR="00E66810" w:rsidP="009164AF" w:rsidRDefault="00E66810" w14:paraId="3F9BCCFC" w14:textId="743026F3">
      <w:pPr>
        <w:pStyle w:val="standard"/>
        <w:keepNext/>
        <w:keepLines/>
        <w:rPr>
          <w:rFonts w:ascii="Book Antiqua" w:hAnsi="Book Antiqua"/>
        </w:rPr>
      </w:pPr>
      <w:r w:rsidRPr="00C05D14">
        <w:rPr>
          <w:rFonts w:ascii="Book Antiqua" w:hAnsi="Book Antiqua"/>
        </w:rPr>
        <w:t xml:space="preserve">Dated </w:t>
      </w:r>
      <w:r w:rsidR="009164AF">
        <w:rPr>
          <w:rFonts w:ascii="Book Antiqua" w:hAnsi="Book Antiqua"/>
        </w:rPr>
        <w:t>August 6, 2020</w:t>
      </w:r>
      <w:r w:rsidRPr="00C05D14">
        <w:rPr>
          <w:rFonts w:ascii="Book Antiqua" w:hAnsi="Book Antiqua"/>
        </w:rPr>
        <w:t>, at San Francisco, California</w:t>
      </w:r>
      <w:r w:rsidRPr="00E66810">
        <w:rPr>
          <w:rFonts w:ascii="Book Antiqua" w:hAnsi="Book Antiqua"/>
        </w:rPr>
        <w:t>.</w:t>
      </w:r>
    </w:p>
    <w:p w:rsidR="002300DE" w:rsidP="009164AF" w:rsidRDefault="002300DE" w14:paraId="7653413F" w14:textId="77777777">
      <w:pPr>
        <w:pStyle w:val="standard"/>
        <w:keepNext/>
        <w:keepLines/>
        <w:rPr>
          <w:rFonts w:ascii="Book Antiqua" w:hAnsi="Book Antiqua"/>
        </w:rPr>
      </w:pPr>
    </w:p>
    <w:p w:rsidR="009164AF" w:rsidP="009164AF" w:rsidRDefault="009164AF" w14:paraId="51D9E9C8" w14:textId="77777777">
      <w:pPr>
        <w:keepNext/>
        <w:keepLines/>
        <w:autoSpaceDE w:val="0"/>
        <w:autoSpaceDN w:val="0"/>
        <w:adjustRightInd w:val="0"/>
        <w:ind w:left="4320"/>
        <w:jc w:val="both"/>
        <w:rPr>
          <w:rFonts w:cs="Palatino"/>
          <w:szCs w:val="26"/>
        </w:rPr>
      </w:pPr>
      <w:bookmarkStart w:name="_Hlk17215919" w:id="4"/>
      <w:r>
        <w:rPr>
          <w:rFonts w:cs="Courier New"/>
          <w:szCs w:val="26"/>
        </w:rPr>
        <w:t>MARYBEL BATJER</w:t>
      </w:r>
    </w:p>
    <w:p w:rsidR="009164AF" w:rsidP="009164AF" w:rsidRDefault="009164AF" w14:paraId="2FEA8F8C" w14:textId="77777777">
      <w:pPr>
        <w:keepNext/>
        <w:keepLines/>
        <w:autoSpaceDE w:val="0"/>
        <w:autoSpaceDN w:val="0"/>
        <w:adjustRightInd w:val="0"/>
        <w:ind w:firstLine="720"/>
        <w:jc w:val="both"/>
        <w:rPr>
          <w:rFonts w:cs="Palatino"/>
          <w:szCs w:val="26"/>
        </w:rPr>
      </w:pPr>
      <w:r>
        <w:rPr>
          <w:rFonts w:cs="Palatino"/>
          <w:szCs w:val="26"/>
        </w:rPr>
        <w:tab/>
      </w:r>
      <w:r>
        <w:rPr>
          <w:rFonts w:cs="Palatino"/>
          <w:szCs w:val="26"/>
        </w:rPr>
        <w:tab/>
      </w:r>
      <w:r>
        <w:rPr>
          <w:rFonts w:cs="Palatino"/>
          <w:szCs w:val="26"/>
        </w:rPr>
        <w:tab/>
      </w:r>
      <w:r>
        <w:rPr>
          <w:rFonts w:cs="Palatino"/>
          <w:szCs w:val="26"/>
        </w:rPr>
        <w:tab/>
      </w:r>
      <w:r>
        <w:rPr>
          <w:rFonts w:cs="Palatino"/>
          <w:szCs w:val="26"/>
        </w:rPr>
        <w:tab/>
        <w:t xml:space="preserve">                       President</w:t>
      </w:r>
    </w:p>
    <w:p w:rsidR="009164AF" w:rsidP="009164AF" w:rsidRDefault="009164AF" w14:paraId="5491CB4B" w14:textId="77777777">
      <w:pPr>
        <w:keepNext/>
        <w:keepLines/>
        <w:autoSpaceDE w:val="0"/>
        <w:autoSpaceDN w:val="0"/>
        <w:adjustRightInd w:val="0"/>
        <w:ind w:left="4320"/>
        <w:jc w:val="both"/>
        <w:rPr>
          <w:rFonts w:cs="Courier New"/>
          <w:szCs w:val="26"/>
        </w:rPr>
      </w:pPr>
      <w:r>
        <w:rPr>
          <w:rFonts w:cs="Courier New"/>
          <w:szCs w:val="26"/>
        </w:rPr>
        <w:t>LIANE M. RANDOLPH</w:t>
      </w:r>
    </w:p>
    <w:p w:rsidR="009164AF" w:rsidP="009164AF" w:rsidRDefault="009164AF" w14:paraId="7830E97D" w14:textId="77777777">
      <w:pPr>
        <w:keepNext/>
        <w:keepLines/>
        <w:autoSpaceDE w:val="0"/>
        <w:autoSpaceDN w:val="0"/>
        <w:adjustRightInd w:val="0"/>
        <w:ind w:left="4320"/>
        <w:jc w:val="both"/>
        <w:rPr>
          <w:rFonts w:ascii="Times New Roman" w:hAnsi="Times New Roman"/>
          <w:sz w:val="28"/>
          <w:szCs w:val="28"/>
        </w:rPr>
      </w:pPr>
      <w:r>
        <w:rPr>
          <w:rFonts w:ascii="Times New Roman" w:hAnsi="Times New Roman"/>
          <w:sz w:val="28"/>
          <w:szCs w:val="28"/>
        </w:rPr>
        <w:t>MARTHA GUZMAN ACEVES</w:t>
      </w:r>
    </w:p>
    <w:p w:rsidR="009164AF" w:rsidP="009164AF" w:rsidRDefault="009164AF" w14:paraId="077A5A2C" w14:textId="77777777">
      <w:pPr>
        <w:keepNext/>
        <w:keepLines/>
        <w:autoSpaceDE w:val="0"/>
        <w:autoSpaceDN w:val="0"/>
        <w:adjustRightInd w:val="0"/>
        <w:ind w:left="4320"/>
        <w:jc w:val="both"/>
        <w:rPr>
          <w:sz w:val="28"/>
          <w:szCs w:val="28"/>
        </w:rPr>
      </w:pPr>
      <w:r>
        <w:rPr>
          <w:sz w:val="28"/>
          <w:szCs w:val="28"/>
        </w:rPr>
        <w:t>CLIFFORD RECHTSCHAFFEN</w:t>
      </w:r>
    </w:p>
    <w:p w:rsidRPr="00620FCB" w:rsidR="009164AF" w:rsidP="009164AF" w:rsidRDefault="009164AF" w14:paraId="7BE203E7" w14:textId="77777777">
      <w:pPr>
        <w:keepNext/>
        <w:keepLines/>
        <w:autoSpaceDE w:val="0"/>
        <w:autoSpaceDN w:val="0"/>
        <w:adjustRightInd w:val="0"/>
        <w:ind w:left="4320"/>
        <w:jc w:val="both"/>
        <w:rPr>
          <w:sz w:val="28"/>
          <w:szCs w:val="28"/>
        </w:rPr>
      </w:pPr>
      <w:r w:rsidRPr="00620FCB">
        <w:rPr>
          <w:sz w:val="28"/>
          <w:szCs w:val="28"/>
        </w:rPr>
        <w:t>GENEVIEVE SHIROMA</w:t>
      </w:r>
    </w:p>
    <w:p w:rsidR="009164AF" w:rsidP="009164AF" w:rsidRDefault="009164AF" w14:paraId="28BC9E6B" w14:textId="77777777">
      <w:pPr>
        <w:keepNext/>
        <w:keepLines/>
        <w:autoSpaceDE w:val="0"/>
        <w:autoSpaceDN w:val="0"/>
        <w:adjustRightInd w:val="0"/>
        <w:ind w:left="4320" w:firstLine="720"/>
        <w:jc w:val="both"/>
        <w:rPr>
          <w:rFonts w:cs="Palatino"/>
          <w:szCs w:val="26"/>
        </w:rPr>
      </w:pPr>
      <w:r>
        <w:rPr>
          <w:rFonts w:cs="Palatino"/>
          <w:szCs w:val="26"/>
        </w:rPr>
        <w:t xml:space="preserve">                 Commissioners</w:t>
      </w:r>
    </w:p>
    <w:bookmarkEnd w:id="4"/>
    <w:p w:rsidR="009164AF" w:rsidP="009164AF" w:rsidRDefault="009164AF" w14:paraId="5B3E1ABF" w14:textId="77777777">
      <w:pPr>
        <w:pStyle w:val="standard"/>
        <w:keepNext/>
        <w:keepLines/>
        <w:rPr>
          <w:rFonts w:ascii="Book Antiqua" w:hAnsi="Book Antiqua"/>
        </w:rPr>
      </w:pPr>
    </w:p>
    <w:sectPr w:rsidR="009164AF">
      <w:headerReference w:type="default" r:id="rId8"/>
      <w:footerReference w:type="default" r:id="rId9"/>
      <w:headerReference w:type="first" r:id="rId10"/>
      <w:footerReference w:type="first" r:id="rId11"/>
      <w:pgSz w:w="12240" w:h="15840" w:code="1"/>
      <w:pgMar w:top="1152"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D3880" w14:textId="77777777" w:rsidR="00ED4845" w:rsidRDefault="00ED4845">
      <w:r>
        <w:separator/>
      </w:r>
    </w:p>
  </w:endnote>
  <w:endnote w:type="continuationSeparator" w:id="0">
    <w:p w14:paraId="00DB8753" w14:textId="77777777" w:rsidR="00ED4845" w:rsidRDefault="00ED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Palatino">
    <w:altName w:val="Book Antiqua"/>
    <w:charset w:val="00"/>
    <w:family w:val="roman"/>
    <w:pitch w:val="variable"/>
    <w:sig w:usb0="00000203" w:usb1="00000000" w:usb2="00000000" w:usb3="00000000" w:csb0="00000005"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19E9C" w14:textId="77777777" w:rsidR="00DD1176" w:rsidRDefault="00DD1176" w:rsidP="00FD568F">
    <w:pPr>
      <w:pStyle w:val="Footer"/>
      <w:tabs>
        <w:tab w:val="clear" w:pos="4320"/>
        <w:tab w:val="center" w:pos="4680"/>
      </w:tabs>
      <w:rPr>
        <w:rStyle w:val="PageNumber"/>
        <w:sz w:val="24"/>
        <w:szCs w:val="24"/>
      </w:rPr>
    </w:pPr>
    <w:r>
      <w:rPr>
        <w:rStyle w:val="PageNumber"/>
        <w:sz w:val="24"/>
        <w:szCs w:val="24"/>
      </w:rPr>
      <w:t xml:space="preserve">- </w:t>
    </w:r>
    <w:r>
      <w:rPr>
        <w:rStyle w:val="PageNumber"/>
        <w:sz w:val="24"/>
        <w:szCs w:val="24"/>
      </w:rPr>
      <w:fldChar w:fldCharType="begin"/>
    </w:r>
    <w:r>
      <w:rPr>
        <w:rStyle w:val="PageNumber"/>
        <w:sz w:val="24"/>
        <w:szCs w:val="24"/>
      </w:rPr>
      <w:instrText xml:space="preserve"> PAGE </w:instrText>
    </w:r>
    <w:r>
      <w:rPr>
        <w:rStyle w:val="PageNumber"/>
        <w:sz w:val="24"/>
        <w:szCs w:val="24"/>
      </w:rPr>
      <w:fldChar w:fldCharType="separate"/>
    </w:r>
    <w:r w:rsidR="00131E5E">
      <w:rPr>
        <w:rStyle w:val="PageNumber"/>
        <w:noProof/>
        <w:sz w:val="24"/>
        <w:szCs w:val="24"/>
      </w:rPr>
      <w:t>2</w:t>
    </w:r>
    <w:r>
      <w:rPr>
        <w:rStyle w:val="PageNumber"/>
        <w:sz w:val="24"/>
        <w:szCs w:val="24"/>
      </w:rPr>
      <w:fldChar w:fldCharType="end"/>
    </w:r>
    <w:r>
      <w:rPr>
        <w:rStyle w:val="PageNumber"/>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9B01" w14:textId="120C654E" w:rsidR="00DD1176" w:rsidRPr="00586B57" w:rsidRDefault="009164AF" w:rsidP="00FD568F">
    <w:pPr>
      <w:pStyle w:val="Footer"/>
      <w:tabs>
        <w:tab w:val="clear" w:pos="4320"/>
        <w:tab w:val="center" w:pos="4680"/>
      </w:tabs>
      <w:jc w:val="left"/>
      <w:rPr>
        <w:rStyle w:val="PageNumber"/>
        <w:sz w:val="24"/>
        <w:szCs w:val="24"/>
      </w:rPr>
    </w:pPr>
    <w:r w:rsidRPr="009164AF">
      <w:rPr>
        <w:sz w:val="16"/>
        <w:szCs w:val="16"/>
      </w:rPr>
      <w:t>345006645</w:t>
    </w:r>
    <w:r w:rsidR="00DD1176">
      <w:rPr>
        <w:rFonts w:asciiTheme="majorHAnsi" w:eastAsiaTheme="majorEastAsia" w:hAnsiTheme="majorHAnsi" w:cstheme="majorBidi"/>
        <w:sz w:val="16"/>
        <w:szCs w:val="16"/>
      </w:rPr>
      <w:tab/>
    </w:r>
    <w:r w:rsidR="00DD1176" w:rsidRPr="00586B57">
      <w:rPr>
        <w:rStyle w:val="PageNumber"/>
        <w:sz w:val="24"/>
        <w:szCs w:val="24"/>
      </w:rPr>
      <w:t>- 1 -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D4328" w14:textId="77777777" w:rsidR="00ED4845" w:rsidRDefault="00ED4845">
      <w:r>
        <w:separator/>
      </w:r>
    </w:p>
  </w:footnote>
  <w:footnote w:type="continuationSeparator" w:id="0">
    <w:p w14:paraId="3E37266A" w14:textId="77777777" w:rsidR="00ED4845" w:rsidRDefault="00ED4845">
      <w:r>
        <w:continuationSeparator/>
      </w:r>
    </w:p>
  </w:footnote>
  <w:footnote w:type="continuationNotice" w:id="1">
    <w:p w14:paraId="21603A6E" w14:textId="77777777" w:rsidR="00ED4845" w:rsidRDefault="00ED4845">
      <w:pPr>
        <w:rPr>
          <w:sz w:val="22"/>
        </w:rPr>
      </w:pPr>
    </w:p>
    <w:p w14:paraId="03AE59A4" w14:textId="77777777" w:rsidR="00ED4845" w:rsidRDefault="00ED4845">
      <w:pPr>
        <w:jc w:val="right"/>
        <w:rPr>
          <w:sz w:val="22"/>
        </w:rPr>
      </w:pPr>
      <w:r>
        <w:rPr>
          <w:i/>
          <w:sz w:val="22"/>
        </w:rPr>
        <w:t>Footnote continued on next page</w:t>
      </w:r>
    </w:p>
  </w:footnote>
  <w:footnote w:id="2">
    <w:p w14:paraId="23B84AF1" w14:textId="77777777" w:rsidR="003D43B5" w:rsidRPr="00316ADE" w:rsidRDefault="003D43B5" w:rsidP="003D43B5">
      <w:pPr>
        <w:pStyle w:val="FootnoteText"/>
        <w:spacing w:after="120"/>
        <w:rPr>
          <w:rFonts w:ascii="Book Antiqua" w:hAnsi="Book Antiqua"/>
          <w:sz w:val="22"/>
          <w:szCs w:val="22"/>
        </w:rPr>
      </w:pPr>
      <w:r w:rsidRPr="00316ADE">
        <w:rPr>
          <w:rStyle w:val="FootnoteReference"/>
          <w:rFonts w:ascii="Book Antiqua" w:hAnsi="Book Antiqua"/>
        </w:rPr>
        <w:footnoteRef/>
      </w:r>
      <w:r w:rsidRPr="00316ADE">
        <w:rPr>
          <w:rFonts w:ascii="Book Antiqua" w:hAnsi="Book Antiqua"/>
        </w:rPr>
        <w:t xml:space="preserve"> </w:t>
      </w:r>
      <w:r>
        <w:rPr>
          <w:rFonts w:ascii="Book Antiqua" w:hAnsi="Book Antiqua"/>
        </w:rPr>
        <w:t xml:space="preserve"> </w:t>
      </w:r>
      <w:r w:rsidRPr="00316ADE">
        <w:rPr>
          <w:rFonts w:ascii="Book Antiqua" w:hAnsi="Book Antiqua"/>
          <w:sz w:val="22"/>
          <w:szCs w:val="22"/>
        </w:rPr>
        <w:t>PHC Transcript, October 22, 2018, at 7, line 19 – at 14, line 2.</w:t>
      </w:r>
    </w:p>
  </w:footnote>
  <w:footnote w:id="3">
    <w:p w14:paraId="701FCCA6" w14:textId="77777777" w:rsidR="003D43B5" w:rsidRPr="00336645" w:rsidRDefault="003D43B5" w:rsidP="003D43B5">
      <w:pPr>
        <w:pStyle w:val="FootnoteText"/>
        <w:spacing w:after="120"/>
        <w:rPr>
          <w:rFonts w:ascii="Book Antiqua" w:hAnsi="Book Antiqua"/>
          <w:sz w:val="22"/>
          <w:szCs w:val="22"/>
        </w:rPr>
      </w:pPr>
      <w:r w:rsidRPr="00336645">
        <w:rPr>
          <w:rStyle w:val="FootnoteReference"/>
          <w:rFonts w:ascii="Book Antiqua" w:hAnsi="Book Antiqua"/>
          <w:sz w:val="22"/>
          <w:szCs w:val="22"/>
        </w:rPr>
        <w:footnoteRef/>
      </w:r>
      <w:r w:rsidRPr="00336645">
        <w:rPr>
          <w:rFonts w:ascii="Book Antiqua" w:hAnsi="Book Antiqua"/>
          <w:sz w:val="22"/>
          <w:szCs w:val="22"/>
        </w:rPr>
        <w:t xml:space="preserve"> Application, Exhibit D, at 44, par. (h).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BFB0" w14:textId="533801D7" w:rsidR="00BB2F6F" w:rsidRDefault="004C218E" w:rsidP="00BB2F6F">
    <w:pPr>
      <w:pStyle w:val="Header"/>
      <w:tabs>
        <w:tab w:val="clear" w:pos="8640"/>
        <w:tab w:val="right" w:pos="9360"/>
      </w:tabs>
      <w:rPr>
        <w:rFonts w:ascii="Helvetica" w:hAnsi="Helvetica"/>
        <w:b/>
        <w:sz w:val="32"/>
        <w:szCs w:val="32"/>
      </w:rPr>
    </w:pPr>
    <w:r>
      <w:rPr>
        <w:rFonts w:ascii="Book Antiqua" w:hAnsi="Book Antiqua"/>
      </w:rPr>
      <w:t>A.</w:t>
    </w:r>
    <w:r w:rsidR="000E6863">
      <w:rPr>
        <w:rFonts w:ascii="Book Antiqua" w:hAnsi="Book Antiqua"/>
      </w:rPr>
      <w:t>18-08-010</w:t>
    </w:r>
    <w:r w:rsidR="00DD1176" w:rsidRPr="009B2873">
      <w:rPr>
        <w:rFonts w:ascii="Book Antiqua" w:hAnsi="Book Antiqua"/>
      </w:rPr>
      <w:t xml:space="preserve">  </w:t>
    </w:r>
    <w:r w:rsidR="00560604">
      <w:rPr>
        <w:rFonts w:ascii="Book Antiqua" w:hAnsi="Book Antiqua"/>
      </w:rPr>
      <w:t>ALJ/</w:t>
    </w:r>
    <w:r w:rsidR="000E6863">
      <w:rPr>
        <w:rFonts w:ascii="Book Antiqua" w:hAnsi="Book Antiqua"/>
      </w:rPr>
      <w:t>CFG</w:t>
    </w:r>
    <w:r w:rsidR="002F0CD6" w:rsidRPr="009B2873">
      <w:rPr>
        <w:rFonts w:ascii="Book Antiqua" w:hAnsi="Book Antiqua"/>
      </w:rPr>
      <w:t>/</w:t>
    </w:r>
    <w:proofErr w:type="spellStart"/>
    <w:r w:rsidR="00EA1576">
      <w:rPr>
        <w:rFonts w:ascii="Book Antiqua" w:hAnsi="Book Antiqua"/>
      </w:rPr>
      <w:t>mln</w:t>
    </w:r>
    <w:proofErr w:type="spellEnd"/>
    <w:r w:rsidR="0047259D">
      <w:rPr>
        <w:rFonts w:ascii="Book Antiqua" w:hAnsi="Book Antiqua"/>
      </w:rPr>
      <w:t>/</w:t>
    </w:r>
    <w:proofErr w:type="spellStart"/>
    <w:r w:rsidR="0047259D">
      <w:rPr>
        <w:rFonts w:ascii="Book Antiqua" w:hAnsi="Book Antiqua"/>
      </w:rPr>
      <w:t>avs</w:t>
    </w:r>
    <w:proofErr w:type="spellEnd"/>
    <w:r w:rsidR="00BB2F6F" w:rsidRPr="00BB2F6F">
      <w:t xml:space="preserve"> </w:t>
    </w:r>
    <w:r w:rsidR="00BB2F6F">
      <w:tab/>
    </w:r>
    <w:r w:rsidR="00BB2F6F">
      <w:tab/>
    </w:r>
  </w:p>
  <w:p w14:paraId="5C76B448" w14:textId="50EF1CC0" w:rsidR="0047259D" w:rsidRDefault="0047259D" w:rsidP="00BB2F6F">
    <w:pPr>
      <w:pStyle w:val="Header"/>
      <w:tabs>
        <w:tab w:val="clear" w:pos="8640"/>
        <w:tab w:val="right" w:pos="9360"/>
      </w:tabs>
    </w:pPr>
  </w:p>
  <w:p w14:paraId="002ECF7D" w14:textId="77777777" w:rsidR="0047259D" w:rsidRDefault="0047259D" w:rsidP="00BB2F6F">
    <w:pPr>
      <w:pStyle w:val="Header"/>
      <w:tabs>
        <w:tab w:val="clear" w:pos="864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FD1C6" w14:textId="77777777" w:rsidR="00BB2F6F" w:rsidRDefault="00BB2F6F" w:rsidP="00BB2F6F">
    <w:pPr>
      <w:pStyle w:val="Header"/>
    </w:pPr>
  </w:p>
  <w:p w14:paraId="6BD7832C" w14:textId="77777777" w:rsidR="00F005D9" w:rsidRDefault="00F00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80875"/>
    <w:multiLevelType w:val="hybridMultilevel"/>
    <w:tmpl w:val="6A18B6E8"/>
    <w:lvl w:ilvl="0" w:tplc="D97AA1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B381E"/>
    <w:multiLevelType w:val="singleLevel"/>
    <w:tmpl w:val="2FB6A734"/>
    <w:lvl w:ilvl="0">
      <w:start w:val="1"/>
      <w:numFmt w:val="decimal"/>
      <w:lvlText w:val="%1."/>
      <w:legacy w:legacy="1" w:legacySpace="144" w:legacyIndent="0"/>
      <w:lvlJc w:val="left"/>
    </w:lvl>
  </w:abstractNum>
  <w:abstractNum w:abstractNumId="2" w15:restartNumberingAfterBreak="0">
    <w:nsid w:val="1D7D75BB"/>
    <w:multiLevelType w:val="hybridMultilevel"/>
    <w:tmpl w:val="9ED01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46003"/>
    <w:multiLevelType w:val="singleLevel"/>
    <w:tmpl w:val="2FB6A734"/>
    <w:lvl w:ilvl="0">
      <w:start w:val="1"/>
      <w:numFmt w:val="decimal"/>
      <w:lvlText w:val="%1."/>
      <w:legacy w:legacy="1" w:legacySpace="144" w:legacyIndent="0"/>
      <w:lvlJc w:val="left"/>
    </w:lvl>
  </w:abstractNum>
  <w:abstractNum w:abstractNumId="4" w15:restartNumberingAfterBreak="0">
    <w:nsid w:val="331F6D42"/>
    <w:multiLevelType w:val="multilevel"/>
    <w:tmpl w:val="70AAB8E6"/>
    <w:styleLink w:val="Headings"/>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5" w15:restartNumberingAfterBreak="0">
    <w:nsid w:val="398A3497"/>
    <w:multiLevelType w:val="hybridMultilevel"/>
    <w:tmpl w:val="A55AEA38"/>
    <w:lvl w:ilvl="0" w:tplc="366643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1B035BF"/>
    <w:multiLevelType w:val="multilevel"/>
    <w:tmpl w:val="70AAB8E6"/>
    <w:lvl w:ilvl="0">
      <w:start w:val="1"/>
      <w:numFmt w:val="decimal"/>
      <w:lvlText w:val="%1."/>
      <w:lvlJc w:val="left"/>
      <w:pPr>
        <w:tabs>
          <w:tab w:val="num" w:pos="720"/>
        </w:tabs>
        <w:ind w:left="720" w:hanging="720"/>
      </w:pPr>
      <w:rPr>
        <w:rFonts w:ascii="Arial" w:hAnsi="Arial" w:cs="Times New Roman" w:hint="default"/>
        <w:b/>
        <w:i w:val="0"/>
        <w:caps w:val="0"/>
        <w:strike w:val="0"/>
        <w:dstrike w:val="0"/>
        <w:vanish w:val="0"/>
        <w:webHidden w:val="0"/>
        <w:color w:val="auto"/>
        <w:kern w:val="0"/>
        <w:position w:val="0"/>
        <w:sz w:val="26"/>
        <w:u w:val="none"/>
        <w:effect w:val="none"/>
        <w:vertAlign w:val="baseline"/>
        <w:specVanish w:val="0"/>
        <w14:ligatures w14:val="none"/>
        <w14:numSpacing w14:val="default"/>
        <w14:cntxtAlts w14:val="0"/>
      </w:rPr>
    </w:lvl>
    <w:lvl w:ilvl="1">
      <w:start w:val="1"/>
      <w:numFmt w:val="decimal"/>
      <w:lvlText w:val="%1.%2."/>
      <w:lvlJc w:val="left"/>
      <w:pPr>
        <w:tabs>
          <w:tab w:val="num" w:pos="1080"/>
        </w:tabs>
        <w:ind w:left="1080" w:hanging="720"/>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2">
      <w:start w:val="1"/>
      <w:numFmt w:val="decimal"/>
      <w:lvlText w:val="%1.%2.%3."/>
      <w:lvlJc w:val="left"/>
      <w:pPr>
        <w:tabs>
          <w:tab w:val="num" w:pos="1656"/>
        </w:tabs>
        <w:ind w:left="1656" w:hanging="936"/>
      </w:pPr>
      <w:rPr>
        <w:rFonts w:ascii="Arial" w:hAnsi="Arial" w:cs="Times New Roman" w:hint="default"/>
        <w:b/>
        <w:i w:val="0"/>
        <w:caps w:val="0"/>
        <w:strike w:val="0"/>
        <w:dstrike w:val="0"/>
        <w:vanish w:val="0"/>
        <w:webHidden w:val="0"/>
        <w:color w:val="auto"/>
        <w:kern w:val="0"/>
        <w:sz w:val="26"/>
        <w:u w:val="none"/>
        <w:effect w:val="none"/>
        <w:vertAlign w:val="baseline"/>
        <w:specVanish w:val="0"/>
        <w14:cntxtAlts w14:val="0"/>
      </w:rPr>
    </w:lvl>
    <w:lvl w:ilvl="3">
      <w:start w:val="1"/>
      <w:numFmt w:val="decimal"/>
      <w:lvlText w:val="%1.%2.%3.%4."/>
      <w:lvlJc w:val="left"/>
      <w:pPr>
        <w:tabs>
          <w:tab w:val="num" w:pos="2232"/>
        </w:tabs>
        <w:ind w:left="2232" w:hanging="1152"/>
      </w:pPr>
      <w:rPr>
        <w:rFonts w:ascii="Arial" w:hAnsi="Arial" w:cs="Times New Roman" w:hint="default"/>
        <w:b/>
        <w:i w:val="0"/>
        <w:caps w:val="0"/>
        <w:strike w:val="0"/>
        <w:dstrike w:val="0"/>
        <w:vanish w:val="0"/>
        <w:webHidden w:val="0"/>
        <w:kern w:val="0"/>
        <w:sz w:val="26"/>
        <w:u w:val="none"/>
        <w:effect w:val="none"/>
        <w:vertAlign w:val="baseline"/>
        <w:specVanish w:val="0"/>
        <w14:cntxtAlts w14:val="0"/>
      </w:rPr>
    </w:lvl>
    <w:lvl w:ilvl="4">
      <w:start w:val="1"/>
      <w:numFmt w:val="decimal"/>
      <w:lvlText w:val="%1.%2.%3.%4.%5."/>
      <w:lvlJc w:val="left"/>
      <w:pPr>
        <w:tabs>
          <w:tab w:val="num" w:pos="2880"/>
        </w:tabs>
        <w:ind w:left="2880" w:hanging="1440"/>
      </w:pPr>
      <w:rPr>
        <w:rFonts w:ascii="Arial" w:hAnsi="Arial" w:cs="Times New Roman" w:hint="default"/>
        <w:b/>
        <w:i w:val="0"/>
        <w:sz w:val="26"/>
      </w:rPr>
    </w:lvl>
    <w:lvl w:ilvl="5">
      <w:start w:val="1"/>
      <w:numFmt w:val="decimal"/>
      <w:lvlText w:val="%1.%2.%3.%4.%5.%6."/>
      <w:lvlJc w:val="left"/>
      <w:pPr>
        <w:tabs>
          <w:tab w:val="num" w:pos="3528"/>
        </w:tabs>
        <w:ind w:left="3528" w:hanging="1728"/>
      </w:pPr>
      <w:rPr>
        <w:rFonts w:ascii="Arial" w:hAnsi="Arial" w:cs="Times New Roman" w:hint="default"/>
        <w:b/>
        <w:i w:val="0"/>
        <w:sz w:val="26"/>
      </w:rPr>
    </w:lvl>
    <w:lvl w:ilvl="6">
      <w:start w:val="1"/>
      <w:numFmt w:val="decimal"/>
      <w:lvlText w:val="%7."/>
      <w:lvlJc w:val="left"/>
      <w:pPr>
        <w:tabs>
          <w:tab w:val="num" w:pos="1080"/>
        </w:tabs>
        <w:ind w:left="1080" w:hanging="360"/>
      </w:pPr>
      <w:rPr>
        <w:rFonts w:ascii="Book Antiqua" w:hAnsi="Book Antiqua" w:hint="default"/>
        <w:b w:val="0"/>
        <w:i w:val="0"/>
        <w:sz w:val="26"/>
      </w:rPr>
    </w:lvl>
    <w:lvl w:ilvl="7">
      <w:start w:val="1"/>
      <w:numFmt w:val="lowerLetter"/>
      <w:lvlText w:val="%8."/>
      <w:lvlJc w:val="left"/>
      <w:pPr>
        <w:tabs>
          <w:tab w:val="num" w:pos="1080"/>
        </w:tabs>
        <w:ind w:left="1080" w:hanging="360"/>
      </w:pPr>
      <w:rPr>
        <w:rFonts w:ascii="Book Antiqua" w:hAnsi="Book Antiqua" w:hint="default"/>
        <w:sz w:val="26"/>
      </w:rPr>
    </w:lvl>
    <w:lvl w:ilvl="8">
      <w:start w:val="1"/>
      <w:numFmt w:val="none"/>
      <w:lvlText w:val=""/>
      <w:lvlJc w:val="left"/>
      <w:pPr>
        <w:ind w:left="3240" w:hanging="360"/>
      </w:pPr>
    </w:lvl>
  </w:abstractNum>
  <w:abstractNum w:abstractNumId="7" w15:restartNumberingAfterBreak="0">
    <w:nsid w:val="463765A4"/>
    <w:multiLevelType w:val="hybridMultilevel"/>
    <w:tmpl w:val="48009896"/>
    <w:lvl w:ilvl="0" w:tplc="408002C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C6F769F"/>
    <w:multiLevelType w:val="hybridMultilevel"/>
    <w:tmpl w:val="903CE290"/>
    <w:lvl w:ilvl="0" w:tplc="6DA84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636B5"/>
    <w:multiLevelType w:val="hybridMultilevel"/>
    <w:tmpl w:val="D0307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6E4892"/>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06B0A06"/>
    <w:multiLevelType w:val="singleLevel"/>
    <w:tmpl w:val="21AE8D44"/>
    <w:lvl w:ilvl="0">
      <w:start w:val="1"/>
      <w:numFmt w:val="decimal"/>
      <w:lvlText w:val="%1."/>
      <w:legacy w:legacy="1" w:legacySpace="0" w:legacyIndent="360"/>
      <w:lvlJc w:val="left"/>
    </w:lvl>
  </w:abstractNum>
  <w:abstractNum w:abstractNumId="12" w15:restartNumberingAfterBreak="0">
    <w:nsid w:val="7B1C30FD"/>
    <w:multiLevelType w:val="singleLevel"/>
    <w:tmpl w:val="2FB6A734"/>
    <w:lvl w:ilvl="0">
      <w:start w:val="1"/>
      <w:numFmt w:val="decimal"/>
      <w:lvlText w:val="%1."/>
      <w:legacy w:legacy="1" w:legacySpace="144" w:legacyIndent="0"/>
      <w:lvlJc w:val="left"/>
    </w:lvl>
  </w:abstractNum>
  <w:abstractNum w:abstractNumId="13" w15:restartNumberingAfterBreak="0">
    <w:nsid w:val="7D905FC4"/>
    <w:multiLevelType w:val="hybridMultilevel"/>
    <w:tmpl w:val="79A087D0"/>
    <w:lvl w:ilvl="0" w:tplc="BE4A95F8">
      <w:start w:val="1"/>
      <w:numFmt w:val="decimal"/>
      <w:lvlText w:val="%1."/>
      <w:legacy w:legacy="1" w:legacySpace="144" w:legacyIndent="0"/>
      <w:lvlJc w:val="left"/>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
  </w:num>
  <w:num w:numId="2">
    <w:abstractNumId w:val="1"/>
  </w:num>
  <w:num w:numId="3">
    <w:abstractNumId w:val="12"/>
  </w:num>
  <w:num w:numId="4">
    <w:abstractNumId w:val="11"/>
  </w:num>
  <w:num w:numId="5">
    <w:abstractNumId w:val="13"/>
  </w:num>
  <w:num w:numId="6">
    <w:abstractNumId w:val="10"/>
  </w:num>
  <w:num w:numId="7">
    <w:abstractNumId w:val="7"/>
  </w:num>
  <w:num w:numId="8">
    <w:abstractNumId w:val="9"/>
  </w:num>
  <w:num w:numId="9">
    <w:abstractNumId w:val="0"/>
  </w:num>
  <w:num w:numId="10">
    <w:abstractNumId w:val="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D4"/>
    <w:rsid w:val="000062D4"/>
    <w:rsid w:val="00006E50"/>
    <w:rsid w:val="00014804"/>
    <w:rsid w:val="000303F1"/>
    <w:rsid w:val="000308D9"/>
    <w:rsid w:val="000328ED"/>
    <w:rsid w:val="00045C18"/>
    <w:rsid w:val="00057810"/>
    <w:rsid w:val="00057AD7"/>
    <w:rsid w:val="00061C1D"/>
    <w:rsid w:val="00061CE8"/>
    <w:rsid w:val="00065E9C"/>
    <w:rsid w:val="00074C89"/>
    <w:rsid w:val="00094579"/>
    <w:rsid w:val="000A502E"/>
    <w:rsid w:val="000B09BE"/>
    <w:rsid w:val="000C310A"/>
    <w:rsid w:val="000C3670"/>
    <w:rsid w:val="000E6863"/>
    <w:rsid w:val="000F13F5"/>
    <w:rsid w:val="000F1F94"/>
    <w:rsid w:val="000F41FC"/>
    <w:rsid w:val="000F789C"/>
    <w:rsid w:val="00102B54"/>
    <w:rsid w:val="00105F5C"/>
    <w:rsid w:val="00107565"/>
    <w:rsid w:val="00107949"/>
    <w:rsid w:val="00107D38"/>
    <w:rsid w:val="00110C8E"/>
    <w:rsid w:val="001139A6"/>
    <w:rsid w:val="00130693"/>
    <w:rsid w:val="00131E5E"/>
    <w:rsid w:val="001401B6"/>
    <w:rsid w:val="0014247A"/>
    <w:rsid w:val="0014760F"/>
    <w:rsid w:val="001515AD"/>
    <w:rsid w:val="0016171E"/>
    <w:rsid w:val="00172944"/>
    <w:rsid w:val="0017399C"/>
    <w:rsid w:val="00173E34"/>
    <w:rsid w:val="00175B9B"/>
    <w:rsid w:val="001851A1"/>
    <w:rsid w:val="001949BB"/>
    <w:rsid w:val="00195C02"/>
    <w:rsid w:val="001A11FD"/>
    <w:rsid w:val="001A4063"/>
    <w:rsid w:val="001B1A49"/>
    <w:rsid w:val="001C03C1"/>
    <w:rsid w:val="001C4BD2"/>
    <w:rsid w:val="001C7B66"/>
    <w:rsid w:val="001D1BD0"/>
    <w:rsid w:val="001E3773"/>
    <w:rsid w:val="002058B1"/>
    <w:rsid w:val="002059FB"/>
    <w:rsid w:val="00210F9F"/>
    <w:rsid w:val="00215C8F"/>
    <w:rsid w:val="00220160"/>
    <w:rsid w:val="00222429"/>
    <w:rsid w:val="002300DE"/>
    <w:rsid w:val="002329E9"/>
    <w:rsid w:val="0023415A"/>
    <w:rsid w:val="00234684"/>
    <w:rsid w:val="002356BA"/>
    <w:rsid w:val="00244695"/>
    <w:rsid w:val="00244CB2"/>
    <w:rsid w:val="00252D96"/>
    <w:rsid w:val="00253E7C"/>
    <w:rsid w:val="00253EE7"/>
    <w:rsid w:val="002548F2"/>
    <w:rsid w:val="00262344"/>
    <w:rsid w:val="0026610B"/>
    <w:rsid w:val="002662A1"/>
    <w:rsid w:val="00270F8B"/>
    <w:rsid w:val="00271F0C"/>
    <w:rsid w:val="002870D2"/>
    <w:rsid w:val="002915AB"/>
    <w:rsid w:val="00292C35"/>
    <w:rsid w:val="002A2AFF"/>
    <w:rsid w:val="002A64FB"/>
    <w:rsid w:val="002C0607"/>
    <w:rsid w:val="002C7D21"/>
    <w:rsid w:val="002D0E69"/>
    <w:rsid w:val="002D46C4"/>
    <w:rsid w:val="002D68E5"/>
    <w:rsid w:val="002E791F"/>
    <w:rsid w:val="002F0CD6"/>
    <w:rsid w:val="002F177C"/>
    <w:rsid w:val="002F21CE"/>
    <w:rsid w:val="002F4EC8"/>
    <w:rsid w:val="002F625C"/>
    <w:rsid w:val="002F6BD1"/>
    <w:rsid w:val="00304495"/>
    <w:rsid w:val="0030460C"/>
    <w:rsid w:val="003067E6"/>
    <w:rsid w:val="00312503"/>
    <w:rsid w:val="00314534"/>
    <w:rsid w:val="0031653E"/>
    <w:rsid w:val="00321B55"/>
    <w:rsid w:val="00323EF8"/>
    <w:rsid w:val="00330349"/>
    <w:rsid w:val="00331B7B"/>
    <w:rsid w:val="0033746C"/>
    <w:rsid w:val="00340309"/>
    <w:rsid w:val="00340CAF"/>
    <w:rsid w:val="003415C2"/>
    <w:rsid w:val="00341908"/>
    <w:rsid w:val="00342D73"/>
    <w:rsid w:val="00354DF4"/>
    <w:rsid w:val="00355EAD"/>
    <w:rsid w:val="00362FEC"/>
    <w:rsid w:val="0036451D"/>
    <w:rsid w:val="00365256"/>
    <w:rsid w:val="00366124"/>
    <w:rsid w:val="00367BB1"/>
    <w:rsid w:val="003760F6"/>
    <w:rsid w:val="0037701F"/>
    <w:rsid w:val="003855F1"/>
    <w:rsid w:val="0038761B"/>
    <w:rsid w:val="00391363"/>
    <w:rsid w:val="0039260C"/>
    <w:rsid w:val="003975E4"/>
    <w:rsid w:val="003A3FFB"/>
    <w:rsid w:val="003A6C30"/>
    <w:rsid w:val="003B0BC8"/>
    <w:rsid w:val="003C362B"/>
    <w:rsid w:val="003D2753"/>
    <w:rsid w:val="003D293C"/>
    <w:rsid w:val="003D43B5"/>
    <w:rsid w:val="003D7A1A"/>
    <w:rsid w:val="003E1FAB"/>
    <w:rsid w:val="003E6DFD"/>
    <w:rsid w:val="003F3DDF"/>
    <w:rsid w:val="00406E09"/>
    <w:rsid w:val="00410098"/>
    <w:rsid w:val="00421D42"/>
    <w:rsid w:val="00424493"/>
    <w:rsid w:val="00427C40"/>
    <w:rsid w:val="00434545"/>
    <w:rsid w:val="00434F77"/>
    <w:rsid w:val="004430E9"/>
    <w:rsid w:val="00443117"/>
    <w:rsid w:val="00447572"/>
    <w:rsid w:val="00450831"/>
    <w:rsid w:val="00452F5B"/>
    <w:rsid w:val="00461787"/>
    <w:rsid w:val="00465654"/>
    <w:rsid w:val="00471136"/>
    <w:rsid w:val="0047259D"/>
    <w:rsid w:val="004923AE"/>
    <w:rsid w:val="004A48F7"/>
    <w:rsid w:val="004A724A"/>
    <w:rsid w:val="004A75C0"/>
    <w:rsid w:val="004A79DE"/>
    <w:rsid w:val="004B10B1"/>
    <w:rsid w:val="004B5B63"/>
    <w:rsid w:val="004C218E"/>
    <w:rsid w:val="004C6B92"/>
    <w:rsid w:val="004D1909"/>
    <w:rsid w:val="004D767B"/>
    <w:rsid w:val="004E0D66"/>
    <w:rsid w:val="004F3047"/>
    <w:rsid w:val="005004A5"/>
    <w:rsid w:val="00502987"/>
    <w:rsid w:val="0050422A"/>
    <w:rsid w:val="00505391"/>
    <w:rsid w:val="00512357"/>
    <w:rsid w:val="00513E80"/>
    <w:rsid w:val="005160E1"/>
    <w:rsid w:val="0051774C"/>
    <w:rsid w:val="00517BEF"/>
    <w:rsid w:val="00517EAF"/>
    <w:rsid w:val="00522D3D"/>
    <w:rsid w:val="005250A2"/>
    <w:rsid w:val="00525251"/>
    <w:rsid w:val="00530498"/>
    <w:rsid w:val="005330B4"/>
    <w:rsid w:val="00535F0A"/>
    <w:rsid w:val="00540B67"/>
    <w:rsid w:val="00550CD4"/>
    <w:rsid w:val="00551313"/>
    <w:rsid w:val="00552330"/>
    <w:rsid w:val="0055350B"/>
    <w:rsid w:val="00553B36"/>
    <w:rsid w:val="00554B56"/>
    <w:rsid w:val="00560604"/>
    <w:rsid w:val="00586B57"/>
    <w:rsid w:val="00586C77"/>
    <w:rsid w:val="0059010E"/>
    <w:rsid w:val="0059642F"/>
    <w:rsid w:val="005A19D9"/>
    <w:rsid w:val="005A6278"/>
    <w:rsid w:val="005C2D36"/>
    <w:rsid w:val="005C52D2"/>
    <w:rsid w:val="005C61FE"/>
    <w:rsid w:val="005D1BDF"/>
    <w:rsid w:val="005D6082"/>
    <w:rsid w:val="005E1B52"/>
    <w:rsid w:val="005E2FD8"/>
    <w:rsid w:val="005F19CB"/>
    <w:rsid w:val="005F4AC7"/>
    <w:rsid w:val="005F589A"/>
    <w:rsid w:val="005F6E68"/>
    <w:rsid w:val="00600EF8"/>
    <w:rsid w:val="00602E68"/>
    <w:rsid w:val="00607F12"/>
    <w:rsid w:val="00614CA6"/>
    <w:rsid w:val="0062368C"/>
    <w:rsid w:val="00625BDB"/>
    <w:rsid w:val="006307F1"/>
    <w:rsid w:val="00640527"/>
    <w:rsid w:val="00642AB4"/>
    <w:rsid w:val="00654214"/>
    <w:rsid w:val="006555E8"/>
    <w:rsid w:val="00655970"/>
    <w:rsid w:val="00660256"/>
    <w:rsid w:val="0067542A"/>
    <w:rsid w:val="0067623F"/>
    <w:rsid w:val="00681A26"/>
    <w:rsid w:val="00685DD4"/>
    <w:rsid w:val="00696269"/>
    <w:rsid w:val="006A2C2A"/>
    <w:rsid w:val="006A7E18"/>
    <w:rsid w:val="006B1250"/>
    <w:rsid w:val="006B5192"/>
    <w:rsid w:val="006B5C09"/>
    <w:rsid w:val="006B6592"/>
    <w:rsid w:val="006B6D82"/>
    <w:rsid w:val="006C11E7"/>
    <w:rsid w:val="006C259F"/>
    <w:rsid w:val="006C2F15"/>
    <w:rsid w:val="006C502C"/>
    <w:rsid w:val="006C50E8"/>
    <w:rsid w:val="006D06DB"/>
    <w:rsid w:val="006D74B1"/>
    <w:rsid w:val="006E2153"/>
    <w:rsid w:val="006E3718"/>
    <w:rsid w:val="006E754F"/>
    <w:rsid w:val="006F05C2"/>
    <w:rsid w:val="006F3B00"/>
    <w:rsid w:val="006F5823"/>
    <w:rsid w:val="006F78BE"/>
    <w:rsid w:val="00703FDC"/>
    <w:rsid w:val="007079AF"/>
    <w:rsid w:val="00713142"/>
    <w:rsid w:val="007178BA"/>
    <w:rsid w:val="00720701"/>
    <w:rsid w:val="0072487E"/>
    <w:rsid w:val="00727FF5"/>
    <w:rsid w:val="00736A33"/>
    <w:rsid w:val="00740AE3"/>
    <w:rsid w:val="007468F1"/>
    <w:rsid w:val="00763165"/>
    <w:rsid w:val="00780122"/>
    <w:rsid w:val="00783368"/>
    <w:rsid w:val="007873B3"/>
    <w:rsid w:val="007938C2"/>
    <w:rsid w:val="007A6B7B"/>
    <w:rsid w:val="007B05D0"/>
    <w:rsid w:val="007B25A2"/>
    <w:rsid w:val="007B5FEE"/>
    <w:rsid w:val="007B701A"/>
    <w:rsid w:val="007C256A"/>
    <w:rsid w:val="007C3C63"/>
    <w:rsid w:val="007C6C9F"/>
    <w:rsid w:val="007D0F17"/>
    <w:rsid w:val="007E2869"/>
    <w:rsid w:val="007E448B"/>
    <w:rsid w:val="007E6897"/>
    <w:rsid w:val="007F3737"/>
    <w:rsid w:val="007F63A9"/>
    <w:rsid w:val="00801D2B"/>
    <w:rsid w:val="00803F45"/>
    <w:rsid w:val="00804CB2"/>
    <w:rsid w:val="0080650C"/>
    <w:rsid w:val="00826873"/>
    <w:rsid w:val="00831599"/>
    <w:rsid w:val="00835FFA"/>
    <w:rsid w:val="0083777F"/>
    <w:rsid w:val="00837CC2"/>
    <w:rsid w:val="00841B13"/>
    <w:rsid w:val="00863B9F"/>
    <w:rsid w:val="0087177D"/>
    <w:rsid w:val="008720C1"/>
    <w:rsid w:val="00874847"/>
    <w:rsid w:val="00882668"/>
    <w:rsid w:val="0089195D"/>
    <w:rsid w:val="008950C0"/>
    <w:rsid w:val="008A19B5"/>
    <w:rsid w:val="008A7141"/>
    <w:rsid w:val="008B0907"/>
    <w:rsid w:val="008B44A1"/>
    <w:rsid w:val="008B583E"/>
    <w:rsid w:val="008C4825"/>
    <w:rsid w:val="008C572C"/>
    <w:rsid w:val="008C6949"/>
    <w:rsid w:val="008C7353"/>
    <w:rsid w:val="008D04ED"/>
    <w:rsid w:val="008D32EF"/>
    <w:rsid w:val="008D351D"/>
    <w:rsid w:val="008D3DD3"/>
    <w:rsid w:val="008E04A8"/>
    <w:rsid w:val="008E071B"/>
    <w:rsid w:val="008E1AAD"/>
    <w:rsid w:val="008F2E4B"/>
    <w:rsid w:val="008F6067"/>
    <w:rsid w:val="00900C89"/>
    <w:rsid w:val="00901AE0"/>
    <w:rsid w:val="00914786"/>
    <w:rsid w:val="009164AF"/>
    <w:rsid w:val="00922F40"/>
    <w:rsid w:val="0092571A"/>
    <w:rsid w:val="00927A42"/>
    <w:rsid w:val="00932ECF"/>
    <w:rsid w:val="00936174"/>
    <w:rsid w:val="009362C1"/>
    <w:rsid w:val="009429BA"/>
    <w:rsid w:val="00943F47"/>
    <w:rsid w:val="00950C51"/>
    <w:rsid w:val="009542CF"/>
    <w:rsid w:val="00960C1A"/>
    <w:rsid w:val="00961445"/>
    <w:rsid w:val="00963152"/>
    <w:rsid w:val="00964994"/>
    <w:rsid w:val="00971649"/>
    <w:rsid w:val="00972D20"/>
    <w:rsid w:val="00975976"/>
    <w:rsid w:val="00980F42"/>
    <w:rsid w:val="00982449"/>
    <w:rsid w:val="00984A45"/>
    <w:rsid w:val="00986390"/>
    <w:rsid w:val="00986A6C"/>
    <w:rsid w:val="009906D4"/>
    <w:rsid w:val="009940BE"/>
    <w:rsid w:val="00994A7E"/>
    <w:rsid w:val="00996C01"/>
    <w:rsid w:val="00996E2B"/>
    <w:rsid w:val="009A21C9"/>
    <w:rsid w:val="009A2F13"/>
    <w:rsid w:val="009B2628"/>
    <w:rsid w:val="009B2873"/>
    <w:rsid w:val="009B3BEE"/>
    <w:rsid w:val="009B666F"/>
    <w:rsid w:val="009D6F4E"/>
    <w:rsid w:val="009E2DB4"/>
    <w:rsid w:val="009E3647"/>
    <w:rsid w:val="009E51EF"/>
    <w:rsid w:val="009E5EC3"/>
    <w:rsid w:val="009F2FBB"/>
    <w:rsid w:val="009F342C"/>
    <w:rsid w:val="009F58A6"/>
    <w:rsid w:val="009F75F2"/>
    <w:rsid w:val="00A032BB"/>
    <w:rsid w:val="00A13543"/>
    <w:rsid w:val="00A151EB"/>
    <w:rsid w:val="00A17F8A"/>
    <w:rsid w:val="00A202E2"/>
    <w:rsid w:val="00A3771F"/>
    <w:rsid w:val="00A4369A"/>
    <w:rsid w:val="00A43AAA"/>
    <w:rsid w:val="00A44D0F"/>
    <w:rsid w:val="00A561F7"/>
    <w:rsid w:val="00A606B2"/>
    <w:rsid w:val="00A61055"/>
    <w:rsid w:val="00A72DC7"/>
    <w:rsid w:val="00A77338"/>
    <w:rsid w:val="00A773CB"/>
    <w:rsid w:val="00AA4A7C"/>
    <w:rsid w:val="00AA5EFF"/>
    <w:rsid w:val="00AA6D92"/>
    <w:rsid w:val="00AA78A7"/>
    <w:rsid w:val="00AB19EA"/>
    <w:rsid w:val="00AB491A"/>
    <w:rsid w:val="00AB4D07"/>
    <w:rsid w:val="00AB7453"/>
    <w:rsid w:val="00AC22A7"/>
    <w:rsid w:val="00AC6201"/>
    <w:rsid w:val="00AD387C"/>
    <w:rsid w:val="00AE114D"/>
    <w:rsid w:val="00AE1676"/>
    <w:rsid w:val="00AE4F8A"/>
    <w:rsid w:val="00AE7D6C"/>
    <w:rsid w:val="00B074AC"/>
    <w:rsid w:val="00B10965"/>
    <w:rsid w:val="00B1451B"/>
    <w:rsid w:val="00B16C20"/>
    <w:rsid w:val="00B20BD9"/>
    <w:rsid w:val="00B22B31"/>
    <w:rsid w:val="00B24AA2"/>
    <w:rsid w:val="00B26F0F"/>
    <w:rsid w:val="00B32B8D"/>
    <w:rsid w:val="00B45325"/>
    <w:rsid w:val="00B46080"/>
    <w:rsid w:val="00B46D2B"/>
    <w:rsid w:val="00B53AB3"/>
    <w:rsid w:val="00B618AF"/>
    <w:rsid w:val="00B62920"/>
    <w:rsid w:val="00B65771"/>
    <w:rsid w:val="00B74C6A"/>
    <w:rsid w:val="00B81FCE"/>
    <w:rsid w:val="00B84394"/>
    <w:rsid w:val="00B843D0"/>
    <w:rsid w:val="00B84D59"/>
    <w:rsid w:val="00B911FA"/>
    <w:rsid w:val="00B91922"/>
    <w:rsid w:val="00B94CD4"/>
    <w:rsid w:val="00B96CDF"/>
    <w:rsid w:val="00B97851"/>
    <w:rsid w:val="00BA0468"/>
    <w:rsid w:val="00BB2F6F"/>
    <w:rsid w:val="00BB6F20"/>
    <w:rsid w:val="00BC38E5"/>
    <w:rsid w:val="00BC77B1"/>
    <w:rsid w:val="00BD198E"/>
    <w:rsid w:val="00BD3A7D"/>
    <w:rsid w:val="00BD4C49"/>
    <w:rsid w:val="00BE024E"/>
    <w:rsid w:val="00BE30C2"/>
    <w:rsid w:val="00BF29BD"/>
    <w:rsid w:val="00BF5098"/>
    <w:rsid w:val="00C00C15"/>
    <w:rsid w:val="00C00C91"/>
    <w:rsid w:val="00C05D14"/>
    <w:rsid w:val="00C06C18"/>
    <w:rsid w:val="00C13707"/>
    <w:rsid w:val="00C1545C"/>
    <w:rsid w:val="00C15969"/>
    <w:rsid w:val="00C15B7D"/>
    <w:rsid w:val="00C16ABB"/>
    <w:rsid w:val="00C220CC"/>
    <w:rsid w:val="00C24AB7"/>
    <w:rsid w:val="00C27B3D"/>
    <w:rsid w:val="00C36CA6"/>
    <w:rsid w:val="00C465F8"/>
    <w:rsid w:val="00C473F1"/>
    <w:rsid w:val="00C521EC"/>
    <w:rsid w:val="00C53620"/>
    <w:rsid w:val="00C61421"/>
    <w:rsid w:val="00C64F42"/>
    <w:rsid w:val="00C6728B"/>
    <w:rsid w:val="00C7241F"/>
    <w:rsid w:val="00C84781"/>
    <w:rsid w:val="00C8610C"/>
    <w:rsid w:val="00C92C19"/>
    <w:rsid w:val="00C93A54"/>
    <w:rsid w:val="00C96CA3"/>
    <w:rsid w:val="00C97E47"/>
    <w:rsid w:val="00CA1880"/>
    <w:rsid w:val="00CA590F"/>
    <w:rsid w:val="00CB78D7"/>
    <w:rsid w:val="00CC64ED"/>
    <w:rsid w:val="00CD0242"/>
    <w:rsid w:val="00CD223B"/>
    <w:rsid w:val="00CD4204"/>
    <w:rsid w:val="00CD7C25"/>
    <w:rsid w:val="00CE2CE7"/>
    <w:rsid w:val="00CF7E3A"/>
    <w:rsid w:val="00D0297D"/>
    <w:rsid w:val="00D1025D"/>
    <w:rsid w:val="00D11EB2"/>
    <w:rsid w:val="00D16326"/>
    <w:rsid w:val="00D17F18"/>
    <w:rsid w:val="00D2565F"/>
    <w:rsid w:val="00D42567"/>
    <w:rsid w:val="00D440D8"/>
    <w:rsid w:val="00D45AEF"/>
    <w:rsid w:val="00D46FED"/>
    <w:rsid w:val="00D6111B"/>
    <w:rsid w:val="00D62164"/>
    <w:rsid w:val="00D707CD"/>
    <w:rsid w:val="00D82422"/>
    <w:rsid w:val="00D8577A"/>
    <w:rsid w:val="00D86F4A"/>
    <w:rsid w:val="00D90439"/>
    <w:rsid w:val="00D914B3"/>
    <w:rsid w:val="00D96840"/>
    <w:rsid w:val="00DB064D"/>
    <w:rsid w:val="00DB7725"/>
    <w:rsid w:val="00DC67C5"/>
    <w:rsid w:val="00DC74CE"/>
    <w:rsid w:val="00DD0A38"/>
    <w:rsid w:val="00DD1176"/>
    <w:rsid w:val="00DD5987"/>
    <w:rsid w:val="00DD6095"/>
    <w:rsid w:val="00DE5F6F"/>
    <w:rsid w:val="00DE78BF"/>
    <w:rsid w:val="00DF138A"/>
    <w:rsid w:val="00DF37B0"/>
    <w:rsid w:val="00E12A50"/>
    <w:rsid w:val="00E2131A"/>
    <w:rsid w:val="00E23751"/>
    <w:rsid w:val="00E2406A"/>
    <w:rsid w:val="00E4255D"/>
    <w:rsid w:val="00E43555"/>
    <w:rsid w:val="00E51FDB"/>
    <w:rsid w:val="00E56F14"/>
    <w:rsid w:val="00E61C04"/>
    <w:rsid w:val="00E6252E"/>
    <w:rsid w:val="00E66810"/>
    <w:rsid w:val="00E75E91"/>
    <w:rsid w:val="00E808DE"/>
    <w:rsid w:val="00E81113"/>
    <w:rsid w:val="00E8152E"/>
    <w:rsid w:val="00E93F4E"/>
    <w:rsid w:val="00E952D7"/>
    <w:rsid w:val="00E96632"/>
    <w:rsid w:val="00EA1576"/>
    <w:rsid w:val="00EA27F8"/>
    <w:rsid w:val="00EA2808"/>
    <w:rsid w:val="00EA39F7"/>
    <w:rsid w:val="00EB269F"/>
    <w:rsid w:val="00EB4115"/>
    <w:rsid w:val="00EC6F5D"/>
    <w:rsid w:val="00EC757F"/>
    <w:rsid w:val="00ED039D"/>
    <w:rsid w:val="00ED4845"/>
    <w:rsid w:val="00EE6CFE"/>
    <w:rsid w:val="00EF12D5"/>
    <w:rsid w:val="00EF2C0C"/>
    <w:rsid w:val="00F005D9"/>
    <w:rsid w:val="00F01BB4"/>
    <w:rsid w:val="00F01EFE"/>
    <w:rsid w:val="00F03C7B"/>
    <w:rsid w:val="00F04812"/>
    <w:rsid w:val="00F05623"/>
    <w:rsid w:val="00F1271A"/>
    <w:rsid w:val="00F16256"/>
    <w:rsid w:val="00F26EC7"/>
    <w:rsid w:val="00F30959"/>
    <w:rsid w:val="00F32788"/>
    <w:rsid w:val="00F3673D"/>
    <w:rsid w:val="00F4498F"/>
    <w:rsid w:val="00F60909"/>
    <w:rsid w:val="00F62153"/>
    <w:rsid w:val="00F63717"/>
    <w:rsid w:val="00F74A51"/>
    <w:rsid w:val="00F81046"/>
    <w:rsid w:val="00F83166"/>
    <w:rsid w:val="00F85D9E"/>
    <w:rsid w:val="00F90B38"/>
    <w:rsid w:val="00F94675"/>
    <w:rsid w:val="00F977D9"/>
    <w:rsid w:val="00FA471C"/>
    <w:rsid w:val="00FA72C3"/>
    <w:rsid w:val="00FC4362"/>
    <w:rsid w:val="00FC4E74"/>
    <w:rsid w:val="00FC7661"/>
    <w:rsid w:val="00FD081C"/>
    <w:rsid w:val="00FD4C17"/>
    <w:rsid w:val="00FD568F"/>
    <w:rsid w:val="00FE0125"/>
    <w:rsid w:val="00FE31DA"/>
    <w:rsid w:val="00FE3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D9D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4" w:unhideWhenUsed="1" w:qFormat="1"/>
    <w:lsdException w:name="heading 6" w:semiHidden="1" w:uiPriority="4"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uiPriority w:val="4"/>
    <w:qFormat/>
    <w:pPr>
      <w:keepNext/>
      <w:spacing w:before="120" w:after="120"/>
      <w:outlineLvl w:val="0"/>
    </w:pPr>
    <w:rPr>
      <w:rFonts w:ascii="Helvetica" w:hAnsi="Helvetica"/>
      <w:b/>
      <w:kern w:val="28"/>
    </w:rPr>
  </w:style>
  <w:style w:type="paragraph" w:styleId="Heading2">
    <w:name w:val="heading 2"/>
    <w:basedOn w:val="Normal"/>
    <w:next w:val="sub1"/>
    <w:uiPriority w:val="4"/>
    <w:qFormat/>
    <w:pPr>
      <w:keepNext/>
      <w:spacing w:before="120" w:after="120"/>
      <w:ind w:firstLine="1440"/>
      <w:outlineLvl w:val="1"/>
    </w:pPr>
    <w:rPr>
      <w:rFonts w:ascii="Helvetica" w:hAnsi="Helvetica"/>
      <w:b/>
      <w:i/>
    </w:rPr>
  </w:style>
  <w:style w:type="paragraph" w:styleId="Heading3">
    <w:name w:val="heading 3"/>
    <w:basedOn w:val="Normal"/>
    <w:next w:val="sub2"/>
    <w:link w:val="Heading3Char"/>
    <w:uiPriority w:val="4"/>
    <w:qFormat/>
    <w:pPr>
      <w:keepNext/>
      <w:spacing w:before="120" w:after="120"/>
      <w:ind w:firstLine="2160"/>
      <w:outlineLvl w:val="2"/>
    </w:pPr>
    <w:rPr>
      <w:rFonts w:ascii="Helvetica" w:hAnsi="Helvetica"/>
      <w:b/>
    </w:rPr>
  </w:style>
  <w:style w:type="paragraph" w:styleId="Heading4">
    <w:name w:val="heading 4"/>
    <w:basedOn w:val="Normal"/>
    <w:next w:val="sub3"/>
    <w:uiPriority w:val="4"/>
    <w:qFormat/>
    <w:pPr>
      <w:keepNext/>
      <w:spacing w:before="120" w:after="120"/>
      <w:ind w:firstLine="2880"/>
      <w:outlineLvl w:val="3"/>
    </w:pPr>
    <w:rPr>
      <w:rFonts w:ascii="Helvetica" w:hAnsi="Helvetica"/>
      <w:b/>
      <w:i/>
    </w:rPr>
  </w:style>
  <w:style w:type="paragraph" w:styleId="Heading5">
    <w:name w:val="heading 5"/>
    <w:basedOn w:val="Normal"/>
    <w:next w:val="sub4"/>
    <w:uiPriority w:val="4"/>
    <w:qFormat/>
    <w:pPr>
      <w:spacing w:before="120" w:after="120"/>
      <w:ind w:firstLine="3600"/>
      <w:outlineLvl w:val="4"/>
    </w:pPr>
    <w:rPr>
      <w:rFonts w:ascii="Helvetica" w:hAnsi="Helvetica"/>
      <w:b/>
    </w:rPr>
  </w:style>
  <w:style w:type="paragraph" w:styleId="Heading6">
    <w:name w:val="heading 6"/>
    <w:basedOn w:val="Normal"/>
    <w:next w:val="standard"/>
    <w:link w:val="Heading6Char"/>
    <w:uiPriority w:val="4"/>
    <w:semiHidden/>
    <w:unhideWhenUsed/>
    <w:qFormat/>
    <w:rsid w:val="00C16ABB"/>
    <w:pPr>
      <w:keepNext/>
      <w:keepLines/>
      <w:tabs>
        <w:tab w:val="num" w:pos="3528"/>
      </w:tabs>
      <w:spacing w:before="40" w:after="120"/>
      <w:ind w:left="3528" w:right="2160" w:hanging="1728"/>
      <w:outlineLvl w:val="5"/>
    </w:pPr>
    <w:rPr>
      <w:rFonts w:ascii="Arial" w:eastAsiaTheme="majorEastAsia" w:hAnsi="Arial"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pPr>
      <w:spacing w:after="240"/>
    </w:pPr>
    <w:rPr>
      <w:sz w:val="24"/>
    </w:rPr>
  </w:style>
  <w:style w:type="character" w:styleId="FootnoteReference">
    <w:name w:val="footnote reference"/>
    <w:aliases w:val="o,fr,Style 3,o1,o2,o3,o4,o5,o6,o11,o21,o7,o + Times New Roman,Style 12,(NECG) Footnote Reference,Appel note de bas de p,Style 124"/>
    <w:basedOn w:val="DefaultParagraphFont"/>
    <w:uiPriority w:val="99"/>
    <w:semiHidden/>
    <w:rPr>
      <w:sz w:val="24"/>
      <w:vertAlign w:val="superscript"/>
    </w:rPr>
  </w:style>
  <w:style w:type="paragraph" w:customStyle="1" w:styleId="standard">
    <w:name w:val="standard"/>
    <w:basedOn w:val="Normal"/>
    <w:link w:val="standardChar"/>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styleId="TOC4">
    <w:name w:val="toc 4"/>
    <w:basedOn w:val="Normal"/>
    <w:next w:val="Normal"/>
    <w:semiHidden/>
    <w:pPr>
      <w:tabs>
        <w:tab w:val="right" w:leader="dot" w:pos="9360"/>
      </w:tabs>
      <w:ind w:left="720"/>
    </w:p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line="360" w:lineRule="auto"/>
      <w:ind w:firstLine="360"/>
    </w:p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character" w:customStyle="1" w:styleId="standardChar">
    <w:name w:val="standard Char"/>
    <w:basedOn w:val="DefaultParagraphFont"/>
    <w:link w:val="standard"/>
    <w:rPr>
      <w:rFonts w:ascii="Palatino" w:hAnsi="Palatino"/>
      <w:sz w:val="26"/>
      <w:lang w:val="en-US" w:eastAsia="en-US" w:bidi="ar-SA"/>
    </w:rPr>
  </w:style>
  <w:style w:type="paragraph" w:styleId="BodyTextIndent">
    <w:name w:val="Body Text Indent"/>
    <w:basedOn w:val="Normal"/>
    <w:pPr>
      <w:spacing w:after="120"/>
      <w:ind w:left="360"/>
    </w:pPr>
  </w:style>
  <w:style w:type="character" w:customStyle="1" w:styleId="mainChar">
    <w:name w:val="main Char"/>
    <w:basedOn w:val="DefaultParagraphFont"/>
    <w:link w:val="main"/>
    <w:rPr>
      <w:rFonts w:ascii="Helvetica" w:hAnsi="Helvetica"/>
      <w:b/>
      <w:sz w:val="26"/>
      <w:lang w:val="en-US" w:eastAsia="en-US" w:bidi="ar-SA"/>
    </w:rPr>
  </w:style>
  <w:style w:type="paragraph" w:customStyle="1" w:styleId="PageXofY">
    <w:name w:val="Page X of Y"/>
    <w:rPr>
      <w:sz w:val="24"/>
      <w:szCs w:val="24"/>
    </w:rPr>
  </w:style>
  <w:style w:type="character" w:customStyle="1" w:styleId="FooterChar">
    <w:name w:val="Footer Char"/>
    <w:basedOn w:val="DefaultParagraphFont"/>
    <w:link w:val="Footer"/>
    <w:uiPriority w:val="99"/>
    <w:rsid w:val="004A79DE"/>
    <w:rPr>
      <w:rFonts w:ascii="Palatino" w:hAnsi="Palatino"/>
      <w:sz w:val="26"/>
    </w:rPr>
  </w:style>
  <w:style w:type="paragraph" w:styleId="BalloonText">
    <w:name w:val="Balloon Text"/>
    <w:basedOn w:val="Normal"/>
    <w:link w:val="BalloonTextChar"/>
    <w:rsid w:val="004A79DE"/>
    <w:rPr>
      <w:rFonts w:ascii="Tahoma" w:hAnsi="Tahoma" w:cs="Tahoma"/>
      <w:sz w:val="16"/>
      <w:szCs w:val="16"/>
    </w:rPr>
  </w:style>
  <w:style w:type="character" w:customStyle="1" w:styleId="BalloonTextChar">
    <w:name w:val="Balloon Text Char"/>
    <w:basedOn w:val="DefaultParagraphFont"/>
    <w:link w:val="BalloonText"/>
    <w:rsid w:val="004A79DE"/>
    <w:rPr>
      <w:rFonts w:ascii="Tahoma" w:hAnsi="Tahoma" w:cs="Tahoma"/>
      <w:sz w:val="16"/>
      <w:szCs w:val="16"/>
    </w:rPr>
  </w:style>
  <w:style w:type="paragraph" w:customStyle="1" w:styleId="Default">
    <w:name w:val="Default"/>
    <w:rsid w:val="00F16256"/>
    <w:pPr>
      <w:autoSpaceDE w:val="0"/>
      <w:autoSpaceDN w:val="0"/>
      <w:adjustRightInd w:val="0"/>
    </w:pPr>
    <w:rPr>
      <w:rFonts w:ascii="Arial" w:hAnsi="Arial" w:cs="Arial"/>
      <w:color w:val="000000"/>
      <w:sz w:val="24"/>
      <w:szCs w:val="24"/>
    </w:rPr>
  </w:style>
  <w:style w:type="character" w:customStyle="1" w:styleId="HeaderChar">
    <w:name w:val="Header Char"/>
    <w:link w:val="Header"/>
    <w:rsid w:val="00DB7725"/>
    <w:rPr>
      <w:rFonts w:ascii="Palatino" w:hAnsi="Palatino"/>
      <w:sz w:val="26"/>
    </w:rPr>
  </w:style>
  <w:style w:type="paragraph" w:styleId="ListParagraph">
    <w:name w:val="List Paragraph"/>
    <w:basedOn w:val="Normal"/>
    <w:uiPriority w:val="34"/>
    <w:qFormat/>
    <w:rsid w:val="009429BA"/>
    <w:pPr>
      <w:ind w:left="720"/>
      <w:contextualSpacing/>
    </w:pPr>
  </w:style>
  <w:style w:type="character" w:customStyle="1" w:styleId="FootnoteTextChar">
    <w:name w:val="Footnote Text Char"/>
    <w:basedOn w:val="DefaultParagraphFont"/>
    <w:link w:val="FootnoteText"/>
    <w:uiPriority w:val="99"/>
    <w:rsid w:val="00A561F7"/>
    <w:rPr>
      <w:rFonts w:ascii="Palatino" w:hAnsi="Palatino"/>
      <w:sz w:val="24"/>
    </w:rPr>
  </w:style>
  <w:style w:type="character" w:customStyle="1" w:styleId="Heading6Char">
    <w:name w:val="Heading 6 Char"/>
    <w:basedOn w:val="DefaultParagraphFont"/>
    <w:link w:val="Heading6"/>
    <w:uiPriority w:val="4"/>
    <w:semiHidden/>
    <w:rsid w:val="00C16ABB"/>
    <w:rPr>
      <w:rFonts w:ascii="Arial" w:eastAsiaTheme="majorEastAsia" w:hAnsi="Arial" w:cstheme="majorBidi"/>
      <w:b/>
      <w:sz w:val="26"/>
      <w:szCs w:val="26"/>
    </w:rPr>
  </w:style>
  <w:style w:type="paragraph" w:customStyle="1" w:styleId="ListAlpha">
    <w:name w:val="List Alpha"/>
    <w:basedOn w:val="standard"/>
    <w:uiPriority w:val="4"/>
    <w:qFormat/>
    <w:rsid w:val="00C16ABB"/>
    <w:pPr>
      <w:tabs>
        <w:tab w:val="num" w:pos="1080"/>
      </w:tabs>
      <w:spacing w:after="120" w:line="240" w:lineRule="auto"/>
      <w:ind w:left="1080" w:hanging="360"/>
    </w:pPr>
    <w:rPr>
      <w:rFonts w:ascii="Book Antiqua" w:eastAsiaTheme="minorHAnsi" w:hAnsi="Book Antiqua" w:cstheme="minorBidi"/>
      <w:szCs w:val="22"/>
    </w:rPr>
  </w:style>
  <w:style w:type="paragraph" w:customStyle="1" w:styleId="ListNum">
    <w:name w:val="List Num"/>
    <w:basedOn w:val="standard"/>
    <w:uiPriority w:val="4"/>
    <w:rsid w:val="00C16ABB"/>
    <w:pPr>
      <w:tabs>
        <w:tab w:val="num" w:pos="1080"/>
      </w:tabs>
      <w:spacing w:after="120" w:line="240" w:lineRule="auto"/>
      <w:ind w:left="1080" w:hanging="360"/>
    </w:pPr>
    <w:rPr>
      <w:rFonts w:ascii="Book Antiqua" w:eastAsiaTheme="minorHAnsi" w:hAnsi="Book Antiqua" w:cstheme="minorBidi"/>
      <w:szCs w:val="22"/>
    </w:rPr>
  </w:style>
  <w:style w:type="numbering" w:customStyle="1" w:styleId="Headings">
    <w:name w:val="Headings"/>
    <w:uiPriority w:val="99"/>
    <w:rsid w:val="00C16ABB"/>
    <w:pPr>
      <w:numPr>
        <w:numId w:val="12"/>
      </w:numPr>
    </w:pPr>
  </w:style>
  <w:style w:type="paragraph" w:customStyle="1" w:styleId="Standard0">
    <w:name w:val="Standard"/>
    <w:basedOn w:val="Normal"/>
    <w:qFormat/>
    <w:rsid w:val="006B6592"/>
    <w:pPr>
      <w:spacing w:line="360" w:lineRule="auto"/>
      <w:ind w:firstLine="720"/>
    </w:pPr>
    <w:rPr>
      <w:rFonts w:ascii="Book Antiqua" w:eastAsiaTheme="minorHAnsi" w:hAnsi="Book Antiqua" w:cstheme="minorBidi"/>
      <w:szCs w:val="22"/>
    </w:rPr>
  </w:style>
  <w:style w:type="character" w:customStyle="1" w:styleId="Heading3Char">
    <w:name w:val="Heading 3 Char"/>
    <w:basedOn w:val="DefaultParagraphFont"/>
    <w:link w:val="Heading3"/>
    <w:uiPriority w:val="4"/>
    <w:rsid w:val="006B6592"/>
    <w:rPr>
      <w:rFonts w:ascii="Helvetica" w:hAnsi="Helvetica"/>
      <w:b/>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7231">
      <w:bodyDiv w:val="1"/>
      <w:marLeft w:val="0"/>
      <w:marRight w:val="0"/>
      <w:marTop w:val="0"/>
      <w:marBottom w:val="0"/>
      <w:divBdr>
        <w:top w:val="none" w:sz="0" w:space="0" w:color="auto"/>
        <w:left w:val="none" w:sz="0" w:space="0" w:color="auto"/>
        <w:bottom w:val="none" w:sz="0" w:space="0" w:color="auto"/>
        <w:right w:val="none" w:sz="0" w:space="0" w:color="auto"/>
      </w:divBdr>
    </w:div>
    <w:div w:id="249192913">
      <w:bodyDiv w:val="1"/>
      <w:marLeft w:val="0"/>
      <w:marRight w:val="0"/>
      <w:marTop w:val="0"/>
      <w:marBottom w:val="0"/>
      <w:divBdr>
        <w:top w:val="none" w:sz="0" w:space="0" w:color="auto"/>
        <w:left w:val="none" w:sz="0" w:space="0" w:color="auto"/>
        <w:bottom w:val="none" w:sz="0" w:space="0" w:color="auto"/>
        <w:right w:val="none" w:sz="0" w:space="0" w:color="auto"/>
      </w:divBdr>
    </w:div>
    <w:div w:id="1387801279">
      <w:bodyDiv w:val="1"/>
      <w:marLeft w:val="0"/>
      <w:marRight w:val="0"/>
      <w:marTop w:val="0"/>
      <w:marBottom w:val="0"/>
      <w:divBdr>
        <w:top w:val="none" w:sz="0" w:space="0" w:color="auto"/>
        <w:left w:val="none" w:sz="0" w:space="0" w:color="auto"/>
        <w:bottom w:val="none" w:sz="0" w:space="0" w:color="auto"/>
        <w:right w:val="none" w:sz="0" w:space="0" w:color="auto"/>
      </w:divBdr>
    </w:div>
    <w:div w:id="145293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08103-C330-4585-94EB-D38A65660D9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5</ap:Pages>
  <ap:Words>898</ap:Words>
  <ap:Characters>5121</ap:Characters>
  <ap:Application>Microsoft Office Word</ap:Application>
  <ap:DocSecurity>0</ap:DocSecurity>
  <ap:Lines>42</ap:Lines>
  <ap:Paragraphs>12</ap:Paragraphs>
  <ap:ScaleCrop>false</ap:ScaleCrop>
  <ap:HeadingPairs>
    <vt:vector baseType="variant" size="2">
      <vt:variant>
        <vt:lpstr>Title</vt:lpstr>
      </vt:variant>
      <vt:variant>
        <vt:i4>1</vt:i4>
      </vt:variant>
    </vt:vector>
  </ap:HeadingPairs>
  <ap:TitlesOfParts>
    <vt:vector baseType="lpstr" size="1">
      <vt:lpstr/>
    </vt:vector>
  </ap:TitlesOfParts>
  <ap:Manager/>
  <ap:Company/>
  <ap:LinksUpToDate>false</ap:LinksUpToDate>
  <ap:CharactersWithSpaces>6007</ap:CharactersWithSpaces>
  <ap:SharedDoc>false</ap:SharedDoc>
  <ap:HyperlinkBase/>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2012-05-29T17:03:00Z</cp:lastPrinted>
  <dcterms:created xsi:type="dcterms:W3CDTF">2020-08-11T11:41:48Z</dcterms:created>
  <dcterms:modified xsi:type="dcterms:W3CDTF">2020-08-11T11:41:48Z</dcterms:modified>
</cp:coreProperties>
</file>