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2014" w:rsidR="00CF17DE" w:rsidP="00E908D6" w:rsidRDefault="00CF17DE" w14:paraId="70BEAF91" w14:textId="7114B958">
      <w:pPr>
        <w:pStyle w:val="titlebar"/>
        <w:spacing w:line="276" w:lineRule="auto"/>
        <w:rPr>
          <w:sz w:val="24"/>
        </w:rPr>
      </w:pPr>
      <w:r w:rsidRPr="00C52014">
        <w:rPr>
          <w:sz w:val="24"/>
        </w:rPr>
        <w:t>PUBLIC UTILITIES COMMISSION OF THE STATE OF CALIFORNIA</w:t>
      </w:r>
    </w:p>
    <w:p w:rsidRPr="00C52014" w:rsidR="00CF17DE" w:rsidP="001202F0" w:rsidRDefault="001202F0" w14:paraId="5E624470" w14:textId="1835CBE9">
      <w:pPr>
        <w:spacing w:line="276" w:lineRule="auto"/>
        <w:jc w:val="right"/>
      </w:pPr>
      <w:r>
        <w:tab/>
      </w:r>
      <w:r>
        <w:tab/>
      </w:r>
      <w:r>
        <w:tab/>
      </w:r>
      <w:r>
        <w:tab/>
      </w:r>
      <w:r>
        <w:tab/>
      </w:r>
      <w:r>
        <w:tab/>
      </w:r>
      <w:r w:rsidRPr="001202F0">
        <w:rPr>
          <w:b/>
          <w:sz w:val="24"/>
        </w:rPr>
        <w:t>Agenda ID: 18652</w:t>
      </w:r>
    </w:p>
    <w:p w:rsidRPr="00C52014" w:rsidR="00CF17DE" w:rsidP="001202F0" w:rsidRDefault="00593807" w14:paraId="7AE852C7" w14:textId="111D2DBA">
      <w:pPr>
        <w:spacing w:line="276" w:lineRule="auto"/>
        <w:jc w:val="right"/>
        <w:rPr>
          <w:b/>
          <w:sz w:val="24"/>
        </w:rPr>
      </w:pPr>
      <w:r w:rsidRPr="00C52014">
        <w:rPr>
          <w:b/>
          <w:sz w:val="24"/>
        </w:rPr>
        <w:t>ENERGY DIVISION</w:t>
      </w:r>
      <w:r w:rsidRPr="00C52014">
        <w:rPr>
          <w:b/>
          <w:sz w:val="24"/>
        </w:rPr>
        <w:tab/>
      </w:r>
      <w:r w:rsidRPr="00C52014">
        <w:rPr>
          <w:b/>
          <w:sz w:val="24"/>
        </w:rPr>
        <w:tab/>
      </w:r>
      <w:r w:rsidRPr="00C52014">
        <w:rPr>
          <w:b/>
          <w:sz w:val="24"/>
        </w:rPr>
        <w:tab/>
      </w:r>
      <w:r w:rsidRPr="00C52014">
        <w:rPr>
          <w:b/>
          <w:sz w:val="24"/>
        </w:rPr>
        <w:tab/>
      </w:r>
      <w:r w:rsidRPr="00C52014">
        <w:rPr>
          <w:b/>
          <w:sz w:val="24"/>
        </w:rPr>
        <w:tab/>
      </w:r>
      <w:r w:rsidR="00B74927">
        <w:rPr>
          <w:b/>
          <w:sz w:val="24"/>
        </w:rPr>
        <w:tab/>
      </w:r>
      <w:r w:rsidR="00037F35">
        <w:rPr>
          <w:b/>
          <w:sz w:val="24"/>
        </w:rPr>
        <w:tab/>
        <w:t xml:space="preserve">   </w:t>
      </w:r>
      <w:r w:rsidRPr="00C52014" w:rsidR="00CF17DE">
        <w:rPr>
          <w:b/>
          <w:sz w:val="24"/>
        </w:rPr>
        <w:t>RESOLUTION E-</w:t>
      </w:r>
      <w:r w:rsidRPr="00C52014" w:rsidR="00C7125F">
        <w:rPr>
          <w:b/>
          <w:sz w:val="24"/>
        </w:rPr>
        <w:t>5059</w:t>
      </w:r>
    </w:p>
    <w:p w:rsidRPr="00C52014" w:rsidR="00CF17DE" w:rsidP="001202F0" w:rsidRDefault="00CF17DE" w14:paraId="3DBC912E" w14:textId="3EE37F5D">
      <w:pPr>
        <w:tabs>
          <w:tab w:val="right" w:pos="8910"/>
        </w:tabs>
        <w:spacing w:line="276" w:lineRule="auto"/>
        <w:ind w:left="1440" w:firstLine="720"/>
        <w:jc w:val="right"/>
        <w:rPr>
          <w:b/>
          <w:sz w:val="24"/>
        </w:rPr>
      </w:pPr>
      <w:r w:rsidRPr="00C52014">
        <w:rPr>
          <w:b/>
          <w:sz w:val="24"/>
        </w:rPr>
        <w:tab/>
      </w:r>
      <w:r w:rsidR="001202F0">
        <w:rPr>
          <w:b/>
          <w:sz w:val="24"/>
        </w:rPr>
        <w:t>October 8, 2020</w:t>
      </w:r>
    </w:p>
    <w:p w:rsidRPr="00C52014" w:rsidR="00CF17DE" w:rsidP="00E908D6" w:rsidRDefault="00CF17DE" w14:paraId="061A7957" w14:textId="77777777">
      <w:pPr>
        <w:tabs>
          <w:tab w:val="right" w:pos="8910"/>
        </w:tabs>
        <w:spacing w:line="276" w:lineRule="auto"/>
        <w:ind w:left="1440" w:firstLine="720"/>
        <w:rPr>
          <w:b/>
          <w:sz w:val="24"/>
        </w:rPr>
      </w:pPr>
    </w:p>
    <w:p w:rsidRPr="00C52014" w:rsidR="00CF17DE" w:rsidP="00E908D6" w:rsidRDefault="00CF17DE" w14:paraId="40ADBA19" w14:textId="77777777">
      <w:pPr>
        <w:pStyle w:val="mainex"/>
        <w:spacing w:line="276" w:lineRule="auto"/>
        <w:rPr>
          <w:u w:val="single"/>
        </w:rPr>
      </w:pPr>
      <w:bookmarkStart w:name="_Ref404993683" w:id="0"/>
      <w:r w:rsidRPr="00C52014">
        <w:rPr>
          <w:u w:val="single"/>
        </w:rPr>
        <w:t>RESOLUTION</w:t>
      </w:r>
    </w:p>
    <w:p w:rsidRPr="00C52014" w:rsidR="00CF17DE" w:rsidP="00E908D6" w:rsidRDefault="00CF17DE" w14:paraId="63C93376" w14:textId="77777777">
      <w:pPr>
        <w:spacing w:line="276" w:lineRule="auto"/>
      </w:pPr>
    </w:p>
    <w:p w:rsidRPr="00C52014" w:rsidR="00801D70" w:rsidP="00E908D6" w:rsidRDefault="007D798E" w14:paraId="70E6A3B4" w14:textId="12E84348">
      <w:pPr>
        <w:pStyle w:val="Res-Caption"/>
        <w:spacing w:line="276" w:lineRule="auto"/>
      </w:pPr>
      <w:r w:rsidRPr="00C52014">
        <w:t>Resolution E</w:t>
      </w:r>
      <w:r w:rsidRPr="00C52014" w:rsidR="005C0815">
        <w:t xml:space="preserve">-5059 </w:t>
      </w:r>
      <w:r w:rsidRPr="00C52014">
        <w:t>Approves, with modifications, Pacific Gas and Electric Company Advice Letter 5</w:t>
      </w:r>
      <w:r w:rsidRPr="00C52014" w:rsidR="006731B9">
        <w:t>354</w:t>
      </w:r>
      <w:r w:rsidRPr="00C52014">
        <w:t xml:space="preserve">-E, Southern California Edison Advice Letter </w:t>
      </w:r>
      <w:r w:rsidRPr="00C52014" w:rsidR="0020045D">
        <w:t>3840</w:t>
      </w:r>
      <w:r w:rsidRPr="00C52014">
        <w:t>-E, and San Diego Gas &amp; Electric Company Advice Letter 3</w:t>
      </w:r>
      <w:r w:rsidRPr="00C52014" w:rsidR="00F80A67">
        <w:t>257</w:t>
      </w:r>
      <w:r w:rsidRPr="00C52014">
        <w:t>-E.</w:t>
      </w:r>
    </w:p>
    <w:p w:rsidRPr="00C52014" w:rsidR="007D798E" w:rsidP="00E908D6" w:rsidRDefault="007D798E" w14:paraId="0AA414BA" w14:textId="77777777">
      <w:pPr>
        <w:pStyle w:val="Res-Caption"/>
        <w:spacing w:line="276" w:lineRule="auto"/>
      </w:pPr>
    </w:p>
    <w:p w:rsidRPr="00C52014" w:rsidR="00DF35CC" w:rsidP="00E908D6" w:rsidRDefault="00801D70" w14:paraId="5B232953" w14:textId="77777777">
      <w:pPr>
        <w:pStyle w:val="Res-Caption"/>
        <w:spacing w:line="276" w:lineRule="auto"/>
        <w:rPr>
          <w:rFonts w:ascii="Palatino Linotype" w:hAnsi="Palatino Linotype"/>
        </w:rPr>
      </w:pPr>
      <w:r w:rsidRPr="00C52014">
        <w:t>PROPOSED OUTCOME</w:t>
      </w:r>
      <w:r w:rsidRPr="00C52014">
        <w:rPr>
          <w:rFonts w:ascii="Palatino Linotype" w:hAnsi="Palatino Linotype"/>
        </w:rPr>
        <w:t>:</w:t>
      </w:r>
      <w:r w:rsidRPr="00C52014" w:rsidR="00142FB8">
        <w:rPr>
          <w:rFonts w:ascii="Palatino Linotype" w:hAnsi="Palatino Linotype"/>
        </w:rPr>
        <w:t xml:space="preserve"> </w:t>
      </w:r>
    </w:p>
    <w:p w:rsidRPr="008E2189" w:rsidR="00F51F8B" w:rsidP="00E908D6" w:rsidRDefault="00503DC0" w14:paraId="65BE5ED4" w14:textId="42ADCE2D">
      <w:pPr>
        <w:pStyle w:val="Res-Caption"/>
        <w:numPr>
          <w:ilvl w:val="0"/>
          <w:numId w:val="7"/>
        </w:numPr>
        <w:spacing w:line="276" w:lineRule="auto"/>
        <w:rPr>
          <w:rFonts w:ascii="Palatino Linotype" w:hAnsi="Palatino Linotype"/>
        </w:rPr>
      </w:pPr>
      <w:r w:rsidRPr="00C52014">
        <w:t>This resolution would p</w:t>
      </w:r>
      <w:r w:rsidRPr="00C52014" w:rsidR="009A0D80">
        <w:t xml:space="preserve">artially </w:t>
      </w:r>
      <w:r w:rsidRPr="00C52014" w:rsidR="009E29E5">
        <w:t xml:space="preserve">approve with modifications </w:t>
      </w:r>
      <w:r w:rsidRPr="00C52014" w:rsidR="002159B0">
        <w:t xml:space="preserve">Pacific Gas and </w:t>
      </w:r>
      <w:r w:rsidRPr="008E2189" w:rsidR="002159B0">
        <w:rPr>
          <w:rFonts w:ascii="Palatino Linotype" w:hAnsi="Palatino Linotype"/>
        </w:rPr>
        <w:t>Electric (PG&amp;E)</w:t>
      </w:r>
      <w:r w:rsidRPr="008E2189" w:rsidR="009D7701">
        <w:rPr>
          <w:rFonts w:ascii="Palatino Linotype" w:hAnsi="Palatino Linotype"/>
        </w:rPr>
        <w:t xml:space="preserve"> Advice </w:t>
      </w:r>
      <w:r w:rsidRPr="008E2189" w:rsidR="008B4053">
        <w:rPr>
          <w:rFonts w:ascii="Palatino Linotype" w:hAnsi="Palatino Linotype"/>
        </w:rPr>
        <w:t xml:space="preserve">Letter </w:t>
      </w:r>
      <w:r w:rsidRPr="008E2189" w:rsidR="009D7701">
        <w:rPr>
          <w:rFonts w:ascii="Palatino Linotype" w:hAnsi="Palatino Linotype"/>
        </w:rPr>
        <w:t>5354-E</w:t>
      </w:r>
      <w:r w:rsidRPr="008E2189" w:rsidR="002159B0">
        <w:rPr>
          <w:rFonts w:ascii="Palatino Linotype" w:hAnsi="Palatino Linotype"/>
        </w:rPr>
        <w:t>, Southern California Edison (SCE)</w:t>
      </w:r>
      <w:r w:rsidRPr="008E2189" w:rsidR="00797D26">
        <w:rPr>
          <w:rFonts w:ascii="Palatino Linotype" w:hAnsi="Palatino Linotype"/>
        </w:rPr>
        <w:t xml:space="preserve"> </w:t>
      </w:r>
      <w:r w:rsidRPr="008E2189" w:rsidR="00C01080">
        <w:rPr>
          <w:rFonts w:ascii="Palatino Linotype" w:hAnsi="Palatino Linotype"/>
        </w:rPr>
        <w:t xml:space="preserve">Advice </w:t>
      </w:r>
      <w:r w:rsidRPr="008E2189" w:rsidR="0053536D">
        <w:rPr>
          <w:rFonts w:ascii="Palatino Linotype" w:hAnsi="Palatino Linotype"/>
        </w:rPr>
        <w:t>L</w:t>
      </w:r>
      <w:r w:rsidRPr="008E2189" w:rsidR="00C01080">
        <w:rPr>
          <w:rFonts w:ascii="Palatino Linotype" w:hAnsi="Palatino Linotype"/>
        </w:rPr>
        <w:t>etter</w:t>
      </w:r>
      <w:r w:rsidRPr="008E2189" w:rsidR="00273D48">
        <w:rPr>
          <w:rFonts w:ascii="Palatino Linotype" w:hAnsi="Palatino Linotype"/>
        </w:rPr>
        <w:t xml:space="preserve"> 3840-E</w:t>
      </w:r>
      <w:r w:rsidRPr="008E2189" w:rsidR="002159B0">
        <w:rPr>
          <w:rFonts w:ascii="Palatino Linotype" w:hAnsi="Palatino Linotype"/>
        </w:rPr>
        <w:t>, and San Diego Gas and Electric (SDG&amp;E)</w:t>
      </w:r>
      <w:r w:rsidRPr="008E2189" w:rsidR="00273D48">
        <w:rPr>
          <w:rFonts w:ascii="Palatino Linotype" w:hAnsi="Palatino Linotype"/>
        </w:rPr>
        <w:t xml:space="preserve"> </w:t>
      </w:r>
      <w:r w:rsidRPr="008E2189" w:rsidR="00C01080">
        <w:rPr>
          <w:rFonts w:ascii="Palatino Linotype" w:hAnsi="Palatino Linotype"/>
        </w:rPr>
        <w:t xml:space="preserve">Advice </w:t>
      </w:r>
      <w:r w:rsidRPr="008E2189" w:rsidR="008B4053">
        <w:rPr>
          <w:rFonts w:ascii="Palatino Linotype" w:hAnsi="Palatino Linotype"/>
        </w:rPr>
        <w:t xml:space="preserve">Letter </w:t>
      </w:r>
      <w:r w:rsidRPr="008E2189" w:rsidR="00AC2B13">
        <w:rPr>
          <w:rFonts w:ascii="Palatino Linotype" w:hAnsi="Palatino Linotype"/>
        </w:rPr>
        <w:t>3257-E</w:t>
      </w:r>
      <w:r w:rsidRPr="008E2189" w:rsidR="00571070">
        <w:rPr>
          <w:rFonts w:ascii="Palatino Linotype" w:hAnsi="Palatino Linotype"/>
        </w:rPr>
        <w:t>, implementation</w:t>
      </w:r>
      <w:r w:rsidRPr="008E2189" w:rsidR="00AA365E">
        <w:rPr>
          <w:rFonts w:ascii="Palatino Linotype" w:hAnsi="Palatino Linotype"/>
        </w:rPr>
        <w:t xml:space="preserve"> </w:t>
      </w:r>
      <w:r w:rsidRPr="008E2189" w:rsidR="008B4053">
        <w:rPr>
          <w:rFonts w:ascii="Palatino Linotype" w:hAnsi="Palatino Linotype"/>
        </w:rPr>
        <w:t xml:space="preserve">of </w:t>
      </w:r>
      <w:r w:rsidRPr="008E2189" w:rsidR="00AA365E">
        <w:rPr>
          <w:rFonts w:ascii="Palatino Linotype" w:hAnsi="Palatino Linotype"/>
        </w:rPr>
        <w:t xml:space="preserve">changes to the </w:t>
      </w:r>
      <w:r w:rsidRPr="008E2189" w:rsidR="00522418">
        <w:rPr>
          <w:rFonts w:ascii="Palatino Linotype" w:hAnsi="Palatino Linotype"/>
        </w:rPr>
        <w:t>Investor Own Utilities (IOUs)</w:t>
      </w:r>
      <w:r w:rsidRPr="008E2189" w:rsidR="000A2505">
        <w:rPr>
          <w:rFonts w:ascii="Palatino Linotype" w:hAnsi="Palatino Linotype"/>
        </w:rPr>
        <w:t xml:space="preserve"> tariffs</w:t>
      </w:r>
      <w:r w:rsidRPr="008E2189" w:rsidR="00571070">
        <w:rPr>
          <w:rFonts w:ascii="Palatino Linotype" w:hAnsi="Palatino Linotype"/>
        </w:rPr>
        <w:t xml:space="preserve"> </w:t>
      </w:r>
      <w:r w:rsidRPr="008E2189" w:rsidR="000A2505">
        <w:rPr>
          <w:rFonts w:ascii="Palatino Linotype" w:hAnsi="Palatino Linotype"/>
        </w:rPr>
        <w:t>for</w:t>
      </w:r>
      <w:r w:rsidRPr="008E2189" w:rsidR="00ED2FC5">
        <w:rPr>
          <w:rFonts w:ascii="Palatino Linotype" w:hAnsi="Palatino Linotype"/>
        </w:rPr>
        <w:t xml:space="preserve"> Reentry Fees and Financial Security Requirements for</w:t>
      </w:r>
      <w:r w:rsidRPr="008E2189" w:rsidR="00571070">
        <w:rPr>
          <w:rFonts w:ascii="Palatino Linotype" w:hAnsi="Palatino Linotype"/>
        </w:rPr>
        <w:t xml:space="preserve"> Community Choice Aggr</w:t>
      </w:r>
      <w:r w:rsidRPr="008E2189" w:rsidR="00ED2FC5">
        <w:rPr>
          <w:rFonts w:ascii="Palatino Linotype" w:hAnsi="Palatino Linotype"/>
        </w:rPr>
        <w:t>e</w:t>
      </w:r>
      <w:r w:rsidRPr="008E2189" w:rsidR="00571070">
        <w:rPr>
          <w:rFonts w:ascii="Palatino Linotype" w:hAnsi="Palatino Linotype"/>
        </w:rPr>
        <w:t>gato</w:t>
      </w:r>
      <w:r w:rsidRPr="008E2189" w:rsidR="00B8540D">
        <w:rPr>
          <w:rFonts w:ascii="Palatino Linotype" w:hAnsi="Palatino Linotype"/>
        </w:rPr>
        <w:t>rs</w:t>
      </w:r>
      <w:r w:rsidRPr="008E2189" w:rsidR="00B43EAB">
        <w:rPr>
          <w:rFonts w:ascii="Palatino Linotype" w:hAnsi="Palatino Linotype"/>
        </w:rPr>
        <w:t>.</w:t>
      </w:r>
    </w:p>
    <w:p w:rsidRPr="00F978A3" w:rsidR="00801D70" w:rsidP="00E908D6" w:rsidRDefault="00801D70" w14:paraId="664CBB61" w14:textId="77777777">
      <w:pPr>
        <w:pStyle w:val="Res-Caption"/>
        <w:spacing w:line="276" w:lineRule="auto"/>
        <w:rPr>
          <w:rFonts w:ascii="Palatino Linotype" w:hAnsi="Palatino Linotype"/>
        </w:rPr>
      </w:pPr>
    </w:p>
    <w:p w:rsidRPr="00F978A3" w:rsidR="00801D70" w:rsidP="00E908D6" w:rsidRDefault="00801D70" w14:paraId="28BD615D" w14:textId="77777777">
      <w:pPr>
        <w:pStyle w:val="Res-Caption"/>
        <w:spacing w:line="276" w:lineRule="auto"/>
        <w:rPr>
          <w:rFonts w:ascii="Palatino Linotype" w:hAnsi="Palatino Linotype"/>
        </w:rPr>
      </w:pPr>
      <w:r w:rsidRPr="00F978A3">
        <w:rPr>
          <w:rFonts w:ascii="Palatino Linotype" w:hAnsi="Palatino Linotype"/>
        </w:rPr>
        <w:t xml:space="preserve">ESTIMATED COST:  </w:t>
      </w:r>
    </w:p>
    <w:p w:rsidR="00037C93" w:rsidP="00E908D6" w:rsidRDefault="00037C93" w14:paraId="6E0EE2AE" w14:textId="38DE108D">
      <w:pPr>
        <w:pStyle w:val="Res-Caption"/>
        <w:numPr>
          <w:ilvl w:val="0"/>
          <w:numId w:val="6"/>
        </w:numPr>
        <w:spacing w:line="276" w:lineRule="auto"/>
        <w:rPr>
          <w:rFonts w:ascii="Palatino Linotype" w:hAnsi="Palatino Linotype"/>
        </w:rPr>
      </w:pPr>
      <w:r w:rsidRPr="00F978A3">
        <w:rPr>
          <w:rFonts w:ascii="Palatino Linotype" w:hAnsi="Palatino Linotype"/>
        </w:rPr>
        <w:t xml:space="preserve">This </w:t>
      </w:r>
      <w:r w:rsidRPr="00F978A3" w:rsidR="009864C4">
        <w:rPr>
          <w:rFonts w:ascii="Palatino Linotype" w:hAnsi="Palatino Linotype"/>
        </w:rPr>
        <w:t>r</w:t>
      </w:r>
      <w:r w:rsidRPr="00F978A3">
        <w:rPr>
          <w:rFonts w:ascii="Palatino Linotype" w:hAnsi="Palatino Linotype"/>
        </w:rPr>
        <w:t xml:space="preserve">esolution </w:t>
      </w:r>
      <w:r w:rsidRPr="00F978A3" w:rsidR="002B0E42">
        <w:rPr>
          <w:rFonts w:ascii="Palatino Linotype" w:hAnsi="Palatino Linotype"/>
        </w:rPr>
        <w:t>will</w:t>
      </w:r>
      <w:r w:rsidRPr="00F978A3">
        <w:rPr>
          <w:rFonts w:ascii="Palatino Linotype" w:hAnsi="Palatino Linotype"/>
        </w:rPr>
        <w:t xml:space="preserve"> </w:t>
      </w:r>
      <w:r w:rsidRPr="00F978A3" w:rsidR="002B0E42">
        <w:rPr>
          <w:rFonts w:ascii="Palatino Linotype" w:hAnsi="Palatino Linotype"/>
        </w:rPr>
        <w:t>not</w:t>
      </w:r>
      <w:r w:rsidRPr="00F978A3">
        <w:rPr>
          <w:rFonts w:ascii="Palatino Linotype" w:hAnsi="Palatino Linotype"/>
        </w:rPr>
        <w:t xml:space="preserve"> increase</w:t>
      </w:r>
      <w:r w:rsidRPr="00F978A3" w:rsidR="008840D2">
        <w:rPr>
          <w:rFonts w:ascii="Palatino Linotype" w:hAnsi="Palatino Linotype"/>
        </w:rPr>
        <w:t xml:space="preserve"> </w:t>
      </w:r>
      <w:r w:rsidRPr="00F978A3" w:rsidR="00522418">
        <w:rPr>
          <w:rFonts w:ascii="Palatino Linotype" w:hAnsi="Palatino Linotype"/>
        </w:rPr>
        <w:t>IOU</w:t>
      </w:r>
      <w:r w:rsidRPr="00F978A3" w:rsidR="002B0E42">
        <w:rPr>
          <w:rFonts w:ascii="Palatino Linotype" w:hAnsi="Palatino Linotype"/>
        </w:rPr>
        <w:t xml:space="preserve"> bundled</w:t>
      </w:r>
      <w:r w:rsidRPr="00F978A3">
        <w:rPr>
          <w:rFonts w:ascii="Palatino Linotype" w:hAnsi="Palatino Linotype"/>
        </w:rPr>
        <w:t xml:space="preserve"> ratepayer costs</w:t>
      </w:r>
      <w:r w:rsidRPr="00F978A3" w:rsidR="00E857DA">
        <w:rPr>
          <w:rFonts w:ascii="Palatino Linotype" w:hAnsi="Palatino Linotype"/>
        </w:rPr>
        <w:t xml:space="preserve"> and </w:t>
      </w:r>
      <w:r w:rsidRPr="00F978A3" w:rsidR="0063509D">
        <w:rPr>
          <w:rFonts w:ascii="Palatino Linotype" w:hAnsi="Palatino Linotype"/>
        </w:rPr>
        <w:t>may</w:t>
      </w:r>
      <w:r w:rsidRPr="00F978A3" w:rsidR="00E857DA">
        <w:rPr>
          <w:rFonts w:ascii="Palatino Linotype" w:hAnsi="Palatino Linotype"/>
        </w:rPr>
        <w:t xml:space="preserve"> provide</w:t>
      </w:r>
      <w:r w:rsidRPr="00F978A3" w:rsidR="008840D2">
        <w:rPr>
          <w:rFonts w:ascii="Palatino Linotype" w:hAnsi="Palatino Linotype"/>
        </w:rPr>
        <w:t xml:space="preserve"> addi</w:t>
      </w:r>
      <w:r w:rsidRPr="00F978A3" w:rsidR="00F90972">
        <w:rPr>
          <w:rFonts w:ascii="Palatino Linotype" w:hAnsi="Palatino Linotype"/>
        </w:rPr>
        <w:t>ti</w:t>
      </w:r>
      <w:r w:rsidRPr="00F978A3" w:rsidR="008840D2">
        <w:rPr>
          <w:rFonts w:ascii="Palatino Linotype" w:hAnsi="Palatino Linotype"/>
        </w:rPr>
        <w:t>onal</w:t>
      </w:r>
      <w:r w:rsidRPr="00F978A3" w:rsidR="00F90972">
        <w:rPr>
          <w:rFonts w:ascii="Palatino Linotype" w:hAnsi="Palatino Linotype"/>
        </w:rPr>
        <w:t xml:space="preserve"> financial</w:t>
      </w:r>
      <w:r w:rsidRPr="00F978A3" w:rsidR="008840D2">
        <w:rPr>
          <w:rFonts w:ascii="Palatino Linotype" w:hAnsi="Palatino Linotype"/>
        </w:rPr>
        <w:t xml:space="preserve"> protection</w:t>
      </w:r>
      <w:r w:rsidRPr="00F978A3" w:rsidR="0063509D">
        <w:rPr>
          <w:rFonts w:ascii="Palatino Linotype" w:hAnsi="Palatino Linotype"/>
        </w:rPr>
        <w:t>s</w:t>
      </w:r>
      <w:r w:rsidRPr="00F978A3" w:rsidR="00F90972">
        <w:rPr>
          <w:rFonts w:ascii="Palatino Linotype" w:hAnsi="Palatino Linotype"/>
        </w:rPr>
        <w:t>.</w:t>
      </w:r>
      <w:r w:rsidRPr="00F978A3" w:rsidR="007535C8">
        <w:rPr>
          <w:rFonts w:ascii="Palatino Linotype" w:hAnsi="Palatino Linotype"/>
        </w:rPr>
        <w:t xml:space="preserve">  Community Choice Aggregation </w:t>
      </w:r>
      <w:r w:rsidRPr="00F978A3" w:rsidR="00632C1B">
        <w:rPr>
          <w:rFonts w:ascii="Palatino Linotype" w:hAnsi="Palatino Linotype"/>
        </w:rPr>
        <w:t>c</w:t>
      </w:r>
      <w:r w:rsidRPr="00F978A3" w:rsidR="007535C8">
        <w:rPr>
          <w:rFonts w:ascii="Palatino Linotype" w:hAnsi="Palatino Linotype"/>
        </w:rPr>
        <w:t xml:space="preserve">ustomers may </w:t>
      </w:r>
      <w:r w:rsidRPr="00F978A3" w:rsidR="00632C1B">
        <w:rPr>
          <w:rFonts w:ascii="Palatino Linotype" w:hAnsi="Palatino Linotype"/>
        </w:rPr>
        <w:t xml:space="preserve">be </w:t>
      </w:r>
      <w:r w:rsidRPr="00F978A3" w:rsidR="00DF07E9">
        <w:rPr>
          <w:rFonts w:ascii="Palatino Linotype" w:hAnsi="Palatino Linotype"/>
        </w:rPr>
        <w:t>a</w:t>
      </w:r>
      <w:r w:rsidRPr="00F978A3" w:rsidR="00632C1B">
        <w:rPr>
          <w:rFonts w:ascii="Palatino Linotype" w:hAnsi="Palatino Linotype"/>
        </w:rPr>
        <w:t>ffected.</w:t>
      </w:r>
    </w:p>
    <w:p w:rsidRPr="00F978A3" w:rsidR="00F978A3" w:rsidP="00F978A3" w:rsidRDefault="00F978A3" w14:paraId="3A2DC272" w14:textId="77777777">
      <w:pPr>
        <w:pStyle w:val="Res-Caption"/>
        <w:spacing w:line="276" w:lineRule="auto"/>
        <w:ind w:left="1440"/>
        <w:rPr>
          <w:rFonts w:ascii="Palatino Linotype" w:hAnsi="Palatino Linotype"/>
        </w:rPr>
      </w:pPr>
    </w:p>
    <w:p w:rsidRPr="00F978A3" w:rsidR="00F978A3" w:rsidP="00F978A3" w:rsidRDefault="00F978A3" w14:paraId="12D0DD73" w14:textId="77777777">
      <w:pPr>
        <w:pStyle w:val="Res-Caption"/>
        <w:rPr>
          <w:rFonts w:ascii="Palatino Linotype" w:hAnsi="Palatino Linotype"/>
        </w:rPr>
      </w:pPr>
      <w:r w:rsidRPr="00F978A3">
        <w:rPr>
          <w:rFonts w:ascii="Palatino Linotype" w:hAnsi="Palatino Linotype"/>
        </w:rPr>
        <w:t>SAFETY CONSIDERATIONS:</w:t>
      </w:r>
    </w:p>
    <w:p w:rsidRPr="00F978A3" w:rsidR="00CF17DE" w:rsidP="00F978A3" w:rsidRDefault="00F978A3" w14:paraId="414B5F5B" w14:textId="6A6ED494">
      <w:pPr>
        <w:pStyle w:val="Res-Caption"/>
        <w:numPr>
          <w:ilvl w:val="0"/>
          <w:numId w:val="6"/>
        </w:numPr>
        <w:rPr>
          <w:rFonts w:ascii="Palatino Linotype" w:hAnsi="Palatino Linotype"/>
        </w:rPr>
      </w:pPr>
      <w:r w:rsidRPr="00F978A3">
        <w:rPr>
          <w:rFonts w:ascii="Palatino Linotype" w:hAnsi="Palatino Linotype"/>
        </w:rPr>
        <w:t xml:space="preserve">There are no safety considerations associated with this resolution. </w:t>
      </w:r>
    </w:p>
    <w:p w:rsidRPr="00C52014" w:rsidR="007535C8" w:rsidP="00E908D6" w:rsidRDefault="007535C8" w14:paraId="5E439DF2" w14:textId="77777777">
      <w:pPr>
        <w:pStyle w:val="Res-Caption"/>
        <w:spacing w:line="276" w:lineRule="auto"/>
        <w:ind w:left="0"/>
      </w:pPr>
    </w:p>
    <w:p w:rsidRPr="00C52014" w:rsidR="00CF17DE" w:rsidP="00E908D6" w:rsidRDefault="00CF17DE" w14:paraId="0395FC4E" w14:textId="7E596531">
      <w:pPr>
        <w:pStyle w:val="Res-Caption"/>
        <w:spacing w:line="276" w:lineRule="auto"/>
      </w:pPr>
      <w:r w:rsidRPr="00C52014">
        <w:t>By Advice Letter</w:t>
      </w:r>
      <w:r w:rsidRPr="00C52014" w:rsidR="0081704E">
        <w:t xml:space="preserve">s </w:t>
      </w:r>
      <w:r w:rsidRPr="00C52014" w:rsidR="00963BFC">
        <w:t xml:space="preserve">PG&amp;E </w:t>
      </w:r>
      <w:r w:rsidRPr="00C52014" w:rsidR="00A53373">
        <w:t xml:space="preserve">5354-E, </w:t>
      </w:r>
      <w:r w:rsidRPr="00C52014" w:rsidR="00963BFC">
        <w:t xml:space="preserve">SCE </w:t>
      </w:r>
      <w:r w:rsidRPr="00C52014" w:rsidR="00A53373">
        <w:t>3840-E,</w:t>
      </w:r>
      <w:r w:rsidRPr="00C52014" w:rsidR="00963BFC">
        <w:t xml:space="preserve"> and SDG&amp;E </w:t>
      </w:r>
      <w:r w:rsidRPr="00C52014" w:rsidR="00A53373">
        <w:t>3257-E</w:t>
      </w:r>
      <w:r w:rsidRPr="00C52014" w:rsidR="00D72EBE">
        <w:t>,</w:t>
      </w:r>
      <w:r w:rsidRPr="00C52014">
        <w:t xml:space="preserve"> </w:t>
      </w:r>
      <w:r w:rsidRPr="00C52014" w:rsidR="009E29E5">
        <w:t>f</w:t>
      </w:r>
      <w:r w:rsidRPr="00C52014">
        <w:t xml:space="preserve">iled on </w:t>
      </w:r>
      <w:r w:rsidRPr="00C52014" w:rsidR="00D72EBE">
        <w:rPr>
          <w:bCs/>
        </w:rPr>
        <w:t xml:space="preserve">August 15, </w:t>
      </w:r>
      <w:r w:rsidRPr="00C52014" w:rsidR="002442C5">
        <w:rPr>
          <w:bCs/>
        </w:rPr>
        <w:t>2018</w:t>
      </w:r>
      <w:r w:rsidRPr="00C52014" w:rsidR="00D72EBE">
        <w:t>.</w:t>
      </w:r>
      <w:r w:rsidRPr="00C52014">
        <w:t xml:space="preserve"> </w:t>
      </w:r>
    </w:p>
    <w:p w:rsidRPr="00C52014" w:rsidR="00CF17DE" w:rsidP="00E908D6" w:rsidRDefault="00CF17DE" w14:paraId="2BFCF270" w14:textId="77777777">
      <w:pPr>
        <w:spacing w:line="276" w:lineRule="auto"/>
        <w:jc w:val="center"/>
      </w:pPr>
      <w:r w:rsidRPr="00C52014">
        <w:t>__________________________________________________________</w:t>
      </w:r>
    </w:p>
    <w:p w:rsidRPr="00C52014" w:rsidR="00CF17DE" w:rsidP="00E908D6" w:rsidRDefault="00CF17DE" w14:paraId="2C49E15C" w14:textId="77777777">
      <w:pPr>
        <w:pStyle w:val="Heading1"/>
        <w:spacing w:line="276" w:lineRule="auto"/>
      </w:pPr>
      <w:r w:rsidRPr="00C52014">
        <w:lastRenderedPageBreak/>
        <w:t>Summary</w:t>
      </w:r>
      <w:bookmarkEnd w:id="0"/>
    </w:p>
    <w:p w:rsidRPr="00C52014" w:rsidR="004310EE" w:rsidP="00E908D6" w:rsidRDefault="00B94708" w14:paraId="481685D2" w14:textId="149524C0">
      <w:pPr>
        <w:spacing w:line="276" w:lineRule="auto"/>
      </w:pPr>
      <w:r w:rsidRPr="00C52014">
        <w:t>T</w:t>
      </w:r>
      <w:r w:rsidRPr="00C52014" w:rsidR="007E7DA3">
        <w:t>he</w:t>
      </w:r>
      <w:r w:rsidRPr="00C52014" w:rsidR="003924DD">
        <w:t xml:space="preserve"> </w:t>
      </w:r>
      <w:r w:rsidRPr="00C52014" w:rsidR="00EA203B">
        <w:t xml:space="preserve">California Public Utilities </w:t>
      </w:r>
      <w:r w:rsidRPr="00C52014" w:rsidR="003924DD">
        <w:t>Commission</w:t>
      </w:r>
      <w:r w:rsidRPr="00C52014" w:rsidR="00EA203B">
        <w:t xml:space="preserve"> (</w:t>
      </w:r>
      <w:r w:rsidRPr="00C52014" w:rsidR="004771D0">
        <w:t>CPUC</w:t>
      </w:r>
      <w:r w:rsidRPr="00C52014" w:rsidR="00EA203B">
        <w:t>)</w:t>
      </w:r>
      <w:r w:rsidRPr="00C52014" w:rsidR="007E7DA3">
        <w:t xml:space="preserve"> th</w:t>
      </w:r>
      <w:r w:rsidRPr="00C52014" w:rsidR="004B33A2">
        <w:t>r</w:t>
      </w:r>
      <w:r w:rsidRPr="00C52014" w:rsidR="007E7DA3">
        <w:t xml:space="preserve">ough this Resolution </w:t>
      </w:r>
      <w:r w:rsidRPr="00C52014" w:rsidR="008B4053">
        <w:t>adopts with</w:t>
      </w:r>
      <w:r w:rsidRPr="00C52014" w:rsidR="001C78B6">
        <w:t xml:space="preserve"> modification</w:t>
      </w:r>
      <w:r w:rsidRPr="00C52014" w:rsidR="00581D69">
        <w:t xml:space="preserve"> </w:t>
      </w:r>
      <w:r w:rsidRPr="00C52014" w:rsidR="008B4053">
        <w:t xml:space="preserve">proposed </w:t>
      </w:r>
      <w:r w:rsidR="00A82031">
        <w:t xml:space="preserve">tariff </w:t>
      </w:r>
      <w:r w:rsidRPr="00C52014" w:rsidR="009D25DD">
        <w:t xml:space="preserve">revisions by </w:t>
      </w:r>
      <w:r w:rsidRPr="00C52014" w:rsidR="00AD4D04">
        <w:t xml:space="preserve">Pacific Gas and Electric </w:t>
      </w:r>
      <w:r w:rsidR="001A1F25">
        <w:t xml:space="preserve">Company </w:t>
      </w:r>
      <w:r w:rsidRPr="00C52014" w:rsidR="00AD4D04">
        <w:t>(PG&amp;E)</w:t>
      </w:r>
      <w:r w:rsidRPr="00C52014" w:rsidR="008B4053">
        <w:t xml:space="preserve"> Advice Letter 5354-E</w:t>
      </w:r>
      <w:r w:rsidRPr="00C52014" w:rsidR="00AD4D04">
        <w:t xml:space="preserve">, Southern California Edison </w:t>
      </w:r>
      <w:r w:rsidR="001A1F25">
        <w:t xml:space="preserve">Company </w:t>
      </w:r>
      <w:r w:rsidRPr="00C52014" w:rsidR="00AD4D04">
        <w:t>(SCE)</w:t>
      </w:r>
      <w:r w:rsidRPr="00C52014" w:rsidR="008B4053">
        <w:t xml:space="preserve"> Advice Letter 3840-E</w:t>
      </w:r>
      <w:r w:rsidRPr="00C52014" w:rsidR="00AD4D04">
        <w:t xml:space="preserve">, and San Diego Gas </w:t>
      </w:r>
      <w:r w:rsidR="001A1F25">
        <w:t>&amp;</w:t>
      </w:r>
      <w:r w:rsidRPr="00C52014" w:rsidR="001A1F25">
        <w:t xml:space="preserve"> </w:t>
      </w:r>
      <w:r w:rsidRPr="00C52014" w:rsidR="00AD4D04">
        <w:t xml:space="preserve">Electric </w:t>
      </w:r>
      <w:r w:rsidR="001A1F25">
        <w:t xml:space="preserve">Company </w:t>
      </w:r>
      <w:r w:rsidRPr="00C52014" w:rsidR="00AD4D04">
        <w:t>(SDG&amp;E)</w:t>
      </w:r>
      <w:r w:rsidRPr="00C52014" w:rsidR="008B4053">
        <w:t xml:space="preserve"> Advice Letter 3257-E</w:t>
      </w:r>
      <w:r w:rsidRPr="00C52014" w:rsidR="001765F3">
        <w:t xml:space="preserve"> </w:t>
      </w:r>
      <w:r w:rsidRPr="00C52014" w:rsidR="004573E0">
        <w:t xml:space="preserve">(collectively, the </w:t>
      </w:r>
      <w:r w:rsidRPr="00C52014" w:rsidR="00E46BCF">
        <w:t>IOUs</w:t>
      </w:r>
      <w:r w:rsidRPr="00C52014" w:rsidR="004573E0">
        <w:t>)</w:t>
      </w:r>
      <w:r w:rsidRPr="00C52014" w:rsidR="00284F61">
        <w:t xml:space="preserve"> </w:t>
      </w:r>
      <w:r w:rsidRPr="00C52014" w:rsidR="003670A2">
        <w:t>t</w:t>
      </w:r>
      <w:r w:rsidRPr="00C52014" w:rsidR="001935DF">
        <w:t xml:space="preserve">o </w:t>
      </w:r>
      <w:r w:rsidRPr="00C52014" w:rsidR="00284F61">
        <w:t>implement Reentry Fees and Financial Security Requirements for Community Choice Aggregators</w:t>
      </w:r>
      <w:r w:rsidRPr="00C52014" w:rsidR="001D1F31">
        <w:t>.</w:t>
      </w:r>
      <w:r w:rsidRPr="00C52014" w:rsidR="00BB2F9F">
        <w:t xml:space="preserve"> Reentry fees include </w:t>
      </w:r>
      <w:r w:rsidRPr="00C52014" w:rsidR="00522418">
        <w:t xml:space="preserve">investor owned </w:t>
      </w:r>
      <w:r w:rsidRPr="00C52014" w:rsidR="00BB2F9F">
        <w:t>utility</w:t>
      </w:r>
      <w:r w:rsidRPr="00C52014" w:rsidR="00522418">
        <w:t xml:space="preserve"> (IOU)</w:t>
      </w:r>
      <w:r w:rsidRPr="00C52014" w:rsidR="00BB2F9F">
        <w:t xml:space="preserve"> administrative costs and procurement costs resulting from </w:t>
      </w:r>
      <w:r w:rsidR="00B74927">
        <w:t xml:space="preserve">a </w:t>
      </w:r>
      <w:r w:rsidRPr="00C52014" w:rsidR="00BB2F9F">
        <w:t xml:space="preserve">mass involuntary return of CCA customers to </w:t>
      </w:r>
      <w:r w:rsidRPr="00C52014" w:rsidR="00522418">
        <w:t>IOU</w:t>
      </w:r>
      <w:r w:rsidRPr="00C52014" w:rsidR="00BB2F9F">
        <w:t xml:space="preserve"> service, and the financial security requirements must cover those potential costs</w:t>
      </w:r>
      <w:r w:rsidRPr="00C52014" w:rsidR="008B57FB">
        <w:t>.</w:t>
      </w:r>
    </w:p>
    <w:p w:rsidRPr="00C52014" w:rsidR="004310EE" w:rsidP="00E908D6" w:rsidRDefault="004310EE" w14:paraId="05985F3F" w14:textId="77777777">
      <w:pPr>
        <w:spacing w:line="276" w:lineRule="auto"/>
      </w:pPr>
    </w:p>
    <w:p w:rsidRPr="00D97B16" w:rsidR="002D7174" w:rsidP="006C3FF2" w:rsidRDefault="00BD212A" w14:paraId="46477DA8" w14:textId="6796897F">
      <w:pPr>
        <w:spacing w:after="240" w:line="276" w:lineRule="auto"/>
      </w:pPr>
      <w:r w:rsidRPr="00D97B16">
        <w:t xml:space="preserve">This </w:t>
      </w:r>
      <w:r w:rsidRPr="00D97B16" w:rsidR="009864C4">
        <w:t>r</w:t>
      </w:r>
      <w:r w:rsidRPr="00D97B16">
        <w:t xml:space="preserve">esolution </w:t>
      </w:r>
      <w:r w:rsidRPr="00D97B16" w:rsidR="008B4053">
        <w:t>adopts the proposed</w:t>
      </w:r>
      <w:r w:rsidRPr="00D97B16" w:rsidR="00A82031">
        <w:t xml:space="preserve"> tariff</w:t>
      </w:r>
      <w:r w:rsidRPr="00D97B16" w:rsidR="008B4053">
        <w:t xml:space="preserve"> </w:t>
      </w:r>
      <w:r w:rsidRPr="00D97B16" w:rsidR="00DB110F">
        <w:t>revisions</w:t>
      </w:r>
      <w:r w:rsidRPr="00D97B16" w:rsidR="008B4053">
        <w:t xml:space="preserve"> </w:t>
      </w:r>
      <w:r w:rsidRPr="00D97B16" w:rsidR="00D97B16">
        <w:t>that were specifically directed in Decision (D.) 18-05-022</w:t>
      </w:r>
      <w:r w:rsidR="000F25E6">
        <w:t xml:space="preserve"> and</w:t>
      </w:r>
      <w:r w:rsidRPr="00D97B16" w:rsidR="00D97B16">
        <w:t xml:space="preserve"> rejects proposed revisions that do not comply with the decision</w:t>
      </w:r>
      <w:r w:rsidR="000F25E6">
        <w:t>.</w:t>
      </w:r>
      <w:r w:rsidRPr="00D97B16" w:rsidR="00D97B16">
        <w:t xml:space="preserve"> </w:t>
      </w:r>
      <w:r w:rsidR="00014FA6">
        <w:t xml:space="preserve"> </w:t>
      </w:r>
      <w:r w:rsidRPr="0077025F" w:rsidR="003C019B">
        <w:t xml:space="preserve">The tariffs shall be revised to clarify that the IOU may </w:t>
      </w:r>
      <w:r w:rsidRPr="004764C2" w:rsidDel="001C132D" w:rsidR="003C019B">
        <w:rPr>
          <w:strike/>
          <w:color w:val="FF0000"/>
        </w:rPr>
        <w:t xml:space="preserve">not </w:t>
      </w:r>
      <w:r w:rsidRPr="004764C2" w:rsidR="001C132D">
        <w:rPr>
          <w:color w:val="FF0000"/>
          <w:u w:val="single"/>
        </w:rPr>
        <w:t>only</w:t>
      </w:r>
      <w:r w:rsidRPr="0077025F" w:rsidR="001C132D">
        <w:t xml:space="preserve"> </w:t>
      </w:r>
      <w:r w:rsidRPr="0077025F" w:rsidR="003C019B">
        <w:t>withhold CCA funds</w:t>
      </w:r>
      <w:r w:rsidR="002A76BD">
        <w:t xml:space="preserve"> or customer payments</w:t>
      </w:r>
      <w:r w:rsidRPr="0077025F" w:rsidR="003C019B">
        <w:t xml:space="preserve"> </w:t>
      </w:r>
      <w:r w:rsidRPr="00D97B16" w:rsidR="002A76BD">
        <w:rPr>
          <w:bCs/>
        </w:rPr>
        <w:t>to the CCA for</w:t>
      </w:r>
      <w:r w:rsidRPr="00D97B16" w:rsidR="002A76BD">
        <w:t xml:space="preserve"> </w:t>
      </w:r>
      <w:r w:rsidRPr="00D97B16" w:rsidR="002A76BD">
        <w:rPr>
          <w:bCs/>
        </w:rPr>
        <w:t>any unpaid costs to the IOU, including reentry fees demanded of the CCA</w:t>
      </w:r>
      <w:r w:rsidR="002A76BD">
        <w:t xml:space="preserve"> </w:t>
      </w:r>
      <w:r w:rsidRPr="004764C2" w:rsidDel="001C132D" w:rsidR="003C019B">
        <w:rPr>
          <w:strike/>
          <w:color w:val="FF0000"/>
        </w:rPr>
        <w:t>without CPUC approval</w:t>
      </w:r>
      <w:r w:rsidRPr="0077025F" w:rsidDel="001C132D" w:rsidR="003C019B">
        <w:t>.</w:t>
      </w:r>
      <w:r w:rsidRPr="004764C2" w:rsidR="001C132D">
        <w:rPr>
          <w:color w:val="FF0000"/>
          <w:u w:val="single"/>
        </w:rPr>
        <w:t xml:space="preserve">in the event of </w:t>
      </w:r>
      <w:r w:rsidRPr="004764C2" w:rsidR="00CA6A90">
        <w:rPr>
          <w:color w:val="FF0000"/>
          <w:u w:val="single"/>
        </w:rPr>
        <w:t>an involuntary return</w:t>
      </w:r>
      <w:r w:rsidRPr="004764C2" w:rsidR="00B91D1A">
        <w:rPr>
          <w:color w:val="FF0000"/>
          <w:u w:val="single"/>
        </w:rPr>
        <w:t xml:space="preserve"> of CCA customers.</w:t>
      </w:r>
      <w:r w:rsidRPr="004764C2" w:rsidR="00CA6A90">
        <w:rPr>
          <w:color w:val="FF0000"/>
          <w:u w:val="single"/>
        </w:rPr>
        <w:t xml:space="preserve"> </w:t>
      </w:r>
      <w:r w:rsidR="000F25E6">
        <w:t xml:space="preserve"> </w:t>
      </w:r>
      <w:r w:rsidR="006C3FF2">
        <w:t>We</w:t>
      </w:r>
      <w:r w:rsidRPr="0077025F" w:rsidR="003C019B">
        <w:t xml:space="preserve"> </w:t>
      </w:r>
      <w:r w:rsidRPr="00D97B16" w:rsidR="002D7174">
        <w:rPr>
          <w:bCs/>
          <w:szCs w:val="26"/>
        </w:rPr>
        <w:t>decline to adopt t</w:t>
      </w:r>
      <w:r w:rsidRPr="00D97B16" w:rsidR="006C697B">
        <w:t>he option to submit a</w:t>
      </w:r>
      <w:r w:rsidRPr="00D97B16" w:rsidR="002D7174">
        <w:t xml:space="preserve"> cash deposit directly to </w:t>
      </w:r>
      <w:r w:rsidR="00DC29D7">
        <w:t>the IOU</w:t>
      </w:r>
      <w:r w:rsidRPr="00D97B16" w:rsidR="002D7174">
        <w:t xml:space="preserve"> with interest paid </w:t>
      </w:r>
      <w:r w:rsidR="00AF3C7C">
        <w:t xml:space="preserve">as a form of or </w:t>
      </w:r>
      <w:r w:rsidRPr="00D97B16" w:rsidR="002D7174">
        <w:t>in lieu of the financial security instruments</w:t>
      </w:r>
      <w:r w:rsidR="006C3FF2">
        <w:rPr>
          <w:bCs/>
        </w:rPr>
        <w:t>, and t</w:t>
      </w:r>
      <w:r w:rsidRPr="006C3FF2" w:rsidR="002D7174">
        <w:rPr>
          <w:bCs/>
        </w:rPr>
        <w:t>he requirement that DA-eligible customers must return to IOU service in the event of an involuntary return</w:t>
      </w:r>
      <w:r w:rsidRPr="006C3FF2" w:rsidR="00ED5334">
        <w:rPr>
          <w:bCs/>
        </w:rPr>
        <w:t>.</w:t>
      </w:r>
    </w:p>
    <w:p w:rsidR="00CF17DE" w:rsidP="002A76BD" w:rsidRDefault="00FF1337" w14:paraId="184E396E" w14:textId="1525B2E4">
      <w:pPr>
        <w:spacing w:after="240" w:line="276" w:lineRule="auto"/>
      </w:pPr>
      <w:r w:rsidRPr="00D97B16">
        <w:t xml:space="preserve">Additionally, the definition of events that give rise to involuntary return should be modified to be consistent with </w:t>
      </w:r>
      <w:r w:rsidR="006C3FF2">
        <w:t>the IOUs</w:t>
      </w:r>
      <w:r w:rsidR="00B74927">
        <w:t>’</w:t>
      </w:r>
      <w:r w:rsidR="006C3FF2">
        <w:t xml:space="preserve"> own rules</w:t>
      </w:r>
      <w:r w:rsidRPr="00D97B16">
        <w:t xml:space="preserve"> for ESPs</w:t>
      </w:r>
      <w:r w:rsidR="005C74E7">
        <w:t xml:space="preserve">, and we may </w:t>
      </w:r>
      <w:r w:rsidR="00CE5602">
        <w:t>choose to</w:t>
      </w:r>
      <w:r w:rsidR="005C74E7">
        <w:t xml:space="preserve"> revisit this definition </w:t>
      </w:r>
      <w:r w:rsidR="00B74927">
        <w:t xml:space="preserve">of </w:t>
      </w:r>
      <w:r w:rsidR="005C74E7">
        <w:t>the POLR proceeding</w:t>
      </w:r>
      <w:r w:rsidRPr="00D97B16">
        <w:t>.</w:t>
      </w:r>
      <w:r w:rsidRPr="002A76BD" w:rsidR="002A76BD">
        <w:t xml:space="preserve"> </w:t>
      </w:r>
      <w:r w:rsidR="00014FA6">
        <w:t xml:space="preserve"> </w:t>
      </w:r>
      <w:r w:rsidR="002A76BD">
        <w:t>We direct the IOUs to refile</w:t>
      </w:r>
      <w:r w:rsidRPr="00D97B16" w:rsidR="002A76BD">
        <w:t xml:space="preserve"> </w:t>
      </w:r>
      <w:r w:rsidR="002A76BD">
        <w:t xml:space="preserve">the tariff sheets pursuant to this resolution via </w:t>
      </w:r>
      <w:r w:rsidR="00B74927">
        <w:t xml:space="preserve">a </w:t>
      </w:r>
      <w:r w:rsidR="002A76BD">
        <w:t>Tier 1 advice letter within 30 days of this resolution.</w:t>
      </w:r>
    </w:p>
    <w:p w:rsidRPr="00D97B16" w:rsidR="002A76BD" w:rsidP="006C3FF2" w:rsidRDefault="00BD35E0" w14:paraId="08E466EB" w14:textId="20648064">
      <w:pPr>
        <w:spacing w:after="240" w:line="276" w:lineRule="auto"/>
      </w:pPr>
      <w:r>
        <w:t>We direct the CCAs to post new financial security instruments within 30 days of this resolution.</w:t>
      </w:r>
    </w:p>
    <w:p w:rsidRPr="00C52014" w:rsidR="00CF17DE" w:rsidP="00E908D6" w:rsidRDefault="00CF17DE" w14:paraId="0BFDDE4C" w14:textId="77777777">
      <w:pPr>
        <w:pStyle w:val="Heading1"/>
        <w:spacing w:line="276" w:lineRule="auto"/>
      </w:pPr>
      <w:r w:rsidRPr="00C52014">
        <w:lastRenderedPageBreak/>
        <w:t>Background</w:t>
      </w:r>
    </w:p>
    <w:p w:rsidRPr="00C52014" w:rsidR="00C83D2A" w:rsidP="00E908D6" w:rsidRDefault="00C83D2A" w14:paraId="62BFBBB8" w14:textId="10AFADBD">
      <w:pPr>
        <w:spacing w:line="276" w:lineRule="auto"/>
      </w:pPr>
      <w:r w:rsidRPr="00C52014">
        <w:t>The legislature in Assembly Bill (AB) 117 (2002</w:t>
      </w:r>
      <w:r w:rsidRPr="000169C3" w:rsidR="000169C3">
        <w:t xml:space="preserve">, </w:t>
      </w:r>
      <w:proofErr w:type="spellStart"/>
      <w:r w:rsidRPr="000169C3" w:rsidR="000169C3">
        <w:t>Migden</w:t>
      </w:r>
      <w:proofErr w:type="spellEnd"/>
      <w:r w:rsidRPr="00C52014">
        <w:t xml:space="preserve">) enacted requirements for ensuring that bundled service customers of the investor owned utilities (IOUs) are indifferent to </w:t>
      </w:r>
      <w:r w:rsidR="00EA7157">
        <w:t xml:space="preserve">the costs of </w:t>
      </w:r>
      <w:r w:rsidRPr="00C52014">
        <w:t xml:space="preserve">electricity customers </w:t>
      </w:r>
      <w:r w:rsidRPr="00C52014" w:rsidR="00EA7157">
        <w:t xml:space="preserve">migration </w:t>
      </w:r>
      <w:r w:rsidRPr="00C52014">
        <w:t>to and from Community Choice Aggregation (CCA) programs.  Among those requirements</w:t>
      </w:r>
      <w:r w:rsidRPr="00C52014" w:rsidR="00314345">
        <w:t>,</w:t>
      </w:r>
      <w:r w:rsidRPr="00C52014">
        <w:t xml:space="preserve"> Public Utilities (P.U.) Code Section 394.25(e)</w:t>
      </w:r>
      <w:r w:rsidRPr="00C52014" w:rsidR="00314345">
        <w:t xml:space="preserve"> established consumer protections that require </w:t>
      </w:r>
      <w:r w:rsidRPr="00C52014">
        <w:t xml:space="preserve">CCAs to post financial security to cover the </w:t>
      </w:r>
      <w:r w:rsidRPr="00C52014" w:rsidR="00431749">
        <w:t>ree</w:t>
      </w:r>
      <w:r w:rsidRPr="00C52014">
        <w:t>ntry fees that would be imposed on CCA customers in the event these customers are involuntarily returned to IOU procurement service.  Section 394.25(e) states:</w:t>
      </w:r>
    </w:p>
    <w:p w:rsidRPr="00C52014" w:rsidR="00C83D2A" w:rsidP="00E908D6" w:rsidRDefault="00C83D2A" w14:paraId="70917BE6" w14:textId="77777777">
      <w:pPr>
        <w:spacing w:line="276" w:lineRule="auto"/>
      </w:pPr>
    </w:p>
    <w:p w:rsidRPr="00C52014" w:rsidR="00C83D2A" w:rsidP="00FF75DF" w:rsidRDefault="00C83D2A" w14:paraId="184B22A4" w14:textId="6C78CBB0">
      <w:pPr>
        <w:spacing w:line="276" w:lineRule="auto"/>
        <w:ind w:left="270" w:right="270"/>
        <w:jc w:val="both"/>
      </w:pPr>
      <w:r w:rsidRPr="00C52014">
        <w:t xml:space="preserve">If a customer of an electric service provider or a community choice aggregator is involuntarily returned to service provided by an electrical corporation, any reentry fee imposed on that customer that the </w:t>
      </w:r>
      <w:r w:rsidRPr="00FF75DF" w:rsidR="77DE9EDA">
        <w:rPr>
          <w:rFonts w:eastAsia="Palatino"/>
        </w:rPr>
        <w:t xml:space="preserve">commission </w:t>
      </w:r>
      <w:r w:rsidRPr="00C52014">
        <w:t>deems is necessary to avoid imposing costs on other customers of the electrical corporation shall be the obligation of the electric service provider or a community choice aggregator, except in the case of a customer returned due to default in payment or other contractual obligations or because the customer’s contract has expired.  As a condition of its registration, an electric service provider or a community choice aggregator shall post a bond or demonstrate insurance sufficient to cover those reentry fees.  In the event that an electric service provider becomes insolvent and is unable to discharge its obligation to pay reentry fees, the fees shall be allocated to the returning customers.</w:t>
      </w:r>
    </w:p>
    <w:p w:rsidRPr="00C52014" w:rsidR="00C83D2A" w:rsidP="00E908D6" w:rsidRDefault="00C83D2A" w14:paraId="157C9944" w14:textId="77777777">
      <w:pPr>
        <w:spacing w:line="276" w:lineRule="auto"/>
      </w:pPr>
    </w:p>
    <w:p w:rsidRPr="00C52014" w:rsidR="00C83D2A" w:rsidP="00E908D6" w:rsidRDefault="00C83D2A" w14:paraId="2EF8BBCA" w14:textId="624CA1ED">
      <w:pPr>
        <w:spacing w:line="276" w:lineRule="auto"/>
      </w:pPr>
      <w:r w:rsidRPr="00C52014">
        <w:t xml:space="preserve">In 2003, the </w:t>
      </w:r>
      <w:r w:rsidRPr="00C52014" w:rsidR="00B8094D">
        <w:t>CPUC</w:t>
      </w:r>
      <w:r w:rsidRPr="00C52014">
        <w:t xml:space="preserve"> </w:t>
      </w:r>
      <w:r w:rsidRPr="004764C2" w:rsidR="009E29E5">
        <w:rPr>
          <w:strike/>
          <w:color w:val="FF0000"/>
        </w:rPr>
        <w:t xml:space="preserve">ordered </w:t>
      </w:r>
      <w:r w:rsidRPr="004764C2" w:rsidR="504A99EB">
        <w:rPr>
          <w:color w:val="FF0000"/>
          <w:u w:val="single"/>
        </w:rPr>
        <w:t xml:space="preserve">instituted </w:t>
      </w:r>
      <w:r w:rsidRPr="00C52014">
        <w:t>Rulemaking (R.) 03-10-003 to implement portions of Assembly Bill 117 concerning Community Choice Aggregation.</w:t>
      </w:r>
      <w:r w:rsidR="00274D15">
        <w:t xml:space="preserve"> </w:t>
      </w:r>
      <w:r w:rsidR="00014FA6">
        <w:t xml:space="preserve"> </w:t>
      </w:r>
      <w:r w:rsidRPr="00C52014">
        <w:t>An interim financial security amount for CCAs was implemented in Resolution E-4133 on December 20, 2007, requir</w:t>
      </w:r>
      <w:r w:rsidRPr="00C52014" w:rsidR="009E29E5">
        <w:t>ing CCAs</w:t>
      </w:r>
      <w:r w:rsidRPr="00C52014">
        <w:t xml:space="preserve"> to post $100,000 in financial security with the </w:t>
      </w:r>
      <w:r w:rsidRPr="00C52014" w:rsidR="004771D0">
        <w:t>CPUC</w:t>
      </w:r>
      <w:r w:rsidRPr="00C52014">
        <w:t xml:space="preserve"> as part of the CCA registration packet.  Resolution E-4133 concluded that the CCA financial security requirement should be revised in a more formal proceeding in the future.</w:t>
      </w:r>
    </w:p>
    <w:p w:rsidRPr="00C52014" w:rsidR="00C83D2A" w:rsidP="00E908D6" w:rsidRDefault="00C83D2A" w14:paraId="1748EEC1" w14:textId="77777777">
      <w:pPr>
        <w:spacing w:line="276" w:lineRule="auto"/>
      </w:pPr>
    </w:p>
    <w:p w:rsidRPr="00C52014" w:rsidR="004A02C4" w:rsidP="00E908D6" w:rsidRDefault="004A02C4" w14:paraId="71D18DA9" w14:textId="77777777">
      <w:pPr>
        <w:spacing w:line="276" w:lineRule="auto"/>
        <w:rPr>
          <w:b/>
          <w:bCs/>
        </w:rPr>
      </w:pPr>
      <w:r w:rsidRPr="00C52014">
        <w:rPr>
          <w:b/>
          <w:bCs/>
        </w:rPr>
        <w:lastRenderedPageBreak/>
        <w:t>D.18-05-022</w:t>
      </w:r>
    </w:p>
    <w:p w:rsidRPr="003C595D" w:rsidR="00C742D9" w:rsidP="00E908D6" w:rsidRDefault="10F4B1D7" w14:paraId="3491FCC0" w14:textId="0746B094">
      <w:pPr>
        <w:spacing w:line="276" w:lineRule="auto"/>
      </w:pPr>
      <w:r w:rsidRPr="003C595D">
        <w:t>On June 7, 2018, the CPUC issued Decision (D.) 18-05-022</w:t>
      </w:r>
      <w:r w:rsidR="00D34FC4">
        <w:t xml:space="preserve">. </w:t>
      </w:r>
      <w:r w:rsidR="00014FA6">
        <w:t xml:space="preserve"> </w:t>
      </w:r>
      <w:r w:rsidR="00D34FC4">
        <w:t xml:space="preserve">The decision </w:t>
      </w:r>
      <w:r w:rsidRPr="00495DAE" w:rsidR="00C742D9">
        <w:t>found that</w:t>
      </w:r>
      <w:r w:rsidRPr="003C595D" w:rsidR="00C742D9">
        <w:t xml:space="preserve"> Public Utilities Code Section 394.25(e) requires </w:t>
      </w:r>
      <w:r w:rsidR="00F0470B">
        <w:t xml:space="preserve">the </w:t>
      </w:r>
      <w:r w:rsidRPr="003C595D" w:rsidR="00C742D9">
        <w:t xml:space="preserve">implementation of both a reentry fee and a corresponding </w:t>
      </w:r>
      <w:r w:rsidRPr="00495DAE" w:rsidR="00C742D9">
        <w:t>financial security requirement</w:t>
      </w:r>
      <w:r w:rsidR="002F1512">
        <w:t xml:space="preserve"> (FSR)</w:t>
      </w:r>
      <w:r w:rsidRPr="003C595D" w:rsidR="00C742D9">
        <w:t xml:space="preserve"> to address the costs of a potential mass involuntary return of CCA customers to utility service.</w:t>
      </w:r>
      <w:r w:rsidR="00107622">
        <w:t xml:space="preserve"> </w:t>
      </w:r>
      <w:r w:rsidR="00014FA6">
        <w:t xml:space="preserve"> </w:t>
      </w:r>
      <w:r w:rsidR="007C4787">
        <w:t xml:space="preserve">The reentry fees are the costs that would be incurred in the event </w:t>
      </w:r>
      <w:r w:rsidR="00B74927">
        <w:t>of</w:t>
      </w:r>
      <w:r w:rsidR="007C4787">
        <w:t xml:space="preserve"> an involuntary return. </w:t>
      </w:r>
      <w:r w:rsidR="00014FA6">
        <w:t xml:space="preserve"> </w:t>
      </w:r>
      <w:r w:rsidR="007C4787">
        <w:t xml:space="preserve">The FSR is the estimated amount that would be required for CCA customers to return to IOU service under conditions that would necessitate an involuntary return. </w:t>
      </w:r>
      <w:r w:rsidR="00014FA6">
        <w:t xml:space="preserve"> </w:t>
      </w:r>
      <w:r w:rsidR="00107622">
        <w:t>While D.18-05-022 concluded that r</w:t>
      </w:r>
      <w:r w:rsidRPr="00485EDF" w:rsidR="00107622">
        <w:t xml:space="preserve">eentry fees and </w:t>
      </w:r>
      <w:r w:rsidR="007A0D7F">
        <w:t>requirements</w:t>
      </w:r>
      <w:r w:rsidRPr="00485EDF" w:rsidR="007A0D7F">
        <w:t xml:space="preserve"> </w:t>
      </w:r>
      <w:r w:rsidRPr="00485EDF" w:rsidR="00107622">
        <w:t>for CCAs should generally be similar to those implemented for ESPs</w:t>
      </w:r>
      <w:r w:rsidR="00107622">
        <w:t xml:space="preserve">, it made several </w:t>
      </w:r>
      <w:r w:rsidR="0000759A">
        <w:t xml:space="preserve">specific </w:t>
      </w:r>
      <w:r w:rsidR="00107622">
        <w:t xml:space="preserve">determinations </w:t>
      </w:r>
      <w:r w:rsidR="0000759A">
        <w:t>regarding</w:t>
      </w:r>
      <w:r w:rsidR="00107622">
        <w:t xml:space="preserve"> </w:t>
      </w:r>
      <w:r w:rsidR="0000759A">
        <w:t xml:space="preserve">FSRs for </w:t>
      </w:r>
      <w:r w:rsidR="00107622">
        <w:t>CCAs</w:t>
      </w:r>
      <w:r w:rsidR="002F1512">
        <w:t>.</w:t>
      </w:r>
      <w:r w:rsidRPr="00ED5334" w:rsidR="00ED5334">
        <w:t xml:space="preserve"> </w:t>
      </w:r>
    </w:p>
    <w:p w:rsidR="00BB7926" w:rsidP="00E908D6" w:rsidRDefault="003B5B8F" w14:paraId="795888E8" w14:textId="43BD5983">
      <w:pPr>
        <w:spacing w:line="276" w:lineRule="auto"/>
      </w:pPr>
      <w:r>
        <w:t xml:space="preserve"> </w:t>
      </w:r>
    </w:p>
    <w:p w:rsidR="00316C37" w:rsidP="00E908D6" w:rsidRDefault="00C742D9" w14:paraId="171A4A35" w14:textId="3DF0CF4B">
      <w:pPr>
        <w:spacing w:line="276" w:lineRule="auto"/>
      </w:pPr>
      <w:bookmarkStart w:name="_Hlk40262966" w:id="1"/>
      <w:r w:rsidRPr="00495DAE">
        <w:t>D.18-05-022 ordered that the</w:t>
      </w:r>
      <w:r w:rsidRPr="00495DAE" w:rsidR="000862A4">
        <w:t xml:space="preserve"> calculation of</w:t>
      </w:r>
      <w:r w:rsidRPr="00495DAE">
        <w:t xml:space="preserve"> </w:t>
      </w:r>
      <w:r w:rsidR="00177462">
        <w:t xml:space="preserve">CCA </w:t>
      </w:r>
      <w:r w:rsidRPr="00495DAE">
        <w:t>FSR and reentry fees</w:t>
      </w:r>
      <w:r w:rsidR="002F1512">
        <w:t xml:space="preserve"> shall</w:t>
      </w:r>
      <w:r w:rsidR="00901102">
        <w:t xml:space="preserve"> </w:t>
      </w:r>
      <w:r w:rsidRPr="00A71703" w:rsidR="00A71703">
        <w:t>include both utility administrative costs and incremental procurement costs</w:t>
      </w:r>
      <w:r w:rsidR="00A71703">
        <w:t>.</w:t>
      </w:r>
      <w:r w:rsidRPr="00985C32" w:rsidR="00985C32">
        <w:t xml:space="preserve"> </w:t>
      </w:r>
      <w:bookmarkStart w:name="_Hlk40199500" w:id="2"/>
      <w:r w:rsidR="00014FA6">
        <w:t xml:space="preserve"> </w:t>
      </w:r>
      <w:r w:rsidR="003A7169">
        <w:t>The</w:t>
      </w:r>
      <w:r w:rsidRPr="00ED5334" w:rsidR="003A7169">
        <w:t xml:space="preserve"> </w:t>
      </w:r>
      <w:r w:rsidR="003A7169">
        <w:t>decision determined that FSR</w:t>
      </w:r>
      <w:r w:rsidRPr="0026027D" w:rsidR="003A7169">
        <w:t xml:space="preserve"> </w:t>
      </w:r>
      <w:r w:rsidR="003A7169">
        <w:t xml:space="preserve">amount </w:t>
      </w:r>
      <w:r w:rsidR="00836443">
        <w:t xml:space="preserve">shall be calculated </w:t>
      </w:r>
      <w:r w:rsidR="00316C37">
        <w:t>as follows:</w:t>
      </w:r>
    </w:p>
    <w:p w:rsidR="00316C37" w:rsidP="00E908D6" w:rsidRDefault="00316C37" w14:paraId="729FED5C" w14:textId="77777777">
      <w:pPr>
        <w:spacing w:line="276" w:lineRule="auto"/>
      </w:pPr>
    </w:p>
    <w:p w:rsidRPr="002519B1" w:rsidR="00316C37" w:rsidP="00E908D6" w:rsidRDefault="00316C37" w14:paraId="3D118C34" w14:textId="490AB1E6">
      <w:pPr>
        <w:spacing w:line="276" w:lineRule="auto"/>
        <w:rPr>
          <w:i/>
          <w:iCs/>
          <w:sz w:val="24"/>
          <w:szCs w:val="18"/>
        </w:rPr>
      </w:pPr>
      <w:r>
        <w:rPr>
          <w:i/>
          <w:iCs/>
          <w:sz w:val="24"/>
          <w:szCs w:val="18"/>
        </w:rPr>
        <w:t xml:space="preserve">FSR amount = </w:t>
      </w:r>
      <w:r w:rsidRPr="002519B1">
        <w:rPr>
          <w:i/>
          <w:iCs/>
          <w:sz w:val="24"/>
          <w:szCs w:val="18"/>
        </w:rPr>
        <w:t>(per-customer</w:t>
      </w:r>
      <w:r w:rsidRPr="002519B1" w:rsidR="00836443">
        <w:rPr>
          <w:i/>
          <w:iCs/>
          <w:sz w:val="24"/>
          <w:szCs w:val="18"/>
        </w:rPr>
        <w:t xml:space="preserve"> administrative costs for returning customers to IOU service</w:t>
      </w:r>
      <w:r w:rsidRPr="002519B1">
        <w:rPr>
          <w:i/>
          <w:iCs/>
          <w:sz w:val="24"/>
          <w:szCs w:val="18"/>
        </w:rPr>
        <w:t>)</w:t>
      </w:r>
      <w:r w:rsidRPr="002519B1" w:rsidR="00836443">
        <w:rPr>
          <w:i/>
          <w:iCs/>
          <w:sz w:val="24"/>
          <w:szCs w:val="18"/>
        </w:rPr>
        <w:t xml:space="preserve"> </w:t>
      </w:r>
      <w:r w:rsidRPr="002519B1">
        <w:rPr>
          <w:i/>
          <w:iCs/>
          <w:sz w:val="24"/>
          <w:szCs w:val="18"/>
        </w:rPr>
        <w:t>+</w:t>
      </w:r>
      <w:r w:rsidRPr="002519B1" w:rsidR="00836443">
        <w:rPr>
          <w:i/>
          <w:iCs/>
          <w:sz w:val="24"/>
          <w:szCs w:val="18"/>
        </w:rPr>
        <w:t xml:space="preserve"> </w:t>
      </w:r>
      <w:r w:rsidRPr="002519B1">
        <w:rPr>
          <w:i/>
          <w:iCs/>
          <w:sz w:val="24"/>
          <w:szCs w:val="18"/>
        </w:rPr>
        <w:t>(</w:t>
      </w:r>
      <w:r w:rsidRPr="002519B1" w:rsidR="00836443">
        <w:rPr>
          <w:i/>
          <w:iCs/>
          <w:sz w:val="24"/>
          <w:szCs w:val="18"/>
        </w:rPr>
        <w:t>costs for six months of incremental procurement</w:t>
      </w:r>
      <w:r w:rsidRPr="002519B1">
        <w:rPr>
          <w:i/>
          <w:iCs/>
          <w:sz w:val="24"/>
          <w:szCs w:val="18"/>
        </w:rPr>
        <w:t>)</w:t>
      </w:r>
      <w:r w:rsidRPr="002519B1">
        <w:rPr>
          <w:rStyle w:val="FootnoteReference"/>
          <w:i/>
          <w:iCs/>
          <w:sz w:val="24"/>
          <w:szCs w:val="18"/>
        </w:rPr>
        <w:footnoteReference w:id="2"/>
      </w:r>
      <w:r w:rsidRPr="002519B1">
        <w:rPr>
          <w:i/>
          <w:iCs/>
          <w:sz w:val="24"/>
          <w:szCs w:val="18"/>
        </w:rPr>
        <w:t xml:space="preserve"> * (number customers)</w:t>
      </w:r>
      <w:r w:rsidRPr="002519B1" w:rsidR="00836443">
        <w:rPr>
          <w:i/>
          <w:iCs/>
          <w:sz w:val="24"/>
          <w:szCs w:val="18"/>
        </w:rPr>
        <w:t xml:space="preserve"> </w:t>
      </w:r>
    </w:p>
    <w:p w:rsidR="00316C37" w:rsidP="00E908D6" w:rsidRDefault="00316C37" w14:paraId="0F4666CB" w14:textId="77777777">
      <w:pPr>
        <w:spacing w:line="276" w:lineRule="auto"/>
      </w:pPr>
    </w:p>
    <w:p w:rsidRPr="00495DAE" w:rsidR="007C4787" w:rsidP="00E908D6" w:rsidRDefault="00836443" w14:paraId="20ABFB15" w14:textId="5A4D4C8E">
      <w:pPr>
        <w:spacing w:line="276" w:lineRule="auto"/>
      </w:pPr>
      <w:r>
        <w:t xml:space="preserve">The administrative costs shall </w:t>
      </w:r>
      <w:r w:rsidR="003A7169">
        <w:t>be set at the same level as</w:t>
      </w:r>
      <w:r>
        <w:t xml:space="preserve"> established for</w:t>
      </w:r>
      <w:r w:rsidR="003A7169">
        <w:t xml:space="preserve"> the </w:t>
      </w:r>
      <w:r w:rsidRPr="0026027D" w:rsidR="003A7169">
        <w:t>per-customer reentry fee for</w:t>
      </w:r>
      <w:r w:rsidR="003A7169">
        <w:t xml:space="preserve"> customers t</w:t>
      </w:r>
      <w:r w:rsidR="00316C37">
        <w:t>hat</w:t>
      </w:r>
      <w:r w:rsidR="003A7169">
        <w:t xml:space="preserve"> voluntarily</w:t>
      </w:r>
      <w:r w:rsidRPr="0026027D" w:rsidR="003A7169">
        <w:t xml:space="preserve"> return</w:t>
      </w:r>
      <w:r w:rsidR="003A7169">
        <w:t xml:space="preserve"> to IOU service</w:t>
      </w:r>
      <w:r w:rsidR="003A7169">
        <w:rPr>
          <w:rStyle w:val="FootnoteReference"/>
        </w:rPr>
        <w:footnoteReference w:id="3"/>
      </w:r>
      <w:r w:rsidRPr="004207B8" w:rsidR="003A7169">
        <w:t>.</w:t>
      </w:r>
      <w:r w:rsidR="003A7169">
        <w:t xml:space="preserve"> </w:t>
      </w:r>
      <w:bookmarkEnd w:id="2"/>
      <w:r w:rsidR="00014FA6">
        <w:t xml:space="preserve"> </w:t>
      </w:r>
      <w:r w:rsidR="005D4919">
        <w:t xml:space="preserve">The </w:t>
      </w:r>
      <w:r w:rsidR="00316C37">
        <w:t xml:space="preserve">FSR amount uses the </w:t>
      </w:r>
      <w:r w:rsidR="004D09A0">
        <w:t>current number of customers enrolled in the CCA</w:t>
      </w:r>
      <w:r w:rsidR="00316C37">
        <w:t>.</w:t>
      </w:r>
    </w:p>
    <w:bookmarkEnd w:id="1"/>
    <w:p w:rsidRPr="00801D6A" w:rsidR="001C2C05" w:rsidP="00E908D6" w:rsidRDefault="001C2C05" w14:paraId="19E2AEF7" w14:textId="3F8ABFF4">
      <w:pPr>
        <w:spacing w:line="276" w:lineRule="auto"/>
        <w:rPr>
          <w:b/>
          <w:bCs/>
        </w:rPr>
      </w:pPr>
    </w:p>
    <w:p w:rsidR="00FF548F" w:rsidP="00E908D6" w:rsidRDefault="009C7F17" w14:paraId="5186C588" w14:textId="627EDB65">
      <w:pPr>
        <w:spacing w:line="276" w:lineRule="auto"/>
      </w:pPr>
      <w:r w:rsidRPr="009C7F17">
        <w:t>D.18-05-022</w:t>
      </w:r>
      <w:r>
        <w:t xml:space="preserve"> determin</w:t>
      </w:r>
      <w:r w:rsidR="002E0348">
        <w:t>ed</w:t>
      </w:r>
      <w:r>
        <w:t xml:space="preserve"> that </w:t>
      </w:r>
      <w:r w:rsidRPr="001A5B6E">
        <w:t xml:space="preserve">letters of credit, surety bonds, </w:t>
      </w:r>
      <w:r>
        <w:t>or</w:t>
      </w:r>
      <w:r w:rsidRPr="001A5B6E">
        <w:t xml:space="preserve"> cash held by a third</w:t>
      </w:r>
      <w:r w:rsidR="002F1512">
        <w:t>-</w:t>
      </w:r>
      <w:r w:rsidRPr="001A5B6E">
        <w:t>party</w:t>
      </w:r>
      <w:r>
        <w:t xml:space="preserve"> </w:t>
      </w:r>
      <w:r w:rsidR="002E0348">
        <w:t>are</w:t>
      </w:r>
      <w:r w:rsidRPr="001A5B6E">
        <w:t xml:space="preserve"> acceptable instrument</w:t>
      </w:r>
      <w:r w:rsidR="007A0D7F">
        <w:t>s</w:t>
      </w:r>
      <w:r w:rsidRPr="001A5B6E">
        <w:t xml:space="preserve"> </w:t>
      </w:r>
      <w:r w:rsidR="007A0D7F">
        <w:t>to</w:t>
      </w:r>
      <w:r w:rsidRPr="001A5B6E">
        <w:t xml:space="preserve"> satisfy the FSR</w:t>
      </w:r>
      <w:r>
        <w:t xml:space="preserve">. </w:t>
      </w:r>
      <w:r w:rsidR="00014FA6">
        <w:t xml:space="preserve"> </w:t>
      </w:r>
      <w:r w:rsidR="00F96B34">
        <w:t>The decision</w:t>
      </w:r>
      <w:r w:rsidR="00B74927">
        <w:t>, therefore,</w:t>
      </w:r>
      <w:r w:rsidRPr="00495DAE" w:rsidR="00F96B34">
        <w:t xml:space="preserve"> ordered the amount of the FSR </w:t>
      </w:r>
      <w:r w:rsidR="00B74927">
        <w:t xml:space="preserve">to </w:t>
      </w:r>
      <w:r w:rsidRPr="00495DAE" w:rsidR="00F96B34">
        <w:t xml:space="preserve">be updated twice per year </w:t>
      </w:r>
      <w:r w:rsidR="00C6100C">
        <w:t xml:space="preserve">to </w:t>
      </w:r>
      <w:r w:rsidR="00F96B34">
        <w:t xml:space="preserve">reflect the </w:t>
      </w:r>
      <w:r w:rsidR="00F96B34">
        <w:lastRenderedPageBreak/>
        <w:t xml:space="preserve">change </w:t>
      </w:r>
      <w:r w:rsidR="00AA5B73">
        <w:t>to forecasted procurement and administrative costs</w:t>
      </w:r>
      <w:r w:rsidR="00F96B34">
        <w:t xml:space="preserve"> if the change in the amount of the reentry fees is greater than </w:t>
      </w:r>
      <w:r w:rsidRPr="00495DAE" w:rsidR="00F96B34">
        <w:t>10</w:t>
      </w:r>
      <w:r w:rsidR="00B67E13">
        <w:t xml:space="preserve"> percent</w:t>
      </w:r>
      <w:r w:rsidR="00F96B34">
        <w:t>, consistent with the treatment for ESPs.</w:t>
      </w:r>
      <w:r w:rsidRPr="001A5B6E" w:rsidR="00F96B34">
        <w:rPr>
          <w:vertAlign w:val="superscript"/>
        </w:rPr>
        <w:t xml:space="preserve"> </w:t>
      </w:r>
      <w:r w:rsidR="00F96B34">
        <w:rPr>
          <w:vertAlign w:val="superscript"/>
        </w:rPr>
        <w:t xml:space="preserve"> </w:t>
      </w:r>
      <w:r w:rsidR="004A0142">
        <w:t xml:space="preserve">Finally, D.18-05-022 </w:t>
      </w:r>
      <w:r w:rsidR="00726F8A">
        <w:t>order</w:t>
      </w:r>
      <w:r w:rsidR="0052591D">
        <w:t>ed</w:t>
      </w:r>
      <w:r w:rsidR="00726F8A">
        <w:t xml:space="preserve"> </w:t>
      </w:r>
      <w:r w:rsidRPr="00FF548F" w:rsidR="00FF548F">
        <w:t xml:space="preserve">a minimum </w:t>
      </w:r>
      <w:r w:rsidR="00FB3881">
        <w:t>CCA FSR</w:t>
      </w:r>
      <w:r w:rsidRPr="00FF548F" w:rsidR="00FF548F">
        <w:t xml:space="preserve"> </w:t>
      </w:r>
      <w:r w:rsidR="00740006">
        <w:t xml:space="preserve">amount </w:t>
      </w:r>
      <w:r w:rsidRPr="00FF548F" w:rsidR="00FF548F">
        <w:t>of $147,000.</w:t>
      </w:r>
    </w:p>
    <w:p w:rsidR="00740006" w:rsidP="00F75BC9" w:rsidRDefault="00740006" w14:paraId="2F54E1C2" w14:textId="77777777">
      <w:pPr>
        <w:spacing w:line="276" w:lineRule="auto"/>
        <w:ind w:left="720"/>
        <w:rPr>
          <w:b/>
          <w:bCs/>
        </w:rPr>
      </w:pPr>
    </w:p>
    <w:p w:rsidR="0028214C" w:rsidP="00F932F1" w:rsidRDefault="00C742D9" w14:paraId="3C37CC80" w14:textId="0A8EA48D">
      <w:pPr>
        <w:spacing w:line="276" w:lineRule="auto"/>
      </w:pPr>
      <w:r w:rsidRPr="001A5B6E">
        <w:t xml:space="preserve">D.18-05-022 ordered that </w:t>
      </w:r>
      <w:r w:rsidR="00740006">
        <w:t xml:space="preserve">a CCA </w:t>
      </w:r>
      <w:r w:rsidRPr="001A5B6E">
        <w:t>sh</w:t>
      </w:r>
      <w:r w:rsidR="005234FD">
        <w:t>all</w:t>
      </w:r>
      <w:r w:rsidRPr="001A5B6E">
        <w:t xml:space="preserve"> submit a compliance advice letter to Energy Division</w:t>
      </w:r>
      <w:r w:rsidR="00B74927">
        <w:t>,</w:t>
      </w:r>
      <w:r w:rsidRPr="001A5B6E">
        <w:t xml:space="preserve"> providing notice of compliance with the </w:t>
      </w:r>
      <w:r w:rsidR="00740006">
        <w:t xml:space="preserve">FSR </w:t>
      </w:r>
      <w:r w:rsidRPr="001A5B6E">
        <w:t xml:space="preserve">and requesting </w:t>
      </w:r>
      <w:r w:rsidR="00B74927">
        <w:t xml:space="preserve">the </w:t>
      </w:r>
      <w:r w:rsidRPr="001A5B6E">
        <w:t xml:space="preserve">return of any interim financial security posted with the Commission. </w:t>
      </w:r>
      <w:r w:rsidR="00137D8B">
        <w:t xml:space="preserve"> </w:t>
      </w:r>
      <w:r w:rsidR="001C2C05">
        <w:t>A</w:t>
      </w:r>
      <w:r w:rsidRPr="001A5B6E" w:rsidR="001C2C05">
        <w:t>ny interim financial security</w:t>
      </w:r>
      <w:r w:rsidR="007A0D7F">
        <w:t xml:space="preserve"> bond</w:t>
      </w:r>
      <w:r w:rsidRPr="001A5B6E" w:rsidR="001C2C05">
        <w:t xml:space="preserve"> posted with the </w:t>
      </w:r>
      <w:r w:rsidR="00740006">
        <w:t>CPUC</w:t>
      </w:r>
      <w:r w:rsidRPr="001A5B6E" w:rsidR="00740006">
        <w:t xml:space="preserve"> </w:t>
      </w:r>
      <w:r w:rsidRPr="001A5B6E" w:rsidR="001C2C05">
        <w:t xml:space="preserve">should be returned to the posting CCA when the CCA complies with the financial security requirements of </w:t>
      </w:r>
      <w:r w:rsidR="001A1F25">
        <w:t xml:space="preserve">D.18-05-022 and this </w:t>
      </w:r>
      <w:r w:rsidR="00F0470B">
        <w:t>r</w:t>
      </w:r>
      <w:r w:rsidR="001A1F25">
        <w:t>esolution</w:t>
      </w:r>
      <w:r w:rsidRPr="001A5B6E" w:rsidR="001C2C05">
        <w:t>.</w:t>
      </w:r>
      <w:r w:rsidRPr="006E18D3" w:rsidR="001C2C05">
        <w:rPr>
          <w:vertAlign w:val="superscript"/>
        </w:rPr>
        <w:footnoteReference w:id="4"/>
      </w:r>
    </w:p>
    <w:p w:rsidRPr="00C52014" w:rsidR="00740006" w:rsidP="00F932F1" w:rsidRDefault="00740006" w14:paraId="70CA1417" w14:textId="77777777">
      <w:pPr>
        <w:spacing w:line="276" w:lineRule="auto"/>
      </w:pPr>
    </w:p>
    <w:p w:rsidRPr="00C52014" w:rsidR="00152682" w:rsidP="00F75BC9" w:rsidRDefault="00200390" w14:paraId="692A527F" w14:textId="29491A5A">
      <w:pPr>
        <w:spacing w:line="276" w:lineRule="auto"/>
        <w:rPr>
          <w:b/>
        </w:rPr>
      </w:pPr>
      <w:r w:rsidRPr="00C52014">
        <w:rPr>
          <w:b/>
        </w:rPr>
        <w:t xml:space="preserve">Advice Letter </w:t>
      </w:r>
      <w:r w:rsidRPr="00C52014" w:rsidR="00037A45">
        <w:rPr>
          <w:b/>
        </w:rPr>
        <w:t xml:space="preserve">PG&amp;E 5354-E, </w:t>
      </w:r>
      <w:r w:rsidRPr="00C52014" w:rsidR="00152682">
        <w:rPr>
          <w:b/>
        </w:rPr>
        <w:t>SCE 3840-E, SDG&amp;E 3257-E</w:t>
      </w:r>
    </w:p>
    <w:p w:rsidRPr="00C52014" w:rsidR="001D53A9" w:rsidP="00F932F1" w:rsidRDefault="001D53A9" w14:paraId="4278D565" w14:textId="76A4F0FF">
      <w:pPr>
        <w:spacing w:line="276" w:lineRule="auto"/>
        <w:rPr>
          <w:b/>
        </w:rPr>
      </w:pPr>
    </w:p>
    <w:p w:rsidRPr="00EC7995" w:rsidR="00603A3E" w:rsidP="00F932F1" w:rsidRDefault="00037A45" w14:paraId="38C2C91B" w14:textId="4E1D3ACB">
      <w:pPr>
        <w:spacing w:line="276" w:lineRule="auto"/>
        <w:rPr>
          <w:bCs/>
        </w:rPr>
      </w:pPr>
      <w:r w:rsidRPr="10F4B1D7">
        <w:t>On August 15, 2018, PG&amp;E filed AL 5354-E, SCE filed AL 3840-E,</w:t>
      </w:r>
      <w:r w:rsidRPr="10F4B1D7" w:rsidR="00EF6A95">
        <w:t xml:space="preserve"> and</w:t>
      </w:r>
      <w:r w:rsidRPr="10F4B1D7">
        <w:t xml:space="preserve"> SDG&amp;E filed AL 3257-E </w:t>
      </w:r>
      <w:r w:rsidRPr="10F4B1D7" w:rsidR="00EF6A95">
        <w:rPr>
          <w:rStyle w:val="normaltextrun"/>
          <w:color w:val="000000"/>
          <w:shd w:val="clear" w:color="auto" w:fill="FFFFFF"/>
        </w:rPr>
        <w:t>(collectively, the</w:t>
      </w:r>
      <w:r w:rsidRPr="10F4B1D7" w:rsidR="00EF6A95">
        <w:rPr>
          <w:rStyle w:val="findhit"/>
          <w:color w:val="000000"/>
          <w:shd w:val="clear" w:color="auto" w:fill="FFFFFF"/>
        </w:rPr>
        <w:t> ALs)</w:t>
      </w:r>
      <w:r w:rsidRPr="10F4B1D7" w:rsidR="00EF6A95">
        <w:rPr>
          <w:rStyle w:val="normaltextrun"/>
          <w:color w:val="000000"/>
          <w:shd w:val="clear" w:color="auto" w:fill="FFFFFF"/>
        </w:rPr>
        <w:t> </w:t>
      </w:r>
      <w:r w:rsidRPr="10F4B1D7">
        <w:t xml:space="preserve">pursuant to D.18-05-022 seeking </w:t>
      </w:r>
      <w:r w:rsidRPr="10F4B1D7" w:rsidR="004771D0">
        <w:t>CPUC</w:t>
      </w:r>
      <w:r w:rsidRPr="00C52014">
        <w:rPr>
          <w:szCs w:val="26"/>
        </w:rPr>
        <w:t xml:space="preserve"> </w:t>
      </w:r>
      <w:r w:rsidR="0014686A">
        <w:rPr>
          <w:szCs w:val="26"/>
        </w:rPr>
        <w:t xml:space="preserve"> </w:t>
      </w:r>
      <w:r w:rsidRPr="10F4B1D7">
        <w:t>approval for proposed revisions to</w:t>
      </w:r>
      <w:r w:rsidR="00896A7C">
        <w:t xml:space="preserve"> the three IOUs tariffs establishing requirements for CCAs: </w:t>
      </w:r>
      <w:r w:rsidRPr="10F4B1D7">
        <w:t>PG&amp;</w:t>
      </w:r>
      <w:r w:rsidRPr="10F4B1D7" w:rsidR="00896A7C">
        <w:t>E</w:t>
      </w:r>
      <w:r w:rsidR="00896A7C">
        <w:t xml:space="preserve"> </w:t>
      </w:r>
      <w:r w:rsidRPr="10F4B1D7" w:rsidR="00896A7C">
        <w:t xml:space="preserve"> Rule 23</w:t>
      </w:r>
      <w:r w:rsidR="00896A7C">
        <w:t>,</w:t>
      </w:r>
      <w:r w:rsidRPr="10F4B1D7" w:rsidR="00896A7C">
        <w:t xml:space="preserve">  </w:t>
      </w:r>
      <w:r w:rsidRPr="10F4B1D7">
        <w:t>SCE</w:t>
      </w:r>
      <w:r w:rsidR="00896A7C">
        <w:t xml:space="preserve"> Rule 23 </w:t>
      </w:r>
      <w:r w:rsidRPr="10F4B1D7">
        <w:t>and SDG&amp;E</w:t>
      </w:r>
      <w:r w:rsidR="00896A7C">
        <w:t xml:space="preserve"> Rule 27</w:t>
      </w:r>
      <w:r w:rsidR="00555D3F">
        <w:t xml:space="preserve"> (CCA Rules)</w:t>
      </w:r>
      <w:r w:rsidR="00896A7C">
        <w:t>.</w:t>
      </w:r>
      <w:r w:rsidR="00EB6B4C">
        <w:rPr>
          <w:bCs/>
        </w:rPr>
        <w:t xml:space="preserve"> </w:t>
      </w:r>
      <w:r w:rsidR="00250567">
        <w:rPr>
          <w:bCs/>
        </w:rPr>
        <w:t xml:space="preserve"> </w:t>
      </w:r>
      <w:r w:rsidR="00EC7995">
        <w:rPr>
          <w:bCs/>
        </w:rPr>
        <w:t>The proposed</w:t>
      </w:r>
      <w:r w:rsidRPr="00EC7995" w:rsidR="00605451">
        <w:rPr>
          <w:bCs/>
        </w:rPr>
        <w:t xml:space="preserve"> </w:t>
      </w:r>
      <w:r w:rsidR="001A1F25">
        <w:rPr>
          <w:bCs/>
        </w:rPr>
        <w:t xml:space="preserve">tariff </w:t>
      </w:r>
      <w:r w:rsidRPr="00EC7995" w:rsidR="00605451">
        <w:rPr>
          <w:bCs/>
        </w:rPr>
        <w:t>revisions</w:t>
      </w:r>
      <w:r w:rsidR="00EC7995">
        <w:rPr>
          <w:bCs/>
        </w:rPr>
        <w:t xml:space="preserve"> in</w:t>
      </w:r>
      <w:r w:rsidRPr="00EC7995" w:rsidR="00016E3F">
        <w:rPr>
          <w:bCs/>
        </w:rPr>
        <w:t xml:space="preserve"> the </w:t>
      </w:r>
      <w:r w:rsidRPr="00EC7995" w:rsidR="00430591">
        <w:rPr>
          <w:bCs/>
        </w:rPr>
        <w:t>AL</w:t>
      </w:r>
      <w:r w:rsidRPr="00EC7995" w:rsidR="00016E3F">
        <w:rPr>
          <w:bCs/>
        </w:rPr>
        <w:t>s</w:t>
      </w:r>
      <w:r w:rsidRPr="00EC7995" w:rsidR="00430591">
        <w:rPr>
          <w:bCs/>
        </w:rPr>
        <w:t xml:space="preserve"> </w:t>
      </w:r>
      <w:r w:rsidR="00EC7995">
        <w:rPr>
          <w:bCs/>
        </w:rPr>
        <w:t>were mostly identical across the three IOUs</w:t>
      </w:r>
      <w:r w:rsidR="00D34FC4">
        <w:rPr>
          <w:bCs/>
        </w:rPr>
        <w:t>. They</w:t>
      </w:r>
      <w:r w:rsidR="00EC7995">
        <w:rPr>
          <w:bCs/>
        </w:rPr>
        <w:t xml:space="preserve"> implemented the requirements set in D.18-05-022</w:t>
      </w:r>
      <w:r w:rsidRPr="00EC7995" w:rsidR="00D67C86">
        <w:rPr>
          <w:bCs/>
        </w:rPr>
        <w:t xml:space="preserve"> to</w:t>
      </w:r>
      <w:r w:rsidRPr="00EC7995" w:rsidR="004F5102">
        <w:rPr>
          <w:bCs/>
        </w:rPr>
        <w:t xml:space="preserve"> </w:t>
      </w:r>
      <w:r w:rsidRPr="00EC7995" w:rsidR="00FC2891">
        <w:rPr>
          <w:bCs/>
        </w:rPr>
        <w:t>d</w:t>
      </w:r>
      <w:r w:rsidRPr="00EC7995" w:rsidR="001C2C05">
        <w:rPr>
          <w:bCs/>
        </w:rPr>
        <w:t xml:space="preserve">efine </w:t>
      </w:r>
      <w:r w:rsidRPr="00EC7995" w:rsidR="00250567">
        <w:rPr>
          <w:bCs/>
        </w:rPr>
        <w:t xml:space="preserve">and </w:t>
      </w:r>
      <w:r w:rsidRPr="00EC7995" w:rsidR="00207A33">
        <w:rPr>
          <w:bCs/>
        </w:rPr>
        <w:t>calculat</w:t>
      </w:r>
      <w:r w:rsidRPr="00EC7995" w:rsidR="00250567">
        <w:rPr>
          <w:bCs/>
        </w:rPr>
        <w:t>e the</w:t>
      </w:r>
      <w:r w:rsidRPr="00EC7995" w:rsidR="00207A33">
        <w:rPr>
          <w:bCs/>
        </w:rPr>
        <w:t xml:space="preserve"> CCA financial security requirements and reentry fees</w:t>
      </w:r>
      <w:r w:rsidR="00EC7995">
        <w:rPr>
          <w:bCs/>
        </w:rPr>
        <w:t>.</w:t>
      </w:r>
    </w:p>
    <w:p w:rsidRPr="003837CC" w:rsidR="008F53FD" w:rsidP="00F932F1" w:rsidRDefault="008F53FD" w14:paraId="401B2261" w14:textId="77777777">
      <w:pPr>
        <w:spacing w:line="276" w:lineRule="auto"/>
        <w:rPr>
          <w:bCs/>
        </w:rPr>
      </w:pPr>
    </w:p>
    <w:p w:rsidR="0052591D" w:rsidP="00F932F1" w:rsidRDefault="00396C64" w14:paraId="79462F12" w14:textId="3CF69745">
      <w:pPr>
        <w:spacing w:line="276" w:lineRule="auto"/>
        <w:rPr>
          <w:bCs/>
        </w:rPr>
      </w:pPr>
      <w:r>
        <w:rPr>
          <w:bCs/>
        </w:rPr>
        <w:t>As directed in the decision, t</w:t>
      </w:r>
      <w:r w:rsidRPr="003837CC" w:rsidR="008F53FD">
        <w:rPr>
          <w:bCs/>
        </w:rPr>
        <w:t xml:space="preserve">he ALs </w:t>
      </w:r>
      <w:r>
        <w:rPr>
          <w:bCs/>
        </w:rPr>
        <w:t xml:space="preserve">add </w:t>
      </w:r>
      <w:r w:rsidR="001A1F25">
        <w:rPr>
          <w:bCs/>
        </w:rPr>
        <w:t xml:space="preserve">tariff </w:t>
      </w:r>
      <w:r>
        <w:rPr>
          <w:bCs/>
        </w:rPr>
        <w:t xml:space="preserve">provisions to </w:t>
      </w:r>
      <w:r w:rsidR="00EC7995">
        <w:rPr>
          <w:bCs/>
        </w:rPr>
        <w:t xml:space="preserve">establish </w:t>
      </w:r>
      <w:r w:rsidR="0052591D">
        <w:rPr>
          <w:bCs/>
        </w:rPr>
        <w:t>the following:</w:t>
      </w:r>
    </w:p>
    <w:p w:rsidR="0052591D" w:rsidP="00F932F1" w:rsidRDefault="002959C7" w14:paraId="1353001E" w14:textId="5D0FACB0">
      <w:pPr>
        <w:pStyle w:val="ListParagraph"/>
        <w:numPr>
          <w:ilvl w:val="0"/>
          <w:numId w:val="51"/>
        </w:numPr>
        <w:spacing w:line="276" w:lineRule="auto"/>
        <w:rPr>
          <w:bCs/>
        </w:rPr>
      </w:pPr>
      <w:r>
        <w:rPr>
          <w:bCs/>
        </w:rPr>
        <w:t>T</w:t>
      </w:r>
      <w:r w:rsidRPr="0052591D" w:rsidR="008F53FD">
        <w:rPr>
          <w:bCs/>
        </w:rPr>
        <w:t xml:space="preserve">he calculation </w:t>
      </w:r>
      <w:r w:rsidRPr="0052591D" w:rsidR="00EC7995">
        <w:rPr>
          <w:bCs/>
        </w:rPr>
        <w:t xml:space="preserve">of </w:t>
      </w:r>
      <w:r w:rsidRPr="0052591D" w:rsidR="008F53FD">
        <w:rPr>
          <w:bCs/>
        </w:rPr>
        <w:t xml:space="preserve">administrative cost and incremental procurement cost for the purpose </w:t>
      </w:r>
      <w:r w:rsidRPr="0052591D" w:rsidR="000F4D2D">
        <w:rPr>
          <w:bCs/>
        </w:rPr>
        <w:t>o</w:t>
      </w:r>
      <w:r w:rsidR="000F4D2D">
        <w:rPr>
          <w:bCs/>
        </w:rPr>
        <w:t>f</w:t>
      </w:r>
      <w:r w:rsidRPr="0052591D" w:rsidR="000F4D2D">
        <w:rPr>
          <w:bCs/>
        </w:rPr>
        <w:t xml:space="preserve"> </w:t>
      </w:r>
      <w:r w:rsidRPr="0052591D" w:rsidR="008F53FD">
        <w:rPr>
          <w:bCs/>
        </w:rPr>
        <w:t xml:space="preserve">calculating the </w:t>
      </w:r>
      <w:r w:rsidR="006C04B0">
        <w:rPr>
          <w:bCs/>
        </w:rPr>
        <w:t>amount of the FSR</w:t>
      </w:r>
      <w:r w:rsidR="000A193F">
        <w:rPr>
          <w:bCs/>
        </w:rPr>
        <w:t>;</w:t>
      </w:r>
    </w:p>
    <w:p w:rsidR="0052591D" w:rsidP="00F932F1" w:rsidRDefault="008F53FD" w14:paraId="2015C1F9" w14:textId="70F31AC8">
      <w:pPr>
        <w:pStyle w:val="ListParagraph"/>
        <w:numPr>
          <w:ilvl w:val="0"/>
          <w:numId w:val="51"/>
        </w:numPr>
        <w:spacing w:line="276" w:lineRule="auto"/>
        <w:rPr>
          <w:bCs/>
        </w:rPr>
      </w:pPr>
      <w:r w:rsidRPr="0052591D">
        <w:rPr>
          <w:bCs/>
        </w:rPr>
        <w:t>The</w:t>
      </w:r>
      <w:r w:rsidRPr="0052591D" w:rsidR="00396C64">
        <w:rPr>
          <w:bCs/>
        </w:rPr>
        <w:t xml:space="preserve"> </w:t>
      </w:r>
      <w:r w:rsidR="006C04B0">
        <w:rPr>
          <w:bCs/>
        </w:rPr>
        <w:t>FSR</w:t>
      </w:r>
      <w:r w:rsidRPr="0052591D" w:rsidR="00396C64">
        <w:rPr>
          <w:bCs/>
        </w:rPr>
        <w:t xml:space="preserve"> amount is require</w:t>
      </w:r>
      <w:r w:rsidR="006C04B0">
        <w:rPr>
          <w:bCs/>
        </w:rPr>
        <w:t>d</w:t>
      </w:r>
      <w:r w:rsidRPr="0052591D" w:rsidR="00396C64">
        <w:rPr>
          <w:bCs/>
        </w:rPr>
        <w:t xml:space="preserve"> to be updated twice annually </w:t>
      </w:r>
      <w:r w:rsidR="002959C7">
        <w:rPr>
          <w:bCs/>
        </w:rPr>
        <w:t xml:space="preserve">if the change in </w:t>
      </w:r>
      <w:r w:rsidR="00C40A34">
        <w:rPr>
          <w:bCs/>
        </w:rPr>
        <w:t>the calculated amount is</w:t>
      </w:r>
      <w:r w:rsidR="002959C7">
        <w:rPr>
          <w:bCs/>
        </w:rPr>
        <w:t xml:space="preserve"> greater than 10</w:t>
      </w:r>
      <w:r w:rsidR="00B67E13">
        <w:rPr>
          <w:bCs/>
        </w:rPr>
        <w:t xml:space="preserve"> percent</w:t>
      </w:r>
      <w:r w:rsidR="000A193F">
        <w:rPr>
          <w:bCs/>
        </w:rPr>
        <w:t>;</w:t>
      </w:r>
    </w:p>
    <w:p w:rsidR="0052591D" w:rsidP="00F932F1" w:rsidRDefault="00F96B34" w14:paraId="734CE26B" w14:textId="5851CB63">
      <w:pPr>
        <w:pStyle w:val="ListParagraph"/>
        <w:numPr>
          <w:ilvl w:val="0"/>
          <w:numId w:val="51"/>
        </w:numPr>
        <w:spacing w:line="276" w:lineRule="auto"/>
        <w:rPr>
          <w:bCs/>
        </w:rPr>
      </w:pPr>
      <w:bookmarkStart w:name="_Hlk40263425" w:id="3"/>
      <w:r>
        <w:rPr>
          <w:bCs/>
        </w:rPr>
        <w:lastRenderedPageBreak/>
        <w:t xml:space="preserve">If </w:t>
      </w:r>
      <w:r w:rsidR="00B05F10">
        <w:rPr>
          <w:bCs/>
        </w:rPr>
        <w:t>an</w:t>
      </w:r>
      <w:r w:rsidR="00706D4B">
        <w:rPr>
          <w:bCs/>
        </w:rPr>
        <w:t xml:space="preserve"> IOU</w:t>
      </w:r>
      <w:r>
        <w:rPr>
          <w:bCs/>
        </w:rPr>
        <w:t xml:space="preserve"> </w:t>
      </w:r>
      <w:r w:rsidR="00B05F10">
        <w:rPr>
          <w:bCs/>
        </w:rPr>
        <w:t>add</w:t>
      </w:r>
      <w:r w:rsidR="00B74927">
        <w:rPr>
          <w:bCs/>
        </w:rPr>
        <w:t xml:space="preserve">s </w:t>
      </w:r>
      <w:r>
        <w:rPr>
          <w:bCs/>
        </w:rPr>
        <w:t xml:space="preserve">new load due to </w:t>
      </w:r>
      <w:r w:rsidR="000B46D3">
        <w:rPr>
          <w:bCs/>
        </w:rPr>
        <w:t>returned customers</w:t>
      </w:r>
      <w:r w:rsidR="002519B1">
        <w:rPr>
          <w:bCs/>
        </w:rPr>
        <w:t>,</w:t>
      </w:r>
      <w:r w:rsidR="0005597A">
        <w:rPr>
          <w:bCs/>
        </w:rPr>
        <w:t xml:space="preserve"> </w:t>
      </w:r>
      <w:r w:rsidR="002519B1">
        <w:rPr>
          <w:bCs/>
        </w:rPr>
        <w:t>they may benefit from</w:t>
      </w:r>
      <w:r>
        <w:rPr>
          <w:bCs/>
        </w:rPr>
        <w:t xml:space="preserve"> “n</w:t>
      </w:r>
      <w:r w:rsidRPr="0052591D" w:rsidR="008F53FD">
        <w:rPr>
          <w:bCs/>
        </w:rPr>
        <w:t>egative incremental procurement</w:t>
      </w:r>
      <w:r>
        <w:rPr>
          <w:bCs/>
        </w:rPr>
        <w:t xml:space="preserve"> </w:t>
      </w:r>
      <w:r w:rsidR="003B5B8F">
        <w:rPr>
          <w:bCs/>
        </w:rPr>
        <w:t>costs</w:t>
      </w:r>
      <w:r w:rsidR="002519B1">
        <w:rPr>
          <w:bCs/>
        </w:rPr>
        <w:t>.</w:t>
      </w:r>
      <w:r>
        <w:rPr>
          <w:bCs/>
        </w:rPr>
        <w:t xml:space="preserve">” </w:t>
      </w:r>
      <w:r w:rsidR="002519B1">
        <w:rPr>
          <w:bCs/>
        </w:rPr>
        <w:t xml:space="preserve">In this situation, </w:t>
      </w:r>
      <w:r w:rsidR="0005597A">
        <w:rPr>
          <w:bCs/>
        </w:rPr>
        <w:t>a</w:t>
      </w:r>
      <w:r w:rsidR="00B05F10">
        <w:rPr>
          <w:bCs/>
        </w:rPr>
        <w:t xml:space="preserve">ny </w:t>
      </w:r>
      <w:r w:rsidR="000B46D3">
        <w:rPr>
          <w:bCs/>
        </w:rPr>
        <w:t xml:space="preserve">negative procurement costs </w:t>
      </w:r>
      <w:r w:rsidR="00D34FC4">
        <w:rPr>
          <w:bCs/>
        </w:rPr>
        <w:t>are</w:t>
      </w:r>
      <w:r w:rsidR="00B67E13">
        <w:rPr>
          <w:bCs/>
        </w:rPr>
        <w:t xml:space="preserve"> counted to </w:t>
      </w:r>
      <w:r w:rsidRPr="0052591D" w:rsidR="008F53FD">
        <w:rPr>
          <w:bCs/>
        </w:rPr>
        <w:t>offset the FSR</w:t>
      </w:r>
      <w:r w:rsidR="00B74927">
        <w:rPr>
          <w:bCs/>
        </w:rPr>
        <w:t>’</w:t>
      </w:r>
      <w:r w:rsidRPr="0052591D" w:rsidR="008F53FD">
        <w:rPr>
          <w:bCs/>
        </w:rPr>
        <w:t>s administrative cost</w:t>
      </w:r>
      <w:r w:rsidR="000B46D3">
        <w:rPr>
          <w:bCs/>
        </w:rPr>
        <w:t xml:space="preserve"> </w:t>
      </w:r>
      <w:r w:rsidR="00555ABB">
        <w:rPr>
          <w:bCs/>
        </w:rPr>
        <w:t>component of the reentry fees</w:t>
      </w:r>
      <w:r w:rsidR="000A193F">
        <w:rPr>
          <w:bCs/>
        </w:rPr>
        <w:t>;</w:t>
      </w:r>
      <w:r w:rsidR="0005597A">
        <w:rPr>
          <w:rStyle w:val="FootnoteReference"/>
          <w:bCs/>
        </w:rPr>
        <w:footnoteReference w:id="5"/>
      </w:r>
    </w:p>
    <w:bookmarkEnd w:id="3"/>
    <w:p w:rsidR="0052591D" w:rsidP="00F932F1" w:rsidRDefault="0052591D" w14:paraId="55621357" w14:textId="3D554E4F">
      <w:pPr>
        <w:pStyle w:val="ListParagraph"/>
        <w:numPr>
          <w:ilvl w:val="0"/>
          <w:numId w:val="51"/>
        </w:numPr>
        <w:spacing w:line="276" w:lineRule="auto"/>
        <w:rPr>
          <w:bCs/>
        </w:rPr>
      </w:pPr>
      <w:r>
        <w:rPr>
          <w:bCs/>
        </w:rPr>
        <w:t xml:space="preserve">The </w:t>
      </w:r>
      <w:r w:rsidRPr="0052591D" w:rsidR="008F53FD">
        <w:rPr>
          <w:bCs/>
        </w:rPr>
        <w:t xml:space="preserve">minimum FSR amount </w:t>
      </w:r>
      <w:r>
        <w:rPr>
          <w:bCs/>
        </w:rPr>
        <w:t>is set at</w:t>
      </w:r>
      <w:r w:rsidRPr="0052591D" w:rsidR="008F53FD">
        <w:rPr>
          <w:bCs/>
        </w:rPr>
        <w:t xml:space="preserve"> $147,000</w:t>
      </w:r>
      <w:r w:rsidR="000A193F">
        <w:rPr>
          <w:bCs/>
        </w:rPr>
        <w:t>;</w:t>
      </w:r>
      <w:r w:rsidRPr="0052591D" w:rsidR="008F53FD">
        <w:rPr>
          <w:bCs/>
        </w:rPr>
        <w:t xml:space="preserve"> </w:t>
      </w:r>
      <w:r w:rsidRPr="0052591D" w:rsidR="002735CF">
        <w:rPr>
          <w:bCs/>
        </w:rPr>
        <w:t>and</w:t>
      </w:r>
    </w:p>
    <w:p w:rsidR="006C04B0" w:rsidP="00F932F1" w:rsidRDefault="008F53FD" w14:paraId="555E5E66" w14:textId="008A32BC">
      <w:pPr>
        <w:pStyle w:val="ListParagraph"/>
        <w:numPr>
          <w:ilvl w:val="0"/>
          <w:numId w:val="51"/>
        </w:numPr>
        <w:spacing w:line="276" w:lineRule="auto"/>
        <w:rPr>
          <w:bCs/>
        </w:rPr>
      </w:pPr>
      <w:r w:rsidRPr="0052591D">
        <w:rPr>
          <w:bCs/>
        </w:rPr>
        <w:t xml:space="preserve">The use of letters of credit, surety bonds, and cash held by a third-party </w:t>
      </w:r>
      <w:r w:rsidR="002959C7">
        <w:rPr>
          <w:bCs/>
        </w:rPr>
        <w:t xml:space="preserve">will be accepted to satisfy the </w:t>
      </w:r>
      <w:r w:rsidR="006C04B0">
        <w:rPr>
          <w:bCs/>
        </w:rPr>
        <w:t>FSR</w:t>
      </w:r>
      <w:r w:rsidRPr="0052591D">
        <w:rPr>
          <w:bCs/>
        </w:rPr>
        <w:t>.</w:t>
      </w:r>
    </w:p>
    <w:p w:rsidR="00603A3E" w:rsidP="00F932F1" w:rsidRDefault="00603A3E" w14:paraId="3A64145A" w14:textId="6956FE13">
      <w:pPr>
        <w:spacing w:line="276" w:lineRule="auto"/>
        <w:rPr>
          <w:bCs/>
        </w:rPr>
      </w:pPr>
    </w:p>
    <w:p w:rsidRPr="00603A3E" w:rsidR="001C2C05" w:rsidP="00F932F1" w:rsidRDefault="001C2C05" w14:paraId="495E0661" w14:textId="0704872E">
      <w:pPr>
        <w:spacing w:line="276" w:lineRule="auto"/>
        <w:rPr>
          <w:bCs/>
        </w:rPr>
      </w:pPr>
      <w:r>
        <w:rPr>
          <w:bCs/>
        </w:rPr>
        <w:t xml:space="preserve">The </w:t>
      </w:r>
      <w:r w:rsidR="00EC7995">
        <w:rPr>
          <w:bCs/>
        </w:rPr>
        <w:t xml:space="preserve">IOUs added the </w:t>
      </w:r>
      <w:r>
        <w:rPr>
          <w:bCs/>
        </w:rPr>
        <w:t xml:space="preserve">following </w:t>
      </w:r>
      <w:r w:rsidR="00EC7995">
        <w:rPr>
          <w:bCs/>
        </w:rPr>
        <w:t>provisions</w:t>
      </w:r>
      <w:r w:rsidR="0026027D">
        <w:rPr>
          <w:bCs/>
        </w:rPr>
        <w:t xml:space="preserve"> to Rule 23</w:t>
      </w:r>
      <w:r w:rsidR="006C04B0">
        <w:rPr>
          <w:bCs/>
        </w:rPr>
        <w:t xml:space="preserve"> (PG&amp;E and SCE) and Rule 27</w:t>
      </w:r>
      <w:r w:rsidR="0026027D">
        <w:rPr>
          <w:bCs/>
        </w:rPr>
        <w:t xml:space="preserve"> </w:t>
      </w:r>
      <w:r w:rsidR="006C04B0">
        <w:rPr>
          <w:bCs/>
        </w:rPr>
        <w:t xml:space="preserve">(SDG&amp;E) </w:t>
      </w:r>
      <w:r w:rsidR="0026027D">
        <w:rPr>
          <w:bCs/>
        </w:rPr>
        <w:t>that were not directed in D.18-05-022:</w:t>
      </w:r>
    </w:p>
    <w:p w:rsidRPr="00CD6526" w:rsidR="00E340A4" w:rsidP="00F37821" w:rsidRDefault="00E340A4" w14:paraId="3F46E083" w14:textId="05A1EA70">
      <w:pPr>
        <w:pStyle w:val="ListParagraph"/>
        <w:numPr>
          <w:ilvl w:val="0"/>
          <w:numId w:val="54"/>
        </w:numPr>
        <w:spacing w:before="120" w:after="120" w:line="276" w:lineRule="auto"/>
        <w:contextualSpacing w:val="0"/>
        <w:rPr>
          <w:bCs/>
        </w:rPr>
      </w:pPr>
      <w:bookmarkStart w:name="_Hlk42858024" w:id="4"/>
      <w:r w:rsidRPr="00CD6526">
        <w:rPr>
          <w:bCs/>
        </w:rPr>
        <w:t>A CCA shall be subject to reentry f</w:t>
      </w:r>
      <w:r w:rsidRPr="004C40F1">
        <w:rPr>
          <w:bCs/>
        </w:rPr>
        <w:t xml:space="preserve">ees in the event of any involuntary return, which </w:t>
      </w:r>
      <w:r w:rsidRPr="00CD6526" w:rsidR="005C64EE">
        <w:rPr>
          <w:bCs/>
        </w:rPr>
        <w:t xml:space="preserve">can be </w:t>
      </w:r>
      <w:r w:rsidRPr="00CD6526">
        <w:rPr>
          <w:bCs/>
        </w:rPr>
        <w:t>calculated based on the actual administrative and procurement costs of returning customers to IOU service</w:t>
      </w:r>
      <w:r w:rsidRPr="00CD6526" w:rsidR="00BE0083">
        <w:rPr>
          <w:bCs/>
        </w:rPr>
        <w:t>, which may be greater than the calculated FSR amount</w:t>
      </w:r>
      <w:r w:rsidRPr="00CD6526">
        <w:rPr>
          <w:bCs/>
        </w:rPr>
        <w:t>.</w:t>
      </w:r>
    </w:p>
    <w:p w:rsidRPr="00CD6526" w:rsidR="00EB4924" w:rsidP="00EB4924" w:rsidRDefault="00EB4924" w14:paraId="13D0C784" w14:textId="32096B19">
      <w:pPr>
        <w:pStyle w:val="ListParagraph"/>
        <w:numPr>
          <w:ilvl w:val="0"/>
          <w:numId w:val="54"/>
        </w:numPr>
        <w:spacing w:before="120" w:after="120" w:line="276" w:lineRule="auto"/>
        <w:contextualSpacing w:val="0"/>
        <w:rPr>
          <w:bCs/>
        </w:rPr>
      </w:pPr>
      <w:bookmarkStart w:name="_Hlk42868745" w:id="5"/>
      <w:bookmarkEnd w:id="4"/>
      <w:r w:rsidRPr="00CD6526">
        <w:rPr>
          <w:bCs/>
        </w:rPr>
        <w:t xml:space="preserve">To the extent the CCA fails to pay the reentry fees, any reentry fees not recovered from the CCA will be recovered from the involuntarily returned CCA customers. </w:t>
      </w:r>
    </w:p>
    <w:bookmarkEnd w:id="5"/>
    <w:p w:rsidRPr="00CD6526" w:rsidR="00EB4924" w:rsidP="00EB4924" w:rsidRDefault="00495BE8" w14:paraId="2F8D422D" w14:textId="73A3B2FB">
      <w:pPr>
        <w:pStyle w:val="ListParagraph"/>
        <w:numPr>
          <w:ilvl w:val="0"/>
          <w:numId w:val="54"/>
        </w:numPr>
        <w:spacing w:before="120" w:after="120" w:line="276" w:lineRule="auto"/>
        <w:contextualSpacing w:val="0"/>
        <w:rPr>
          <w:bCs/>
        </w:rPr>
      </w:pPr>
      <w:r w:rsidRPr="00CD6526">
        <w:rPr>
          <w:bCs/>
        </w:rPr>
        <w:t>DA eligible customers</w:t>
      </w:r>
      <w:r w:rsidRPr="00CD6526" w:rsidDel="00495BE8">
        <w:rPr>
          <w:bCs/>
        </w:rPr>
        <w:t xml:space="preserve"> </w:t>
      </w:r>
      <w:r w:rsidRPr="00CD6526">
        <w:rPr>
          <w:bCs/>
        </w:rPr>
        <w:t>enrolled in</w:t>
      </w:r>
      <w:r w:rsidRPr="00CD6526" w:rsidR="00EB4924">
        <w:rPr>
          <w:bCs/>
        </w:rPr>
        <w:t xml:space="preserve"> </w:t>
      </w:r>
      <w:r w:rsidRPr="00CD6526">
        <w:rPr>
          <w:bCs/>
        </w:rPr>
        <w:t xml:space="preserve">CCA service </w:t>
      </w:r>
      <w:r w:rsidRPr="00CD6526" w:rsidR="002772BA">
        <w:rPr>
          <w:bCs/>
        </w:rPr>
        <w:t>must return to the IOU</w:t>
      </w:r>
      <w:r w:rsidRPr="00CD6526" w:rsidR="00EB4924">
        <w:rPr>
          <w:bCs/>
        </w:rPr>
        <w:t xml:space="preserve"> in the event of an involuntary return</w:t>
      </w:r>
      <w:r w:rsidRPr="00CD6526" w:rsidR="002772BA">
        <w:rPr>
          <w:bCs/>
        </w:rPr>
        <w:t xml:space="preserve"> </w:t>
      </w:r>
      <w:r w:rsidRPr="00CD6526">
        <w:rPr>
          <w:bCs/>
        </w:rPr>
        <w:t>before switching to DA service</w:t>
      </w:r>
      <w:r w:rsidRPr="00CD6526" w:rsidR="00EB4924">
        <w:rPr>
          <w:bCs/>
        </w:rPr>
        <w:t>.</w:t>
      </w:r>
      <w:r w:rsidRPr="00CD6526" w:rsidR="002772BA">
        <w:rPr>
          <w:rStyle w:val="FootnoteReference"/>
          <w:bCs/>
        </w:rPr>
        <w:footnoteReference w:id="6"/>
      </w:r>
      <w:r w:rsidRPr="00CD6526" w:rsidR="00EB4924">
        <w:rPr>
          <w:bCs/>
        </w:rPr>
        <w:t xml:space="preserve"> </w:t>
      </w:r>
    </w:p>
    <w:p w:rsidRPr="00CD6526" w:rsidR="00EB4924" w:rsidP="00EB4924" w:rsidRDefault="00EB4924" w14:paraId="528F1485" w14:textId="030F8660">
      <w:pPr>
        <w:pStyle w:val="ListParagraph"/>
        <w:numPr>
          <w:ilvl w:val="0"/>
          <w:numId w:val="54"/>
        </w:numPr>
        <w:spacing w:before="120" w:after="120" w:line="276" w:lineRule="auto"/>
        <w:contextualSpacing w:val="0"/>
        <w:rPr>
          <w:bCs/>
        </w:rPr>
      </w:pPr>
      <w:r w:rsidRPr="00CD6526">
        <w:rPr>
          <w:bCs/>
        </w:rPr>
        <w:t>The definition of CCA customers</w:t>
      </w:r>
      <w:r w:rsidR="00B74927">
        <w:rPr>
          <w:bCs/>
        </w:rPr>
        <w:t>’</w:t>
      </w:r>
      <w:r w:rsidRPr="00CD6526">
        <w:rPr>
          <w:bCs/>
        </w:rPr>
        <w:t xml:space="preserve"> Involuntary Return is revised to be consistent with the definition set in SCE’s Rule 24 for ESPs, listing the conditions under which CCA customers may be involuntarily returned to IOU service</w:t>
      </w:r>
      <w:r w:rsidRPr="00CD6526" w:rsidR="001A1F25">
        <w:rPr>
          <w:bCs/>
        </w:rPr>
        <w:t>.</w:t>
      </w:r>
    </w:p>
    <w:p w:rsidRPr="00CD6526" w:rsidR="00EB4924" w:rsidP="001A6B96" w:rsidRDefault="00EB4924" w14:paraId="15A72D25" w14:textId="5585CF6B">
      <w:pPr>
        <w:pStyle w:val="ListParagraph"/>
        <w:numPr>
          <w:ilvl w:val="0"/>
          <w:numId w:val="54"/>
        </w:numPr>
        <w:spacing w:before="120" w:after="120" w:line="276" w:lineRule="auto"/>
        <w:contextualSpacing w:val="0"/>
        <w:rPr>
          <w:bCs/>
        </w:rPr>
      </w:pPr>
      <w:r w:rsidRPr="00CD6526">
        <w:rPr>
          <w:bCs/>
        </w:rPr>
        <w:t xml:space="preserve">The terms of the financial security instrument must be deemed satisfactory by the IOU and include a satisfactory rating of the issuer of the financial security </w:t>
      </w:r>
      <w:r w:rsidRPr="00CD6526">
        <w:rPr>
          <w:bCs/>
        </w:rPr>
        <w:lastRenderedPageBreak/>
        <w:t xml:space="preserve">instrument based on a list of criteria. </w:t>
      </w:r>
      <w:r w:rsidR="006F54F6">
        <w:rPr>
          <w:bCs/>
        </w:rPr>
        <w:t xml:space="preserve"> </w:t>
      </w:r>
      <w:r w:rsidRPr="00CD6526">
        <w:rPr>
          <w:bCs/>
        </w:rPr>
        <w:t>If the issuer of a security deposit fails to meet the criteria, the CCA must replace the security deposit with one that meets the listed requirements within ten business days.</w:t>
      </w:r>
    </w:p>
    <w:p w:rsidRPr="00CD6526" w:rsidR="00333079" w:rsidP="001A6B96" w:rsidRDefault="006F43CF" w14:paraId="2385B911" w14:textId="042A2D72">
      <w:pPr>
        <w:pStyle w:val="ListParagraph"/>
        <w:numPr>
          <w:ilvl w:val="0"/>
          <w:numId w:val="54"/>
        </w:numPr>
        <w:spacing w:before="120" w:after="120" w:line="276" w:lineRule="auto"/>
        <w:contextualSpacing w:val="0"/>
        <w:rPr>
          <w:bCs/>
        </w:rPr>
      </w:pPr>
      <w:bookmarkStart w:name="_Hlk42869119" w:id="6"/>
      <w:r w:rsidRPr="00CD6526">
        <w:rPr>
          <w:bCs/>
        </w:rPr>
        <w:t>The IOU has the right to withhold customer payments to the CCA for</w:t>
      </w:r>
      <w:r w:rsidRPr="00CD6526">
        <w:t xml:space="preserve"> </w:t>
      </w:r>
      <w:r w:rsidRPr="00CD6526">
        <w:rPr>
          <w:bCs/>
        </w:rPr>
        <w:t>any unpaid costs to the IOU, including reentry fees demanded of the CCA.</w:t>
      </w:r>
    </w:p>
    <w:p w:rsidRPr="00CD6526" w:rsidR="00EB4924" w:rsidP="001A6B96" w:rsidRDefault="00EB4924" w14:paraId="5826B7C4" w14:textId="77777777">
      <w:pPr>
        <w:pStyle w:val="ListParagraph"/>
        <w:numPr>
          <w:ilvl w:val="0"/>
          <w:numId w:val="54"/>
        </w:numPr>
        <w:spacing w:before="120" w:after="120" w:line="276" w:lineRule="auto"/>
        <w:contextualSpacing w:val="0"/>
        <w:rPr>
          <w:bCs/>
        </w:rPr>
      </w:pPr>
      <w:bookmarkStart w:name="_Hlk42858208" w:id="7"/>
      <w:r w:rsidRPr="00CD6526">
        <w:rPr>
          <w:bCs/>
        </w:rPr>
        <w:t xml:space="preserve">If a CCA fails to post its financial security instrument within the stated deadline, the IOU may terminate CCA service. </w:t>
      </w:r>
    </w:p>
    <w:bookmarkEnd w:id="6"/>
    <w:bookmarkEnd w:id="7"/>
    <w:p w:rsidRPr="00A20942" w:rsidR="00A20942" w:rsidP="007E523D" w:rsidRDefault="00A20942" w14:paraId="0414E2BB" w14:textId="1F4659BD">
      <w:pPr>
        <w:pStyle w:val="ListParagraph"/>
        <w:numPr>
          <w:ilvl w:val="0"/>
          <w:numId w:val="54"/>
        </w:numPr>
        <w:spacing w:before="120" w:after="120" w:line="276" w:lineRule="auto"/>
        <w:contextualSpacing w:val="0"/>
      </w:pPr>
      <w:r w:rsidRPr="00CD6526">
        <w:t>A cash deposit provided</w:t>
      </w:r>
      <w:r w:rsidRPr="00C170FC">
        <w:t xml:space="preserve"> directly to </w:t>
      </w:r>
      <w:r w:rsidR="00C6100C">
        <w:t xml:space="preserve">the </w:t>
      </w:r>
      <w:r w:rsidR="00E351B5">
        <w:t>IOU</w:t>
      </w:r>
      <w:r w:rsidRPr="00C170FC">
        <w:t xml:space="preserve"> with interest pai</w:t>
      </w:r>
      <w:r>
        <w:t xml:space="preserve">d may serve </w:t>
      </w:r>
      <w:r w:rsidR="00AF3C7C">
        <w:t xml:space="preserve">as a form of </w:t>
      </w:r>
      <w:r>
        <w:t>in lieu of the financial security instruments</w:t>
      </w:r>
      <w:r w:rsidR="009316D1">
        <w:t xml:space="preserve"> authorized by D.18-05-022</w:t>
      </w:r>
      <w:r w:rsidR="001A1F25">
        <w:t>.</w:t>
      </w:r>
    </w:p>
    <w:p w:rsidRPr="00761287" w:rsidR="00EB4924" w:rsidP="00761287" w:rsidRDefault="00EB4924" w14:paraId="3C0556D5" w14:textId="48BE6DC3">
      <w:pPr>
        <w:pStyle w:val="ListParagraph"/>
        <w:numPr>
          <w:ilvl w:val="0"/>
          <w:numId w:val="54"/>
        </w:numPr>
        <w:spacing w:line="276" w:lineRule="auto"/>
        <w:rPr>
          <w:strike/>
          <w:color w:val="FF0000"/>
        </w:rPr>
      </w:pPr>
      <w:r w:rsidRPr="00761287">
        <w:rPr>
          <w:strike/>
          <w:color w:val="FF0000"/>
        </w:rPr>
        <w:t xml:space="preserve">The period for which the IOUs must collect procurement costs adds an additional </w:t>
      </w:r>
      <w:r w:rsidRPr="00761287" w:rsidR="00F0470B">
        <w:rPr>
          <w:strike/>
          <w:color w:val="FF0000"/>
        </w:rPr>
        <w:t xml:space="preserve">two </w:t>
      </w:r>
      <w:r w:rsidRPr="00761287">
        <w:rPr>
          <w:strike/>
          <w:color w:val="FF0000"/>
        </w:rPr>
        <w:t>months to calculate and</w:t>
      </w:r>
      <w:r w:rsidRPr="00761287" w:rsidR="00ED5334">
        <w:rPr>
          <w:strike/>
          <w:color w:val="FF0000"/>
        </w:rPr>
        <w:t xml:space="preserve"> collect </w:t>
      </w:r>
      <w:r w:rsidRPr="00761287">
        <w:rPr>
          <w:strike/>
          <w:color w:val="FF0000"/>
        </w:rPr>
        <w:t>the reentry fees</w:t>
      </w:r>
      <w:r w:rsidRPr="00761287" w:rsidR="001A1F25">
        <w:rPr>
          <w:strike/>
          <w:color w:val="FF0000"/>
        </w:rPr>
        <w:t>.</w:t>
      </w:r>
      <w:r w:rsidRPr="00761287">
        <w:rPr>
          <w:strike/>
          <w:color w:val="FF0000"/>
        </w:rPr>
        <w:t xml:space="preserve"> </w:t>
      </w:r>
    </w:p>
    <w:p w:rsidR="00BE0083" w:rsidP="00E351B5" w:rsidRDefault="00333079" w14:paraId="2D4BBDD6" w14:textId="77777777">
      <w:pPr>
        <w:pStyle w:val="ListParagraph"/>
        <w:numPr>
          <w:ilvl w:val="0"/>
          <w:numId w:val="54"/>
        </w:numPr>
        <w:spacing w:before="120" w:after="120" w:line="276" w:lineRule="auto"/>
        <w:contextualSpacing w:val="0"/>
        <w:rPr>
          <w:bCs/>
        </w:rPr>
      </w:pPr>
      <w:r w:rsidRPr="00706928">
        <w:rPr>
          <w:bCs/>
        </w:rPr>
        <w:t>The CCA must replace their financial security instrument if any conditions make the issuer unable to meet the obligations of the financial security requirements</w:t>
      </w:r>
      <w:r w:rsidR="00E351B5">
        <w:rPr>
          <w:bCs/>
        </w:rPr>
        <w:t>.</w:t>
      </w:r>
    </w:p>
    <w:p w:rsidR="00E351B5" w:rsidP="00E351B5" w:rsidRDefault="00E351B5" w14:paraId="428A318C" w14:textId="77777777">
      <w:pPr>
        <w:spacing w:before="120" w:after="120" w:line="276" w:lineRule="auto"/>
        <w:rPr>
          <w:bCs/>
        </w:rPr>
      </w:pPr>
    </w:p>
    <w:p w:rsidRPr="00E351B5" w:rsidR="00E351B5" w:rsidP="00E351B5" w:rsidRDefault="00E351B5" w14:paraId="462CA926" w14:textId="6D572097">
      <w:pPr>
        <w:spacing w:before="120" w:after="120" w:line="276" w:lineRule="auto"/>
        <w:rPr>
          <w:bCs/>
        </w:rPr>
        <w:sectPr w:rsidRPr="00E351B5" w:rsidR="00E351B5">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pPr>
    </w:p>
    <w:p w:rsidRPr="00C52014" w:rsidR="00CF17DE" w:rsidP="00F932F1" w:rsidRDefault="00394B3A" w14:paraId="66788129" w14:textId="2BD930AA">
      <w:pPr>
        <w:pStyle w:val="Heading1"/>
        <w:spacing w:line="276" w:lineRule="auto"/>
      </w:pPr>
      <w:r w:rsidRPr="00C52014">
        <w:t>Notice</w:t>
      </w:r>
    </w:p>
    <w:p w:rsidRPr="00C52014" w:rsidR="00CF17DE" w:rsidP="00F932F1" w:rsidRDefault="00CF17DE" w14:paraId="37FFE207" w14:textId="52DAB1CF">
      <w:pPr>
        <w:spacing w:line="276" w:lineRule="auto"/>
      </w:pPr>
      <w:r w:rsidRPr="00C52014">
        <w:t>Notice of AL</w:t>
      </w:r>
      <w:r w:rsidRPr="00C52014" w:rsidR="00B57CAA">
        <w:t xml:space="preserve">s </w:t>
      </w:r>
      <w:r w:rsidRPr="00C52014" w:rsidR="00D72EBE">
        <w:t>5354-E, 3840-E, 3257-E</w:t>
      </w:r>
      <w:r w:rsidRPr="00C52014" w:rsidDel="00D72EBE" w:rsidR="00D72EBE">
        <w:t xml:space="preserve"> </w:t>
      </w:r>
      <w:r w:rsidRPr="00C52014">
        <w:t xml:space="preserve">was made by publication in the </w:t>
      </w:r>
      <w:r w:rsidRPr="00C52014" w:rsidR="004771D0">
        <w:t>CPUC</w:t>
      </w:r>
      <w:r w:rsidRPr="00C52014">
        <w:t xml:space="preserve">’s Daily Calendar. </w:t>
      </w:r>
      <w:r w:rsidR="00B9313E">
        <w:t xml:space="preserve"> </w:t>
      </w:r>
      <w:r w:rsidRPr="00C52014" w:rsidR="00A35442">
        <w:t>P</w:t>
      </w:r>
      <w:r w:rsidR="00172E40">
        <w:t>G&amp;E, SCE</w:t>
      </w:r>
      <w:r w:rsidR="00B74927">
        <w:t>,</w:t>
      </w:r>
      <w:r w:rsidR="00172E40">
        <w:t xml:space="preserve"> and SDG&amp;E all</w:t>
      </w:r>
      <w:r w:rsidRPr="00C52014">
        <w:t xml:space="preserve"> state that a copy of </w:t>
      </w:r>
      <w:r w:rsidR="00172E40">
        <w:t>each</w:t>
      </w:r>
      <w:r w:rsidRPr="00C52014" w:rsidR="00172E40">
        <w:t xml:space="preserve"> </w:t>
      </w:r>
      <w:r w:rsidRPr="00C52014">
        <w:t>Advice Letter was mailed and distributed in accordance with Sec</w:t>
      </w:r>
      <w:r w:rsidRPr="00C52014" w:rsidR="00A1526C">
        <w:t xml:space="preserve">tion </w:t>
      </w:r>
      <w:r w:rsidRPr="00C52014" w:rsidR="0069631C">
        <w:t>4</w:t>
      </w:r>
      <w:r w:rsidRPr="00C52014" w:rsidR="00E928CF">
        <w:t xml:space="preserve"> of General Order 96-B</w:t>
      </w:r>
      <w:r w:rsidRPr="00C52014">
        <w:t>.</w:t>
      </w:r>
    </w:p>
    <w:p w:rsidRPr="00C52014" w:rsidR="00CF17DE" w:rsidP="00F932F1" w:rsidRDefault="00CF17DE" w14:paraId="6E8F021A" w14:textId="77777777">
      <w:pPr>
        <w:spacing w:line="276" w:lineRule="auto"/>
      </w:pPr>
    </w:p>
    <w:p w:rsidRPr="00C52014" w:rsidR="00CF17DE" w:rsidP="00F932F1" w:rsidRDefault="00260296" w14:paraId="7F509E4C" w14:textId="7BB4B400">
      <w:pPr>
        <w:pStyle w:val="Heading1"/>
        <w:spacing w:line="276" w:lineRule="auto"/>
      </w:pPr>
      <w:r>
        <w:t xml:space="preserve">Protests and </w:t>
      </w:r>
      <w:r w:rsidRPr="00C52014" w:rsidR="00AA7D22">
        <w:t>Discussio</w:t>
      </w:r>
      <w:r w:rsidRPr="00C52014" w:rsidR="00B52ACF">
        <w:t>n</w:t>
      </w:r>
    </w:p>
    <w:p w:rsidRPr="00C52014" w:rsidR="00E74EDE" w:rsidP="00F932F1" w:rsidRDefault="00956CEA" w14:paraId="4CA55302" w14:textId="6621F2D8">
      <w:pPr>
        <w:spacing w:line="276" w:lineRule="auto"/>
      </w:pPr>
      <w:r w:rsidRPr="00C52014">
        <w:t>PG&amp;E</w:t>
      </w:r>
      <w:r w:rsidRPr="00C52014" w:rsidR="004E08D9">
        <w:t>’s</w:t>
      </w:r>
      <w:r w:rsidRPr="00C52014" w:rsidR="00E74EDE">
        <w:t xml:space="preserve"> </w:t>
      </w:r>
      <w:r w:rsidRPr="00C52014" w:rsidR="004E08D9">
        <w:t xml:space="preserve">AL </w:t>
      </w:r>
      <w:r w:rsidRPr="00C52014" w:rsidR="00E74EDE">
        <w:t>5354-E,</w:t>
      </w:r>
      <w:r w:rsidRPr="00C52014" w:rsidR="004E08D9">
        <w:t xml:space="preserve"> SCE’s</w:t>
      </w:r>
      <w:r w:rsidRPr="00C52014" w:rsidR="00E74EDE">
        <w:t xml:space="preserve"> </w:t>
      </w:r>
      <w:r w:rsidRPr="00C52014" w:rsidR="004E08D9">
        <w:t xml:space="preserve">AL </w:t>
      </w:r>
      <w:r w:rsidRPr="00C52014" w:rsidR="00E74EDE">
        <w:t xml:space="preserve">3840-E, and </w:t>
      </w:r>
      <w:r w:rsidRPr="00C52014" w:rsidR="004E08D9">
        <w:t xml:space="preserve">SDG&amp;E’s AL </w:t>
      </w:r>
      <w:r w:rsidRPr="00C52014" w:rsidR="00E74EDE">
        <w:t>3257-E</w:t>
      </w:r>
      <w:r w:rsidRPr="00C52014" w:rsidR="00CF7173">
        <w:t xml:space="preserve"> </w:t>
      </w:r>
      <w:r w:rsidRPr="00C52014">
        <w:t xml:space="preserve">were timely protested by </w:t>
      </w:r>
      <w:r w:rsidRPr="00C52014" w:rsidR="000F34A6">
        <w:t>California Community Choice Association (CalCCA)</w:t>
      </w:r>
      <w:r w:rsidRPr="00C52014" w:rsidR="003025BC">
        <w:t>,</w:t>
      </w:r>
      <w:r w:rsidRPr="00C52014" w:rsidR="00A13A58">
        <w:t xml:space="preserve"> </w:t>
      </w:r>
      <w:r w:rsidRPr="00C52014" w:rsidR="004C5C23">
        <w:t xml:space="preserve">PG&amp;E’s AL 5354-E </w:t>
      </w:r>
      <w:r w:rsidRPr="00C52014" w:rsidR="00DC0F72">
        <w:t>was</w:t>
      </w:r>
      <w:r w:rsidR="00E82D58">
        <w:t xml:space="preserve"> also </w:t>
      </w:r>
      <w:r w:rsidRPr="00C52014" w:rsidR="00DC0F72">
        <w:t xml:space="preserve">timely protested by </w:t>
      </w:r>
      <w:r w:rsidRPr="00C52014" w:rsidR="004C5C23">
        <w:t xml:space="preserve">Alliance for Retail Energy Markets </w:t>
      </w:r>
      <w:r w:rsidRPr="00C52014" w:rsidR="00F10C28">
        <w:t>(AReM)</w:t>
      </w:r>
      <w:r w:rsidR="00E82D58">
        <w:t>,</w:t>
      </w:r>
      <w:r w:rsidRPr="00C52014" w:rsidR="00F10C28">
        <w:t xml:space="preserve"> </w:t>
      </w:r>
      <w:r w:rsidRPr="00C52014" w:rsidR="00DC0F72">
        <w:t>and SDG&amp;E’s AL 3257-E</w:t>
      </w:r>
      <w:r w:rsidRPr="00C52014" w:rsidR="00B84B77">
        <w:t xml:space="preserve"> was protested by </w:t>
      </w:r>
      <w:r w:rsidRPr="00C52014" w:rsidR="00251D9B">
        <w:t>Solana Energy Alliance (SEA).</w:t>
      </w:r>
    </w:p>
    <w:p w:rsidRPr="00C52014" w:rsidR="001C1CA8" w:rsidP="00F932F1" w:rsidRDefault="001C1CA8" w14:paraId="3EC49A18" w14:textId="5DB7E952">
      <w:pPr>
        <w:spacing w:line="276" w:lineRule="auto"/>
      </w:pPr>
    </w:p>
    <w:p w:rsidRPr="00C52014" w:rsidR="008628AF" w:rsidP="00F932F1" w:rsidRDefault="00301316" w14:paraId="737ED477" w14:textId="2AE423CC">
      <w:pPr>
        <w:spacing w:line="276" w:lineRule="auto"/>
      </w:pPr>
      <w:r w:rsidRPr="00C52014">
        <w:t xml:space="preserve">SCE </w:t>
      </w:r>
      <w:r w:rsidR="00A341D7">
        <w:t>provided replies</w:t>
      </w:r>
      <w:r w:rsidRPr="00C52014" w:rsidR="00F03E24">
        <w:t xml:space="preserve"> to the protest of</w:t>
      </w:r>
      <w:r w:rsidRPr="00C52014" w:rsidR="00DC5C47">
        <w:t xml:space="preserve"> CalCCA</w:t>
      </w:r>
      <w:r w:rsidRPr="00C52014" w:rsidR="00B361ED">
        <w:t xml:space="preserve"> on behalf of </w:t>
      </w:r>
      <w:r w:rsidRPr="00C52014" w:rsidR="00FD1C37">
        <w:t xml:space="preserve">PG&amp;E, SDG&amp;E, and itself (collectively, </w:t>
      </w:r>
      <w:r w:rsidRPr="00C52014" w:rsidR="00B361ED">
        <w:t>the</w:t>
      </w:r>
      <w:r w:rsidRPr="00C52014" w:rsidR="00FD1C37">
        <w:t xml:space="preserve"> Joint Utilities)</w:t>
      </w:r>
      <w:r w:rsidRPr="00C52014" w:rsidR="00C70EA0">
        <w:t xml:space="preserve"> on September 11, 2018.</w:t>
      </w:r>
      <w:r w:rsidRPr="00C52014" w:rsidR="003025BC">
        <w:t xml:space="preserve"> </w:t>
      </w:r>
      <w:r w:rsidR="00B9313E">
        <w:t xml:space="preserve"> </w:t>
      </w:r>
      <w:r w:rsidRPr="00C52014" w:rsidR="003025BC">
        <w:t>Additionally,</w:t>
      </w:r>
      <w:r w:rsidRPr="00C52014" w:rsidR="00C70EA0">
        <w:t xml:space="preserve"> PG&amp;E</w:t>
      </w:r>
      <w:r w:rsidRPr="00C52014" w:rsidR="00FC4738">
        <w:t xml:space="preserve"> </w:t>
      </w:r>
      <w:r w:rsidRPr="00C52014" w:rsidR="00FC4738">
        <w:lastRenderedPageBreak/>
        <w:t>responded to the Protest</w:t>
      </w:r>
      <w:r w:rsidRPr="00C52014" w:rsidR="009707DC">
        <w:t xml:space="preserve"> of AReM</w:t>
      </w:r>
      <w:r w:rsidR="00B74927">
        <w:t>,</w:t>
      </w:r>
      <w:r w:rsidRPr="00C52014" w:rsidR="00871C53">
        <w:t xml:space="preserve"> and SDG&amp;E responded to </w:t>
      </w:r>
      <w:r w:rsidRPr="00C52014" w:rsidR="00196936">
        <w:t>the protests of SEA</w:t>
      </w:r>
      <w:r w:rsidRPr="00C52014" w:rsidR="00FD1C37">
        <w:t>,</w:t>
      </w:r>
      <w:r w:rsidRPr="00C52014" w:rsidR="00196936">
        <w:t xml:space="preserve"> </w:t>
      </w:r>
      <w:r w:rsidRPr="00C52014" w:rsidR="00FD1C37">
        <w:t xml:space="preserve">both </w:t>
      </w:r>
      <w:r w:rsidRPr="00C52014" w:rsidR="007128BC">
        <w:t>on September 11, 2018.</w:t>
      </w:r>
    </w:p>
    <w:p w:rsidR="00AA69A8" w:rsidP="00F932F1" w:rsidRDefault="00AA69A8" w14:paraId="69B146C0" w14:textId="449193DB">
      <w:pPr>
        <w:autoSpaceDE w:val="0"/>
        <w:autoSpaceDN w:val="0"/>
        <w:adjustRightInd w:val="0"/>
        <w:spacing w:after="60" w:line="276" w:lineRule="auto"/>
        <w:rPr>
          <w:b/>
          <w:bCs/>
        </w:rPr>
      </w:pPr>
    </w:p>
    <w:p w:rsidRPr="006E18D3" w:rsidR="00AA54B1" w:rsidP="00F932F1" w:rsidRDefault="00AA54B1" w14:paraId="3F36413C" w14:textId="11BD033E">
      <w:pPr>
        <w:pStyle w:val="ListParagraph"/>
        <w:numPr>
          <w:ilvl w:val="0"/>
          <w:numId w:val="49"/>
        </w:numPr>
        <w:autoSpaceDE w:val="0"/>
        <w:autoSpaceDN w:val="0"/>
        <w:adjustRightInd w:val="0"/>
        <w:spacing w:after="60" w:line="276" w:lineRule="auto"/>
        <w:rPr>
          <w:b/>
          <w:bCs/>
          <w:sz w:val="28"/>
          <w:szCs w:val="22"/>
          <w:u w:val="single"/>
        </w:rPr>
      </w:pPr>
      <w:r w:rsidRPr="006E18D3">
        <w:rPr>
          <w:b/>
          <w:bCs/>
          <w:sz w:val="28"/>
          <w:szCs w:val="22"/>
          <w:u w:val="single"/>
        </w:rPr>
        <w:t xml:space="preserve">Collection of </w:t>
      </w:r>
      <w:r>
        <w:rPr>
          <w:b/>
          <w:bCs/>
          <w:sz w:val="28"/>
          <w:szCs w:val="22"/>
          <w:u w:val="single"/>
        </w:rPr>
        <w:t xml:space="preserve">Reentry Fees in </w:t>
      </w:r>
      <w:r w:rsidR="00C6100C">
        <w:rPr>
          <w:b/>
          <w:bCs/>
          <w:sz w:val="28"/>
          <w:szCs w:val="22"/>
          <w:u w:val="single"/>
        </w:rPr>
        <w:t xml:space="preserve">the </w:t>
      </w:r>
      <w:r>
        <w:rPr>
          <w:b/>
          <w:bCs/>
          <w:sz w:val="28"/>
          <w:szCs w:val="22"/>
          <w:u w:val="single"/>
        </w:rPr>
        <w:t>Event of Involuntary Return</w:t>
      </w:r>
      <w:r w:rsidRPr="006E18D3">
        <w:rPr>
          <w:b/>
          <w:bCs/>
          <w:sz w:val="28"/>
          <w:szCs w:val="22"/>
          <w:u w:val="single"/>
        </w:rPr>
        <w:t xml:space="preserve"> </w:t>
      </w:r>
    </w:p>
    <w:p w:rsidR="00AA54B1" w:rsidP="00F932F1" w:rsidRDefault="00AA54B1" w14:paraId="1F717803" w14:textId="77777777">
      <w:pPr>
        <w:autoSpaceDE w:val="0"/>
        <w:autoSpaceDN w:val="0"/>
        <w:adjustRightInd w:val="0"/>
        <w:spacing w:line="276" w:lineRule="auto"/>
      </w:pPr>
      <w:r w:rsidRPr="00C52014">
        <w:t>CalCCA protested the proposed collection of reentry fees in the IOU Advice Letters’ proposed modifications.</w:t>
      </w:r>
    </w:p>
    <w:p w:rsidRPr="00C52014" w:rsidR="00AA54B1" w:rsidP="00F932F1" w:rsidRDefault="00AA54B1" w14:paraId="5F15BD11" w14:textId="77777777">
      <w:pPr>
        <w:autoSpaceDE w:val="0"/>
        <w:autoSpaceDN w:val="0"/>
        <w:adjustRightInd w:val="0"/>
        <w:spacing w:line="276" w:lineRule="auto"/>
      </w:pPr>
    </w:p>
    <w:p w:rsidRPr="00C52014" w:rsidR="00AA54B1" w:rsidP="00F932F1" w:rsidRDefault="00AA54B1" w14:paraId="600314EF" w14:textId="0D3E1B89">
      <w:pPr>
        <w:pStyle w:val="ListParagraph"/>
        <w:autoSpaceDE w:val="0"/>
        <w:autoSpaceDN w:val="0"/>
        <w:adjustRightInd w:val="0"/>
        <w:spacing w:after="60" w:line="276" w:lineRule="auto"/>
        <w:ind w:left="0"/>
      </w:pPr>
      <w:r w:rsidRPr="00C52014">
        <w:t xml:space="preserve">CalCCA argues </w:t>
      </w:r>
      <w:r>
        <w:t xml:space="preserve">that </w:t>
      </w:r>
      <w:r w:rsidRPr="00C52014">
        <w:t>Section 394.25(e)</w:t>
      </w:r>
      <w:r>
        <w:t xml:space="preserve"> does not permit </w:t>
      </w:r>
      <w:r w:rsidRPr="00C52014">
        <w:t>reentry fees</w:t>
      </w:r>
      <w:r>
        <w:t xml:space="preserve"> to be collected</w:t>
      </w:r>
      <w:r w:rsidRPr="00C52014">
        <w:t xml:space="preserve"> from returned customers</w:t>
      </w:r>
      <w:r>
        <w:t xml:space="preserve"> if</w:t>
      </w:r>
      <w:r w:rsidRPr="00C52014">
        <w:t xml:space="preserve"> the </w:t>
      </w:r>
      <w:r>
        <w:t xml:space="preserve">reentry </w:t>
      </w:r>
      <w:r w:rsidRPr="00C52014">
        <w:t>fees exceed the amount of the FSR and CCA’s ability to pay</w:t>
      </w:r>
      <w:r>
        <w:t>.</w:t>
      </w:r>
      <w:r w:rsidRPr="00C52014">
        <w:t xml:space="preserve"> </w:t>
      </w:r>
      <w:r w:rsidR="00B9313E">
        <w:t xml:space="preserve"> </w:t>
      </w:r>
      <w:r w:rsidRPr="00C52014">
        <w:t xml:space="preserve">CalCCA states that legislation </w:t>
      </w:r>
      <w:r>
        <w:t>only requires</w:t>
      </w:r>
      <w:r w:rsidRPr="00C52014">
        <w:t xml:space="preserve"> reentry fees </w:t>
      </w:r>
      <w:r>
        <w:t>to</w:t>
      </w:r>
      <w:r w:rsidRPr="00C52014">
        <w:t xml:space="preserve"> be allocated to returning customers of Electric Service Providers</w:t>
      </w:r>
      <w:r w:rsidR="00845625">
        <w:t xml:space="preserve"> and</w:t>
      </w:r>
      <w:r w:rsidRPr="00C52014">
        <w:t xml:space="preserve"> that the CPUC has determined that the posting of an FSR fully covers all reentry fees</w:t>
      </w:r>
      <w:r>
        <w:t>.</w:t>
      </w:r>
      <w:r w:rsidRPr="00C52014">
        <w:t xml:space="preserve"> CalCCA concludes that involuntarily returned CCA customers are absolved of any cost-responsibility, a</w:t>
      </w:r>
      <w:r>
        <w:t>nd</w:t>
      </w:r>
      <w:r w:rsidRPr="00C52014">
        <w:t xml:space="preserve"> the proposed language would foster customer confusion and potentially anticompetitive effects among actual and prospective CCA customers.</w:t>
      </w:r>
    </w:p>
    <w:p w:rsidRPr="00C52014" w:rsidR="00AA54B1" w:rsidP="00F932F1" w:rsidRDefault="00AA54B1" w14:paraId="7146F3E8" w14:textId="77777777">
      <w:pPr>
        <w:spacing w:line="276" w:lineRule="auto"/>
      </w:pPr>
    </w:p>
    <w:p w:rsidRPr="00C52014" w:rsidR="00AA54B1" w:rsidP="00F932F1" w:rsidRDefault="00AA54B1" w14:paraId="4A07F860" w14:textId="77777777">
      <w:pPr>
        <w:spacing w:line="276" w:lineRule="auto"/>
        <w:rPr>
          <w:b/>
          <w:bCs/>
        </w:rPr>
      </w:pPr>
      <w:r w:rsidRPr="00C52014">
        <w:rPr>
          <w:b/>
          <w:bCs/>
        </w:rPr>
        <w:t>Reply</w:t>
      </w:r>
    </w:p>
    <w:p w:rsidRPr="00C52014" w:rsidR="00AA54B1" w:rsidP="00F932F1" w:rsidRDefault="00AA54B1" w14:paraId="2ED066B3" w14:textId="22B302C1">
      <w:pPr>
        <w:spacing w:line="276" w:lineRule="auto"/>
      </w:pPr>
      <w:r w:rsidRPr="00C52014">
        <w:t xml:space="preserve">The Joint Utilities reply that CalCCA’s interpretation of statute regarding residual reentry fees from returned CCA customers is incorrect. </w:t>
      </w:r>
      <w:r w:rsidR="00B9313E">
        <w:t xml:space="preserve"> </w:t>
      </w:r>
      <w:r w:rsidRPr="00C52014">
        <w:t xml:space="preserve">They state that Section 394.25(e) is clear </w:t>
      </w:r>
      <w:r w:rsidR="001E7497">
        <w:t>that</w:t>
      </w:r>
      <w:r w:rsidRPr="00C52014">
        <w:t xml:space="preserve"> involuntarily returned CCA customers</w:t>
      </w:r>
      <w:r w:rsidR="001E7497">
        <w:t xml:space="preserve"> are responsible for reentry fees</w:t>
      </w:r>
      <w:r w:rsidRPr="00C52014">
        <w:t xml:space="preserve">, and both the statute and D.18-05-022 indicate that reentry fees must cover the costs of involuntary return to avoid imposing costs on the Joint Utilities’ other customers. </w:t>
      </w:r>
    </w:p>
    <w:p w:rsidRPr="00C52014" w:rsidR="00AA54B1" w:rsidP="00F932F1" w:rsidRDefault="00AA54B1" w14:paraId="0C00A31E" w14:textId="77777777">
      <w:pPr>
        <w:spacing w:line="276" w:lineRule="auto"/>
      </w:pPr>
    </w:p>
    <w:p w:rsidRPr="00C52014" w:rsidR="00AA54B1" w:rsidP="00F932F1" w:rsidRDefault="00AA54B1" w14:paraId="0F7E7152" w14:textId="487D717E">
      <w:pPr>
        <w:spacing w:line="276" w:lineRule="auto"/>
      </w:pPr>
      <w:r w:rsidRPr="00C52014">
        <w:t xml:space="preserve">The Joint Utilities also argue that, while D.18-05-022 does not address residual reentry fees directly, it does conclude that reentry fees and FSRs for CCAs should generally be similar to those implemented for Energy Service Providers (ESPs) in D.11-12-018, where such a provision was approved. </w:t>
      </w:r>
      <w:r w:rsidR="00B9313E">
        <w:t xml:space="preserve"> </w:t>
      </w:r>
      <w:r w:rsidRPr="00C52014">
        <w:t>They argue that D.11-12-018 did not provide returned customers with an exemption from residual reentry fees</w:t>
      </w:r>
      <w:r w:rsidR="00B74927">
        <w:t>,</w:t>
      </w:r>
      <w:r w:rsidRPr="00C52014">
        <w:t xml:space="preserve"> as CalCCA has asserted.</w:t>
      </w:r>
    </w:p>
    <w:p w:rsidRPr="00C52014" w:rsidR="00AA54B1" w:rsidP="00F932F1" w:rsidRDefault="00AA54B1" w14:paraId="00CE0BD8" w14:textId="77777777">
      <w:pPr>
        <w:spacing w:line="276" w:lineRule="auto"/>
      </w:pPr>
    </w:p>
    <w:p w:rsidRPr="00C52014" w:rsidR="00AA54B1" w:rsidP="00F932F1" w:rsidRDefault="00AA54B1" w14:paraId="7BA901A8" w14:textId="0F77BE47">
      <w:pPr>
        <w:spacing w:line="276" w:lineRule="auto"/>
      </w:pPr>
      <w:r w:rsidRPr="00C52014">
        <w:t xml:space="preserve">Regarding CalCCA’s assertion that bundled customers are entirely protected with the posting of an FSR, the Joint Utilities argue that the FSR is set only twice a year, and market conditions are </w:t>
      </w:r>
      <w:r w:rsidRPr="00C52014" w:rsidR="00F0470B">
        <w:t>con</w:t>
      </w:r>
      <w:r w:rsidR="00F0470B">
        <w:t>tinual</w:t>
      </w:r>
      <w:r w:rsidRPr="00C52014" w:rsidR="00F0470B">
        <w:t xml:space="preserve">ly </w:t>
      </w:r>
      <w:r w:rsidRPr="00C52014">
        <w:t xml:space="preserve">changing.  They state that the FSR is not designed to cover any and all reentry fees irrespective of market conditions at the time an involuntary return occurs. </w:t>
      </w:r>
      <w:r w:rsidR="00B9313E">
        <w:t xml:space="preserve"> </w:t>
      </w:r>
      <w:r w:rsidRPr="00C52014">
        <w:t>Further, the joint utilities argue that CalCCA has advocated to minimize CCAs’ FSR and thus maximizes risk to CCA customers.</w:t>
      </w:r>
    </w:p>
    <w:p w:rsidRPr="00C52014" w:rsidR="00AA54B1" w:rsidP="00F932F1" w:rsidRDefault="00AA54B1" w14:paraId="1DB17FF9" w14:textId="77777777">
      <w:pPr>
        <w:spacing w:line="276" w:lineRule="auto"/>
      </w:pPr>
    </w:p>
    <w:p w:rsidRPr="00C52014" w:rsidR="00AA54B1" w:rsidP="00F932F1" w:rsidRDefault="00AA54B1" w14:paraId="3D872EBA" w14:textId="77777777">
      <w:pPr>
        <w:spacing w:line="276" w:lineRule="auto"/>
        <w:rPr>
          <w:b/>
          <w:bCs/>
        </w:rPr>
      </w:pPr>
      <w:r w:rsidRPr="00C52014">
        <w:rPr>
          <w:b/>
          <w:bCs/>
        </w:rPr>
        <w:t>Discussion</w:t>
      </w:r>
    </w:p>
    <w:p w:rsidRPr="00486515" w:rsidR="00AA54B1" w:rsidP="00323D43" w:rsidRDefault="00AA54B1" w14:paraId="0618630D" w14:textId="1AB98264">
      <w:pPr>
        <w:tabs>
          <w:tab w:val="left" w:pos="0"/>
        </w:tabs>
        <w:autoSpaceDE w:val="0"/>
        <w:autoSpaceDN w:val="0"/>
        <w:adjustRightInd w:val="0"/>
        <w:spacing w:after="60" w:line="276" w:lineRule="auto"/>
        <w:rPr>
          <w:color w:val="FF0000"/>
          <w:u w:val="single"/>
        </w:rPr>
      </w:pPr>
      <w:r w:rsidRPr="00C52014">
        <w:t xml:space="preserve">We find CalCCA’s arguments that cost responsibility for returned customers should be limited to the financial security requirement amounts is not consistent with P.U. Code Section 394.25(e).  The statute </w:t>
      </w:r>
      <w:r w:rsidRPr="004764C2" w:rsidR="77FE8824">
        <w:rPr>
          <w:color w:val="FF0000"/>
          <w:u w:val="single"/>
        </w:rPr>
        <w:t>is explicit</w:t>
      </w:r>
      <w:r w:rsidR="00850682">
        <w:t>:</w:t>
      </w:r>
      <w:r w:rsidR="00FC79E4">
        <w:t xml:space="preserve"> </w:t>
      </w:r>
      <w:r w:rsidRPr="00761287" w:rsidR="00A22462">
        <w:rPr>
          <w:strike/>
          <w:color w:val="FF0000"/>
        </w:rPr>
        <w:t xml:space="preserve">states </w:t>
      </w:r>
      <w:r w:rsidRPr="00761287" w:rsidR="00FC79E4">
        <w:rPr>
          <w:strike/>
          <w:color w:val="FF0000"/>
        </w:rPr>
        <w:t>that</w:t>
      </w:r>
      <w:r w:rsidRPr="004764C2">
        <w:rPr>
          <w:color w:val="FF0000"/>
        </w:rPr>
        <w:t xml:space="preserve"> </w:t>
      </w:r>
      <w:r w:rsidR="00FC79E4">
        <w:t>“I</w:t>
      </w:r>
      <w:r w:rsidRPr="00C52014">
        <w:t>f a customer of a CCA is involuntarily returned to service provided by a</w:t>
      </w:r>
      <w:r w:rsidR="00B74927">
        <w:t>n</w:t>
      </w:r>
      <w:r w:rsidRPr="00C52014">
        <w:t xml:space="preserve"> IOU, any reentry fee imposed on that customer that </w:t>
      </w:r>
      <w:r w:rsidR="00B55108">
        <w:t>the [CPUC]</w:t>
      </w:r>
      <w:r w:rsidRPr="00C52014">
        <w:t xml:space="preserve"> deem</w:t>
      </w:r>
      <w:r w:rsidR="00B55108">
        <w:t>s</w:t>
      </w:r>
      <w:r w:rsidRPr="00C52014">
        <w:t xml:space="preserve"> necessary to avoid imposing costs on other customers of the IOU </w:t>
      </w:r>
      <w:r w:rsidR="00FC79E4">
        <w:t>shall be</w:t>
      </w:r>
      <w:r w:rsidRPr="00C52014">
        <w:t xml:space="preserve"> the obligation of the </w:t>
      </w:r>
      <w:r w:rsidR="00FC79E4">
        <w:t xml:space="preserve">[ESP or </w:t>
      </w:r>
      <w:r w:rsidRPr="00C52014">
        <w:t>CCA</w:t>
      </w:r>
      <w:r w:rsidR="00FC79E4">
        <w:t>].”</w:t>
      </w:r>
      <w:r w:rsidR="0084529A">
        <w:t xml:space="preserve"> </w:t>
      </w:r>
      <w:r w:rsidRPr="00761287" w:rsidR="0084529A">
        <w:rPr>
          <w:strike/>
          <w:color w:val="FF0000"/>
        </w:rPr>
        <w:t>This</w:t>
      </w:r>
      <w:r w:rsidRPr="00761287" w:rsidR="00FC79E4">
        <w:rPr>
          <w:strike/>
          <w:color w:val="FF0000"/>
        </w:rPr>
        <w:t xml:space="preserve"> indicates that</w:t>
      </w:r>
      <w:r w:rsidRPr="004764C2" w:rsidR="00FC79E4">
        <w:rPr>
          <w:color w:val="FF0000"/>
        </w:rPr>
        <w:t xml:space="preserve"> </w:t>
      </w:r>
      <w:r w:rsidR="00FC79E4">
        <w:t xml:space="preserve">CCAs bear the cost responsibility </w:t>
      </w:r>
      <w:r w:rsidRPr="00C52014">
        <w:t>regardless of whether the costs of returning customer</w:t>
      </w:r>
      <w:r w:rsidR="00F0470B">
        <w:t>s</w:t>
      </w:r>
      <w:r w:rsidRPr="00C52014">
        <w:t xml:space="preserve"> are </w:t>
      </w:r>
      <w:proofErr w:type="gramStart"/>
      <w:r w:rsidRPr="00C52014">
        <w:t>in excess of</w:t>
      </w:r>
      <w:proofErr w:type="gramEnd"/>
      <w:r w:rsidRPr="00C52014">
        <w:t xml:space="preserve"> the FSR</w:t>
      </w:r>
      <w:r w:rsidRPr="00C52014" w:rsidR="570C38D0">
        <w:t xml:space="preserve">, </w:t>
      </w:r>
      <w:r w:rsidRPr="008577B0" w:rsidR="570C38D0">
        <w:rPr>
          <w:color w:val="FF0000"/>
          <w:u w:val="single"/>
        </w:rPr>
        <w:t>which protects bundled utility customers from cost shifting</w:t>
      </w:r>
      <w:r w:rsidRPr="008577B0" w:rsidR="77D2C7AF">
        <w:rPr>
          <w:color w:val="FF0000"/>
          <w:u w:val="single"/>
        </w:rPr>
        <w:t>.</w:t>
      </w:r>
      <w:r w:rsidRPr="008577B0" w:rsidR="6B90C9C2">
        <w:rPr>
          <w:color w:val="FF0000"/>
          <w:u w:val="single"/>
        </w:rPr>
        <w:t xml:space="preserve"> </w:t>
      </w:r>
      <w:r w:rsidRPr="00761287" w:rsidR="26A359C4">
        <w:rPr>
          <w:strike/>
          <w:color w:val="FF0000"/>
        </w:rPr>
        <w:t>to establish protection for bundled utility customers from cost-shifting that might otherwise occur due to the costs from involuntarily returned customers.</w:t>
      </w:r>
      <w:r w:rsidRPr="00C52014">
        <w:t xml:space="preserve"> While D.18-05-022 does not address residual reentry fees directly, it does conclude that reentry fees and FSRs for CCAs should generally be similar to those implemented for ESPs in D.11-12-018</w:t>
      </w:r>
      <w:r w:rsidRPr="00345F9D">
        <w:rPr>
          <w:color w:val="FF0000"/>
          <w:u w:val="single"/>
        </w:rPr>
        <w:t>.</w:t>
      </w:r>
      <w:r w:rsidRPr="00345F9D" w:rsidR="00507829">
        <w:rPr>
          <w:rStyle w:val="FootnoteReference"/>
          <w:color w:val="FF0000"/>
          <w:u w:val="single"/>
        </w:rPr>
        <w:footnoteReference w:id="7"/>
      </w:r>
      <w:r w:rsidRPr="00345F9D" w:rsidR="00345F9D">
        <w:rPr>
          <w:color w:val="FF0000"/>
          <w:u w:val="single"/>
        </w:rPr>
        <w:t xml:space="preserve"> </w:t>
      </w:r>
      <w:r w:rsidRPr="00345F9D" w:rsidR="0037359A">
        <w:rPr>
          <w:color w:val="FF0000"/>
          <w:u w:val="single"/>
        </w:rPr>
        <w:t xml:space="preserve"> </w:t>
      </w:r>
      <w:r w:rsidRPr="00486515" w:rsidR="000441ED">
        <w:rPr>
          <w:color w:val="FF0000"/>
          <w:u w:val="single"/>
        </w:rPr>
        <w:t>In th</w:t>
      </w:r>
      <w:r w:rsidRPr="00486515" w:rsidR="0037359A">
        <w:rPr>
          <w:color w:val="FF0000"/>
          <w:u w:val="single"/>
        </w:rPr>
        <w:t>at</w:t>
      </w:r>
      <w:r w:rsidRPr="00486515" w:rsidR="000441ED">
        <w:rPr>
          <w:color w:val="FF0000"/>
          <w:u w:val="single"/>
        </w:rPr>
        <w:t xml:space="preserve"> decision, residual ESP reentry fees are allocated to returned customers</w:t>
      </w:r>
      <w:r w:rsidRPr="00486515" w:rsidR="00CC3F5E">
        <w:rPr>
          <w:color w:val="FF0000"/>
          <w:u w:val="single"/>
        </w:rPr>
        <w:t>.</w:t>
      </w:r>
    </w:p>
    <w:p w:rsidR="00AA54B1" w:rsidP="00323D43" w:rsidRDefault="00AA54B1" w14:paraId="709C9627" w14:textId="692044AC">
      <w:pPr>
        <w:tabs>
          <w:tab w:val="left" w:pos="0"/>
        </w:tabs>
        <w:autoSpaceDE w:val="0"/>
        <w:autoSpaceDN w:val="0"/>
        <w:adjustRightInd w:val="0"/>
        <w:spacing w:after="60" w:line="276" w:lineRule="auto"/>
      </w:pPr>
    </w:p>
    <w:p w:rsidRPr="00C52014" w:rsidR="00637865" w:rsidP="00323D43" w:rsidRDefault="008C4D18" w14:paraId="42DBB163" w14:textId="65BF9CB4">
      <w:pPr>
        <w:tabs>
          <w:tab w:val="left" w:pos="0"/>
        </w:tabs>
        <w:autoSpaceDE w:val="0"/>
        <w:autoSpaceDN w:val="0"/>
        <w:adjustRightInd w:val="0"/>
        <w:spacing w:after="60" w:line="276" w:lineRule="auto"/>
      </w:pPr>
      <w:r w:rsidRPr="00486515">
        <w:rPr>
          <w:color w:val="FF0000"/>
          <w:u w:val="single"/>
        </w:rPr>
        <w:t xml:space="preserve">P.U. Code </w:t>
      </w:r>
      <w:bookmarkStart w:name="_Hlk49350506" w:id="8"/>
      <w:r w:rsidRPr="00486515" w:rsidR="6C0D80F9">
        <w:rPr>
          <w:color w:val="FF0000"/>
          <w:u w:val="single"/>
        </w:rPr>
        <w:t xml:space="preserve">Section </w:t>
      </w:r>
      <w:r w:rsidRPr="00486515">
        <w:rPr>
          <w:color w:val="FF0000"/>
          <w:u w:val="single"/>
        </w:rPr>
        <w:t>366.2</w:t>
      </w:r>
      <w:r w:rsidRPr="00486515" w:rsidR="00F87FB2">
        <w:rPr>
          <w:color w:val="FF0000"/>
          <w:u w:val="single"/>
        </w:rPr>
        <w:t xml:space="preserve">(a)(4) </w:t>
      </w:r>
      <w:r w:rsidRPr="00486515" w:rsidR="36CA7ED6">
        <w:rPr>
          <w:color w:val="FF0000"/>
          <w:u w:val="single"/>
        </w:rPr>
        <w:t>supports this interpretation:</w:t>
      </w:r>
      <w:r w:rsidRPr="00486515" w:rsidR="00F87FB2">
        <w:rPr>
          <w:color w:val="FF0000"/>
          <w:u w:val="single"/>
        </w:rPr>
        <w:t xml:space="preserve"> </w:t>
      </w:r>
      <w:bookmarkEnd w:id="8"/>
      <w:r w:rsidRPr="00486515" w:rsidR="00F87FB2">
        <w:rPr>
          <w:color w:val="FF0000"/>
          <w:u w:val="single"/>
        </w:rPr>
        <w:t xml:space="preserve">”The implementation of a community choice aggregation program shall not result in a shifting of costs between the customers of the community choice aggregator and the bundled service customers of an electrical corporation.” </w:t>
      </w:r>
      <w:r w:rsidRPr="00486515" w:rsidR="008E3C3C">
        <w:rPr>
          <w:color w:val="FF0000"/>
          <w:u w:val="single"/>
        </w:rPr>
        <w:t xml:space="preserve"> </w:t>
      </w:r>
      <w:r w:rsidRPr="00486515" w:rsidR="0DFD6D34">
        <w:rPr>
          <w:color w:val="FF0000"/>
          <w:u w:val="single"/>
        </w:rPr>
        <w:t xml:space="preserve">If returning CCA customers </w:t>
      </w:r>
      <w:r w:rsidRPr="00486515" w:rsidR="4B2F20B5">
        <w:rPr>
          <w:color w:val="FF0000"/>
          <w:u w:val="single"/>
        </w:rPr>
        <w:t xml:space="preserve">avoid </w:t>
      </w:r>
      <w:r w:rsidRPr="00486515" w:rsidR="4B2F20B5">
        <w:rPr>
          <w:color w:val="FF0000"/>
          <w:u w:val="single"/>
        </w:rPr>
        <w:lastRenderedPageBreak/>
        <w:t>residual reentry costs above the financial security requirement, this could shift costs to bundled customers in violation o</w:t>
      </w:r>
      <w:r w:rsidRPr="00486515" w:rsidR="71D70FC8">
        <w:rPr>
          <w:color w:val="FF0000"/>
          <w:u w:val="single"/>
        </w:rPr>
        <w:t xml:space="preserve">f Section 366.2(a)(4). </w:t>
      </w:r>
      <w:r w:rsidRPr="00486515" w:rsidR="4B2F20B5">
        <w:rPr>
          <w:color w:val="FF0000"/>
          <w:u w:val="single"/>
        </w:rPr>
        <w:t xml:space="preserve"> </w:t>
      </w:r>
      <w:r w:rsidRPr="00486515" w:rsidR="00F87FB2">
        <w:rPr>
          <w:color w:val="FF0000"/>
          <w:u w:val="single"/>
        </w:rPr>
        <w:t>Therefore,</w:t>
      </w:r>
      <w:r w:rsidRPr="00486515" w:rsidDel="00DF1942" w:rsidR="00F87FB2">
        <w:rPr>
          <w:color w:val="FF0000"/>
          <w:u w:val="single"/>
        </w:rPr>
        <w:t xml:space="preserve"> </w:t>
      </w:r>
      <w:r w:rsidRPr="00486515" w:rsidR="00224CCB">
        <w:rPr>
          <w:color w:val="FF0000"/>
          <w:u w:val="single"/>
        </w:rPr>
        <w:t>we conclude that</w:t>
      </w:r>
      <w:r w:rsidRPr="00486515" w:rsidR="00F87FB2">
        <w:rPr>
          <w:color w:val="FF0000"/>
          <w:u w:val="single"/>
        </w:rPr>
        <w:t xml:space="preserve"> </w:t>
      </w:r>
      <w:r w:rsidRPr="00486515" w:rsidR="003566BA">
        <w:rPr>
          <w:color w:val="FF0000"/>
          <w:u w:val="single"/>
        </w:rPr>
        <w:t>P.U. Code Section</w:t>
      </w:r>
      <w:r w:rsidRPr="00486515" w:rsidR="6C0133F9">
        <w:rPr>
          <w:color w:val="FF0000"/>
          <w:u w:val="single"/>
        </w:rPr>
        <w:t>s 366.2(a)(4),</w:t>
      </w:r>
      <w:r w:rsidRPr="00486515" w:rsidR="003566BA">
        <w:rPr>
          <w:color w:val="FF0000"/>
          <w:u w:val="single"/>
        </w:rPr>
        <w:t xml:space="preserve"> 394.25(e) and D.18-</w:t>
      </w:r>
      <w:r w:rsidRPr="00486515" w:rsidR="3FC3AD4D">
        <w:rPr>
          <w:color w:val="FF0000"/>
          <w:u w:val="single"/>
        </w:rPr>
        <w:t>0</w:t>
      </w:r>
      <w:r w:rsidRPr="00486515" w:rsidR="003566BA">
        <w:rPr>
          <w:color w:val="FF0000"/>
          <w:u w:val="single"/>
        </w:rPr>
        <w:t xml:space="preserve">5-022 </w:t>
      </w:r>
      <w:r w:rsidRPr="00486515" w:rsidR="002A0DCF">
        <w:rPr>
          <w:color w:val="FF0000"/>
          <w:u w:val="single"/>
        </w:rPr>
        <w:t>do not absolve involuntarily returned CCA customers from reentry fees</w:t>
      </w:r>
      <w:r w:rsidRPr="00486515" w:rsidR="46505B06">
        <w:rPr>
          <w:color w:val="FF0000"/>
          <w:u w:val="single"/>
        </w:rPr>
        <w:t xml:space="preserve">. </w:t>
      </w:r>
      <w:r w:rsidRPr="00486515" w:rsidR="00AC71BE">
        <w:rPr>
          <w:color w:val="FF0000"/>
          <w:u w:val="single"/>
        </w:rPr>
        <w:t xml:space="preserve"> </w:t>
      </w:r>
      <w:r w:rsidRPr="00486515" w:rsidR="35247E6B">
        <w:rPr>
          <w:color w:val="FF0000"/>
          <w:u w:val="single"/>
        </w:rPr>
        <w:t xml:space="preserve">CCA customers bear </w:t>
      </w:r>
      <w:r w:rsidRPr="00486515" w:rsidR="003566BA">
        <w:rPr>
          <w:color w:val="FF0000"/>
          <w:u w:val="single"/>
        </w:rPr>
        <w:t xml:space="preserve">cost responsibility </w:t>
      </w:r>
      <w:r w:rsidRPr="00486515" w:rsidR="495CFE56">
        <w:rPr>
          <w:color w:val="FF0000"/>
          <w:u w:val="single"/>
        </w:rPr>
        <w:t xml:space="preserve">for </w:t>
      </w:r>
      <w:r w:rsidRPr="00486515" w:rsidR="003566BA">
        <w:rPr>
          <w:color w:val="FF0000"/>
          <w:u w:val="single"/>
        </w:rPr>
        <w:t xml:space="preserve">reentry fees </w:t>
      </w:r>
      <w:r w:rsidRPr="00486515" w:rsidR="66356303">
        <w:rPr>
          <w:color w:val="FF0000"/>
          <w:u w:val="single"/>
        </w:rPr>
        <w:t>that the CPUC deems necessary to avoid cost shifting</w:t>
      </w:r>
      <w:r w:rsidRPr="00486515" w:rsidR="003566BA">
        <w:rPr>
          <w:color w:val="FF0000"/>
          <w:u w:val="single"/>
        </w:rPr>
        <w:t xml:space="preserve">. </w:t>
      </w:r>
      <w:r w:rsidRPr="00486515" w:rsidR="00D20F42">
        <w:rPr>
          <w:color w:val="FF0000"/>
          <w:u w:val="single"/>
        </w:rPr>
        <w:t xml:space="preserve"> </w:t>
      </w:r>
      <w:r w:rsidRPr="00486515" w:rsidR="00A73622">
        <w:rPr>
          <w:color w:val="FF0000"/>
          <w:u w:val="single"/>
        </w:rPr>
        <w:t>The c</w:t>
      </w:r>
      <w:r w:rsidRPr="00486515" w:rsidR="004D683C">
        <w:rPr>
          <w:color w:val="FF0000"/>
          <w:u w:val="single"/>
        </w:rPr>
        <w:t xml:space="preserve">ollection </w:t>
      </w:r>
      <w:r w:rsidRPr="00486515" w:rsidR="007D3DAB">
        <w:rPr>
          <w:color w:val="FF0000"/>
          <w:u w:val="single"/>
        </w:rPr>
        <w:t xml:space="preserve">and dispute </w:t>
      </w:r>
      <w:r w:rsidRPr="00486515" w:rsidR="004D683C">
        <w:rPr>
          <w:color w:val="FF0000"/>
          <w:u w:val="single"/>
        </w:rPr>
        <w:t>of re</w:t>
      </w:r>
      <w:r w:rsidRPr="00486515" w:rsidR="00A73622">
        <w:rPr>
          <w:color w:val="FF0000"/>
          <w:u w:val="single"/>
        </w:rPr>
        <w:t xml:space="preserve">entry fees </w:t>
      </w:r>
      <w:r w:rsidRPr="00486515" w:rsidR="007D3DAB">
        <w:rPr>
          <w:color w:val="FF0000"/>
          <w:u w:val="single"/>
        </w:rPr>
        <w:t>is discussed in greater detail below.</w:t>
      </w:r>
    </w:p>
    <w:p w:rsidRPr="001F28F2" w:rsidR="00AA54B1" w:rsidP="00761287" w:rsidRDefault="00AA54B1" w14:paraId="2B0CBF32" w14:textId="2DD60090">
      <w:pPr>
        <w:spacing w:line="276" w:lineRule="auto"/>
        <w:rPr>
          <w:strike/>
          <w:color w:val="FF0000"/>
        </w:rPr>
      </w:pPr>
      <w:r w:rsidRPr="00761287">
        <w:rPr>
          <w:strike/>
          <w:color w:val="FF0000"/>
        </w:rPr>
        <w:t>However, neither</w:t>
      </w:r>
      <w:r w:rsidRPr="00761287" w:rsidR="00316DE3">
        <w:rPr>
          <w:strike/>
          <w:color w:val="FF0000"/>
        </w:rPr>
        <w:t xml:space="preserve"> the</w:t>
      </w:r>
      <w:r w:rsidRPr="00761287">
        <w:rPr>
          <w:strike/>
          <w:color w:val="FF0000"/>
        </w:rPr>
        <w:t xml:space="preserve"> statute nor D.18-05-022 </w:t>
      </w:r>
      <w:proofErr w:type="gramStart"/>
      <w:r w:rsidRPr="00761287" w:rsidR="00316DE3">
        <w:rPr>
          <w:strike/>
          <w:color w:val="FF0000"/>
        </w:rPr>
        <w:t>make</w:t>
      </w:r>
      <w:r w:rsidRPr="00761287" w:rsidR="00B74927">
        <w:rPr>
          <w:strike/>
          <w:color w:val="FF0000"/>
        </w:rPr>
        <w:t>s</w:t>
      </w:r>
      <w:r w:rsidRPr="00761287" w:rsidR="00316DE3">
        <w:rPr>
          <w:strike/>
          <w:color w:val="FF0000"/>
        </w:rPr>
        <w:t xml:space="preserve"> a determination</w:t>
      </w:r>
      <w:proofErr w:type="gramEnd"/>
      <w:r w:rsidRPr="00761287" w:rsidR="00316DE3">
        <w:rPr>
          <w:strike/>
          <w:color w:val="FF0000"/>
        </w:rPr>
        <w:t xml:space="preserve"> on CCA customers’</w:t>
      </w:r>
      <w:r w:rsidRPr="00761287">
        <w:rPr>
          <w:strike/>
          <w:color w:val="FF0000"/>
        </w:rPr>
        <w:t xml:space="preserve"> cost obligation should a CCA become insolvent and unable to discharge its obligation </w:t>
      </w:r>
      <w:r w:rsidRPr="00761287" w:rsidR="00316DE3">
        <w:rPr>
          <w:strike/>
          <w:color w:val="FF0000"/>
        </w:rPr>
        <w:t>through its financial security</w:t>
      </w:r>
      <w:r w:rsidRPr="00761287">
        <w:rPr>
          <w:strike/>
          <w:color w:val="FF0000"/>
        </w:rPr>
        <w:t xml:space="preserve">. P.U. Code Section 394.25(e) only states that the fees shall be allocated to the returning customers for ESPs, not for CCAs. While D.18-05-022 </w:t>
      </w:r>
      <w:r w:rsidRPr="00761287" w:rsidR="007A2165">
        <w:rPr>
          <w:strike/>
          <w:color w:val="FF0000"/>
        </w:rPr>
        <w:t xml:space="preserve">determines </w:t>
      </w:r>
      <w:r w:rsidRPr="00761287">
        <w:rPr>
          <w:strike/>
          <w:color w:val="FF0000"/>
        </w:rPr>
        <w:t>that “Reentry fees and FSRs for CCAs should at this time generally be similar to those implemented for ESPs,”</w:t>
      </w:r>
      <w:r w:rsidRPr="00761287">
        <w:rPr>
          <w:strike/>
          <w:color w:val="FF0000"/>
        </w:rPr>
        <w:footnoteReference w:id="8"/>
      </w:r>
      <w:r w:rsidRPr="00761287">
        <w:rPr>
          <w:strike/>
          <w:color w:val="FF0000"/>
        </w:rPr>
        <w:t xml:space="preserve">  it does not address the topic of residual reentry fees under the conditions of insolvency. Under these potential conditions, there may be a reason to treat CCA and Direct Access customers differently, since CCAs consist primarily of residential and small commercial customers that were defaulted into CCA service. This issue requires further consideration in a future rulemaking the CPUC intends to open regarding </w:t>
      </w:r>
      <w:r w:rsidRPr="00761287" w:rsidR="0052443F">
        <w:rPr>
          <w:strike/>
          <w:color w:val="FF0000"/>
        </w:rPr>
        <w:t>Provider of Last Resort (</w:t>
      </w:r>
      <w:r w:rsidRPr="00761287">
        <w:rPr>
          <w:strike/>
          <w:color w:val="FF0000"/>
        </w:rPr>
        <w:t>POLR</w:t>
      </w:r>
      <w:r w:rsidRPr="00761287" w:rsidR="0052443F">
        <w:rPr>
          <w:strike/>
          <w:color w:val="FF0000"/>
        </w:rPr>
        <w:t>) policies and rules</w:t>
      </w:r>
      <w:r w:rsidRPr="00761287">
        <w:rPr>
          <w:strike/>
          <w:color w:val="FF0000"/>
        </w:rPr>
        <w:t xml:space="preserve">. Until the CPUC can consider this issue fully, we will </w:t>
      </w:r>
      <w:r w:rsidRPr="00761287" w:rsidR="0033697F">
        <w:rPr>
          <w:strike/>
          <w:color w:val="FF0000"/>
        </w:rPr>
        <w:t xml:space="preserve">reject </w:t>
      </w:r>
      <w:r w:rsidRPr="00761287" w:rsidR="00172E40">
        <w:rPr>
          <w:strike/>
          <w:color w:val="FF0000"/>
        </w:rPr>
        <w:t xml:space="preserve">the </w:t>
      </w:r>
      <w:r w:rsidRPr="00761287" w:rsidR="000A193F">
        <w:rPr>
          <w:strike/>
          <w:color w:val="FF0000"/>
        </w:rPr>
        <w:t xml:space="preserve">proposed </w:t>
      </w:r>
      <w:r w:rsidRPr="00761287">
        <w:rPr>
          <w:strike/>
          <w:color w:val="FF0000"/>
        </w:rPr>
        <w:t xml:space="preserve">treatment </w:t>
      </w:r>
      <w:r w:rsidRPr="00761287" w:rsidR="00DB61A8">
        <w:rPr>
          <w:strike/>
          <w:color w:val="FF0000"/>
        </w:rPr>
        <w:t xml:space="preserve">and </w:t>
      </w:r>
      <w:r w:rsidRPr="00761287" w:rsidR="003222E7">
        <w:rPr>
          <w:strike/>
          <w:color w:val="FF0000"/>
        </w:rPr>
        <w:t>direct the IOU</w:t>
      </w:r>
      <w:r w:rsidRPr="00761287" w:rsidR="00B05F10">
        <w:rPr>
          <w:strike/>
          <w:color w:val="FF0000"/>
        </w:rPr>
        <w:t>s</w:t>
      </w:r>
      <w:r w:rsidRPr="00761287" w:rsidR="003222E7">
        <w:rPr>
          <w:strike/>
          <w:color w:val="FF0000"/>
        </w:rPr>
        <w:t xml:space="preserve"> to track costs for </w:t>
      </w:r>
      <w:r w:rsidRPr="00761287" w:rsidR="0052443F">
        <w:rPr>
          <w:strike/>
          <w:color w:val="FF0000"/>
        </w:rPr>
        <w:t xml:space="preserve">returning CCA </w:t>
      </w:r>
      <w:r w:rsidRPr="00761287" w:rsidR="003222E7">
        <w:rPr>
          <w:strike/>
          <w:color w:val="FF0000"/>
        </w:rPr>
        <w:t>customer</w:t>
      </w:r>
      <w:r w:rsidRPr="00761287" w:rsidR="0052443F">
        <w:rPr>
          <w:strike/>
          <w:color w:val="FF0000"/>
        </w:rPr>
        <w:t>s</w:t>
      </w:r>
      <w:r w:rsidRPr="00761287" w:rsidR="003222E7">
        <w:rPr>
          <w:strike/>
          <w:color w:val="FF0000"/>
        </w:rPr>
        <w:t xml:space="preserve"> in a memorandum account in the event that </w:t>
      </w:r>
      <w:r w:rsidRPr="00761287" w:rsidR="00F932F1">
        <w:rPr>
          <w:strike/>
          <w:color w:val="FF0000"/>
        </w:rPr>
        <w:t>an involuntary return is triggered prior to additional CPUC guidance.</w:t>
      </w:r>
      <w:r w:rsidRPr="001F28F2" w:rsidR="00F932F1">
        <w:rPr>
          <w:strike/>
          <w:color w:val="FF0000"/>
        </w:rPr>
        <w:t xml:space="preserve"> </w:t>
      </w:r>
      <w:r w:rsidRPr="001F28F2" w:rsidR="00DB61A8">
        <w:rPr>
          <w:strike/>
          <w:color w:val="FF0000"/>
        </w:rPr>
        <w:t xml:space="preserve"> </w:t>
      </w:r>
    </w:p>
    <w:p w:rsidRPr="00C52014" w:rsidR="00AA54B1" w:rsidP="00E2690D" w:rsidRDefault="00AA54B1" w14:paraId="23E4EE0D" w14:textId="77777777">
      <w:pPr>
        <w:autoSpaceDE w:val="0"/>
        <w:autoSpaceDN w:val="0"/>
        <w:adjustRightInd w:val="0"/>
        <w:spacing w:line="276" w:lineRule="auto"/>
      </w:pPr>
    </w:p>
    <w:p w:rsidRPr="00C52014" w:rsidR="00AA54B1" w:rsidP="00E2690D" w:rsidRDefault="00B05F10" w14:paraId="208D3BE5" w14:textId="62DB42AB">
      <w:pPr>
        <w:autoSpaceDE w:val="0"/>
        <w:autoSpaceDN w:val="0"/>
        <w:adjustRightInd w:val="0"/>
        <w:spacing w:after="60" w:line="276" w:lineRule="auto"/>
        <w:rPr>
          <w:b/>
          <w:bCs/>
          <w:sz w:val="28"/>
          <w:szCs w:val="22"/>
          <w:u w:val="single"/>
        </w:rPr>
      </w:pPr>
      <w:r>
        <w:rPr>
          <w:b/>
          <w:bCs/>
          <w:sz w:val="28"/>
          <w:szCs w:val="22"/>
          <w:u w:val="single"/>
        </w:rPr>
        <w:t xml:space="preserve">2.  </w:t>
      </w:r>
      <w:r w:rsidRPr="00C52014" w:rsidR="00AA54B1">
        <w:rPr>
          <w:b/>
          <w:bCs/>
          <w:sz w:val="28"/>
          <w:szCs w:val="22"/>
          <w:u w:val="single"/>
        </w:rPr>
        <w:t>Modification of Provisions of DA-eligible customers</w:t>
      </w:r>
    </w:p>
    <w:p w:rsidRPr="00C52014" w:rsidR="00AA54B1" w:rsidP="00E2690D" w:rsidRDefault="00AA54B1" w14:paraId="653F8B7E" w14:textId="552B5257">
      <w:pPr>
        <w:tabs>
          <w:tab w:val="left" w:pos="0"/>
        </w:tabs>
        <w:autoSpaceDE w:val="0"/>
        <w:autoSpaceDN w:val="0"/>
        <w:adjustRightInd w:val="0"/>
        <w:spacing w:after="60" w:line="276" w:lineRule="auto"/>
      </w:pPr>
      <w:r w:rsidRPr="00C52014">
        <w:t xml:space="preserve">In the tariff sections addressing </w:t>
      </w:r>
      <w:r w:rsidR="00BC33BC">
        <w:t xml:space="preserve">the involuntary return of </w:t>
      </w:r>
      <w:r w:rsidRPr="00C52014">
        <w:t>CCA</w:t>
      </w:r>
      <w:r w:rsidR="00BC33BC">
        <w:t xml:space="preserve"> customers to an IOU</w:t>
      </w:r>
      <w:r w:rsidRPr="00C52014">
        <w:t>, the modifications propose</w:t>
      </w:r>
      <w:r w:rsidR="00F0470B">
        <w:t>d</w:t>
      </w:r>
      <w:r w:rsidRPr="00C52014">
        <w:t xml:space="preserve"> to remove language relating to DA-Eligible customers. </w:t>
      </w:r>
      <w:r w:rsidR="00AC71BE">
        <w:t xml:space="preserve"> </w:t>
      </w:r>
      <w:r w:rsidRPr="00C52014">
        <w:t xml:space="preserve">Specifically, </w:t>
      </w:r>
      <w:r w:rsidR="00BC33BC">
        <w:t>the existing provision</w:t>
      </w:r>
      <w:r w:rsidRPr="00C52014">
        <w:t xml:space="preserve"> </w:t>
      </w:r>
      <w:r w:rsidR="00BC33BC">
        <w:t>allows</w:t>
      </w:r>
      <w:r w:rsidRPr="00C52014">
        <w:t xml:space="preserve"> DA-eligible customers</w:t>
      </w:r>
      <w:r w:rsidR="00BC33BC">
        <w:t xml:space="preserve"> </w:t>
      </w:r>
      <w:r w:rsidRPr="00C52014">
        <w:t xml:space="preserve">to </w:t>
      </w:r>
      <w:r w:rsidRPr="00C52014">
        <w:lastRenderedPageBreak/>
        <w:t xml:space="preserve">transfer to DA service or IOU service during </w:t>
      </w:r>
      <w:r w:rsidR="00F0470B">
        <w:t xml:space="preserve">the </w:t>
      </w:r>
      <w:r w:rsidRPr="00C52014">
        <w:t>involuntary return of a CCA and are not required to be returned to IOU bundled service.</w:t>
      </w:r>
    </w:p>
    <w:p w:rsidRPr="00C52014" w:rsidR="00AA54B1" w:rsidP="00E2690D" w:rsidRDefault="00AA54B1" w14:paraId="51D74FAB" w14:textId="77777777">
      <w:pPr>
        <w:tabs>
          <w:tab w:val="left" w:pos="0"/>
        </w:tabs>
        <w:autoSpaceDE w:val="0"/>
        <w:autoSpaceDN w:val="0"/>
        <w:adjustRightInd w:val="0"/>
        <w:spacing w:after="60" w:line="276" w:lineRule="auto"/>
      </w:pPr>
    </w:p>
    <w:p w:rsidRPr="00C52014" w:rsidR="00AA54B1" w:rsidP="00E2690D" w:rsidRDefault="00AA54B1" w14:paraId="5584B66B" w14:textId="7A02B8E8">
      <w:pPr>
        <w:tabs>
          <w:tab w:val="left" w:pos="0"/>
        </w:tabs>
        <w:autoSpaceDE w:val="0"/>
        <w:autoSpaceDN w:val="0"/>
        <w:adjustRightInd w:val="0"/>
        <w:spacing w:after="60" w:line="276" w:lineRule="auto"/>
      </w:pPr>
      <w:r w:rsidRPr="00C52014">
        <w:t>CalCCA protests these proposed modifications in all of the IOU ALs, arguing that they are unjustified and go beyond the scope of D.18-05-022.</w:t>
      </w:r>
      <w:r w:rsidR="00316DE3">
        <w:t xml:space="preserve"> </w:t>
      </w:r>
      <w:r w:rsidR="00AC71BE">
        <w:t xml:space="preserve"> </w:t>
      </w:r>
      <w:r w:rsidRPr="00C52014">
        <w:t xml:space="preserve">AReM protests PG&amp;E AL 5354-E, arguing that these provisions provide this exception </w:t>
      </w:r>
      <w:r w:rsidR="0013718C">
        <w:t xml:space="preserve">for </w:t>
      </w:r>
      <w:r w:rsidRPr="00C52014">
        <w:t>DA-eligible customers.</w:t>
      </w:r>
    </w:p>
    <w:p w:rsidR="00C77AD3" w:rsidP="00E2690D" w:rsidRDefault="00C77AD3" w14:paraId="5F8B8955" w14:textId="77777777">
      <w:pPr>
        <w:autoSpaceDE w:val="0"/>
        <w:autoSpaceDN w:val="0"/>
        <w:adjustRightInd w:val="0"/>
        <w:spacing w:after="60" w:line="276" w:lineRule="auto"/>
      </w:pPr>
    </w:p>
    <w:p w:rsidRPr="00C52014" w:rsidR="00AA54B1" w:rsidP="00E2690D" w:rsidRDefault="00AA54B1" w14:paraId="2A4CBA90" w14:textId="557C8C4C">
      <w:pPr>
        <w:autoSpaceDE w:val="0"/>
        <w:autoSpaceDN w:val="0"/>
        <w:adjustRightInd w:val="0"/>
        <w:spacing w:after="60" w:line="276" w:lineRule="auto"/>
      </w:pPr>
      <w:r w:rsidRPr="00C52014">
        <w:t xml:space="preserve">AReM contests the proposed removal of provisions </w:t>
      </w:r>
      <w:r w:rsidR="00BC33BC">
        <w:t xml:space="preserve">regarding </w:t>
      </w:r>
      <w:r w:rsidRPr="00C52014">
        <w:t>DA-eligible customers</w:t>
      </w:r>
      <w:r w:rsidR="00BC33BC">
        <w:t xml:space="preserve">, which would require these customers to return </w:t>
      </w:r>
      <w:r w:rsidRPr="00C52014">
        <w:t>to IOU bundled service upon involuntary return.</w:t>
      </w:r>
      <w:r w:rsidR="00AC71BE">
        <w:t xml:space="preserve"> </w:t>
      </w:r>
      <w:r w:rsidRPr="00C52014">
        <w:t xml:space="preserve"> AReM recommends PG&amp;E’s revisions be modified to move the provision to the end of the section rather than deleting the language altogether.</w:t>
      </w:r>
    </w:p>
    <w:p w:rsidRPr="00C52014" w:rsidR="00AA54B1" w:rsidP="00E2690D" w:rsidRDefault="00AA54B1" w14:paraId="5C9DF510" w14:textId="77777777">
      <w:pPr>
        <w:autoSpaceDE w:val="0"/>
        <w:autoSpaceDN w:val="0"/>
        <w:adjustRightInd w:val="0"/>
        <w:spacing w:after="60" w:line="276" w:lineRule="auto"/>
        <w:rPr>
          <w:b/>
          <w:bCs/>
        </w:rPr>
      </w:pPr>
    </w:p>
    <w:p w:rsidRPr="00C52014" w:rsidR="00AA54B1" w:rsidP="00E2690D" w:rsidRDefault="00AA54B1" w14:paraId="32CF3CFB" w14:textId="77777777">
      <w:pPr>
        <w:autoSpaceDE w:val="0"/>
        <w:autoSpaceDN w:val="0"/>
        <w:adjustRightInd w:val="0"/>
        <w:spacing w:after="60" w:line="276" w:lineRule="auto"/>
        <w:rPr>
          <w:b/>
          <w:bCs/>
        </w:rPr>
      </w:pPr>
      <w:r w:rsidRPr="00C52014">
        <w:rPr>
          <w:b/>
          <w:bCs/>
        </w:rPr>
        <w:t>Reply</w:t>
      </w:r>
    </w:p>
    <w:p w:rsidRPr="00C52014" w:rsidR="00AA54B1" w:rsidP="00E2690D" w:rsidRDefault="00172E40" w14:paraId="53633EAD" w14:textId="261F2EBB">
      <w:pPr>
        <w:autoSpaceDE w:val="0"/>
        <w:autoSpaceDN w:val="0"/>
        <w:adjustRightInd w:val="0"/>
        <w:spacing w:after="60" w:line="276" w:lineRule="auto"/>
      </w:pPr>
      <w:r>
        <w:t>In t</w:t>
      </w:r>
      <w:r w:rsidRPr="00C52014" w:rsidR="00AA54B1">
        <w:t xml:space="preserve">he Joint Utilities </w:t>
      </w:r>
      <w:r w:rsidR="00AA54B1">
        <w:t>reply to CalCCA’s protest, the</w:t>
      </w:r>
      <w:r>
        <w:t xml:space="preserve"> Joint Utilities </w:t>
      </w:r>
      <w:r w:rsidRPr="00C52014" w:rsidR="00AA54B1">
        <w:t xml:space="preserve">state that the revisions </w:t>
      </w:r>
      <w:r w:rsidR="00AA54B1">
        <w:t xml:space="preserve">only </w:t>
      </w:r>
      <w:r w:rsidRPr="00C52014" w:rsidR="00AA54B1">
        <w:t>provide a modest cleanup</w:t>
      </w:r>
      <w:r w:rsidR="00F0470B">
        <w:t xml:space="preserve"> of the Rule</w:t>
      </w:r>
      <w:r>
        <w:t xml:space="preserve">. </w:t>
      </w:r>
      <w:r w:rsidR="00AC71BE">
        <w:t xml:space="preserve"> </w:t>
      </w:r>
      <w:r>
        <w:t>The AReM protest is addressed by</w:t>
      </w:r>
      <w:r w:rsidR="00AA54B1">
        <w:t xml:space="preserve"> </w:t>
      </w:r>
      <w:r w:rsidRPr="00C52014" w:rsidR="00AA54B1">
        <w:t>PG&amp;E separately.</w:t>
      </w:r>
    </w:p>
    <w:p w:rsidRPr="00C52014" w:rsidR="00AA54B1" w:rsidP="00E2690D" w:rsidRDefault="00AA54B1" w14:paraId="2168565B" w14:textId="77777777">
      <w:pPr>
        <w:autoSpaceDE w:val="0"/>
        <w:autoSpaceDN w:val="0"/>
        <w:adjustRightInd w:val="0"/>
        <w:spacing w:after="60" w:line="276" w:lineRule="auto"/>
      </w:pPr>
    </w:p>
    <w:p w:rsidRPr="00C52014" w:rsidR="00AA54B1" w:rsidP="00E2690D" w:rsidRDefault="00AA54B1" w14:paraId="3AC59CED" w14:textId="15507DB9">
      <w:pPr>
        <w:autoSpaceDE w:val="0"/>
        <w:autoSpaceDN w:val="0"/>
        <w:adjustRightInd w:val="0"/>
        <w:spacing w:after="60" w:line="276" w:lineRule="auto"/>
      </w:pPr>
      <w:r w:rsidRPr="00C52014">
        <w:t xml:space="preserve">PG&amp;E filed a reply in response to the AReM protest of AL 5354-E.  PG&amp;E states that it will adopt the recommendations made by AReM through the submission of a supplemental AL, which it filed on October 2, 2018. </w:t>
      </w:r>
      <w:r w:rsidR="00AC71BE">
        <w:t xml:space="preserve"> </w:t>
      </w:r>
      <w:r w:rsidRPr="00C52014">
        <w:t>The supplement reflected the modifications proposed by AReM to its AL 5354-E.</w:t>
      </w:r>
    </w:p>
    <w:p w:rsidRPr="00C52014" w:rsidR="00AA54B1" w:rsidP="00E2690D" w:rsidRDefault="00AA54B1" w14:paraId="4A220EF5" w14:textId="77777777">
      <w:pPr>
        <w:autoSpaceDE w:val="0"/>
        <w:autoSpaceDN w:val="0"/>
        <w:adjustRightInd w:val="0"/>
        <w:spacing w:after="60" w:line="276" w:lineRule="auto"/>
      </w:pPr>
    </w:p>
    <w:p w:rsidRPr="00C52014" w:rsidR="00AA54B1" w:rsidP="00E2690D" w:rsidRDefault="00AA54B1" w14:paraId="17A4A533" w14:textId="77777777">
      <w:pPr>
        <w:autoSpaceDE w:val="0"/>
        <w:autoSpaceDN w:val="0"/>
        <w:adjustRightInd w:val="0"/>
        <w:spacing w:line="276" w:lineRule="auto"/>
        <w:rPr>
          <w:b/>
          <w:bCs/>
        </w:rPr>
      </w:pPr>
      <w:r w:rsidRPr="00C52014">
        <w:rPr>
          <w:b/>
          <w:bCs/>
        </w:rPr>
        <w:t>Discussion</w:t>
      </w:r>
    </w:p>
    <w:p w:rsidRPr="00C52014" w:rsidR="00AA54B1" w:rsidP="0023139A" w:rsidRDefault="00AA54B1" w14:paraId="2E63EAE0" w14:textId="2F0E7026">
      <w:pPr>
        <w:spacing w:line="276" w:lineRule="auto"/>
      </w:pPr>
      <w:r w:rsidRPr="00C52014">
        <w:t>We find there to be validity to CalCCA and AReM’s protest, specifically</w:t>
      </w:r>
      <w:r w:rsidR="00761287">
        <w:t xml:space="preserve"> </w:t>
      </w:r>
      <w:r w:rsidRPr="00761287">
        <w:rPr>
          <w:strike/>
          <w:color w:val="FF0000"/>
        </w:rPr>
        <w:t xml:space="preserve">on the grounds </w:t>
      </w:r>
      <w:r w:rsidRPr="00C52014">
        <w:t xml:space="preserve">that D.18-05-022 does not involve DA customers or suppliers. </w:t>
      </w:r>
      <w:r w:rsidR="00AC71BE">
        <w:t xml:space="preserve"> </w:t>
      </w:r>
      <w:r w:rsidRPr="00C52014">
        <w:t xml:space="preserve">PG&amp;E has already provided the supplement AL 5354-E-A in response to </w:t>
      </w:r>
      <w:r w:rsidR="00F0470B">
        <w:t xml:space="preserve">the </w:t>
      </w:r>
      <w:r w:rsidRPr="00C52014">
        <w:t xml:space="preserve">protest, which adopted AReM’s recommendations. </w:t>
      </w:r>
      <w:r w:rsidR="00AC71BE">
        <w:t xml:space="preserve"> </w:t>
      </w:r>
      <w:r w:rsidRPr="00C52014">
        <w:t xml:space="preserve">The </w:t>
      </w:r>
      <w:r w:rsidRPr="001F28F2">
        <w:rPr>
          <w:strike/>
          <w:color w:val="FF0000"/>
        </w:rPr>
        <w:t>p</w:t>
      </w:r>
      <w:r w:rsidRPr="00C52014">
        <w:t xml:space="preserve">revisions proposed by </w:t>
      </w:r>
      <w:r w:rsidRPr="00761287">
        <w:rPr>
          <w:strike/>
          <w:color w:val="FF0000"/>
        </w:rPr>
        <w:t>AL 5354-E-A</w:t>
      </w:r>
      <w:r w:rsidRPr="00C52014">
        <w:t xml:space="preserve"> </w:t>
      </w:r>
      <w:r w:rsidRPr="00486515" w:rsidR="6834AFB1">
        <w:rPr>
          <w:color w:val="FF0000"/>
          <w:u w:val="single"/>
        </w:rPr>
        <w:t xml:space="preserve">the </w:t>
      </w:r>
      <w:r w:rsidRPr="00486515" w:rsidR="6834AFB1">
        <w:rPr>
          <w:color w:val="FF0000"/>
          <w:u w:val="single"/>
        </w:rPr>
        <w:lastRenderedPageBreak/>
        <w:t xml:space="preserve">supplement </w:t>
      </w:r>
      <w:proofErr w:type="gramStart"/>
      <w:r w:rsidRPr="00C52014">
        <w:t>are</w:t>
      </w:r>
      <w:proofErr w:type="gramEnd"/>
      <w:r w:rsidRPr="00C52014">
        <w:t xml:space="preserve"> approved</w:t>
      </w:r>
      <w:r w:rsidR="00F0470B">
        <w:t>,</w:t>
      </w:r>
      <w:r w:rsidRPr="00C52014">
        <w:t xml:space="preserve"> and we order the resubmission by SCE and SDG&amp;E’s of tariff sheets reflecting revisions similar to those in PG&amp;E AL 5354-E-A. </w:t>
      </w:r>
    </w:p>
    <w:p w:rsidRPr="00C52014" w:rsidR="00AA54B1" w:rsidP="0023139A" w:rsidRDefault="00AA54B1" w14:paraId="4A36595C" w14:textId="77777777">
      <w:pPr>
        <w:autoSpaceDE w:val="0"/>
        <w:autoSpaceDN w:val="0"/>
        <w:adjustRightInd w:val="0"/>
        <w:spacing w:line="276" w:lineRule="auto"/>
      </w:pPr>
    </w:p>
    <w:p w:rsidRPr="00C52014" w:rsidR="00AA54B1" w:rsidP="0023139A" w:rsidRDefault="00DE1D95" w14:paraId="220EEAED" w14:textId="0D50E1E6">
      <w:pPr>
        <w:autoSpaceDE w:val="0"/>
        <w:autoSpaceDN w:val="0"/>
        <w:adjustRightInd w:val="0"/>
        <w:spacing w:after="60" w:line="276" w:lineRule="auto"/>
        <w:rPr>
          <w:b/>
          <w:bCs/>
        </w:rPr>
      </w:pPr>
      <w:r>
        <w:rPr>
          <w:b/>
          <w:bCs/>
          <w:sz w:val="28"/>
          <w:szCs w:val="22"/>
          <w:u w:val="single"/>
        </w:rPr>
        <w:t xml:space="preserve">3.  </w:t>
      </w:r>
      <w:r w:rsidRPr="00C52014" w:rsidR="00AA54B1">
        <w:rPr>
          <w:b/>
          <w:bCs/>
          <w:sz w:val="28"/>
          <w:szCs w:val="22"/>
          <w:u w:val="single"/>
        </w:rPr>
        <w:t>Conditions under which FSR instruments are activated</w:t>
      </w:r>
    </w:p>
    <w:p w:rsidRPr="00C52014" w:rsidR="00AA54B1" w:rsidP="0023139A" w:rsidRDefault="00AA54B1" w14:paraId="31574B08" w14:textId="114E2058">
      <w:pPr>
        <w:tabs>
          <w:tab w:val="left" w:pos="0"/>
        </w:tabs>
        <w:autoSpaceDE w:val="0"/>
        <w:autoSpaceDN w:val="0"/>
        <w:adjustRightInd w:val="0"/>
        <w:spacing w:after="60" w:line="276" w:lineRule="auto"/>
      </w:pPr>
      <w:r w:rsidRPr="00C52014">
        <w:t xml:space="preserve">CalCCA argues that the revised tariffs should be clearer and more specific with respect to the limited conditions under which the </w:t>
      </w:r>
      <w:r w:rsidR="00013FE0">
        <w:t>financial security</w:t>
      </w:r>
      <w:r w:rsidRPr="00C52014" w:rsidR="00013FE0">
        <w:t xml:space="preserve"> </w:t>
      </w:r>
      <w:r w:rsidRPr="00C52014">
        <w:t>instruments may be activated</w:t>
      </w:r>
      <w:r w:rsidRPr="00486515" w:rsidR="00A912B4">
        <w:rPr>
          <w:color w:val="FF0000"/>
          <w:u w:val="single"/>
        </w:rPr>
        <w:t xml:space="preserve"> and </w:t>
      </w:r>
      <w:r w:rsidRPr="00486515" w:rsidR="00740BC5">
        <w:rPr>
          <w:color w:val="FF0000"/>
          <w:u w:val="single"/>
        </w:rPr>
        <w:t>drawn</w:t>
      </w:r>
      <w:r w:rsidRPr="00486515" w:rsidR="00A912B4">
        <w:rPr>
          <w:color w:val="FF0000"/>
          <w:u w:val="single"/>
        </w:rPr>
        <w:t xml:space="preserve"> on</w:t>
      </w:r>
      <w:r w:rsidRPr="00C52014">
        <w:t xml:space="preserve">. </w:t>
      </w:r>
      <w:r w:rsidR="00AC71BE">
        <w:t xml:space="preserve"> </w:t>
      </w:r>
      <w:r w:rsidRPr="00C52014">
        <w:t>CalCCA argues that the tariffs should include details of the discrete actions and specific events</w:t>
      </w:r>
      <w:r w:rsidR="00F0470B">
        <w:t>,</w:t>
      </w:r>
      <w:r w:rsidRPr="00C52014">
        <w:t xml:space="preserve"> triggering </w:t>
      </w:r>
      <w:r w:rsidR="00F0470B">
        <w:t xml:space="preserve">the </w:t>
      </w:r>
      <w:r w:rsidRPr="00C52014">
        <w:t xml:space="preserve">activation of the </w:t>
      </w:r>
      <w:r w:rsidR="00322B91">
        <w:t>financial security</w:t>
      </w:r>
      <w:r w:rsidRPr="00C52014" w:rsidR="00322B91">
        <w:t xml:space="preserve"> </w:t>
      </w:r>
      <w:r w:rsidRPr="00C52014">
        <w:t>instrument</w:t>
      </w:r>
      <w:r w:rsidR="00013FE0">
        <w:t>.</w:t>
      </w:r>
      <w:r w:rsidRPr="00C52014">
        <w:t xml:space="preserve"> </w:t>
      </w:r>
      <w:r w:rsidR="00AC71BE">
        <w:t xml:space="preserve"> </w:t>
      </w:r>
      <w:r w:rsidRPr="00C52014">
        <w:t xml:space="preserve">CalCCA requests activation of the FSR </w:t>
      </w:r>
      <w:r w:rsidR="00F0470B">
        <w:t xml:space="preserve">to </w:t>
      </w:r>
      <w:r w:rsidRPr="00C52014">
        <w:t>occur by mutual written agreement between the IOU and the CCA or by order of the CPUC.</w:t>
      </w:r>
      <w:r w:rsidR="009426BC">
        <w:t xml:space="preserve"> </w:t>
      </w:r>
    </w:p>
    <w:p w:rsidRPr="00C52014" w:rsidR="00AA54B1" w:rsidP="0023139A" w:rsidRDefault="00AA54B1" w14:paraId="7CE64FF0" w14:textId="77777777">
      <w:pPr>
        <w:tabs>
          <w:tab w:val="left" w:pos="0"/>
        </w:tabs>
        <w:autoSpaceDE w:val="0"/>
        <w:autoSpaceDN w:val="0"/>
        <w:adjustRightInd w:val="0"/>
        <w:spacing w:after="60" w:line="276" w:lineRule="auto"/>
      </w:pPr>
    </w:p>
    <w:p w:rsidRPr="00C52014" w:rsidR="00AA54B1" w:rsidP="0023139A" w:rsidRDefault="00AA54B1" w14:paraId="2A95A8D1" w14:textId="77777777">
      <w:pPr>
        <w:tabs>
          <w:tab w:val="left" w:pos="0"/>
        </w:tabs>
        <w:autoSpaceDE w:val="0"/>
        <w:autoSpaceDN w:val="0"/>
        <w:adjustRightInd w:val="0"/>
        <w:spacing w:after="60" w:line="276" w:lineRule="auto"/>
        <w:rPr>
          <w:b/>
          <w:bCs/>
        </w:rPr>
      </w:pPr>
      <w:r w:rsidRPr="00C52014">
        <w:rPr>
          <w:b/>
          <w:bCs/>
        </w:rPr>
        <w:t>Reply</w:t>
      </w:r>
    </w:p>
    <w:p w:rsidRPr="00C52014" w:rsidR="00AA54B1" w:rsidP="0023139A" w:rsidRDefault="00AA54B1" w14:paraId="4A7A32DE" w14:textId="1C0D10ED">
      <w:pPr>
        <w:autoSpaceDE w:val="0"/>
        <w:autoSpaceDN w:val="0"/>
        <w:adjustRightInd w:val="0"/>
        <w:spacing w:after="60" w:line="276" w:lineRule="auto"/>
      </w:pPr>
      <w:r w:rsidRPr="00C52014">
        <w:t xml:space="preserve">The Joint Utilities respond that requiring CPUC action to activate the FSR would be unnecessary, procedurally improper, and would nullify the protections of the FSR. </w:t>
      </w:r>
      <w:r w:rsidR="00166E0B">
        <w:t xml:space="preserve"> </w:t>
      </w:r>
      <w:r w:rsidRPr="00C52014">
        <w:t xml:space="preserve">They contend that the CalCCA’s recommendation seeks to modify D.18-05-022 by imposing new restrictions on the ability of the IOU to call on the CCA’s financial security instrument. </w:t>
      </w:r>
      <w:r w:rsidR="00166E0B">
        <w:t xml:space="preserve"> </w:t>
      </w:r>
      <w:r w:rsidRPr="00C52014">
        <w:t>The Joint Utilities argue that the proposals are consistent with the way the ESP FSR and reentry fees are administered</w:t>
      </w:r>
      <w:r w:rsidR="00B74927">
        <w:t>,</w:t>
      </w:r>
      <w:r w:rsidRPr="00C52014">
        <w:t xml:space="preserve"> and the rights and obligations of the parties of the CCA FSR will be governed by the commercial terms of the financial security instrument itself, which will be subject to mutual agreement.</w:t>
      </w:r>
    </w:p>
    <w:p w:rsidRPr="00C52014" w:rsidR="00AA54B1" w:rsidP="0023139A" w:rsidRDefault="00AA54B1" w14:paraId="4CFE396D" w14:textId="77777777">
      <w:pPr>
        <w:spacing w:line="276" w:lineRule="auto"/>
      </w:pPr>
    </w:p>
    <w:p w:rsidRPr="00C52014" w:rsidR="00AA54B1" w:rsidP="0023139A" w:rsidRDefault="00AA54B1" w14:paraId="4FEDEF13" w14:textId="77777777">
      <w:pPr>
        <w:spacing w:line="276" w:lineRule="auto"/>
        <w:rPr>
          <w:b/>
          <w:bCs/>
        </w:rPr>
      </w:pPr>
      <w:r w:rsidRPr="00C52014">
        <w:rPr>
          <w:b/>
          <w:bCs/>
        </w:rPr>
        <w:t>Discussion</w:t>
      </w:r>
    </w:p>
    <w:p w:rsidRPr="00320758" w:rsidR="001F0AFF" w:rsidP="0023139A" w:rsidRDefault="00AA54B1" w14:paraId="41A779D6" w14:textId="0E85B4E7">
      <w:pPr>
        <w:spacing w:line="276" w:lineRule="auto"/>
        <w:rPr>
          <w:strike/>
          <w:color w:val="FF0000"/>
        </w:rPr>
      </w:pPr>
      <w:r w:rsidRPr="00320758">
        <w:rPr>
          <w:strike/>
          <w:color w:val="FF0000"/>
        </w:rPr>
        <w:t>D.18-05-015 found that accurately predicting the timing and manner of a mass involuntary return of CCA customers to IOU service is not feasible. The decision did not provide specific conditions by which FSR instruments are activated</w:t>
      </w:r>
    </w:p>
    <w:p w:rsidRPr="00320758" w:rsidR="00AA54B1" w:rsidP="0023139A" w:rsidRDefault="00AA54B1" w14:paraId="75F99BFE" w14:textId="08FD5EBD">
      <w:pPr>
        <w:spacing w:line="276" w:lineRule="auto"/>
        <w:rPr>
          <w:strike/>
          <w:color w:val="FF0000"/>
        </w:rPr>
      </w:pPr>
      <w:r w:rsidRPr="00320758">
        <w:rPr>
          <w:strike/>
          <w:color w:val="FF0000"/>
        </w:rPr>
        <w:t xml:space="preserve"> </w:t>
      </w:r>
      <w:r w:rsidRPr="00320758" w:rsidR="00013FE0">
        <w:rPr>
          <w:strike/>
          <w:color w:val="FF0000"/>
        </w:rPr>
        <w:t xml:space="preserve">Nevertheless, </w:t>
      </w:r>
      <w:r w:rsidRPr="00320758" w:rsidR="00B8040D">
        <w:rPr>
          <w:strike/>
          <w:color w:val="FF0000"/>
        </w:rPr>
        <w:t>we agree that the activation of the FSR should not be unilateral action by the IOU</w:t>
      </w:r>
      <w:r w:rsidRPr="00320758" w:rsidR="00B95172">
        <w:rPr>
          <w:strike/>
          <w:color w:val="FF0000"/>
        </w:rPr>
        <w:t xml:space="preserve">; </w:t>
      </w:r>
      <w:r w:rsidRPr="00320758" w:rsidR="00B8040D">
        <w:rPr>
          <w:strike/>
          <w:color w:val="FF0000"/>
        </w:rPr>
        <w:t xml:space="preserve">it requires </w:t>
      </w:r>
      <w:r w:rsidRPr="00320758" w:rsidR="00F0470B">
        <w:rPr>
          <w:strike/>
          <w:color w:val="FF0000"/>
        </w:rPr>
        <w:t xml:space="preserve">a </w:t>
      </w:r>
      <w:r w:rsidRPr="00320758" w:rsidR="00B8040D">
        <w:rPr>
          <w:strike/>
          <w:color w:val="FF0000"/>
        </w:rPr>
        <w:t xml:space="preserve">mutual written agreement between the IOU and the CCA or </w:t>
      </w:r>
      <w:r w:rsidRPr="00320758" w:rsidR="002345B3">
        <w:rPr>
          <w:strike/>
          <w:color w:val="FF0000"/>
        </w:rPr>
        <w:t>approval</w:t>
      </w:r>
      <w:r w:rsidRPr="00320758" w:rsidR="00B8040D">
        <w:rPr>
          <w:strike/>
          <w:color w:val="FF0000"/>
        </w:rPr>
        <w:t xml:space="preserve"> </w:t>
      </w:r>
      <w:r w:rsidRPr="00320758" w:rsidR="00B74927">
        <w:rPr>
          <w:strike/>
          <w:color w:val="FF0000"/>
        </w:rPr>
        <w:t xml:space="preserve">of </w:t>
      </w:r>
      <w:r w:rsidRPr="00320758" w:rsidR="00B8040D">
        <w:rPr>
          <w:strike/>
          <w:color w:val="FF0000"/>
        </w:rPr>
        <w:t xml:space="preserve">the CPUC. The </w:t>
      </w:r>
      <w:r w:rsidRPr="00320758" w:rsidR="00013FE0">
        <w:rPr>
          <w:strike/>
          <w:color w:val="FF0000"/>
        </w:rPr>
        <w:t xml:space="preserve">IOUs should resubmit tariffs to clarify that activation of the FSR requires </w:t>
      </w:r>
      <w:r w:rsidRPr="00320758" w:rsidR="00F42089">
        <w:rPr>
          <w:strike/>
          <w:color w:val="FF0000"/>
        </w:rPr>
        <w:t xml:space="preserve">CPUC approval through a Tier </w:t>
      </w:r>
      <w:r w:rsidRPr="00320758" w:rsidR="00284332">
        <w:rPr>
          <w:strike/>
          <w:color w:val="FF0000"/>
        </w:rPr>
        <w:t xml:space="preserve">1 </w:t>
      </w:r>
      <w:r w:rsidRPr="00320758" w:rsidR="00F42089">
        <w:rPr>
          <w:strike/>
          <w:color w:val="FF0000"/>
        </w:rPr>
        <w:t>AL.</w:t>
      </w:r>
    </w:p>
    <w:p w:rsidR="00EA541D" w:rsidP="0023139A" w:rsidRDefault="00EA541D" w14:paraId="3FFA8F83" w14:textId="77777777">
      <w:pPr>
        <w:spacing w:line="276" w:lineRule="auto"/>
      </w:pPr>
    </w:p>
    <w:p w:rsidRPr="00486515" w:rsidR="000F2EA6" w:rsidP="000F2EA6" w:rsidRDefault="000F2EA6" w14:paraId="39ACE4EB" w14:textId="175A0468">
      <w:pPr>
        <w:autoSpaceDE w:val="0"/>
        <w:autoSpaceDN w:val="0"/>
        <w:adjustRightInd w:val="0"/>
        <w:spacing w:after="60" w:line="276" w:lineRule="auto"/>
        <w:rPr>
          <w:color w:val="FF0000"/>
          <w:u w:val="single"/>
        </w:rPr>
      </w:pPr>
      <w:r w:rsidRPr="00486515">
        <w:rPr>
          <w:color w:val="FF0000"/>
          <w:u w:val="single"/>
        </w:rPr>
        <w:t>P.U. Code 394.25(e) specifically requires the CCA “to post a bond or demonstrate insurance sufficient to cover those reentry fees” to avoid imposing costs on other customers in the event that the customers are involuntarily returned.</w:t>
      </w:r>
    </w:p>
    <w:p w:rsidRPr="00486515" w:rsidR="000F2EA6" w:rsidP="000F2EA6" w:rsidRDefault="000F2EA6" w14:paraId="38D6D57A" w14:textId="77777777">
      <w:pPr>
        <w:spacing w:line="276" w:lineRule="auto"/>
        <w:rPr>
          <w:color w:val="FF0000"/>
          <w:u w:val="single"/>
        </w:rPr>
      </w:pPr>
    </w:p>
    <w:p w:rsidRPr="00486515" w:rsidR="000F2EA6" w:rsidP="000F2EA6" w:rsidRDefault="000F2EA6" w14:paraId="24C87573" w14:textId="420CFF9B">
      <w:pPr>
        <w:spacing w:line="276" w:lineRule="auto"/>
        <w:rPr>
          <w:color w:val="FF0000"/>
          <w:u w:val="single"/>
        </w:rPr>
      </w:pPr>
      <w:r w:rsidRPr="00486515">
        <w:rPr>
          <w:color w:val="FF0000"/>
          <w:u w:val="single"/>
        </w:rPr>
        <w:t xml:space="preserve">Therefore, the sole purpose of the FSR is to cover reentry fees in the event of an involuntary return CCA customers. </w:t>
      </w:r>
      <w:r w:rsidRPr="00486515" w:rsidR="00166E0B">
        <w:rPr>
          <w:color w:val="FF0000"/>
          <w:u w:val="single"/>
        </w:rPr>
        <w:t xml:space="preserve"> </w:t>
      </w:r>
      <w:r w:rsidRPr="00486515">
        <w:rPr>
          <w:color w:val="FF0000"/>
          <w:u w:val="single"/>
        </w:rPr>
        <w:t>As such, the CCA FSR instrument may only be drawn upon in the event of an involuntary return</w:t>
      </w:r>
      <w:r w:rsidRPr="00486515" w:rsidR="003335F2">
        <w:rPr>
          <w:color w:val="FF0000"/>
          <w:u w:val="single"/>
        </w:rPr>
        <w:t>,</w:t>
      </w:r>
      <w:r w:rsidRPr="00486515" w:rsidR="005254BE">
        <w:rPr>
          <w:color w:val="FF0000"/>
          <w:u w:val="single"/>
        </w:rPr>
        <w:t xml:space="preserve"> or as mutually agreed upon in the terms of the FSR instrument.</w:t>
      </w:r>
      <w:r w:rsidRPr="00486515">
        <w:rPr>
          <w:color w:val="FF0000"/>
          <w:u w:val="single"/>
        </w:rPr>
        <w:t xml:space="preserve"> </w:t>
      </w:r>
      <w:r w:rsidRPr="00486515" w:rsidR="00166E0B">
        <w:rPr>
          <w:color w:val="FF0000"/>
          <w:u w:val="single"/>
        </w:rPr>
        <w:t xml:space="preserve"> </w:t>
      </w:r>
      <w:r w:rsidRPr="00486515">
        <w:rPr>
          <w:color w:val="FF0000"/>
          <w:u w:val="single"/>
        </w:rPr>
        <w:t>The proposed definitions and lists of events that give rise to “involuntary return” are discussed in more detail below.</w:t>
      </w:r>
    </w:p>
    <w:p w:rsidRPr="00C52014" w:rsidR="00AA54B1" w:rsidP="0023139A" w:rsidRDefault="00AA54B1" w14:paraId="03E2554A" w14:textId="77777777">
      <w:pPr>
        <w:autoSpaceDE w:val="0"/>
        <w:autoSpaceDN w:val="0"/>
        <w:adjustRightInd w:val="0"/>
        <w:spacing w:line="276" w:lineRule="auto"/>
      </w:pPr>
    </w:p>
    <w:p w:rsidRPr="004F5BFA" w:rsidR="00AA54B1" w:rsidP="0023139A" w:rsidRDefault="00DE1D95" w14:paraId="1CEEAEA8" w14:textId="139AE7B7">
      <w:pPr>
        <w:autoSpaceDE w:val="0"/>
        <w:autoSpaceDN w:val="0"/>
        <w:adjustRightInd w:val="0"/>
        <w:spacing w:after="60" w:line="276" w:lineRule="auto"/>
      </w:pPr>
      <w:r>
        <w:rPr>
          <w:b/>
          <w:bCs/>
          <w:sz w:val="28"/>
          <w:szCs w:val="22"/>
          <w:u w:val="single"/>
        </w:rPr>
        <w:t xml:space="preserve">4.  </w:t>
      </w:r>
      <w:r w:rsidRPr="00C52014" w:rsidR="00AA54B1">
        <w:rPr>
          <w:b/>
          <w:bCs/>
          <w:sz w:val="28"/>
          <w:szCs w:val="22"/>
          <w:u w:val="single"/>
        </w:rPr>
        <w:t>Provisions considered unreasonable or unauthorized</w:t>
      </w:r>
    </w:p>
    <w:p w:rsidRPr="00C52014" w:rsidR="00AA54B1" w:rsidP="0023139A" w:rsidRDefault="00AA54B1" w14:paraId="0BAF3468" w14:textId="091CFF52">
      <w:pPr>
        <w:autoSpaceDE w:val="0"/>
        <w:autoSpaceDN w:val="0"/>
        <w:adjustRightInd w:val="0"/>
        <w:spacing w:after="60" w:line="276" w:lineRule="auto"/>
      </w:pPr>
      <w:r w:rsidRPr="00C52014">
        <w:t xml:space="preserve">CalCCA </w:t>
      </w:r>
      <w:r>
        <w:t>states</w:t>
      </w:r>
      <w:r w:rsidRPr="00C52014">
        <w:t xml:space="preserve"> that the following provisions </w:t>
      </w:r>
      <w:r w:rsidR="00172E40">
        <w:t>were not authorized by D.18-05-022</w:t>
      </w:r>
      <w:r w:rsidRPr="00C52014">
        <w:t>, and are otherwise unjust, unreasonable, or discriminatory.</w:t>
      </w:r>
      <w:r w:rsidR="00A31036">
        <w:t xml:space="preserve"> </w:t>
      </w:r>
    </w:p>
    <w:p w:rsidRPr="00C52014" w:rsidR="00AA54B1" w:rsidP="0023139A" w:rsidRDefault="00AA54B1" w14:paraId="5B7A374C" w14:textId="66B313B8">
      <w:pPr>
        <w:numPr>
          <w:ilvl w:val="0"/>
          <w:numId w:val="13"/>
        </w:numPr>
        <w:autoSpaceDE w:val="0"/>
        <w:autoSpaceDN w:val="0"/>
        <w:adjustRightInd w:val="0"/>
        <w:spacing w:before="120" w:after="120" w:line="276" w:lineRule="auto"/>
        <w:ind w:left="720"/>
      </w:pPr>
      <w:bookmarkStart w:name="_Hlk17100106" w:id="9"/>
      <w:r w:rsidRPr="00C52014">
        <w:t xml:space="preserve">The </w:t>
      </w:r>
      <w:r w:rsidR="0035402D">
        <w:t xml:space="preserve">definition and </w:t>
      </w:r>
      <w:r w:rsidRPr="00C52014">
        <w:t>list of events that give rise to an “involuntary return”</w:t>
      </w:r>
      <w:bookmarkEnd w:id="9"/>
      <w:r w:rsidRPr="00C52014">
        <w:t xml:space="preserve"> for CCA</w:t>
      </w:r>
      <w:r>
        <w:t xml:space="preserve"> </w:t>
      </w:r>
      <w:r w:rsidR="00B74927">
        <w:t>are</w:t>
      </w:r>
      <w:r w:rsidRPr="00C52014">
        <w:t xml:space="preserve"> inconsistent with </w:t>
      </w:r>
      <w:r w:rsidR="00B74927">
        <w:t xml:space="preserve">the </w:t>
      </w:r>
      <w:r w:rsidRPr="00C52014">
        <w:t>definition used for DA customers</w:t>
      </w:r>
      <w:r w:rsidR="00821246">
        <w:t xml:space="preserve"> and</w:t>
      </w:r>
      <w:r w:rsidR="00535C13">
        <w:t xml:space="preserve"> has been modified to be more open</w:t>
      </w:r>
      <w:r w:rsidR="00B74927">
        <w:t>-</w:t>
      </w:r>
      <w:r w:rsidR="00535C13">
        <w:t>ended for CCAs.</w:t>
      </w:r>
    </w:p>
    <w:p w:rsidRPr="00C52014" w:rsidR="00AA54B1" w:rsidP="0023139A" w:rsidRDefault="00AA54B1" w14:paraId="68BC6AE5" w14:textId="1B3921B6">
      <w:pPr>
        <w:autoSpaceDE w:val="0"/>
        <w:autoSpaceDN w:val="0"/>
        <w:adjustRightInd w:val="0"/>
        <w:spacing w:before="120" w:after="120" w:line="276" w:lineRule="auto"/>
        <w:ind w:left="720"/>
      </w:pPr>
      <w:r w:rsidRPr="00C52014">
        <w:t>In reply, the Joint Utilities state that the list and proceeding language are what is currently approved in SCE Electric Rule No. 22 for Direct Access customers and has been carried forward for consistency purposes.</w:t>
      </w:r>
      <w:r w:rsidRPr="00420533">
        <w:rPr>
          <w:vertAlign w:val="superscript"/>
        </w:rPr>
        <w:footnoteReference w:id="9"/>
      </w:r>
    </w:p>
    <w:p w:rsidRPr="00C52014" w:rsidR="00AA54B1" w:rsidP="0023139A" w:rsidRDefault="00AA54B1" w14:paraId="1F5DC276" w14:textId="5A909914">
      <w:pPr>
        <w:numPr>
          <w:ilvl w:val="0"/>
          <w:numId w:val="13"/>
        </w:numPr>
        <w:autoSpaceDE w:val="0"/>
        <w:autoSpaceDN w:val="0"/>
        <w:adjustRightInd w:val="0"/>
        <w:spacing w:before="120" w:after="120" w:line="276" w:lineRule="auto"/>
        <w:ind w:left="720"/>
      </w:pPr>
      <w:r w:rsidRPr="00C52014">
        <w:t xml:space="preserve">Provisions </w:t>
      </w:r>
      <w:r w:rsidR="005A1711">
        <w:t>requiring</w:t>
      </w:r>
      <w:r w:rsidR="0005611B">
        <w:t xml:space="preserve"> the</w:t>
      </w:r>
      <w:r w:rsidR="005A1711">
        <w:t xml:space="preserve"> financial security</w:t>
      </w:r>
      <w:r w:rsidRPr="00C52014">
        <w:t xml:space="preserve"> issuer or bank </w:t>
      </w:r>
      <w:r w:rsidR="005A1711">
        <w:t xml:space="preserve">to </w:t>
      </w:r>
      <w:r w:rsidRPr="00C52014">
        <w:t>meet the subjective requirements of being acceptable and satisfactory to the IOU</w:t>
      </w:r>
      <w:r w:rsidR="005A1711">
        <w:t>, which risk IOU manipulation and</w:t>
      </w:r>
      <w:r w:rsidRPr="00C52014">
        <w:t xml:space="preserve"> ignore</w:t>
      </w:r>
      <w:r w:rsidR="005A1711">
        <w:t>s</w:t>
      </w:r>
      <w:r w:rsidRPr="00C52014">
        <w:t xml:space="preserve"> the fact that such instruments must be mutually acceptable to all parties. </w:t>
      </w:r>
    </w:p>
    <w:p w:rsidRPr="00C52014" w:rsidR="00AA54B1" w:rsidP="0023139A" w:rsidRDefault="00AA54B1" w14:paraId="6AF9F897" w14:textId="77777777">
      <w:pPr>
        <w:autoSpaceDE w:val="0"/>
        <w:autoSpaceDN w:val="0"/>
        <w:adjustRightInd w:val="0"/>
        <w:spacing w:before="120" w:after="120" w:line="276" w:lineRule="auto"/>
        <w:ind w:left="720"/>
      </w:pPr>
      <w:r w:rsidRPr="00C52014">
        <w:t xml:space="preserve">In reply, the Joint Utilities assert that form agreements were not submitted for CPUC approval but intended to set forth the commercial terms that </w:t>
      </w:r>
      <w:r w:rsidRPr="00C52014">
        <w:lastRenderedPageBreak/>
        <w:t>have previously been approved by the CPUC and used by the Joint Utilities for other commercial transactions.</w:t>
      </w:r>
    </w:p>
    <w:p w:rsidRPr="00C52014" w:rsidR="00AA54B1" w:rsidP="0023139A" w:rsidRDefault="00AA54B1" w14:paraId="4F0976D2" w14:textId="7F085D32">
      <w:pPr>
        <w:numPr>
          <w:ilvl w:val="0"/>
          <w:numId w:val="13"/>
        </w:numPr>
        <w:autoSpaceDE w:val="0"/>
        <w:autoSpaceDN w:val="0"/>
        <w:adjustRightInd w:val="0"/>
        <w:spacing w:before="120" w:after="120" w:line="276" w:lineRule="auto"/>
        <w:ind w:left="720"/>
      </w:pPr>
      <w:r w:rsidRPr="00C52014">
        <w:t xml:space="preserve">Allowing the IOUs to dictate the terms of the FSR by approving the IOUs submitted Letter of Credit, Surety Bond, and Escrow Agreement as </w:t>
      </w:r>
      <w:r w:rsidR="00B74927">
        <w:t xml:space="preserve">a </w:t>
      </w:r>
      <w:r w:rsidRPr="00C52014">
        <w:t>standard set of forms.</w:t>
      </w:r>
    </w:p>
    <w:p w:rsidRPr="00C52014" w:rsidR="00AA54B1" w:rsidP="0023139A" w:rsidRDefault="00AA54B1" w14:paraId="392045A2" w14:textId="598B5EE8">
      <w:pPr>
        <w:autoSpaceDE w:val="0"/>
        <w:autoSpaceDN w:val="0"/>
        <w:adjustRightInd w:val="0"/>
        <w:spacing w:before="120" w:after="120" w:line="276" w:lineRule="auto"/>
        <w:ind w:left="720"/>
      </w:pPr>
      <w:r w:rsidRPr="00C52014">
        <w:t>In reply, the Joint Utilities state that the CPUC should not direct the CCAs to provide their own form agreements as CalCCA proposes.  They argue that the time to litigate the form of the CCA financial security instruments for the CPUC’s approval was in the underlying proceeding, and the terms and conditions should remain negotiable, as issuers are not parties to these proceedings.</w:t>
      </w:r>
    </w:p>
    <w:p w:rsidRPr="00C52014" w:rsidR="00AA54B1" w:rsidP="0023139A" w:rsidRDefault="00AA54B1" w14:paraId="22326A68" w14:textId="77777777">
      <w:pPr>
        <w:numPr>
          <w:ilvl w:val="0"/>
          <w:numId w:val="13"/>
        </w:numPr>
        <w:autoSpaceDE w:val="0"/>
        <w:autoSpaceDN w:val="0"/>
        <w:adjustRightInd w:val="0"/>
        <w:spacing w:before="120" w:after="120" w:line="276" w:lineRule="auto"/>
        <w:ind w:left="720"/>
      </w:pPr>
      <w:r w:rsidRPr="00C52014">
        <w:t>The IOUs’ declaration of their right to withhold CCA customer payment remittances from the CCA for unpaid Reentry Fees.</w:t>
      </w:r>
    </w:p>
    <w:p w:rsidRPr="00C52014" w:rsidR="00AA54B1" w:rsidP="0023139A" w:rsidRDefault="00AA54B1" w14:paraId="2593C1B5" w14:textId="26A4F390">
      <w:pPr>
        <w:autoSpaceDE w:val="0"/>
        <w:autoSpaceDN w:val="0"/>
        <w:adjustRightInd w:val="0"/>
        <w:spacing w:before="120" w:after="120" w:line="276" w:lineRule="auto"/>
        <w:ind w:left="720"/>
      </w:pPr>
      <w:r w:rsidRPr="00C52014">
        <w:t>In reply, the Joint IOUs state that the current tariffs already provide the right to withhold and offset CCA customer payment remittances until the CCA pays a</w:t>
      </w:r>
      <w:r w:rsidR="00E908D6">
        <w:t>n</w:t>
      </w:r>
      <w:r w:rsidRPr="00C52014">
        <w:t xml:space="preserve"> IOU for all costs associated with a voluntary or involuntary service termination. </w:t>
      </w:r>
      <w:r w:rsidR="006F54F6">
        <w:t xml:space="preserve"> </w:t>
      </w:r>
      <w:r w:rsidRPr="00C52014">
        <w:t>The Joint Utilities contend that the ALs add language making this expressly clear and reiterate that the FSR is not equivalent to the entire reentry fee obligation.</w:t>
      </w:r>
    </w:p>
    <w:p w:rsidRPr="00C52014" w:rsidR="00AA54B1" w:rsidP="0023139A" w:rsidRDefault="000C1D25" w14:paraId="307B0ECD" w14:textId="1889A7BF">
      <w:pPr>
        <w:numPr>
          <w:ilvl w:val="0"/>
          <w:numId w:val="13"/>
        </w:numPr>
        <w:autoSpaceDE w:val="0"/>
        <w:autoSpaceDN w:val="0"/>
        <w:adjustRightInd w:val="0"/>
        <w:spacing w:before="120" w:after="120" w:line="276" w:lineRule="auto"/>
        <w:ind w:left="720"/>
        <w:rPr>
          <w:bCs/>
        </w:rPr>
      </w:pPr>
      <w:r w:rsidRPr="00C52014">
        <w:t xml:space="preserve">The IOUs’ declaration of their right </w:t>
      </w:r>
      <w:r>
        <w:t xml:space="preserve">to </w:t>
      </w:r>
      <w:r w:rsidRPr="00C52014" w:rsidR="00AA54B1">
        <w:rPr>
          <w:bCs/>
        </w:rPr>
        <w:t>termina</w:t>
      </w:r>
      <w:r>
        <w:rPr>
          <w:bCs/>
        </w:rPr>
        <w:t>te</w:t>
      </w:r>
      <w:r w:rsidRPr="00C52014" w:rsidR="00AA54B1">
        <w:rPr>
          <w:bCs/>
        </w:rPr>
        <w:t xml:space="preserve"> a CCA’s service should it fail to timely post an FSR.</w:t>
      </w:r>
    </w:p>
    <w:p w:rsidRPr="00C52014" w:rsidR="00AA54B1" w:rsidP="00462836" w:rsidRDefault="00AA54B1" w14:paraId="4CF47D97" w14:textId="2986E43A">
      <w:pPr>
        <w:spacing w:line="276" w:lineRule="auto"/>
        <w:ind w:left="720"/>
        <w:contextualSpacing/>
        <w:rPr>
          <w:bCs/>
        </w:rPr>
      </w:pPr>
      <w:r w:rsidRPr="00C52014">
        <w:t>In reply, the Joint Utilities argue that</w:t>
      </w:r>
      <w:r w:rsidRPr="00C52014" w:rsidDel="00906509">
        <w:t xml:space="preserve"> </w:t>
      </w:r>
      <w:r w:rsidRPr="00C52014">
        <w:t>the process sets forth requirements that must be met for the CPUC to order an involuntary service termination, and provides notice, an opportunity to be heard,</w:t>
      </w:r>
      <w:r w:rsidR="00B74927">
        <w:t xml:space="preserve"> and</w:t>
      </w:r>
      <w:r w:rsidRPr="00C52014">
        <w:t xml:space="preserve"> other reasonable due process that ensure any remedy granted thereunder would be reasonable and proportionate to the CCA failure at hand. </w:t>
      </w:r>
    </w:p>
    <w:p w:rsidRPr="00C52014" w:rsidR="00AA54B1" w:rsidDel="00A31036" w:rsidP="0023139A" w:rsidRDefault="00AA54B1" w14:paraId="5A82D78E" w14:textId="41BFEF45">
      <w:pPr>
        <w:numPr>
          <w:ilvl w:val="0"/>
          <w:numId w:val="13"/>
        </w:numPr>
        <w:autoSpaceDE w:val="0"/>
        <w:autoSpaceDN w:val="0"/>
        <w:adjustRightInd w:val="0"/>
        <w:spacing w:before="120" w:after="120" w:line="276" w:lineRule="auto"/>
        <w:ind w:left="720"/>
      </w:pPr>
      <w:r w:rsidRPr="00C52014" w:rsidDel="00A31036">
        <w:lastRenderedPageBreak/>
        <w:t xml:space="preserve">The IOUs proposed </w:t>
      </w:r>
      <w:r w:rsidR="00B74927">
        <w:t xml:space="preserve">the </w:t>
      </w:r>
      <w:r w:rsidRPr="00C52014" w:rsidDel="00A31036">
        <w:t>use of the actual incremental administrative costs rather than forecasted costs for purposes of calculating the reentry fee for voluntary returns.</w:t>
      </w:r>
      <w:r w:rsidRPr="00C52014" w:rsidDel="00A31036">
        <w:rPr>
          <w:rStyle w:val="FootnoteReference"/>
        </w:rPr>
        <w:footnoteReference w:id="10"/>
      </w:r>
    </w:p>
    <w:p w:rsidRPr="00C52014" w:rsidR="00AA54B1" w:rsidDel="00A31036" w:rsidP="0023139A" w:rsidRDefault="00AA54B1" w14:paraId="68944A49" w14:textId="7940AAFB">
      <w:pPr>
        <w:spacing w:line="276" w:lineRule="auto"/>
        <w:ind w:left="720"/>
        <w:contextualSpacing/>
      </w:pPr>
      <w:r w:rsidRPr="00C52014" w:rsidDel="00A31036">
        <w:t>In reply, the Joint Utilities state that the provision is based on the Joint Utilities’ proposed method for calculating reentry fees in the underlying litigation</w:t>
      </w:r>
      <w:r w:rsidRPr="005234FD" w:rsidR="005234FD">
        <w:t xml:space="preserve"> </w:t>
      </w:r>
      <w:r w:rsidR="005234FD">
        <w:t xml:space="preserve">in </w:t>
      </w:r>
      <w:r w:rsidRPr="00FE7636" w:rsidR="005234FD">
        <w:t>R</w:t>
      </w:r>
      <w:r w:rsidR="005234FD">
        <w:t xml:space="preserve">ulemaking </w:t>
      </w:r>
      <w:r w:rsidRPr="00FE7636" w:rsidR="005234FD">
        <w:t>03</w:t>
      </w:r>
      <w:r w:rsidR="005234FD">
        <w:t>-</w:t>
      </w:r>
      <w:r w:rsidRPr="00FE7636" w:rsidR="005234FD">
        <w:t>10</w:t>
      </w:r>
      <w:r w:rsidR="005234FD">
        <w:t>-</w:t>
      </w:r>
      <w:r w:rsidRPr="00FE7636" w:rsidR="005234FD">
        <w:t>003</w:t>
      </w:r>
      <w:r w:rsidRPr="00C52014" w:rsidDel="00A31036">
        <w:t>.</w:t>
      </w:r>
      <w:r w:rsidR="00AF08A2">
        <w:rPr>
          <w:rStyle w:val="FootnoteReference"/>
        </w:rPr>
        <w:footnoteReference w:id="11"/>
      </w:r>
      <w:r w:rsidRPr="00C52014" w:rsidDel="00A31036">
        <w:t xml:space="preserve"> The Joint Utilities further argue that reentry fees arising from an involuntary return are, by their nature, open-ended due to the time of the involuntary return, number of service accounts, and the market conditions. </w:t>
      </w:r>
      <w:r w:rsidR="006F54F6">
        <w:t xml:space="preserve"> </w:t>
      </w:r>
      <w:r w:rsidRPr="00C52014" w:rsidDel="00A31036">
        <w:t xml:space="preserve">The Joint Utilities contend that the statute and underlying CPUC decisions all make clear that cost-shifting to bundled service customers as a result of a CCA’s involuntary return of CCA customers to the IOU is prohibited. </w:t>
      </w:r>
      <w:r w:rsidR="006F54F6">
        <w:t xml:space="preserve"> </w:t>
      </w:r>
      <w:r w:rsidRPr="00C52014" w:rsidDel="00A31036">
        <w:t>The Joint Utilities state that if the IOU believes the use of the proxy amount is insufficient to cover the actual costs and can track and demonstrate the actual costs caused by the involuntary return, the IOU should be entitled to recovery for them.</w:t>
      </w:r>
    </w:p>
    <w:p w:rsidRPr="00C52014" w:rsidR="00AA54B1" w:rsidP="0023139A" w:rsidRDefault="00AA54B1" w14:paraId="4A09FD3A" w14:textId="71A20821">
      <w:pPr>
        <w:numPr>
          <w:ilvl w:val="0"/>
          <w:numId w:val="13"/>
        </w:numPr>
        <w:autoSpaceDE w:val="0"/>
        <w:autoSpaceDN w:val="0"/>
        <w:adjustRightInd w:val="0"/>
        <w:spacing w:before="120" w:after="120" w:line="276" w:lineRule="auto"/>
        <w:ind w:left="720"/>
      </w:pPr>
      <w:r w:rsidRPr="00C52014">
        <w:t xml:space="preserve">The </w:t>
      </w:r>
      <w:r w:rsidR="000C1D25">
        <w:t>establishment</w:t>
      </w:r>
      <w:r w:rsidRPr="00C52014">
        <w:t xml:space="preserve"> </w:t>
      </w:r>
      <w:r w:rsidR="00B95172">
        <w:t xml:space="preserve">of </w:t>
      </w:r>
      <w:r w:rsidRPr="00C52014">
        <w:t>an eight-month incremental procurement cost period instead of the six-month incremental procurement period</w:t>
      </w:r>
      <w:r w:rsidRPr="00BE202E" w:rsidR="00BE202E">
        <w:t xml:space="preserve"> </w:t>
      </w:r>
      <w:r w:rsidRPr="00C52014" w:rsidR="00BE202E">
        <w:t>required</w:t>
      </w:r>
      <w:r w:rsidR="00BE202E">
        <w:t xml:space="preserve"> by</w:t>
      </w:r>
      <w:r w:rsidRPr="00C52014" w:rsidR="00BE202E">
        <w:t xml:space="preserve"> D.18-05-022</w:t>
      </w:r>
      <w:r w:rsidRPr="00C52014">
        <w:t>.</w:t>
      </w:r>
    </w:p>
    <w:p w:rsidRPr="00C52014" w:rsidR="00AA54B1" w:rsidP="0023139A" w:rsidRDefault="00AA54B1" w14:paraId="7C44873D" w14:textId="7B4B10DD">
      <w:pPr>
        <w:spacing w:line="276" w:lineRule="auto"/>
        <w:ind w:left="720"/>
        <w:contextualSpacing/>
      </w:pPr>
      <w:r w:rsidRPr="00C52014">
        <w:t>In reply, the Joint Utilities explain</w:t>
      </w:r>
      <w:r w:rsidR="00B74927">
        <w:t>s</w:t>
      </w:r>
      <w:r w:rsidRPr="00C52014">
        <w:t xml:space="preserve"> that “[t]he 60 days during which the IOU calculates and demands the reentry fees is not additive to the six-month incremental procurement cost calculation...”</w:t>
      </w:r>
      <w:r w:rsidRPr="00C52014">
        <w:rPr>
          <w:rStyle w:val="FootnoteReference"/>
        </w:rPr>
        <w:footnoteReference w:id="12"/>
      </w:r>
    </w:p>
    <w:p w:rsidRPr="00C52014" w:rsidR="00AA54B1" w:rsidP="0023139A" w:rsidRDefault="00AA54B1" w14:paraId="1BF44B9C" w14:textId="67891F72">
      <w:pPr>
        <w:numPr>
          <w:ilvl w:val="0"/>
          <w:numId w:val="13"/>
        </w:numPr>
        <w:autoSpaceDE w:val="0"/>
        <w:autoSpaceDN w:val="0"/>
        <w:adjustRightInd w:val="0"/>
        <w:spacing w:before="120" w:after="120" w:line="276" w:lineRule="auto"/>
        <w:ind w:left="720"/>
      </w:pPr>
      <w:r w:rsidRPr="00C52014">
        <w:lastRenderedPageBreak/>
        <w:t xml:space="preserve">The </w:t>
      </w:r>
      <w:r w:rsidR="000C1D25">
        <w:t>CCAs</w:t>
      </w:r>
      <w:r w:rsidR="0013718C">
        <w:t xml:space="preserve"> state that the</w:t>
      </w:r>
      <w:r w:rsidR="000C1D25">
        <w:t xml:space="preserve"> </w:t>
      </w:r>
      <w:r w:rsidRPr="00C52014" w:rsidR="0013718C">
        <w:t>reentry fee liability</w:t>
      </w:r>
      <w:r w:rsidR="0013718C">
        <w:t xml:space="preserve"> is</w:t>
      </w:r>
      <w:r w:rsidRPr="00C52014" w:rsidR="0013718C">
        <w:t xml:space="preserve"> </w:t>
      </w:r>
      <w:r w:rsidRPr="00C52014">
        <w:t>open-ended</w:t>
      </w:r>
      <w:r w:rsidR="000C1D25">
        <w:t>, which</w:t>
      </w:r>
      <w:r w:rsidRPr="00C52014">
        <w:t xml:space="preserve"> is contrary to </w:t>
      </w:r>
      <w:r w:rsidR="00F0470B">
        <w:t xml:space="preserve">the </w:t>
      </w:r>
      <w:r w:rsidRPr="00C52014">
        <w:t>statutory directive and CPUC findings.</w:t>
      </w:r>
    </w:p>
    <w:p w:rsidRPr="00C52014" w:rsidR="00AA54B1" w:rsidP="0023139A" w:rsidRDefault="00AA54B1" w14:paraId="06055B8B" w14:textId="09D2F695">
      <w:pPr>
        <w:autoSpaceDE w:val="0"/>
        <w:autoSpaceDN w:val="0"/>
        <w:adjustRightInd w:val="0"/>
        <w:spacing w:before="120" w:after="120" w:line="276" w:lineRule="auto"/>
        <w:ind w:left="720"/>
      </w:pPr>
      <w:r w:rsidRPr="00C52014">
        <w:t>In reply, the Joint Utilities disagree that the CCA has no other liability exposure in an involuntary return of CCA customers to the IOU’s procurement service and that existing tariff provisions state that the CCA is responsible for all costs to the IOU caused by a CCA’s voluntary or involuntary service termination, such as system, administrative, customer communications and legal costs.</w:t>
      </w:r>
    </w:p>
    <w:p w:rsidRPr="00C52014" w:rsidR="00AA54B1" w:rsidP="0023139A" w:rsidRDefault="00AA54B1" w14:paraId="048E3778" w14:textId="77777777">
      <w:pPr>
        <w:numPr>
          <w:ilvl w:val="0"/>
          <w:numId w:val="13"/>
        </w:numPr>
        <w:autoSpaceDE w:val="0"/>
        <w:autoSpaceDN w:val="0"/>
        <w:adjustRightInd w:val="0"/>
        <w:spacing w:before="120" w:after="120" w:line="276" w:lineRule="auto"/>
        <w:ind w:left="720"/>
      </w:pPr>
      <w:r w:rsidRPr="00C52014">
        <w:t xml:space="preserve">IOU entitlement to the </w:t>
      </w:r>
      <w:bookmarkStart w:name="_Hlk43910510" w:id="10"/>
      <w:r w:rsidRPr="00C52014">
        <w:t>security interest on interest income generated by the cash deposit made by CCAs</w:t>
      </w:r>
      <w:bookmarkEnd w:id="10"/>
      <w:r w:rsidRPr="00C52014">
        <w:t>.</w:t>
      </w:r>
    </w:p>
    <w:p w:rsidRPr="00C52014" w:rsidR="00AA54B1" w:rsidP="0023139A" w:rsidRDefault="00AA54B1" w14:paraId="5EF2A20D" w14:textId="77777777">
      <w:pPr>
        <w:autoSpaceDE w:val="0"/>
        <w:autoSpaceDN w:val="0"/>
        <w:adjustRightInd w:val="0"/>
        <w:spacing w:before="120" w:after="120" w:line="276" w:lineRule="auto"/>
        <w:ind w:left="720"/>
      </w:pPr>
      <w:r w:rsidRPr="00C52014">
        <w:t>In reply, the Joint Utilities state that the provision is commercially reasonable when a CCA’s FSR may not be sufficient to cover the reentry fees in an involuntary return of the CCA customers.</w:t>
      </w:r>
    </w:p>
    <w:p w:rsidRPr="00C52014" w:rsidR="00AA54B1" w:rsidP="0023139A" w:rsidRDefault="00AA54B1" w14:paraId="2FEB1CB5" w14:textId="2C7EA215">
      <w:pPr>
        <w:numPr>
          <w:ilvl w:val="0"/>
          <w:numId w:val="13"/>
        </w:numPr>
        <w:autoSpaceDE w:val="0"/>
        <w:autoSpaceDN w:val="0"/>
        <w:adjustRightInd w:val="0"/>
        <w:spacing w:before="120" w:after="120" w:line="276" w:lineRule="auto"/>
        <w:ind w:left="720"/>
      </w:pPr>
      <w:r w:rsidRPr="00C52014">
        <w:t xml:space="preserve">Although not objected to, the additional option for a CCA to post cash directly with </w:t>
      </w:r>
      <w:r w:rsidR="005A1711">
        <w:t>the</w:t>
      </w:r>
      <w:r w:rsidRPr="00C52014">
        <w:t xml:space="preserve"> IOU in lieu of using a third</w:t>
      </w:r>
      <w:r w:rsidR="00B74927">
        <w:t>-</w:t>
      </w:r>
      <w:r w:rsidRPr="00C52014">
        <w:t>party escrow account, it observes that it has not been authorized by the CPUC and the conditions under which the deposit may be used by the IOU lack clarity.</w:t>
      </w:r>
    </w:p>
    <w:p w:rsidR="00AA54B1" w:rsidP="0023139A" w:rsidRDefault="00AA54B1" w14:paraId="69B91841" w14:textId="21AF236E">
      <w:pPr>
        <w:pStyle w:val="ListParagraph"/>
        <w:spacing w:line="276" w:lineRule="auto"/>
      </w:pPr>
      <w:r w:rsidRPr="00C52014">
        <w:t xml:space="preserve">In reply, the Joint Utilities state that the conditions under which a CCA may use a cash deposit with the IOU for its FSR </w:t>
      </w:r>
      <w:r w:rsidRPr="006E3C91">
        <w:t>do not lack clarity</w:t>
      </w:r>
      <w:r w:rsidRPr="00C52014">
        <w:t xml:space="preserve"> and will be covered by Rule 23 provisions implementing D.18-05-022 and the financial security instrument</w:t>
      </w:r>
      <w:r w:rsidR="66D7298B">
        <w:t>.</w:t>
      </w:r>
    </w:p>
    <w:p w:rsidRPr="0023139A" w:rsidR="002329A5" w:rsidP="00F75BC9" w:rsidRDefault="002329A5" w14:paraId="7DF28EF2" w14:textId="77777777">
      <w:pPr>
        <w:rPr>
          <w:b/>
          <w:bCs/>
        </w:rPr>
      </w:pPr>
    </w:p>
    <w:p w:rsidRPr="0023139A" w:rsidR="001D21EE" w:rsidP="0023139A" w:rsidRDefault="002329A5" w14:paraId="17A9E469" w14:textId="6BAC5839">
      <w:pPr>
        <w:spacing w:line="276" w:lineRule="auto"/>
        <w:rPr>
          <w:b/>
          <w:bCs/>
        </w:rPr>
      </w:pPr>
      <w:r w:rsidRPr="0023139A">
        <w:rPr>
          <w:b/>
          <w:bCs/>
        </w:rPr>
        <w:t>Discussion</w:t>
      </w:r>
    </w:p>
    <w:p w:rsidRPr="00486515" w:rsidR="00042DF9" w:rsidP="00042DF9" w:rsidRDefault="002329A5" w14:paraId="53247FF1" w14:textId="47F4FF53">
      <w:pPr>
        <w:spacing w:line="276" w:lineRule="auto"/>
        <w:rPr>
          <w:color w:val="FF0000"/>
          <w:u w:val="single"/>
        </w:rPr>
      </w:pPr>
      <w:r>
        <w:t>W</w:t>
      </w:r>
      <w:r w:rsidR="00DB77BF">
        <w:t>ith the exception of issues 1, 9 and</w:t>
      </w:r>
      <w:r w:rsidR="00F0470B">
        <w:t>,</w:t>
      </w:r>
      <w:r w:rsidR="00DB77BF">
        <w:t xml:space="preserve"> 10, we find that the IOUs</w:t>
      </w:r>
      <w:r w:rsidR="00B74927">
        <w:t>’</w:t>
      </w:r>
      <w:r w:rsidR="00DB77BF">
        <w:t xml:space="preserve"> replies </w:t>
      </w:r>
      <w:r w:rsidR="00BA2A4A">
        <w:t>reasonably addressed CalCCA</w:t>
      </w:r>
      <w:r w:rsidR="00B74927">
        <w:t>’</w:t>
      </w:r>
      <w:r w:rsidR="00BA2A4A">
        <w:t xml:space="preserve">s protests. </w:t>
      </w:r>
      <w:r w:rsidR="006F54F6">
        <w:t xml:space="preserve"> </w:t>
      </w:r>
      <w:r w:rsidR="00BA2A4A">
        <w:t>We</w:t>
      </w:r>
      <w:r w:rsidR="00B74927">
        <w:t>, therefore,</w:t>
      </w:r>
      <w:r w:rsidR="00BA2A4A">
        <w:t xml:space="preserve"> approve the IOUs</w:t>
      </w:r>
      <w:r w:rsidR="00B74927">
        <w:t>’</w:t>
      </w:r>
      <w:r w:rsidR="00BA2A4A">
        <w:t xml:space="preserve"> tariff revision</w:t>
      </w:r>
      <w:r w:rsidR="003C27D3">
        <w:t>s</w:t>
      </w:r>
      <w:r w:rsidR="00BA2A4A">
        <w:t xml:space="preserve"> but </w:t>
      </w:r>
      <w:r w:rsidR="003C019B">
        <w:t>require</w:t>
      </w:r>
      <w:r w:rsidR="00DB77BF">
        <w:t xml:space="preserve"> the following clarifications</w:t>
      </w:r>
      <w:r w:rsidR="003C27D3">
        <w:t xml:space="preserve"> to be added</w:t>
      </w:r>
      <w:r w:rsidR="00DB77BF">
        <w:t xml:space="preserve">. </w:t>
      </w:r>
      <w:r w:rsidR="006F54F6">
        <w:t xml:space="preserve"> </w:t>
      </w:r>
      <w:r w:rsidR="00DB77BF">
        <w:t xml:space="preserve">The terms of the FSR are subject to mutual agreement by the </w:t>
      </w:r>
      <w:r w:rsidR="004D650C">
        <w:t>parties</w:t>
      </w:r>
      <w:r w:rsidR="00DB77BF">
        <w:t xml:space="preserve">. </w:t>
      </w:r>
      <w:r w:rsidR="006F54F6">
        <w:t xml:space="preserve"> </w:t>
      </w:r>
      <w:r w:rsidR="00DB77BF">
        <w:t xml:space="preserve">The IOU may not terminate </w:t>
      </w:r>
      <w:r w:rsidR="00DB77BF">
        <w:lastRenderedPageBreak/>
        <w:t xml:space="preserve">CCA service </w:t>
      </w:r>
      <w:r w:rsidRPr="00761287" w:rsidR="00DB77BF">
        <w:rPr>
          <w:strike/>
          <w:color w:val="FF0000"/>
        </w:rPr>
        <w:t>or withhold CCA funds</w:t>
      </w:r>
      <w:r w:rsidR="00DB77BF">
        <w:t xml:space="preserve"> without an order from the CPUC.</w:t>
      </w:r>
      <w:r w:rsidR="004D650C">
        <w:rPr>
          <w:rStyle w:val="FootnoteReference"/>
        </w:rPr>
        <w:footnoteReference w:id="13"/>
      </w:r>
      <w:r w:rsidR="006F54F6">
        <w:t xml:space="preserve"> </w:t>
      </w:r>
      <w:r w:rsidRPr="00486515" w:rsidR="004C3342">
        <w:rPr>
          <w:color w:val="FF0000"/>
          <w:u w:val="single"/>
        </w:rPr>
        <w:t xml:space="preserve">The IOU may only </w:t>
      </w:r>
      <w:r w:rsidRPr="00486515" w:rsidR="00D66D62">
        <w:rPr>
          <w:color w:val="FF0000"/>
          <w:u w:val="single"/>
        </w:rPr>
        <w:t xml:space="preserve">draw upon </w:t>
      </w:r>
      <w:r w:rsidRPr="00486515" w:rsidR="004C3342">
        <w:rPr>
          <w:color w:val="FF0000"/>
          <w:u w:val="single"/>
        </w:rPr>
        <w:t>CCA</w:t>
      </w:r>
      <w:r w:rsidRPr="00486515" w:rsidR="00E84337">
        <w:rPr>
          <w:color w:val="FF0000"/>
          <w:u w:val="single"/>
        </w:rPr>
        <w:t xml:space="preserve"> FSR</w:t>
      </w:r>
      <w:r w:rsidRPr="00486515" w:rsidR="004C3342">
        <w:rPr>
          <w:color w:val="FF0000"/>
          <w:u w:val="single"/>
        </w:rPr>
        <w:t xml:space="preserve"> </w:t>
      </w:r>
      <w:r w:rsidRPr="00486515" w:rsidR="00AB5433">
        <w:rPr>
          <w:color w:val="FF0000"/>
          <w:u w:val="single"/>
        </w:rPr>
        <w:t>instrument</w:t>
      </w:r>
      <w:r w:rsidRPr="00486515" w:rsidR="004C3342">
        <w:rPr>
          <w:color w:val="FF0000"/>
          <w:u w:val="single"/>
        </w:rPr>
        <w:t xml:space="preserve"> in the event of </w:t>
      </w:r>
      <w:r w:rsidRPr="00486515" w:rsidR="00B325DD">
        <w:rPr>
          <w:color w:val="FF0000"/>
          <w:u w:val="single"/>
        </w:rPr>
        <w:t xml:space="preserve">an involuntary return, as </w:t>
      </w:r>
      <w:r w:rsidRPr="00486515" w:rsidR="00326AD4">
        <w:rPr>
          <w:color w:val="FF0000"/>
          <w:u w:val="single"/>
        </w:rPr>
        <w:t>mutually agreed</w:t>
      </w:r>
      <w:r w:rsidRPr="00486515" w:rsidR="1B2E0E08">
        <w:rPr>
          <w:color w:val="FF0000"/>
          <w:u w:val="single"/>
        </w:rPr>
        <w:t>, or</w:t>
      </w:r>
      <w:r w:rsidRPr="00486515" w:rsidR="008E2A2F">
        <w:rPr>
          <w:color w:val="FF0000"/>
          <w:u w:val="single"/>
        </w:rPr>
        <w:t xml:space="preserve"> </w:t>
      </w:r>
      <w:r w:rsidRPr="00486515" w:rsidR="67342EC4">
        <w:rPr>
          <w:color w:val="FF0000"/>
          <w:u w:val="single"/>
        </w:rPr>
        <w:t xml:space="preserve">pursuant to </w:t>
      </w:r>
      <w:r w:rsidRPr="00486515" w:rsidR="0022489F">
        <w:rPr>
          <w:color w:val="FF0000"/>
          <w:u w:val="single"/>
        </w:rPr>
        <w:t>the terms of</w:t>
      </w:r>
      <w:r w:rsidRPr="00486515" w:rsidR="00326AD4">
        <w:rPr>
          <w:color w:val="FF0000"/>
          <w:u w:val="single"/>
        </w:rPr>
        <w:t xml:space="preserve"> </w:t>
      </w:r>
      <w:r w:rsidRPr="00486515" w:rsidR="00FA7310">
        <w:rPr>
          <w:color w:val="FF0000"/>
          <w:u w:val="single"/>
        </w:rPr>
        <w:t>the FSR instrument.</w:t>
      </w:r>
      <w:r w:rsidRPr="00486515" w:rsidR="006F54F6">
        <w:rPr>
          <w:color w:val="FF0000"/>
          <w:u w:val="single"/>
        </w:rPr>
        <w:t xml:space="preserve"> </w:t>
      </w:r>
      <w:r w:rsidRPr="00486515" w:rsidR="00FA7310">
        <w:rPr>
          <w:color w:val="FF0000"/>
          <w:u w:val="single"/>
        </w:rPr>
        <w:t xml:space="preserve"> </w:t>
      </w:r>
      <w:r w:rsidRPr="00486515" w:rsidR="00FC3850">
        <w:rPr>
          <w:color w:val="FF0000"/>
          <w:u w:val="single"/>
        </w:rPr>
        <w:t>If an involuntary return occurs, the IOU shall</w:t>
      </w:r>
      <w:r w:rsidRPr="00486515" w:rsidR="00C4617A">
        <w:rPr>
          <w:color w:val="FF0000"/>
          <w:u w:val="single"/>
        </w:rPr>
        <w:t xml:space="preserve"> file a Tier 1 advice letter</w:t>
      </w:r>
      <w:r w:rsidRPr="00486515" w:rsidR="00072024">
        <w:rPr>
          <w:color w:val="FF0000"/>
          <w:u w:val="single"/>
        </w:rPr>
        <w:t xml:space="preserve"> informing the CPUC </w:t>
      </w:r>
      <w:r w:rsidRPr="00486515" w:rsidR="001F7DBD">
        <w:rPr>
          <w:color w:val="FF0000"/>
          <w:u w:val="single"/>
        </w:rPr>
        <w:t xml:space="preserve">of the </w:t>
      </w:r>
      <w:r w:rsidRPr="00486515" w:rsidR="001F3CDD">
        <w:rPr>
          <w:color w:val="FF0000"/>
          <w:u w:val="single"/>
        </w:rPr>
        <w:t>occurrence</w:t>
      </w:r>
      <w:r w:rsidRPr="00486515" w:rsidR="007D55CF">
        <w:rPr>
          <w:color w:val="FF0000"/>
          <w:u w:val="single"/>
        </w:rPr>
        <w:t xml:space="preserve"> and</w:t>
      </w:r>
      <w:r w:rsidRPr="00486515" w:rsidR="00484C86">
        <w:rPr>
          <w:color w:val="FF0000"/>
          <w:u w:val="single"/>
        </w:rPr>
        <w:t xml:space="preserve"> </w:t>
      </w:r>
      <w:r w:rsidRPr="00486515" w:rsidR="00F43ECA">
        <w:rPr>
          <w:color w:val="FF0000"/>
          <w:u w:val="single"/>
        </w:rPr>
        <w:t xml:space="preserve">outlining the calculation of the reentry fees and </w:t>
      </w:r>
      <w:r w:rsidRPr="00486515" w:rsidR="00C222BE">
        <w:rPr>
          <w:color w:val="FF0000"/>
          <w:u w:val="single"/>
        </w:rPr>
        <w:t>that it needs to draw</w:t>
      </w:r>
      <w:r w:rsidRPr="00486515" w:rsidR="001032B0">
        <w:rPr>
          <w:color w:val="FF0000"/>
          <w:u w:val="single"/>
        </w:rPr>
        <w:t xml:space="preserve"> upon</w:t>
      </w:r>
      <w:r w:rsidRPr="00486515" w:rsidR="00225DF7">
        <w:rPr>
          <w:color w:val="FF0000"/>
          <w:u w:val="single"/>
        </w:rPr>
        <w:t xml:space="preserve"> the FSR </w:t>
      </w:r>
      <w:r w:rsidRPr="00486515" w:rsidR="003D3A5B">
        <w:rPr>
          <w:color w:val="FF0000"/>
          <w:u w:val="single"/>
        </w:rPr>
        <w:t>instrument</w:t>
      </w:r>
      <w:r w:rsidRPr="00486515" w:rsidR="50771BDE">
        <w:rPr>
          <w:color w:val="FF0000"/>
          <w:u w:val="single"/>
        </w:rPr>
        <w:t>. That advice letter shall</w:t>
      </w:r>
      <w:r w:rsidRPr="00486515" w:rsidR="00225DF7">
        <w:rPr>
          <w:color w:val="FF0000"/>
          <w:u w:val="single"/>
        </w:rPr>
        <w:t xml:space="preserve"> pro</w:t>
      </w:r>
      <w:r w:rsidRPr="00486515" w:rsidR="00F03931">
        <w:rPr>
          <w:color w:val="FF0000"/>
          <w:u w:val="single"/>
        </w:rPr>
        <w:t>vid</w:t>
      </w:r>
      <w:r w:rsidRPr="00486515" w:rsidR="54AC7FDF">
        <w:rPr>
          <w:color w:val="FF0000"/>
          <w:u w:val="single"/>
        </w:rPr>
        <w:t>e</w:t>
      </w:r>
      <w:r w:rsidRPr="00486515" w:rsidR="00F03931">
        <w:rPr>
          <w:color w:val="FF0000"/>
          <w:u w:val="single"/>
        </w:rPr>
        <w:t xml:space="preserve"> the ca</w:t>
      </w:r>
      <w:r w:rsidRPr="00486515" w:rsidR="00237784">
        <w:rPr>
          <w:color w:val="FF0000"/>
          <w:u w:val="single"/>
        </w:rPr>
        <w:t xml:space="preserve">lculation of </w:t>
      </w:r>
      <w:r w:rsidRPr="00486515" w:rsidR="002D66F7">
        <w:rPr>
          <w:color w:val="FF0000"/>
          <w:u w:val="single"/>
        </w:rPr>
        <w:t>reentry fees</w:t>
      </w:r>
      <w:r w:rsidRPr="00486515" w:rsidR="00230B2C">
        <w:rPr>
          <w:color w:val="FF0000"/>
          <w:u w:val="single"/>
        </w:rPr>
        <w:t xml:space="preserve"> </w:t>
      </w:r>
      <w:r w:rsidRPr="00486515" w:rsidR="00850682">
        <w:rPr>
          <w:color w:val="FF0000"/>
          <w:u w:val="single"/>
        </w:rPr>
        <w:t>to the extent</w:t>
      </w:r>
      <w:r w:rsidRPr="00486515" w:rsidR="0409F177">
        <w:rPr>
          <w:color w:val="FF0000"/>
          <w:u w:val="single"/>
        </w:rPr>
        <w:t xml:space="preserve"> possible at the time</w:t>
      </w:r>
      <w:r w:rsidRPr="00486515" w:rsidR="001F3CDD">
        <w:rPr>
          <w:color w:val="FF0000"/>
          <w:u w:val="single"/>
        </w:rPr>
        <w:t>.</w:t>
      </w:r>
      <w:r w:rsidRPr="00486515" w:rsidR="00624B3C">
        <w:rPr>
          <w:color w:val="FF0000"/>
          <w:u w:val="single"/>
        </w:rPr>
        <w:t xml:space="preserve">  Undisputed reentry fees may be collected upon approval of the advice letter.  </w:t>
      </w:r>
      <w:r w:rsidRPr="00486515" w:rsidR="00824336">
        <w:rPr>
          <w:color w:val="FF0000"/>
          <w:u w:val="single"/>
        </w:rPr>
        <w:t xml:space="preserve">The </w:t>
      </w:r>
      <w:r w:rsidRPr="00486515" w:rsidR="0028018D">
        <w:rPr>
          <w:color w:val="FF0000"/>
          <w:u w:val="single"/>
        </w:rPr>
        <w:t xml:space="preserve">IOU must refund </w:t>
      </w:r>
      <w:r w:rsidRPr="00486515" w:rsidR="00DD7046">
        <w:rPr>
          <w:color w:val="FF0000"/>
          <w:u w:val="single"/>
        </w:rPr>
        <w:t xml:space="preserve">any </w:t>
      </w:r>
      <w:r w:rsidRPr="00486515" w:rsidR="001103F8">
        <w:rPr>
          <w:color w:val="FF0000"/>
          <w:u w:val="single"/>
        </w:rPr>
        <w:t>CCA funds</w:t>
      </w:r>
      <w:r w:rsidRPr="00486515" w:rsidR="002E5DCC">
        <w:rPr>
          <w:color w:val="FF0000"/>
          <w:u w:val="single"/>
        </w:rPr>
        <w:t xml:space="preserve"> that </w:t>
      </w:r>
      <w:r w:rsidRPr="00486515" w:rsidR="003519B5">
        <w:rPr>
          <w:color w:val="FF0000"/>
          <w:u w:val="single"/>
        </w:rPr>
        <w:t xml:space="preserve">it has retained that are greater than the costs incurred, or at the time that </w:t>
      </w:r>
      <w:r w:rsidRPr="00486515" w:rsidR="00F07FD6">
        <w:rPr>
          <w:color w:val="FF0000"/>
          <w:u w:val="single"/>
        </w:rPr>
        <w:t xml:space="preserve">the FSR instrument </w:t>
      </w:r>
      <w:r w:rsidRPr="00486515" w:rsidR="00892B67">
        <w:rPr>
          <w:color w:val="FF0000"/>
          <w:u w:val="single"/>
        </w:rPr>
        <w:t>is</w:t>
      </w:r>
      <w:r w:rsidRPr="00486515" w:rsidR="00F07FD6">
        <w:rPr>
          <w:color w:val="FF0000"/>
          <w:u w:val="single"/>
        </w:rPr>
        <w:t xml:space="preserve"> repla</w:t>
      </w:r>
      <w:r w:rsidRPr="00486515" w:rsidR="005F2661">
        <w:rPr>
          <w:color w:val="FF0000"/>
          <w:u w:val="single"/>
        </w:rPr>
        <w:t>ced.</w:t>
      </w:r>
    </w:p>
    <w:p w:rsidRPr="00486515" w:rsidR="00042DF9" w:rsidP="00042DF9" w:rsidRDefault="00042DF9" w14:paraId="0515DA35" w14:textId="77777777">
      <w:pPr>
        <w:spacing w:line="276" w:lineRule="auto"/>
        <w:rPr>
          <w:color w:val="FF0000"/>
          <w:u w:val="single"/>
        </w:rPr>
      </w:pPr>
    </w:p>
    <w:p w:rsidR="00C404E6" w:rsidP="009A5A53" w:rsidRDefault="00B74BFE" w14:paraId="34BF8C51" w14:textId="72414BC0">
      <w:pPr>
        <w:spacing w:line="276" w:lineRule="auto"/>
      </w:pPr>
      <w:r w:rsidRPr="00B72C7D">
        <w:rPr>
          <w:color w:val="FF0000"/>
          <w:u w:val="single"/>
        </w:rPr>
        <w:t>Should</w:t>
      </w:r>
      <w:r w:rsidRPr="00B72C7D" w:rsidR="00042DF9">
        <w:rPr>
          <w:color w:val="FF0000"/>
          <w:u w:val="single"/>
        </w:rPr>
        <w:t xml:space="preserve"> the IOU seek to </w:t>
      </w:r>
      <w:r w:rsidRPr="00B72C7D" w:rsidR="00F55B6B">
        <w:rPr>
          <w:color w:val="FF0000"/>
          <w:u w:val="single"/>
        </w:rPr>
        <w:t>recover</w:t>
      </w:r>
      <w:r w:rsidRPr="00B72C7D" w:rsidR="00042DF9">
        <w:rPr>
          <w:color w:val="FF0000"/>
          <w:u w:val="single"/>
        </w:rPr>
        <w:t xml:space="preserve"> the actual administrative costs of an involuntary return, or if the </w:t>
      </w:r>
      <w:r w:rsidRPr="00B72C7D" w:rsidR="00153468">
        <w:rPr>
          <w:color w:val="FF0000"/>
          <w:u w:val="single"/>
        </w:rPr>
        <w:t>calculation of the</w:t>
      </w:r>
      <w:r w:rsidRPr="00B72C7D" w:rsidR="00042DF9">
        <w:rPr>
          <w:color w:val="FF0000"/>
          <w:u w:val="single"/>
        </w:rPr>
        <w:t xml:space="preserve"> reentry fee </w:t>
      </w:r>
      <w:r w:rsidRPr="00B72C7D" w:rsidR="00F95737">
        <w:rPr>
          <w:color w:val="FF0000"/>
          <w:u w:val="single"/>
        </w:rPr>
        <w:t>is</w:t>
      </w:r>
      <w:r w:rsidRPr="00B72C7D" w:rsidR="00042DF9">
        <w:rPr>
          <w:color w:val="FF0000"/>
          <w:u w:val="single"/>
        </w:rPr>
        <w:t xml:space="preserve"> disputed through</w:t>
      </w:r>
      <w:r w:rsidRPr="00B72C7D" w:rsidR="00630B8D">
        <w:rPr>
          <w:color w:val="FF0000"/>
          <w:u w:val="single"/>
        </w:rPr>
        <w:t xml:space="preserve"> </w:t>
      </w:r>
      <w:r w:rsidRPr="00B72C7D" w:rsidR="00042DF9">
        <w:rPr>
          <w:color w:val="FF0000"/>
          <w:u w:val="single"/>
        </w:rPr>
        <w:t>protest</w:t>
      </w:r>
      <w:r w:rsidRPr="00B72C7D" w:rsidR="00630B8D">
        <w:rPr>
          <w:color w:val="FF0000"/>
          <w:u w:val="single"/>
        </w:rPr>
        <w:t xml:space="preserve"> of the </w:t>
      </w:r>
      <w:r w:rsidRPr="00B72C7D" w:rsidR="00F05194">
        <w:rPr>
          <w:color w:val="FF0000"/>
          <w:u w:val="single"/>
        </w:rPr>
        <w:t>ad</w:t>
      </w:r>
      <w:r w:rsidRPr="00B72C7D" w:rsidR="00652DBB">
        <w:rPr>
          <w:color w:val="FF0000"/>
          <w:u w:val="single"/>
        </w:rPr>
        <w:t>vice letter</w:t>
      </w:r>
      <w:r w:rsidRPr="00B72C7D" w:rsidR="00630B8D">
        <w:rPr>
          <w:color w:val="FF0000"/>
          <w:u w:val="single"/>
        </w:rPr>
        <w:t>,</w:t>
      </w:r>
      <w:r w:rsidRPr="00B72C7D" w:rsidR="00042DF9">
        <w:rPr>
          <w:color w:val="FF0000"/>
          <w:u w:val="single"/>
        </w:rPr>
        <w:t xml:space="preserve"> the IOU shall file a separate Tier </w:t>
      </w:r>
      <w:r w:rsidRPr="00B72C7D" w:rsidR="00316336">
        <w:rPr>
          <w:color w:val="FF0000"/>
          <w:u w:val="single"/>
        </w:rPr>
        <w:t>1</w:t>
      </w:r>
      <w:r w:rsidRPr="00B72C7D" w:rsidR="00042DF9">
        <w:rPr>
          <w:color w:val="FF0000"/>
          <w:u w:val="single"/>
        </w:rPr>
        <w:t xml:space="preserve"> advice letter creating a memorandum account to track th</w:t>
      </w:r>
      <w:r w:rsidRPr="00B72C7D" w:rsidR="00652DBB">
        <w:rPr>
          <w:color w:val="FF0000"/>
          <w:u w:val="single"/>
        </w:rPr>
        <w:t>ose</w:t>
      </w:r>
      <w:r w:rsidRPr="00B72C7D" w:rsidR="00042DF9">
        <w:rPr>
          <w:color w:val="FF0000"/>
          <w:u w:val="single"/>
        </w:rPr>
        <w:t xml:space="preserve"> cost</w:t>
      </w:r>
      <w:r w:rsidRPr="00B72C7D" w:rsidR="73D2BC9A">
        <w:rPr>
          <w:color w:val="FF0000"/>
          <w:u w:val="single"/>
        </w:rPr>
        <w:t>s</w:t>
      </w:r>
      <w:r w:rsidRPr="00B72C7D" w:rsidR="00042DF9">
        <w:rPr>
          <w:color w:val="FF0000"/>
          <w:u w:val="single"/>
        </w:rPr>
        <w:t xml:space="preserve"> of returned customers.  </w:t>
      </w:r>
      <w:r w:rsidRPr="00B72C7D" w:rsidR="00723186">
        <w:rPr>
          <w:color w:val="FF0000"/>
          <w:u w:val="single"/>
        </w:rPr>
        <w:t xml:space="preserve">Reentry fees that are calculated correctly and in compliance with D.18-05-022 should not be subject to dispute.  </w:t>
      </w:r>
      <w:r w:rsidRPr="00B72C7D" w:rsidR="00042DF9">
        <w:rPr>
          <w:color w:val="FF0000"/>
          <w:u w:val="single"/>
        </w:rPr>
        <w:t xml:space="preserve">Any disputed </w:t>
      </w:r>
      <w:r w:rsidRPr="00B72C7D" w:rsidR="00AD563A">
        <w:rPr>
          <w:color w:val="FF0000"/>
          <w:u w:val="single"/>
        </w:rPr>
        <w:t>reentry fees</w:t>
      </w:r>
      <w:r w:rsidRPr="00B72C7D" w:rsidR="00042DF9">
        <w:rPr>
          <w:color w:val="FF0000"/>
          <w:u w:val="single"/>
        </w:rPr>
        <w:t xml:space="preserve"> will be </w:t>
      </w:r>
      <w:r w:rsidRPr="00B72C7D" w:rsidR="00AB5433">
        <w:rPr>
          <w:color w:val="FF0000"/>
          <w:u w:val="single"/>
        </w:rPr>
        <w:t>evaluated and approved in the POLR proceeding</w:t>
      </w:r>
      <w:r w:rsidRPr="00B72C7D" w:rsidDel="00D7690D" w:rsidR="00042DF9">
        <w:rPr>
          <w:color w:val="FF0000"/>
          <w:u w:val="single"/>
        </w:rPr>
        <w:t>.</w:t>
      </w:r>
      <w:r w:rsidRPr="00B72C7D" w:rsidR="00875958">
        <w:rPr>
          <w:color w:val="FF0000"/>
          <w:u w:val="single"/>
        </w:rPr>
        <w:t xml:space="preserve">  </w:t>
      </w:r>
      <w:r w:rsidRPr="00B72C7D" w:rsidR="00DB77BF">
        <w:rPr>
          <w:color w:val="FF0000"/>
          <w:u w:val="single"/>
        </w:rPr>
        <w:t>T</w:t>
      </w:r>
      <w:r w:rsidRPr="00486515" w:rsidR="00DB77BF">
        <w:rPr>
          <w:color w:val="FF0000"/>
          <w:u w:val="single"/>
        </w:rPr>
        <w:t xml:space="preserve">he IOU may only withhold </w:t>
      </w:r>
      <w:r w:rsidRPr="00486515" w:rsidR="00A5376A">
        <w:rPr>
          <w:color w:val="FF0000"/>
          <w:u w:val="single"/>
        </w:rPr>
        <w:t xml:space="preserve">CCA </w:t>
      </w:r>
      <w:r w:rsidRPr="00486515" w:rsidR="00DB77BF">
        <w:rPr>
          <w:color w:val="FF0000"/>
          <w:u w:val="single"/>
        </w:rPr>
        <w:t>customer payments</w:t>
      </w:r>
      <w:r w:rsidRPr="00486515" w:rsidR="00C14C75">
        <w:rPr>
          <w:color w:val="FF0000"/>
          <w:u w:val="single"/>
        </w:rPr>
        <w:t xml:space="preserve"> if they are undisputed.</w:t>
      </w:r>
      <w:r w:rsidRPr="00486515" w:rsidR="00AD563A">
        <w:rPr>
          <w:color w:val="FF0000"/>
          <w:u w:val="single"/>
        </w:rPr>
        <w:t xml:space="preserve">  </w:t>
      </w:r>
      <w:r w:rsidRPr="00486515" w:rsidR="00F57D7E">
        <w:rPr>
          <w:color w:val="FF0000"/>
          <w:u w:val="single"/>
        </w:rPr>
        <w:t>The IOUs’ procurement costs will continue to be recovered in rates through the operation of their applicable balancing accounts.</w:t>
      </w:r>
      <w:r w:rsidRPr="00486515" w:rsidR="00F57D7E">
        <w:rPr>
          <w:color w:val="FF0000"/>
        </w:rPr>
        <w:t xml:space="preserve"> </w:t>
      </w:r>
      <w:r w:rsidRPr="001B09BA" w:rsidR="00DB77BF">
        <w:rPr>
          <w:strike/>
          <w:color w:val="FF0000"/>
        </w:rPr>
        <w:t xml:space="preserve">if the </w:t>
      </w:r>
      <w:r w:rsidRPr="001B09BA" w:rsidR="004D650C">
        <w:rPr>
          <w:strike/>
          <w:color w:val="FF0000"/>
        </w:rPr>
        <w:t>reentry fees</w:t>
      </w:r>
      <w:r w:rsidRPr="001B09BA" w:rsidR="00A8609E">
        <w:rPr>
          <w:strike/>
          <w:color w:val="FF0000"/>
        </w:rPr>
        <w:t xml:space="preserve"> </w:t>
      </w:r>
      <w:r w:rsidRPr="001B09BA" w:rsidR="00DB77BF">
        <w:rPr>
          <w:strike/>
          <w:color w:val="FF0000"/>
        </w:rPr>
        <w:t>are undisputed</w:t>
      </w:r>
      <w:r w:rsidRPr="001B09BA" w:rsidR="00C9582B">
        <w:rPr>
          <w:strike/>
          <w:color w:val="FF0000"/>
        </w:rPr>
        <w:t>, or with the approval of the CPUC</w:t>
      </w:r>
      <w:r w:rsidRPr="001B09BA" w:rsidR="00DB77BF">
        <w:rPr>
          <w:strike/>
          <w:color w:val="FF0000"/>
        </w:rPr>
        <w:t>.</w:t>
      </w:r>
      <w:r w:rsidRPr="001B09BA" w:rsidR="004F5BFA">
        <w:rPr>
          <w:rStyle w:val="FootnoteReference"/>
          <w:strike/>
          <w:color w:val="FF0000"/>
        </w:rPr>
        <w:footnoteReference w:id="14"/>
      </w:r>
      <w:r w:rsidRPr="001B09BA" w:rsidR="00DB77BF">
        <w:rPr>
          <w:strike/>
          <w:color w:val="FF0000"/>
        </w:rPr>
        <w:t xml:space="preserve"> </w:t>
      </w:r>
    </w:p>
    <w:p w:rsidR="005D59CD" w:rsidP="0023139A" w:rsidRDefault="005D59CD" w14:paraId="5EEB7628" w14:textId="77777777">
      <w:pPr>
        <w:spacing w:line="276" w:lineRule="auto"/>
      </w:pPr>
    </w:p>
    <w:p w:rsidR="001C255C" w:rsidP="0023139A" w:rsidRDefault="00712800" w14:paraId="0E8C1747" w14:textId="1A5353C5">
      <w:pPr>
        <w:spacing w:line="276" w:lineRule="auto"/>
      </w:pPr>
      <w:r w:rsidDel="00D81B5A">
        <w:t>As previously discussed, the</w:t>
      </w:r>
      <w:r w:rsidDel="00D81B5A" w:rsidR="0092552C">
        <w:t xml:space="preserve"> CCAs bear the cost responsibility </w:t>
      </w:r>
      <w:r w:rsidRPr="00C52014" w:rsidDel="00D81B5A" w:rsidR="0092552C">
        <w:t xml:space="preserve">regardless of whether the </w:t>
      </w:r>
      <w:r w:rsidR="00A56CDC">
        <w:t xml:space="preserve">reentry fees </w:t>
      </w:r>
      <w:r w:rsidRPr="0021705F" w:rsidR="0092552C">
        <w:rPr>
          <w:strike/>
          <w:color w:val="FF0000"/>
        </w:rPr>
        <w:t>costs of returning customer</w:t>
      </w:r>
      <w:r w:rsidRPr="0021705F" w:rsidR="00F0470B">
        <w:rPr>
          <w:strike/>
          <w:color w:val="FF0000"/>
        </w:rPr>
        <w:t>s</w:t>
      </w:r>
      <w:r w:rsidRPr="0021705F" w:rsidDel="00D81B5A" w:rsidR="0092552C">
        <w:rPr>
          <w:color w:val="FF0000"/>
        </w:rPr>
        <w:t xml:space="preserve"> </w:t>
      </w:r>
      <w:r w:rsidRPr="00C52014" w:rsidDel="00D81B5A" w:rsidR="0092552C">
        <w:t>are in excess of the FSR</w:t>
      </w:r>
      <w:r w:rsidDel="00D81B5A" w:rsidR="0092552C">
        <w:t>.</w:t>
      </w:r>
      <w:r w:rsidDel="00D81B5A" w:rsidR="003E42AF">
        <w:t xml:space="preserve"> </w:t>
      </w:r>
      <w:r w:rsidR="006F54F6">
        <w:t xml:space="preserve"> </w:t>
      </w:r>
      <w:r w:rsidR="00936CA6">
        <w:t>We require the IOUs to revise their tariff sheets to reflect these clarifications through a Tier 1 Advice Letter.</w:t>
      </w:r>
    </w:p>
    <w:p w:rsidRPr="001B09BA" w:rsidR="000C1D25" w:rsidP="0023139A" w:rsidRDefault="00686949" w14:paraId="39497019" w14:textId="62A0F788">
      <w:pPr>
        <w:spacing w:line="276" w:lineRule="auto"/>
        <w:rPr>
          <w:strike/>
          <w:color w:val="FF0000"/>
        </w:rPr>
      </w:pPr>
      <w:r w:rsidRPr="001B09BA">
        <w:rPr>
          <w:strike/>
          <w:color w:val="FF0000"/>
        </w:rPr>
        <w:lastRenderedPageBreak/>
        <w:t>We acknowledge that there may be circumstances where an involuntary return occurs</w:t>
      </w:r>
      <w:r w:rsidRPr="001B09BA" w:rsidR="009A4999">
        <w:rPr>
          <w:strike/>
          <w:color w:val="FF0000"/>
        </w:rPr>
        <w:t>,</w:t>
      </w:r>
      <w:r w:rsidRPr="001B09BA">
        <w:rPr>
          <w:strike/>
          <w:color w:val="FF0000"/>
        </w:rPr>
        <w:t xml:space="preserve"> or costs are incurred prior to Commission order authorizing the IOU to collect reentry fee</w:t>
      </w:r>
      <w:r w:rsidRPr="001B09BA" w:rsidR="004F5BFA">
        <w:rPr>
          <w:strike/>
          <w:color w:val="FF0000"/>
        </w:rPr>
        <w:t>s</w:t>
      </w:r>
      <w:r w:rsidRPr="001B09BA">
        <w:rPr>
          <w:strike/>
          <w:color w:val="FF0000"/>
        </w:rPr>
        <w:t>. In the event</w:t>
      </w:r>
      <w:r w:rsidRPr="001B09BA" w:rsidR="00F0470B">
        <w:rPr>
          <w:strike/>
          <w:color w:val="FF0000"/>
        </w:rPr>
        <w:t xml:space="preserve"> that</w:t>
      </w:r>
      <w:r w:rsidRPr="001B09BA">
        <w:rPr>
          <w:strike/>
          <w:color w:val="FF0000"/>
        </w:rPr>
        <w:t xml:space="preserve"> an involuntary return is </w:t>
      </w:r>
      <w:proofErr w:type="gramStart"/>
      <w:r w:rsidRPr="001B09BA">
        <w:rPr>
          <w:strike/>
          <w:color w:val="FF0000"/>
        </w:rPr>
        <w:t>triggered</w:t>
      </w:r>
      <w:proofErr w:type="gramEnd"/>
      <w:r w:rsidRPr="001B09BA">
        <w:rPr>
          <w:strike/>
          <w:color w:val="FF0000"/>
        </w:rPr>
        <w:t xml:space="preserve"> </w:t>
      </w:r>
      <w:r w:rsidRPr="001B09BA" w:rsidR="004C40F1">
        <w:rPr>
          <w:strike/>
          <w:color w:val="FF0000"/>
        </w:rPr>
        <w:t>and fees are incurred</w:t>
      </w:r>
      <w:r w:rsidRPr="001B09BA">
        <w:rPr>
          <w:strike/>
          <w:color w:val="FF0000"/>
        </w:rPr>
        <w:t>, the utility shall file a Tier 1 AL to create a memorandum account to track the actual costs of returning customers and launch</w:t>
      </w:r>
      <w:r w:rsidRPr="001B09BA" w:rsidR="00B74927">
        <w:rPr>
          <w:strike/>
          <w:color w:val="FF0000"/>
        </w:rPr>
        <w:t>ing</w:t>
      </w:r>
      <w:r w:rsidRPr="001B09BA">
        <w:rPr>
          <w:strike/>
          <w:color w:val="FF0000"/>
        </w:rPr>
        <w:t xml:space="preserve"> the involuntary return process.</w:t>
      </w:r>
    </w:p>
    <w:p w:rsidR="004542C6" w:rsidP="0023139A" w:rsidRDefault="004542C6" w14:paraId="7A4C8617" w14:textId="77777777">
      <w:pPr>
        <w:spacing w:line="276" w:lineRule="auto"/>
      </w:pPr>
    </w:p>
    <w:p w:rsidR="0092552C" w:rsidP="0023139A" w:rsidRDefault="0092552C" w14:paraId="1760BD14" w14:textId="62993536">
      <w:pPr>
        <w:spacing w:line="276" w:lineRule="auto"/>
      </w:pPr>
      <w:r>
        <w:t xml:space="preserve">Regarding protest issue </w:t>
      </w:r>
      <w:r w:rsidR="00DE1D95">
        <w:t>1</w:t>
      </w:r>
      <w:r>
        <w:t>, the definition of events that trigger involuntary return, we note</w:t>
      </w:r>
      <w:r w:rsidRPr="00C52014">
        <w:t xml:space="preserve"> that PG&amp;E and SDG&amp;E applied the list of events that give rise to an involuntary return used in SCE’s Rule 22 for ESPs.</w:t>
      </w:r>
      <w:r>
        <w:t xml:space="preserve"> </w:t>
      </w:r>
      <w:r w:rsidR="001E7251">
        <w:t xml:space="preserve"> </w:t>
      </w:r>
      <w:r>
        <w:t>Thus, there is currently inconsistent treatment on the definition of involuntary return</w:t>
      </w:r>
      <w:r w:rsidRPr="00486515" w:rsidR="003715D6">
        <w:rPr>
          <w:color w:val="FF0000"/>
          <w:u w:val="single"/>
        </w:rPr>
        <w:t xml:space="preserve"> between their CCA and DA rule</w:t>
      </w:r>
      <w:r w:rsidRPr="00486515" w:rsidR="00A000B5">
        <w:rPr>
          <w:color w:val="FF0000"/>
          <w:u w:val="single"/>
        </w:rPr>
        <w:t>s</w:t>
      </w:r>
      <w:r w:rsidR="00C152CD">
        <w:t xml:space="preserve">, which needs to be addressed in the </w:t>
      </w:r>
      <w:r w:rsidR="0052443F">
        <w:t xml:space="preserve">upcoming </w:t>
      </w:r>
      <w:r w:rsidR="00C152CD">
        <w:t xml:space="preserve">POLR </w:t>
      </w:r>
      <w:r w:rsidR="0052443F">
        <w:t>rulemaking</w:t>
      </w:r>
      <w:r w:rsidR="00BE202E">
        <w:t>.</w:t>
      </w:r>
      <w:r w:rsidR="00C152CD">
        <w:t xml:space="preserve"> </w:t>
      </w:r>
      <w:r w:rsidR="001E7251">
        <w:t xml:space="preserve"> </w:t>
      </w:r>
      <w:r w:rsidR="00C152CD">
        <w:t xml:space="preserve">In the interim, </w:t>
      </w:r>
      <w:r w:rsidR="00F14C18">
        <w:t xml:space="preserve">each </w:t>
      </w:r>
      <w:r w:rsidR="00C152CD">
        <w:t xml:space="preserve">IOU </w:t>
      </w:r>
      <w:r w:rsidR="00535C13">
        <w:t xml:space="preserve">shall modify </w:t>
      </w:r>
      <w:r w:rsidR="00F14C18">
        <w:t xml:space="preserve">its </w:t>
      </w:r>
      <w:r w:rsidR="00535C13">
        <w:t xml:space="preserve">definition to </w:t>
      </w:r>
      <w:r w:rsidR="00712800">
        <w:t xml:space="preserve">be consistent </w:t>
      </w:r>
      <w:r w:rsidR="00BE202E">
        <w:t xml:space="preserve">with </w:t>
      </w:r>
      <w:r w:rsidR="00F14C18">
        <w:t xml:space="preserve">its </w:t>
      </w:r>
      <w:r w:rsidR="00712800">
        <w:t xml:space="preserve">own </w:t>
      </w:r>
      <w:r w:rsidRPr="00486515" w:rsidR="00A000B5">
        <w:rPr>
          <w:color w:val="FF0000"/>
          <w:u w:val="single"/>
        </w:rPr>
        <w:t>DA</w:t>
      </w:r>
      <w:r w:rsidR="00F9088E">
        <w:rPr>
          <w:strike/>
          <w:color w:val="FF0000"/>
        </w:rPr>
        <w:t xml:space="preserve"> </w:t>
      </w:r>
      <w:r w:rsidRPr="001B09BA" w:rsidDel="00A000B5" w:rsidR="00712800">
        <w:rPr>
          <w:strike/>
          <w:color w:val="FF0000"/>
        </w:rPr>
        <w:t>ESP</w:t>
      </w:r>
      <w:r w:rsidR="00712800">
        <w:t xml:space="preserve"> rule.</w:t>
      </w:r>
    </w:p>
    <w:p w:rsidR="00535C13" w:rsidP="0023139A" w:rsidRDefault="00535C13" w14:paraId="56B3F39C" w14:textId="45FC7997">
      <w:pPr>
        <w:spacing w:line="276" w:lineRule="auto"/>
      </w:pPr>
    </w:p>
    <w:p w:rsidR="00686949" w:rsidP="0023139A" w:rsidRDefault="00686949" w14:paraId="45CCCC7D" w14:textId="4DD8C763">
      <w:pPr>
        <w:spacing w:line="276" w:lineRule="auto"/>
      </w:pPr>
      <w:r>
        <w:t xml:space="preserve">Regarding protest issues 9-10, D.18-05-022 did not authorize the option for a CCA to post cash directly with the IOU, so these provisions are rejected. </w:t>
      </w:r>
    </w:p>
    <w:p w:rsidRPr="00C52014" w:rsidR="00021F35" w:rsidP="004F5BFA" w:rsidRDefault="00021F35" w14:paraId="42758532" w14:textId="77777777">
      <w:pPr>
        <w:autoSpaceDE w:val="0"/>
        <w:autoSpaceDN w:val="0"/>
        <w:adjustRightInd w:val="0"/>
        <w:spacing w:before="120" w:after="120" w:line="276" w:lineRule="auto"/>
        <w:rPr>
          <w:b/>
          <w:bCs/>
        </w:rPr>
      </w:pPr>
    </w:p>
    <w:p w:rsidRPr="00C52014" w:rsidR="00AA54B1" w:rsidP="0023139A" w:rsidRDefault="00DE1D95" w14:paraId="5D61F38D" w14:textId="603C70E6">
      <w:pPr>
        <w:autoSpaceDE w:val="0"/>
        <w:autoSpaceDN w:val="0"/>
        <w:adjustRightInd w:val="0"/>
        <w:spacing w:after="60" w:line="276" w:lineRule="auto"/>
        <w:rPr>
          <w:b/>
          <w:bCs/>
          <w:sz w:val="28"/>
          <w:szCs w:val="22"/>
          <w:u w:val="single"/>
        </w:rPr>
      </w:pPr>
      <w:r>
        <w:rPr>
          <w:b/>
          <w:bCs/>
          <w:sz w:val="28"/>
          <w:szCs w:val="22"/>
          <w:u w:val="single"/>
        </w:rPr>
        <w:t xml:space="preserve">5.  </w:t>
      </w:r>
      <w:r w:rsidRPr="00C52014" w:rsidR="00AA54B1">
        <w:rPr>
          <w:b/>
          <w:bCs/>
          <w:sz w:val="28"/>
          <w:szCs w:val="22"/>
          <w:u w:val="single"/>
        </w:rPr>
        <w:t>Compliance with the CPUC’s Advice Letter rules</w:t>
      </w:r>
    </w:p>
    <w:p w:rsidRPr="00C52014" w:rsidR="00AA54B1" w:rsidP="0023139A" w:rsidRDefault="00AA54B1" w14:paraId="11C947FC" w14:textId="062983EB">
      <w:pPr>
        <w:autoSpaceDE w:val="0"/>
        <w:autoSpaceDN w:val="0"/>
        <w:adjustRightInd w:val="0"/>
        <w:spacing w:after="60" w:line="276" w:lineRule="auto"/>
      </w:pPr>
      <w:r w:rsidRPr="00C52014">
        <w:t xml:space="preserve">CalCCA argues the ALs are inappropriately classified as Tier 2 and should have been designated as Tier 3 filings, due to complexity, controversy, and policy implications. </w:t>
      </w:r>
      <w:r w:rsidR="001E7251">
        <w:t xml:space="preserve"> </w:t>
      </w:r>
      <w:r w:rsidRPr="00C52014">
        <w:t xml:space="preserve">It recommends Energy Division reject without prejudice portions of the advice letter that it finds inappropriate and allow the IOUs to file their proposals in a formal proceeding. </w:t>
      </w:r>
    </w:p>
    <w:p w:rsidRPr="00C52014" w:rsidR="00AA54B1" w:rsidP="0023139A" w:rsidRDefault="00AA54B1" w14:paraId="71DB4744" w14:textId="77777777">
      <w:pPr>
        <w:spacing w:line="276" w:lineRule="auto"/>
      </w:pPr>
    </w:p>
    <w:p w:rsidRPr="00C52014" w:rsidR="00AA54B1" w:rsidP="0023139A" w:rsidRDefault="00AA54B1" w14:paraId="0449E8CD" w14:textId="77777777">
      <w:pPr>
        <w:spacing w:line="276" w:lineRule="auto"/>
        <w:rPr>
          <w:b/>
          <w:bCs/>
        </w:rPr>
      </w:pPr>
      <w:r w:rsidRPr="00C52014">
        <w:rPr>
          <w:b/>
          <w:bCs/>
        </w:rPr>
        <w:t>Reply</w:t>
      </w:r>
    </w:p>
    <w:p w:rsidRPr="00C52014" w:rsidR="00AA54B1" w:rsidP="0023139A" w:rsidRDefault="00AA54B1" w14:paraId="2274C5EF" w14:textId="502A9B4F">
      <w:pPr>
        <w:autoSpaceDE w:val="0"/>
        <w:autoSpaceDN w:val="0"/>
        <w:adjustRightInd w:val="0"/>
        <w:spacing w:after="60" w:line="276" w:lineRule="auto"/>
      </w:pPr>
      <w:r w:rsidRPr="00C52014">
        <w:t xml:space="preserve">The Joint Utilities argue that the ALs were properly designated as Tier 2.  </w:t>
      </w:r>
      <w:r w:rsidR="001E7251">
        <w:t>T</w:t>
      </w:r>
      <w:r w:rsidRPr="00C52014">
        <w:t xml:space="preserve">he CCA FSR should be consistent except as expressly modified by D.18-05-022. </w:t>
      </w:r>
    </w:p>
    <w:p w:rsidRPr="00C52014" w:rsidR="00AA54B1" w:rsidP="0023139A" w:rsidRDefault="00AA54B1" w14:paraId="74DA23E8" w14:textId="23C8F2E9">
      <w:pPr>
        <w:spacing w:line="276" w:lineRule="auto"/>
      </w:pPr>
      <w:r w:rsidRPr="00C52014">
        <w:t xml:space="preserve">Protest that the ALs were inappropriately classified as Tier 2 AL is moot given, we have escalated the ALs to Tier 3 and disposed of them through this </w:t>
      </w:r>
      <w:r w:rsidR="00F0470B">
        <w:t>r</w:t>
      </w:r>
      <w:r w:rsidRPr="00C52014">
        <w:t xml:space="preserve">esolution. </w:t>
      </w:r>
    </w:p>
    <w:p w:rsidRPr="00C52014" w:rsidR="00AA54B1" w:rsidP="0023139A" w:rsidRDefault="00AA54B1" w14:paraId="7BDEC815" w14:textId="77777777">
      <w:pPr>
        <w:spacing w:line="276" w:lineRule="auto"/>
        <w:rPr>
          <w:b/>
          <w:bCs/>
        </w:rPr>
      </w:pPr>
      <w:r w:rsidRPr="00C52014">
        <w:rPr>
          <w:b/>
          <w:bCs/>
        </w:rPr>
        <w:lastRenderedPageBreak/>
        <w:t>Discussion</w:t>
      </w:r>
    </w:p>
    <w:p w:rsidRPr="00C52014" w:rsidR="00AA54B1" w:rsidP="0023139A" w:rsidRDefault="003E42AF" w14:paraId="2CAEC597" w14:textId="10011561">
      <w:pPr>
        <w:spacing w:line="276" w:lineRule="auto"/>
      </w:pPr>
      <w:r>
        <w:t>The p</w:t>
      </w:r>
      <w:r w:rsidRPr="00C52014" w:rsidR="00AA54B1">
        <w:t>rotest that the ALs were inappropriately classified as Tier 2 AL is moot</w:t>
      </w:r>
      <w:r>
        <w:t xml:space="preserve">, as </w:t>
      </w:r>
      <w:r w:rsidRPr="00C52014" w:rsidR="00AA54B1">
        <w:t xml:space="preserve">we have escalated the ALs to Tier 3 and disposed of them through this </w:t>
      </w:r>
      <w:r w:rsidR="00F0470B">
        <w:t>r</w:t>
      </w:r>
      <w:r w:rsidRPr="00C52014" w:rsidR="00AA54B1">
        <w:t xml:space="preserve">esolution. </w:t>
      </w:r>
    </w:p>
    <w:p w:rsidRPr="00C52014" w:rsidR="00AA54B1" w:rsidP="0023139A" w:rsidRDefault="00AA54B1" w14:paraId="51B6CA02" w14:textId="77777777">
      <w:pPr>
        <w:autoSpaceDE w:val="0"/>
        <w:autoSpaceDN w:val="0"/>
        <w:adjustRightInd w:val="0"/>
        <w:spacing w:line="276" w:lineRule="auto"/>
        <w:rPr>
          <w:b/>
          <w:bCs/>
        </w:rPr>
      </w:pPr>
    </w:p>
    <w:p w:rsidRPr="00C52014" w:rsidR="00AA54B1" w:rsidP="0023139A" w:rsidRDefault="00DE1D95" w14:paraId="6C709C58" w14:textId="09C403F2">
      <w:pPr>
        <w:autoSpaceDE w:val="0"/>
        <w:autoSpaceDN w:val="0"/>
        <w:adjustRightInd w:val="0"/>
        <w:spacing w:after="60" w:line="276" w:lineRule="auto"/>
        <w:rPr>
          <w:b/>
          <w:bCs/>
          <w:sz w:val="28"/>
          <w:szCs w:val="22"/>
          <w:u w:val="single"/>
        </w:rPr>
      </w:pPr>
      <w:r>
        <w:rPr>
          <w:b/>
          <w:bCs/>
          <w:sz w:val="28"/>
          <w:szCs w:val="22"/>
          <w:u w:val="single"/>
        </w:rPr>
        <w:t xml:space="preserve">6.  </w:t>
      </w:r>
      <w:r w:rsidRPr="00C52014" w:rsidR="00AA54B1">
        <w:rPr>
          <w:b/>
          <w:bCs/>
          <w:sz w:val="28"/>
          <w:szCs w:val="22"/>
          <w:u w:val="single"/>
        </w:rPr>
        <w:t>Definition of an FSR posting</w:t>
      </w:r>
    </w:p>
    <w:p w:rsidRPr="00C52014" w:rsidR="00AA54B1" w:rsidP="0023139A" w:rsidRDefault="00AA54B1" w14:paraId="372AD235" w14:textId="77777777">
      <w:pPr>
        <w:autoSpaceDE w:val="0"/>
        <w:autoSpaceDN w:val="0"/>
        <w:adjustRightInd w:val="0"/>
        <w:spacing w:line="276" w:lineRule="auto"/>
      </w:pPr>
      <w:r w:rsidRPr="00C52014">
        <w:t>SEA contends that SDG&amp;E improperly describes the posting of financial security as an action that must be undertaken with the IOU rather than with a third-party. SEA asserts that D.18-05-022 provides otherwise and that the ALs should be corrected to reflect this.</w:t>
      </w:r>
    </w:p>
    <w:p w:rsidRPr="00C52014" w:rsidR="00AA54B1" w:rsidP="0023139A" w:rsidRDefault="00AA54B1" w14:paraId="00CF0703" w14:textId="77777777">
      <w:pPr>
        <w:autoSpaceDE w:val="0"/>
        <w:autoSpaceDN w:val="0"/>
        <w:adjustRightInd w:val="0"/>
        <w:spacing w:line="276" w:lineRule="auto"/>
      </w:pPr>
    </w:p>
    <w:p w:rsidRPr="00C52014" w:rsidR="00AA54B1" w:rsidP="0023139A" w:rsidRDefault="00AA54B1" w14:paraId="214CA3B5" w14:textId="77777777">
      <w:pPr>
        <w:autoSpaceDE w:val="0"/>
        <w:autoSpaceDN w:val="0"/>
        <w:adjustRightInd w:val="0"/>
        <w:spacing w:line="276" w:lineRule="auto"/>
        <w:rPr>
          <w:b/>
          <w:bCs/>
        </w:rPr>
      </w:pPr>
      <w:r w:rsidRPr="00C52014">
        <w:rPr>
          <w:b/>
          <w:bCs/>
        </w:rPr>
        <w:t>Reply</w:t>
      </w:r>
    </w:p>
    <w:p w:rsidRPr="00C52014" w:rsidR="00AA54B1" w:rsidP="0023139A" w:rsidRDefault="00AA54B1" w14:paraId="14311147" w14:textId="0A13354A">
      <w:pPr>
        <w:spacing w:line="276" w:lineRule="auto"/>
      </w:pPr>
      <w:r w:rsidRPr="00C52014">
        <w:t>SDG&amp;E states that SEA has misinterpreted Ordering Paragraph (OP) 7 of D.18-05-022, which indicates that cash held by a third party, e.g.</w:t>
      </w:r>
      <w:r w:rsidR="00B74927">
        <w:t>,</w:t>
      </w:r>
      <w:r w:rsidRPr="00C52014">
        <w:t xml:space="preserve"> a bank, is an acceptable form of security.  SDG&amp;E argues that the AL correctly states that financial security is a requirement by the IOU and, therefore, CCAs must post and maintain financial security with the IOU.</w:t>
      </w:r>
    </w:p>
    <w:p w:rsidRPr="00C52014" w:rsidR="00AA54B1" w:rsidP="0023139A" w:rsidRDefault="00AA54B1" w14:paraId="39708A73" w14:textId="77777777">
      <w:pPr>
        <w:autoSpaceDE w:val="0"/>
        <w:autoSpaceDN w:val="0"/>
        <w:adjustRightInd w:val="0"/>
        <w:spacing w:line="276" w:lineRule="auto"/>
      </w:pPr>
    </w:p>
    <w:p w:rsidRPr="00C52014" w:rsidR="00AA54B1" w:rsidP="0023139A" w:rsidRDefault="00AA54B1" w14:paraId="2D7C4212" w14:textId="77777777">
      <w:pPr>
        <w:spacing w:line="276" w:lineRule="auto"/>
        <w:rPr>
          <w:b/>
          <w:bCs/>
        </w:rPr>
      </w:pPr>
      <w:r w:rsidRPr="00C52014">
        <w:rPr>
          <w:b/>
          <w:bCs/>
        </w:rPr>
        <w:t>Discussion</w:t>
      </w:r>
    </w:p>
    <w:p w:rsidR="005F5C3E" w:rsidP="005F5C3E" w:rsidRDefault="005F5C3E" w14:paraId="6A68DD50" w14:textId="6C38482C">
      <w:pPr>
        <w:spacing w:line="276" w:lineRule="auto"/>
      </w:pPr>
      <w:r>
        <w:t xml:space="preserve">SEA is correct that the proposed language in the </w:t>
      </w:r>
      <w:r w:rsidRPr="00761287" w:rsidDel="00656712">
        <w:rPr>
          <w:strike/>
          <w:color w:val="FF0000"/>
        </w:rPr>
        <w:t>ALs</w:t>
      </w:r>
      <w:r w:rsidRPr="00761287" w:rsidR="00761287">
        <w:rPr>
          <w:strike/>
          <w:color w:val="FF0000"/>
        </w:rPr>
        <w:t xml:space="preserve"> </w:t>
      </w:r>
      <w:r w:rsidRPr="00F9088E" w:rsidR="00656712">
        <w:rPr>
          <w:color w:val="FF0000"/>
          <w:u w:val="single"/>
        </w:rPr>
        <w:t>advice letters</w:t>
      </w:r>
      <w:r>
        <w:t xml:space="preserve"> do</w:t>
      </w:r>
      <w:r w:rsidRPr="00A658BE">
        <w:rPr>
          <w:strike/>
          <w:color w:val="FF0000"/>
        </w:rPr>
        <w:t>es</w:t>
      </w:r>
      <w:r>
        <w:t xml:space="preserve"> not appropriately reflect the role assigned to IOUs as the </w:t>
      </w:r>
      <w:r w:rsidDel="003910F6">
        <w:t>beneficiary</w:t>
      </w:r>
      <w:r w:rsidR="00656712">
        <w:t xml:space="preserve"> </w:t>
      </w:r>
      <w:r w:rsidRPr="00F9088E" w:rsidR="00656712">
        <w:rPr>
          <w:color w:val="FF0000"/>
          <w:u w:val="single"/>
        </w:rPr>
        <w:t>or recipient</w:t>
      </w:r>
      <w:r>
        <w:t xml:space="preserve"> of the CCA FSR instrument</w:t>
      </w:r>
      <w:r w:rsidRPr="00A658BE">
        <w:rPr>
          <w:strike/>
          <w:color w:val="FF0000"/>
        </w:rPr>
        <w:t>s</w:t>
      </w:r>
      <w:r>
        <w:t xml:space="preserve">.  </w:t>
      </w:r>
      <w:r w:rsidRPr="00C52014">
        <w:t xml:space="preserve">D.18-05-022 determined that it is most appropriate for the FSR to be held a third party independent financial institution.  </w:t>
      </w:r>
      <w:r>
        <w:t xml:space="preserve">If CCAs hold cash in an escrow account, an independent financial institution may serve as a third-party.  </w:t>
      </w:r>
      <w:r w:rsidRPr="00C52014">
        <w:t xml:space="preserve">For surety bonds, the independent third-party will have the role of surety. For letter(s) of credit, </w:t>
      </w:r>
      <w:r>
        <w:t>the Issuing Bank is an independent third-party.</w:t>
      </w:r>
      <w:r w:rsidRPr="00C52014">
        <w:t xml:space="preserve"> </w:t>
      </w:r>
    </w:p>
    <w:p w:rsidRPr="00C52014" w:rsidR="005F5C3E" w:rsidP="005F5C3E" w:rsidRDefault="005F5C3E" w14:paraId="53FF34F5" w14:textId="7C6E877C">
      <w:pPr>
        <w:spacing w:line="276" w:lineRule="auto"/>
      </w:pPr>
      <w:r>
        <w:t>The IOUs are directed to refile all relevant tariff sheets to reflect the new IOU role as</w:t>
      </w:r>
      <w:r w:rsidDel="00FB301A">
        <w:t xml:space="preserve"> </w:t>
      </w:r>
      <w:r w:rsidRPr="00101AD3" w:rsidDel="00FB301A">
        <w:rPr>
          <w:strike/>
          <w:color w:val="FF0000"/>
        </w:rPr>
        <w:t>beneficiary</w:t>
      </w:r>
      <w:r w:rsidRPr="00101AD3" w:rsidR="00FB301A">
        <w:rPr>
          <w:strike/>
          <w:color w:val="FF0000"/>
        </w:rPr>
        <w:t xml:space="preserve"> </w:t>
      </w:r>
      <w:r w:rsidRPr="00101AD3" w:rsidR="00FB301A">
        <w:rPr>
          <w:color w:val="FF0000"/>
          <w:u w:val="single"/>
        </w:rPr>
        <w:t>recipient</w:t>
      </w:r>
      <w:r>
        <w:t xml:space="preserve"> of the CCA FSR and remove reference to the FSR </w:t>
      </w:r>
      <w:r w:rsidRPr="0047492B" w:rsidR="00656712">
        <w:rPr>
          <w:color w:val="FF0000"/>
          <w:u w:val="single"/>
        </w:rPr>
        <w:t xml:space="preserve">instrument </w:t>
      </w:r>
      <w:r>
        <w:t>being posted with the IOU.</w:t>
      </w:r>
    </w:p>
    <w:p w:rsidRPr="00C52014" w:rsidR="00AA54B1" w:rsidP="0023139A" w:rsidRDefault="00AA54B1" w14:paraId="6DAE019C" w14:textId="77777777">
      <w:pPr>
        <w:autoSpaceDE w:val="0"/>
        <w:autoSpaceDN w:val="0"/>
        <w:adjustRightInd w:val="0"/>
        <w:spacing w:line="276" w:lineRule="auto"/>
      </w:pPr>
    </w:p>
    <w:p w:rsidRPr="00C52014" w:rsidR="00AA54B1" w:rsidP="0023139A" w:rsidRDefault="00DE1D95" w14:paraId="4780AAEB" w14:textId="3FD80CF7">
      <w:pPr>
        <w:autoSpaceDE w:val="0"/>
        <w:autoSpaceDN w:val="0"/>
        <w:adjustRightInd w:val="0"/>
        <w:spacing w:after="60" w:line="276" w:lineRule="auto"/>
        <w:rPr>
          <w:b/>
          <w:bCs/>
          <w:sz w:val="28"/>
          <w:szCs w:val="22"/>
          <w:u w:val="single"/>
        </w:rPr>
      </w:pPr>
      <w:r>
        <w:rPr>
          <w:b/>
          <w:bCs/>
          <w:sz w:val="28"/>
          <w:szCs w:val="22"/>
          <w:u w:val="single"/>
        </w:rPr>
        <w:t xml:space="preserve">7.  </w:t>
      </w:r>
      <w:r w:rsidRPr="00C52014" w:rsidR="00AA54B1">
        <w:rPr>
          <w:b/>
          <w:bCs/>
          <w:sz w:val="28"/>
          <w:szCs w:val="22"/>
          <w:u w:val="single"/>
        </w:rPr>
        <w:t>CCA eligibility to resume service after termination of CCA service rights</w:t>
      </w:r>
    </w:p>
    <w:p w:rsidRPr="00C52014" w:rsidR="00AA54B1" w:rsidP="0023139A" w:rsidRDefault="00AA54B1" w14:paraId="2E29CCEB" w14:textId="77777777">
      <w:pPr>
        <w:autoSpaceDE w:val="0"/>
        <w:autoSpaceDN w:val="0"/>
        <w:adjustRightInd w:val="0"/>
        <w:spacing w:line="276" w:lineRule="auto"/>
      </w:pPr>
      <w:r w:rsidRPr="00C52014">
        <w:lastRenderedPageBreak/>
        <w:t>SEA argues SDG&amp;E does not have the authority to dictate the period of time that must pass before a CCA program can resume service after an involuntary return of customers</w:t>
      </w:r>
    </w:p>
    <w:p w:rsidRPr="00C52014" w:rsidR="00AA54B1" w:rsidP="0023139A" w:rsidRDefault="00AA54B1" w14:paraId="14A71B28" w14:textId="77777777">
      <w:pPr>
        <w:autoSpaceDE w:val="0"/>
        <w:autoSpaceDN w:val="0"/>
        <w:adjustRightInd w:val="0"/>
        <w:spacing w:line="276" w:lineRule="auto"/>
      </w:pPr>
    </w:p>
    <w:p w:rsidRPr="00C52014" w:rsidR="00AA54B1" w:rsidP="0023139A" w:rsidRDefault="00AA54B1" w14:paraId="69C98174" w14:textId="77777777">
      <w:pPr>
        <w:autoSpaceDE w:val="0"/>
        <w:autoSpaceDN w:val="0"/>
        <w:adjustRightInd w:val="0"/>
        <w:spacing w:line="276" w:lineRule="auto"/>
        <w:rPr>
          <w:b/>
          <w:bCs/>
        </w:rPr>
      </w:pPr>
      <w:r w:rsidRPr="00C52014">
        <w:rPr>
          <w:b/>
          <w:bCs/>
        </w:rPr>
        <w:t>Reply</w:t>
      </w:r>
    </w:p>
    <w:p w:rsidRPr="00C52014" w:rsidR="00AA54B1" w:rsidP="0023139A" w:rsidRDefault="00AA54B1" w14:paraId="72783A9F" w14:textId="53C87349">
      <w:pPr>
        <w:autoSpaceDE w:val="0"/>
        <w:autoSpaceDN w:val="0"/>
        <w:adjustRightInd w:val="0"/>
        <w:spacing w:line="276" w:lineRule="auto"/>
      </w:pPr>
      <w:r w:rsidRPr="00C52014">
        <w:t>In response to SEA’s protest, SDG&amp;E indicates that the three-year and six-month timeline language cited in SEA’s protest was approved on August 16, 2005, in SDG&amp;E’s AL 1667-E and is therefore out of scope.</w:t>
      </w:r>
      <w:r w:rsidR="3BB6020A">
        <w:t xml:space="preserve"> </w:t>
      </w:r>
    </w:p>
    <w:p w:rsidRPr="00C52014" w:rsidR="00AA54B1" w:rsidP="0023139A" w:rsidRDefault="00AA54B1" w14:paraId="096DCCCB" w14:textId="77777777">
      <w:pPr>
        <w:autoSpaceDE w:val="0"/>
        <w:autoSpaceDN w:val="0"/>
        <w:adjustRightInd w:val="0"/>
        <w:spacing w:line="276" w:lineRule="auto"/>
        <w:rPr>
          <w:b/>
          <w:bCs/>
        </w:rPr>
      </w:pPr>
    </w:p>
    <w:p w:rsidRPr="00C52014" w:rsidR="00AA54B1" w:rsidP="0023139A" w:rsidRDefault="00AA54B1" w14:paraId="545631EE" w14:textId="77777777">
      <w:pPr>
        <w:autoSpaceDE w:val="0"/>
        <w:autoSpaceDN w:val="0"/>
        <w:adjustRightInd w:val="0"/>
        <w:spacing w:line="276" w:lineRule="auto"/>
        <w:rPr>
          <w:b/>
          <w:bCs/>
        </w:rPr>
      </w:pPr>
      <w:r w:rsidRPr="00C52014">
        <w:rPr>
          <w:b/>
          <w:bCs/>
        </w:rPr>
        <w:t>Discussion</w:t>
      </w:r>
    </w:p>
    <w:p w:rsidRPr="00C52014" w:rsidR="00AA54B1" w:rsidP="0023139A" w:rsidRDefault="00AA54B1" w14:paraId="09C65B6B" w14:textId="1E2F3343">
      <w:pPr>
        <w:spacing w:line="276" w:lineRule="auto"/>
      </w:pPr>
      <w:r w:rsidRPr="00C52014">
        <w:t xml:space="preserve">SDG&amp;E is correct that the three-year and six-month period of time was previously established by the approval of SDG&amp;E’s AL 1667-E. </w:t>
      </w:r>
      <w:r w:rsidR="003D5899">
        <w:t xml:space="preserve"> </w:t>
      </w:r>
      <w:r w:rsidRPr="00C52014">
        <w:t>The protest is dismissed as out of scope.</w:t>
      </w:r>
    </w:p>
    <w:p w:rsidRPr="00C52014" w:rsidR="00AA54B1" w:rsidP="0023139A" w:rsidRDefault="00AA54B1" w14:paraId="19ADD730" w14:textId="77777777">
      <w:pPr>
        <w:autoSpaceDE w:val="0"/>
        <w:autoSpaceDN w:val="0"/>
        <w:adjustRightInd w:val="0"/>
        <w:spacing w:line="276" w:lineRule="auto"/>
      </w:pPr>
    </w:p>
    <w:p w:rsidRPr="00C52014" w:rsidR="00AA54B1" w:rsidP="0023139A" w:rsidRDefault="00AA54B1" w14:paraId="3D251292" w14:textId="77777777">
      <w:pPr>
        <w:pStyle w:val="ListParagraph"/>
        <w:spacing w:line="276" w:lineRule="auto"/>
      </w:pPr>
    </w:p>
    <w:p w:rsidRPr="00C52014" w:rsidR="00AA54B1" w:rsidP="0023139A" w:rsidRDefault="00DE1D95" w14:paraId="5246457A" w14:textId="5E764675">
      <w:pPr>
        <w:autoSpaceDE w:val="0"/>
        <w:autoSpaceDN w:val="0"/>
        <w:adjustRightInd w:val="0"/>
        <w:spacing w:after="60" w:line="276" w:lineRule="auto"/>
        <w:rPr>
          <w:b/>
          <w:bCs/>
          <w:sz w:val="28"/>
          <w:szCs w:val="22"/>
          <w:u w:val="single"/>
        </w:rPr>
      </w:pPr>
      <w:r>
        <w:rPr>
          <w:b/>
          <w:bCs/>
          <w:sz w:val="28"/>
          <w:szCs w:val="22"/>
          <w:u w:val="single"/>
        </w:rPr>
        <w:t xml:space="preserve">8.  </w:t>
      </w:r>
      <w:r w:rsidR="00AA54B1">
        <w:rPr>
          <w:b/>
          <w:bCs/>
          <w:sz w:val="28"/>
          <w:szCs w:val="22"/>
          <w:u w:val="single"/>
        </w:rPr>
        <w:t>S</w:t>
      </w:r>
      <w:r w:rsidRPr="00C52014" w:rsidR="00AA54B1">
        <w:rPr>
          <w:b/>
          <w:bCs/>
          <w:sz w:val="28"/>
          <w:szCs w:val="22"/>
          <w:u w:val="single"/>
        </w:rPr>
        <w:t>haring of proprietary information used to calculate FSR</w:t>
      </w:r>
    </w:p>
    <w:p w:rsidRPr="00C52014" w:rsidR="00AA54B1" w:rsidP="0023139A" w:rsidRDefault="00AA54B1" w14:paraId="6CE43C60" w14:textId="13CE53E1">
      <w:pPr>
        <w:autoSpaceDE w:val="0"/>
        <w:autoSpaceDN w:val="0"/>
        <w:adjustRightInd w:val="0"/>
        <w:spacing w:line="276" w:lineRule="auto"/>
      </w:pPr>
      <w:r w:rsidRPr="00C52014">
        <w:t>SEA argues that third-party proprietary information used to calculate financial security requirements should be shared with the CCA program, subject to a confidentiality agreement, rather than withh</w:t>
      </w:r>
      <w:r w:rsidR="00DE1D95">
        <w:t>e</w:t>
      </w:r>
      <w:r w:rsidRPr="00C52014">
        <w:t>ld.</w:t>
      </w:r>
      <w:r w:rsidR="003D5899">
        <w:t xml:space="preserve"> </w:t>
      </w:r>
      <w:r w:rsidRPr="00C52014">
        <w:t xml:space="preserve"> SEA argues that CCA programs have a right to know the basi</w:t>
      </w:r>
      <w:r w:rsidR="00B74927">
        <w:t>c</w:t>
      </w:r>
      <w:r w:rsidRPr="00C52014">
        <w:t xml:space="preserve">s of the FSR calculation and that sensitive or confidential information can be disclosed to </w:t>
      </w:r>
      <w:r>
        <w:t>CCA</w:t>
      </w:r>
      <w:r w:rsidRPr="00C52014">
        <w:t xml:space="preserve"> programs under a confidentiality agreement, protective order, or similar agreement.</w:t>
      </w:r>
    </w:p>
    <w:p w:rsidRPr="00C52014" w:rsidR="00AA54B1" w:rsidP="0023139A" w:rsidRDefault="00AA54B1" w14:paraId="0AED0DAA" w14:textId="77777777">
      <w:pPr>
        <w:autoSpaceDE w:val="0"/>
        <w:autoSpaceDN w:val="0"/>
        <w:adjustRightInd w:val="0"/>
        <w:spacing w:line="276" w:lineRule="auto"/>
      </w:pPr>
    </w:p>
    <w:p w:rsidRPr="00C52014" w:rsidR="00AA54B1" w:rsidP="0023139A" w:rsidRDefault="00AA54B1" w14:paraId="4331DDB1" w14:textId="77777777">
      <w:pPr>
        <w:autoSpaceDE w:val="0"/>
        <w:autoSpaceDN w:val="0"/>
        <w:adjustRightInd w:val="0"/>
        <w:spacing w:line="276" w:lineRule="auto"/>
        <w:rPr>
          <w:b/>
          <w:bCs/>
        </w:rPr>
      </w:pPr>
      <w:r w:rsidRPr="00C52014">
        <w:rPr>
          <w:b/>
          <w:bCs/>
        </w:rPr>
        <w:t>Reply</w:t>
      </w:r>
    </w:p>
    <w:p w:rsidR="00AA54B1" w:rsidP="0023139A" w:rsidRDefault="00AA54B1" w14:paraId="6B12AC36" w14:textId="7F316B72">
      <w:pPr>
        <w:autoSpaceDE w:val="0"/>
        <w:autoSpaceDN w:val="0"/>
        <w:adjustRightInd w:val="0"/>
        <w:spacing w:line="276" w:lineRule="auto"/>
      </w:pPr>
      <w:r w:rsidRPr="00C52014">
        <w:t xml:space="preserve">In response to </w:t>
      </w:r>
      <w:r w:rsidR="00B74927">
        <w:t xml:space="preserve">the </w:t>
      </w:r>
      <w:r w:rsidRPr="00C52014">
        <w:t>SEA protest, SDG&amp;E states that it agrees that the establishment of CCA FSRs should be transparent.  SDG&amp;E states it will continue to first attempt to secure permission to release the price forecast information necessary to calculate FSRs for CCAs within its service area.  However, SDG&amp;E states it must reserve the right to mark information as confidential should third-party vendors not provide permission to release such information to other parties.</w:t>
      </w:r>
    </w:p>
    <w:p w:rsidRPr="00C52014" w:rsidR="00DD5E01" w:rsidP="0023139A" w:rsidRDefault="00DD5E01" w14:paraId="25CDBF60" w14:textId="77777777">
      <w:pPr>
        <w:autoSpaceDE w:val="0"/>
        <w:autoSpaceDN w:val="0"/>
        <w:adjustRightInd w:val="0"/>
        <w:spacing w:line="276" w:lineRule="auto"/>
      </w:pPr>
    </w:p>
    <w:p w:rsidRPr="00C52014" w:rsidR="00AA54B1" w:rsidP="0023139A" w:rsidRDefault="00AA54B1" w14:paraId="46657673" w14:textId="25F3DE24">
      <w:pPr>
        <w:autoSpaceDE w:val="0"/>
        <w:autoSpaceDN w:val="0"/>
        <w:adjustRightInd w:val="0"/>
        <w:spacing w:line="276" w:lineRule="auto"/>
      </w:pPr>
      <w:r w:rsidRPr="00C52014">
        <w:t>SDG&amp;E also notes that only information pertaining to the energy usage of SEA’s customers was withheld from public disclosure in AL 3259-E</w:t>
      </w:r>
      <w:r w:rsidR="00B74927">
        <w:t>,</w:t>
      </w:r>
      <w:r w:rsidRPr="00C52014">
        <w:t xml:space="preserve"> and an unredacted version of AL 3259-E was directly provided to SEA and the CPUC.</w:t>
      </w:r>
    </w:p>
    <w:p w:rsidRPr="00C52014" w:rsidR="00AA54B1" w:rsidP="0023139A" w:rsidRDefault="00AA54B1" w14:paraId="3D7DE3BB" w14:textId="77777777">
      <w:pPr>
        <w:autoSpaceDE w:val="0"/>
        <w:autoSpaceDN w:val="0"/>
        <w:adjustRightInd w:val="0"/>
        <w:spacing w:line="276" w:lineRule="auto"/>
      </w:pPr>
    </w:p>
    <w:p w:rsidRPr="00C52014" w:rsidR="00AA54B1" w:rsidP="0023139A" w:rsidRDefault="00AA54B1" w14:paraId="2196617D" w14:textId="77777777">
      <w:pPr>
        <w:autoSpaceDE w:val="0"/>
        <w:autoSpaceDN w:val="0"/>
        <w:adjustRightInd w:val="0"/>
        <w:spacing w:line="276" w:lineRule="auto"/>
        <w:rPr>
          <w:b/>
          <w:bCs/>
        </w:rPr>
      </w:pPr>
      <w:r w:rsidRPr="00C52014">
        <w:rPr>
          <w:b/>
          <w:bCs/>
        </w:rPr>
        <w:t>Discussion</w:t>
      </w:r>
    </w:p>
    <w:p w:rsidRPr="00C52014" w:rsidR="00AA54B1" w:rsidP="0023139A" w:rsidRDefault="00AA54B1" w14:paraId="2126C91C" w14:textId="2E25DFE0">
      <w:pPr>
        <w:spacing w:line="276" w:lineRule="auto"/>
      </w:pPr>
      <w:r w:rsidRPr="00C52014">
        <w:t>We agree that the establishment of CCA FSRs should be transparent</w:t>
      </w:r>
      <w:r w:rsidR="0068197A">
        <w:t>.  The IOU should</w:t>
      </w:r>
      <w:r w:rsidRPr="00C52014">
        <w:t xml:space="preserve"> </w:t>
      </w:r>
      <w:r w:rsidR="0068197A">
        <w:t>release the information to CCAs through nondisclosure agreements</w:t>
      </w:r>
      <w:r w:rsidR="00B74927">
        <w:t>,</w:t>
      </w:r>
      <w:r w:rsidR="0068197A">
        <w:t xml:space="preserve"> or if that is not possible,</w:t>
      </w:r>
      <w:r w:rsidR="00B74927">
        <w:t xml:space="preserve"> it</w:t>
      </w:r>
      <w:r w:rsidR="0068197A">
        <w:t xml:space="preserve"> should endeavor</w:t>
      </w:r>
      <w:r w:rsidRPr="00C52014">
        <w:t xml:space="preserve"> to secure permission to release the price forecast information necessary to calculate FSRs for CCAs within their service areas.</w:t>
      </w:r>
      <w:r w:rsidR="00C55A7D">
        <w:t xml:space="preserve">  </w:t>
      </w:r>
      <w:r w:rsidRPr="006B3752" w:rsidR="00813B29">
        <w:rPr>
          <w:color w:val="FF0000"/>
          <w:u w:val="single"/>
        </w:rPr>
        <w:t>The p</w:t>
      </w:r>
      <w:r w:rsidRPr="006B3752" w:rsidR="00EA2E4D">
        <w:rPr>
          <w:color w:val="FF0000"/>
          <w:u w:val="single"/>
        </w:rPr>
        <w:t>roprietary d</w:t>
      </w:r>
      <w:r w:rsidRPr="006B3752" w:rsidR="00C55A7D">
        <w:rPr>
          <w:color w:val="FF0000"/>
          <w:u w:val="single"/>
        </w:rPr>
        <w:t xml:space="preserve">ata </w:t>
      </w:r>
      <w:r w:rsidRPr="006B3752" w:rsidR="00EA2E4D">
        <w:rPr>
          <w:color w:val="FF0000"/>
          <w:u w:val="single"/>
        </w:rPr>
        <w:t xml:space="preserve">not owned by the IOU that </w:t>
      </w:r>
      <w:r w:rsidRPr="006B3752" w:rsidR="00C55A7D">
        <w:rPr>
          <w:color w:val="FF0000"/>
          <w:u w:val="single"/>
        </w:rPr>
        <w:t>are necessary to calculate the FSR</w:t>
      </w:r>
      <w:r w:rsidRPr="006B3752" w:rsidR="00BF11EA">
        <w:rPr>
          <w:color w:val="FF0000"/>
          <w:u w:val="single"/>
        </w:rPr>
        <w:t xml:space="preserve"> </w:t>
      </w:r>
      <w:r w:rsidRPr="006B3752" w:rsidR="00F51184">
        <w:rPr>
          <w:color w:val="FF0000"/>
          <w:u w:val="single"/>
        </w:rPr>
        <w:t xml:space="preserve">are publicly available and </w:t>
      </w:r>
      <w:r w:rsidRPr="006B3752" w:rsidR="00BF11EA">
        <w:rPr>
          <w:color w:val="FF0000"/>
          <w:u w:val="single"/>
        </w:rPr>
        <w:t>can be acquired through a subscription</w:t>
      </w:r>
      <w:r w:rsidRPr="006B3752" w:rsidR="007C2743">
        <w:rPr>
          <w:color w:val="FF0000"/>
          <w:u w:val="single"/>
        </w:rPr>
        <w:t xml:space="preserve"> </w:t>
      </w:r>
      <w:r w:rsidRPr="006B3752" w:rsidR="00B923AC">
        <w:rPr>
          <w:color w:val="FF0000"/>
          <w:u w:val="single"/>
        </w:rPr>
        <w:t xml:space="preserve">with </w:t>
      </w:r>
      <w:r w:rsidRPr="006B3752" w:rsidR="0063743A">
        <w:rPr>
          <w:color w:val="FF0000"/>
          <w:u w:val="single"/>
        </w:rPr>
        <w:t xml:space="preserve">the </w:t>
      </w:r>
      <w:r w:rsidRPr="006B3752" w:rsidR="00B923AC">
        <w:rPr>
          <w:color w:val="FF0000"/>
          <w:u w:val="single"/>
        </w:rPr>
        <w:t>Intercontinental Exchange (ICE)</w:t>
      </w:r>
      <w:r w:rsidRPr="006B3752" w:rsidR="00C55A7D">
        <w:rPr>
          <w:color w:val="FF0000"/>
          <w:u w:val="single"/>
        </w:rPr>
        <w:t>.</w:t>
      </w:r>
    </w:p>
    <w:p w:rsidRPr="00C52014" w:rsidR="00AA54B1" w:rsidP="0023139A" w:rsidRDefault="00AA54B1" w14:paraId="67FE02B3" w14:textId="77777777">
      <w:pPr>
        <w:autoSpaceDE w:val="0"/>
        <w:autoSpaceDN w:val="0"/>
        <w:adjustRightInd w:val="0"/>
        <w:spacing w:line="276" w:lineRule="auto"/>
      </w:pPr>
    </w:p>
    <w:p w:rsidRPr="00C52014" w:rsidR="00AA54B1" w:rsidP="0023139A" w:rsidRDefault="0068197A" w14:paraId="16BA6A77" w14:textId="541CEF2A">
      <w:pPr>
        <w:autoSpaceDE w:val="0"/>
        <w:autoSpaceDN w:val="0"/>
        <w:adjustRightInd w:val="0"/>
        <w:spacing w:after="60" w:line="276" w:lineRule="auto"/>
        <w:rPr>
          <w:b/>
          <w:bCs/>
          <w:sz w:val="28"/>
          <w:szCs w:val="22"/>
          <w:u w:val="single"/>
        </w:rPr>
      </w:pPr>
      <w:r>
        <w:rPr>
          <w:b/>
          <w:bCs/>
          <w:sz w:val="28"/>
          <w:szCs w:val="22"/>
          <w:u w:val="single"/>
        </w:rPr>
        <w:t xml:space="preserve">9.  </w:t>
      </w:r>
      <w:r w:rsidR="00AA54B1">
        <w:rPr>
          <w:b/>
          <w:bCs/>
          <w:sz w:val="28"/>
          <w:szCs w:val="22"/>
          <w:u w:val="single"/>
        </w:rPr>
        <w:t>P</w:t>
      </w:r>
      <w:r w:rsidRPr="00C52014" w:rsidR="00AA54B1">
        <w:rPr>
          <w:b/>
          <w:bCs/>
          <w:sz w:val="28"/>
          <w:szCs w:val="22"/>
          <w:u w:val="single"/>
        </w:rPr>
        <w:t>roposed revisions missing from SDG&amp;E</w:t>
      </w:r>
      <w:r w:rsidR="00B74927">
        <w:rPr>
          <w:b/>
          <w:bCs/>
          <w:sz w:val="28"/>
          <w:szCs w:val="22"/>
          <w:u w:val="single"/>
        </w:rPr>
        <w:t>’</w:t>
      </w:r>
      <w:r w:rsidRPr="00C52014" w:rsidR="00AA54B1">
        <w:rPr>
          <w:b/>
          <w:bCs/>
          <w:sz w:val="28"/>
          <w:szCs w:val="22"/>
          <w:u w:val="single"/>
        </w:rPr>
        <w:t>s AL 3257-E</w:t>
      </w:r>
    </w:p>
    <w:p w:rsidR="00AA54B1" w:rsidP="0023139A" w:rsidRDefault="00AA54B1" w14:paraId="08931E1E" w14:textId="1AF870D9">
      <w:pPr>
        <w:autoSpaceDE w:val="0"/>
        <w:autoSpaceDN w:val="0"/>
        <w:adjustRightInd w:val="0"/>
        <w:spacing w:line="276" w:lineRule="auto"/>
      </w:pPr>
      <w:r w:rsidRPr="00C52014">
        <w:t>SEA notes that it appears that content is missing from the AL and that the AL has inconsistent sections and numbering of sheets.</w:t>
      </w:r>
    </w:p>
    <w:p w:rsidRPr="00C52014" w:rsidR="001D21EE" w:rsidP="0023139A" w:rsidRDefault="001D21EE" w14:paraId="480DE622" w14:textId="77777777">
      <w:pPr>
        <w:autoSpaceDE w:val="0"/>
        <w:autoSpaceDN w:val="0"/>
        <w:adjustRightInd w:val="0"/>
        <w:spacing w:line="276" w:lineRule="auto"/>
        <w:rPr>
          <w:rFonts w:ascii="Garamond" w:hAnsi="Garamond"/>
          <w:color w:val="000000"/>
        </w:rPr>
      </w:pPr>
    </w:p>
    <w:p w:rsidRPr="00C52014" w:rsidR="00AA54B1" w:rsidP="0023139A" w:rsidRDefault="00AA54B1" w14:paraId="0EF711EF" w14:textId="77777777">
      <w:pPr>
        <w:autoSpaceDE w:val="0"/>
        <w:autoSpaceDN w:val="0"/>
        <w:adjustRightInd w:val="0"/>
        <w:spacing w:line="276" w:lineRule="auto"/>
        <w:rPr>
          <w:b/>
          <w:bCs/>
        </w:rPr>
      </w:pPr>
      <w:r w:rsidRPr="00C52014">
        <w:rPr>
          <w:b/>
          <w:bCs/>
        </w:rPr>
        <w:t>Reply</w:t>
      </w:r>
    </w:p>
    <w:p w:rsidRPr="00C52014" w:rsidR="00AA54B1" w:rsidP="0023139A" w:rsidRDefault="00AA54B1" w14:paraId="3777B7AB" w14:textId="105677A0">
      <w:pPr>
        <w:autoSpaceDE w:val="0"/>
        <w:autoSpaceDN w:val="0"/>
        <w:adjustRightInd w:val="0"/>
        <w:spacing w:line="276" w:lineRule="auto"/>
      </w:pPr>
      <w:r w:rsidRPr="00C52014">
        <w:t>SDG&amp;E states that the sheets cited as missing in the protest were not included in the submitted AL</w:t>
      </w:r>
      <w:r w:rsidR="00515D29">
        <w:t>,</w:t>
      </w:r>
      <w:r w:rsidRPr="00C52014">
        <w:t xml:space="preserve"> because SDG&amp;E did not propose any modifications to the sections, and it is therefore out of scope.</w:t>
      </w:r>
    </w:p>
    <w:p w:rsidRPr="00C52014" w:rsidR="00AA54B1" w:rsidP="0023139A" w:rsidRDefault="00AA54B1" w14:paraId="06CDFDA8" w14:textId="77777777">
      <w:pPr>
        <w:spacing w:line="276" w:lineRule="auto"/>
        <w:rPr>
          <w:b/>
          <w:bCs/>
        </w:rPr>
      </w:pPr>
    </w:p>
    <w:p w:rsidRPr="00C52014" w:rsidR="00AA54B1" w:rsidP="0023139A" w:rsidRDefault="00AA54B1" w14:paraId="2788C40A" w14:textId="77777777">
      <w:pPr>
        <w:spacing w:line="276" w:lineRule="auto"/>
        <w:rPr>
          <w:b/>
          <w:bCs/>
        </w:rPr>
      </w:pPr>
      <w:r w:rsidRPr="00C52014">
        <w:rPr>
          <w:b/>
          <w:bCs/>
        </w:rPr>
        <w:t>Discussion</w:t>
      </w:r>
    </w:p>
    <w:p w:rsidRPr="00C52014" w:rsidR="00AA54B1" w:rsidP="0023139A" w:rsidRDefault="00AA54B1" w14:paraId="44D57B57" w14:textId="6D749D9A">
      <w:pPr>
        <w:spacing w:line="276" w:lineRule="auto"/>
      </w:pPr>
      <w:r w:rsidRPr="00C52014">
        <w:t xml:space="preserve">SDG&amp;E has sufficiently explained that the sheets not shown have not been revised. </w:t>
      </w:r>
      <w:r w:rsidR="003D5899">
        <w:t xml:space="preserve"> </w:t>
      </w:r>
      <w:r w:rsidRPr="00C52014">
        <w:t>The protest is thus moot.</w:t>
      </w:r>
    </w:p>
    <w:p w:rsidRPr="0023139A" w:rsidR="00E908D6" w:rsidP="00F75BC9" w:rsidRDefault="00E908D6" w14:paraId="63DC864E" w14:textId="17C1879A">
      <w:pPr>
        <w:pStyle w:val="standard"/>
        <w:ind w:firstLine="0"/>
        <w:rPr>
          <w:b/>
          <w:bCs/>
          <w:u w:val="single"/>
        </w:rPr>
      </w:pPr>
    </w:p>
    <w:p w:rsidRPr="00F75BC9" w:rsidR="00E908D6" w:rsidP="00F75BC9" w:rsidRDefault="003222E7" w14:paraId="767BD32B" w14:textId="1E5249B5">
      <w:pPr>
        <w:pStyle w:val="Heading1"/>
      </w:pPr>
      <w:r>
        <w:t>Discussion</w:t>
      </w:r>
    </w:p>
    <w:p w:rsidR="007453C9" w:rsidP="00E908D6" w:rsidRDefault="00F75BC9" w14:paraId="54D9771E" w14:textId="443E028A">
      <w:pPr>
        <w:spacing w:line="276" w:lineRule="auto"/>
        <w:rPr>
          <w:bCs/>
        </w:rPr>
      </w:pPr>
      <w:r w:rsidRPr="00F932F1">
        <w:rPr>
          <w:bCs/>
        </w:rPr>
        <w:t>Advice Letter</w:t>
      </w:r>
      <w:r>
        <w:rPr>
          <w:bCs/>
        </w:rPr>
        <w:t>s</w:t>
      </w:r>
      <w:r w:rsidRPr="00F932F1">
        <w:rPr>
          <w:bCs/>
        </w:rPr>
        <w:t xml:space="preserve"> PG&amp;E 5354-E, SCE 3840-E,</w:t>
      </w:r>
      <w:r>
        <w:rPr>
          <w:bCs/>
        </w:rPr>
        <w:t xml:space="preserve"> and</w:t>
      </w:r>
      <w:r w:rsidRPr="0023139A">
        <w:rPr>
          <w:bCs/>
        </w:rPr>
        <w:t xml:space="preserve"> SDG&amp;E 3257-E</w:t>
      </w:r>
      <w:r>
        <w:rPr>
          <w:bCs/>
        </w:rPr>
        <w:t xml:space="preserve"> </w:t>
      </w:r>
      <w:r w:rsidR="00A15E60">
        <w:rPr>
          <w:bCs/>
        </w:rPr>
        <w:t>are approved with modifications as discussed above.</w:t>
      </w:r>
    </w:p>
    <w:p w:rsidR="00A15E60" w:rsidP="00E908D6" w:rsidRDefault="00A15E60" w14:paraId="3E0A957F" w14:textId="77777777">
      <w:pPr>
        <w:spacing w:line="276" w:lineRule="auto"/>
      </w:pPr>
    </w:p>
    <w:p w:rsidR="009E612F" w:rsidP="00E908D6" w:rsidRDefault="009E612F" w14:paraId="2616C1E6" w14:textId="1C205C95">
      <w:pPr>
        <w:spacing w:line="276" w:lineRule="auto"/>
      </w:pPr>
      <w:r>
        <w:t xml:space="preserve">The IOUs shall file Tier </w:t>
      </w:r>
      <w:r w:rsidR="00741238">
        <w:t xml:space="preserve">1 </w:t>
      </w:r>
      <w:r>
        <w:t xml:space="preserve">ALs to revise PG&amp;E and SCE Rule 23, and SDG&amp;E Rule 27 within </w:t>
      </w:r>
      <w:r w:rsidR="00A20942">
        <w:t xml:space="preserve">30 </w:t>
      </w:r>
      <w:r>
        <w:t xml:space="preserve">days of this </w:t>
      </w:r>
      <w:r w:rsidR="00F0470B">
        <w:t>r</w:t>
      </w:r>
      <w:r>
        <w:t>esolution</w:t>
      </w:r>
      <w:r w:rsidR="006D6C54">
        <w:t xml:space="preserve"> to </w:t>
      </w:r>
      <w:r w:rsidR="00712800">
        <w:t>revise tariff as discussed above.</w:t>
      </w:r>
      <w:r>
        <w:t xml:space="preserve"> </w:t>
      </w:r>
      <w:r w:rsidR="003D5899">
        <w:t xml:space="preserve"> </w:t>
      </w:r>
      <w:r w:rsidR="00A20942">
        <w:t>All CCAs shall post a financial security</w:t>
      </w:r>
      <w:r w:rsidR="008D3207">
        <w:t xml:space="preserve"> instrument</w:t>
      </w:r>
      <w:r w:rsidR="00A20942">
        <w:t xml:space="preserve"> within</w:t>
      </w:r>
      <w:r w:rsidR="00836443">
        <w:t xml:space="preserve"> 30</w:t>
      </w:r>
      <w:r w:rsidR="00712800">
        <w:t xml:space="preserve"> days of </w:t>
      </w:r>
      <w:r w:rsidR="00836443">
        <w:t>this resolution.</w:t>
      </w:r>
      <w:r w:rsidR="00712800">
        <w:t xml:space="preserve"> </w:t>
      </w:r>
    </w:p>
    <w:p w:rsidRPr="00C52014" w:rsidR="00A20942" w:rsidP="00E908D6" w:rsidRDefault="00A20942" w14:paraId="6D7C6DF5" w14:textId="54B87A70">
      <w:pPr>
        <w:spacing w:line="276" w:lineRule="auto"/>
      </w:pPr>
    </w:p>
    <w:p w:rsidRPr="00C52014" w:rsidR="0024459D" w:rsidP="00F75BC9" w:rsidRDefault="00CF17DE" w14:paraId="14281BFC" w14:textId="44AB1487">
      <w:pPr>
        <w:pStyle w:val="Heading1"/>
        <w:spacing w:line="276" w:lineRule="auto"/>
      </w:pPr>
      <w:r w:rsidRPr="00C52014">
        <w:t>Comments</w:t>
      </w:r>
    </w:p>
    <w:p w:rsidRPr="00C52014" w:rsidR="00B20C39" w:rsidP="00F932F1" w:rsidRDefault="0024459D" w14:paraId="12735DD3" w14:textId="1F44A0F8">
      <w:pPr>
        <w:spacing w:line="276" w:lineRule="auto"/>
      </w:pPr>
      <w:r w:rsidRPr="00C52014">
        <w:t xml:space="preserve">Public Utilities Code section 311(g)(1) provides that this resolution must be served on all parties and subject to at least 30 days public review.  </w:t>
      </w:r>
    </w:p>
    <w:p w:rsidRPr="00C52014" w:rsidR="00B20C39" w:rsidP="00F932F1" w:rsidRDefault="00B20C39" w14:paraId="1BF5F73F" w14:textId="2C6D46F4">
      <w:pPr>
        <w:spacing w:line="276" w:lineRule="auto"/>
      </w:pPr>
    </w:p>
    <w:p w:rsidR="000B1EFE" w:rsidP="000B1EFE" w:rsidRDefault="004D2BF7" w14:paraId="4F23A56B" w14:textId="20115DD9">
      <w:pPr>
        <w:spacing w:line="276" w:lineRule="auto"/>
      </w:pPr>
      <w:r>
        <w:t>Upon review of comments on the draft resolution, the resolution was substantively modified and</w:t>
      </w:r>
      <w:r w:rsidR="002707E0">
        <w:t xml:space="preserve"> is</w:t>
      </w:r>
      <w:r>
        <w:t xml:space="preserve"> reissued for another comment period according to the CPUC’s Rules of Practice and Procedure</w:t>
      </w:r>
      <w:r w:rsidR="00F8067C">
        <w:t>.</w:t>
      </w:r>
      <w:r w:rsidR="00CA027A">
        <w:t xml:space="preserve"> </w:t>
      </w:r>
      <w:r w:rsidRPr="00C52014" w:rsidDel="00A65E52" w:rsidR="0024459D">
        <w:t xml:space="preserve">Please note that comments are due 20 days from the mailing date of this resolution. Section 311(g)(2) provides that this 30-day review period and 20-day comment period may be reduced or waived upon the stipulation of all parties in the proceeding. </w:t>
      </w:r>
    </w:p>
    <w:p w:rsidR="000B1EFE" w:rsidP="000B1EFE" w:rsidRDefault="000B1EFE" w14:paraId="79736902" w14:textId="77777777">
      <w:pPr>
        <w:spacing w:line="276" w:lineRule="auto"/>
      </w:pPr>
    </w:p>
    <w:p w:rsidRPr="0087109C" w:rsidR="008C14D6" w:rsidP="008C14D6" w:rsidRDefault="008C14D6" w14:paraId="01C9280C" w14:textId="77777777">
      <w:pPr>
        <w:spacing w:line="276" w:lineRule="auto"/>
        <w:rPr>
          <w:color w:val="FF0000"/>
          <w:u w:val="single"/>
        </w:rPr>
      </w:pPr>
      <w:r w:rsidRPr="0087109C">
        <w:rPr>
          <w:color w:val="FF0000"/>
          <w:u w:val="single"/>
        </w:rPr>
        <w:t xml:space="preserve">On August 13, 2020, the CPUC received comments from CalCCA and SCE, PG&amp;E, and SDG&amp;E (collectively, the IOUs). </w:t>
      </w:r>
    </w:p>
    <w:p w:rsidRPr="0087109C" w:rsidR="003A389C" w:rsidP="008C14D6" w:rsidRDefault="003A389C" w14:paraId="58960AAF" w14:textId="77777777">
      <w:pPr>
        <w:spacing w:line="276" w:lineRule="auto"/>
        <w:rPr>
          <w:color w:val="FF0000"/>
          <w:u w:val="single"/>
        </w:rPr>
      </w:pPr>
    </w:p>
    <w:p w:rsidRPr="0087109C" w:rsidR="00EE4462" w:rsidP="00004402" w:rsidRDefault="003A389C" w14:paraId="0ED3CA99" w14:textId="3E4886EC">
      <w:pPr>
        <w:spacing w:line="276" w:lineRule="auto"/>
        <w:rPr>
          <w:color w:val="FF0000"/>
          <w:u w:val="single"/>
        </w:rPr>
      </w:pPr>
      <w:r w:rsidRPr="0087109C">
        <w:rPr>
          <w:color w:val="FF0000"/>
          <w:u w:val="single"/>
        </w:rPr>
        <w:t xml:space="preserve">In comments, the IOUs state that some issues are being improperly relitigated without the benefit of the record that was gathered in support of the decision. Specifically, </w:t>
      </w:r>
      <w:r w:rsidRPr="0087109C" w:rsidR="7FF0FB97">
        <w:rPr>
          <w:color w:val="FF0000"/>
          <w:u w:val="single"/>
        </w:rPr>
        <w:t>they</w:t>
      </w:r>
      <w:r w:rsidRPr="0087109C">
        <w:rPr>
          <w:color w:val="FF0000"/>
          <w:u w:val="single"/>
        </w:rPr>
        <w:t xml:space="preserve"> argue that P.U. Code Section 394.25(e) is clear that reentry fees are to be imposed on involuntarily returned customers. </w:t>
      </w:r>
      <w:r w:rsidRPr="0087109C" w:rsidR="003D5899">
        <w:rPr>
          <w:color w:val="FF0000"/>
          <w:u w:val="single"/>
        </w:rPr>
        <w:t xml:space="preserve"> </w:t>
      </w:r>
      <w:r w:rsidRPr="0087109C">
        <w:rPr>
          <w:color w:val="FF0000"/>
          <w:u w:val="single"/>
        </w:rPr>
        <w:t>Furthermore, the IOUs state that requiring CPUC approval to activate the FSR is unnecessary and jeopardizes the ability of the IOU to collect the FSR amount in the event of an involu</w:t>
      </w:r>
      <w:r w:rsidRPr="0087109C" w:rsidR="50F6AC8F">
        <w:rPr>
          <w:color w:val="FF0000"/>
          <w:u w:val="single"/>
        </w:rPr>
        <w:t>n</w:t>
      </w:r>
      <w:r w:rsidRPr="0087109C">
        <w:rPr>
          <w:color w:val="FF0000"/>
          <w:u w:val="single"/>
        </w:rPr>
        <w:t xml:space="preserve">tary return.  The IOUs request that the requirement </w:t>
      </w:r>
      <w:r w:rsidRPr="0087109C" w:rsidR="368280D4">
        <w:rPr>
          <w:color w:val="FF0000"/>
          <w:u w:val="single"/>
        </w:rPr>
        <w:t>to</w:t>
      </w:r>
      <w:r w:rsidRPr="0087109C">
        <w:rPr>
          <w:color w:val="FF0000"/>
          <w:u w:val="single"/>
        </w:rPr>
        <w:t xml:space="preserve"> submit a Tier 1 advice letter  to collect the CCA FSR </w:t>
      </w:r>
      <w:r w:rsidRPr="0087109C" w:rsidR="44425576">
        <w:rPr>
          <w:color w:val="FF0000"/>
          <w:u w:val="single"/>
        </w:rPr>
        <w:t xml:space="preserve">be </w:t>
      </w:r>
      <w:r w:rsidRPr="0087109C">
        <w:rPr>
          <w:color w:val="FF0000"/>
          <w:u w:val="single"/>
        </w:rPr>
        <w:t xml:space="preserve">eliminated, and </w:t>
      </w:r>
      <w:r w:rsidRPr="0087109C" w:rsidR="70DB0622">
        <w:rPr>
          <w:color w:val="FF0000"/>
          <w:u w:val="single"/>
        </w:rPr>
        <w:t>the resolution should</w:t>
      </w:r>
      <w:r w:rsidRPr="0087109C">
        <w:rPr>
          <w:color w:val="FF0000"/>
          <w:u w:val="single"/>
        </w:rPr>
        <w:t xml:space="preserve"> instead direct the IOUs to submit Tier 1 advice letters advising the C</w:t>
      </w:r>
      <w:r w:rsidRPr="0087109C" w:rsidR="00694795">
        <w:rPr>
          <w:color w:val="FF0000"/>
          <w:u w:val="single"/>
        </w:rPr>
        <w:t>PUC</w:t>
      </w:r>
      <w:r w:rsidRPr="0087109C">
        <w:rPr>
          <w:color w:val="FF0000"/>
          <w:u w:val="single"/>
        </w:rPr>
        <w:t xml:space="preserve"> </w:t>
      </w:r>
      <w:r w:rsidRPr="0087109C" w:rsidR="00850682">
        <w:rPr>
          <w:color w:val="FF0000"/>
          <w:u w:val="single"/>
        </w:rPr>
        <w:t xml:space="preserve">that </w:t>
      </w:r>
      <w:r w:rsidRPr="0087109C">
        <w:rPr>
          <w:color w:val="FF0000"/>
          <w:u w:val="single"/>
        </w:rPr>
        <w:t>a mass involuntary return of CCA customer</w:t>
      </w:r>
      <w:r w:rsidRPr="0087109C" w:rsidR="00AC2D11">
        <w:rPr>
          <w:color w:val="FF0000"/>
          <w:u w:val="single"/>
        </w:rPr>
        <w:t>s</w:t>
      </w:r>
      <w:r w:rsidRPr="0087109C">
        <w:rPr>
          <w:color w:val="FF0000"/>
          <w:u w:val="single"/>
        </w:rPr>
        <w:t xml:space="preserve"> has occurred and set forth the reentry fees calculation.</w:t>
      </w:r>
      <w:r w:rsidRPr="0087109C" w:rsidR="5ABD24A8">
        <w:rPr>
          <w:color w:val="FF0000"/>
          <w:u w:val="single"/>
        </w:rPr>
        <w:t xml:space="preserve"> </w:t>
      </w:r>
    </w:p>
    <w:p w:rsidRPr="006B3752" w:rsidR="00EE4462" w:rsidP="00004402" w:rsidRDefault="00EE4462" w14:paraId="7A43463C" w14:textId="77777777">
      <w:pPr>
        <w:spacing w:line="276" w:lineRule="auto"/>
        <w:rPr>
          <w:color w:val="FF0000"/>
          <w:u w:val="single"/>
        </w:rPr>
      </w:pPr>
    </w:p>
    <w:p w:rsidR="003A389C" w:rsidP="63A7745A" w:rsidRDefault="0091794E" w14:paraId="0B8D32F8" w14:textId="13697509">
      <w:pPr>
        <w:spacing w:line="276" w:lineRule="auto"/>
        <w:rPr>
          <w:color w:val="FF0000"/>
          <w:u w:val="single"/>
        </w:rPr>
      </w:pPr>
      <w:r w:rsidRPr="00976633">
        <w:rPr>
          <w:color w:val="FF0000"/>
          <w:u w:val="single"/>
        </w:rPr>
        <w:lastRenderedPageBreak/>
        <w:t xml:space="preserve">Upon review, we agree that </w:t>
      </w:r>
      <w:r w:rsidRPr="00976633" w:rsidR="00B0059A">
        <w:rPr>
          <w:color w:val="FF0000"/>
          <w:u w:val="single"/>
        </w:rPr>
        <w:t>th</w:t>
      </w:r>
      <w:r w:rsidRPr="00976633" w:rsidR="0043044E">
        <w:rPr>
          <w:color w:val="FF0000"/>
          <w:u w:val="single"/>
        </w:rPr>
        <w:t>e</w:t>
      </w:r>
      <w:r w:rsidRPr="00976633" w:rsidR="00B0059A">
        <w:rPr>
          <w:color w:val="FF0000"/>
          <w:u w:val="single"/>
        </w:rPr>
        <w:t xml:space="preserve"> statute is clear </w:t>
      </w:r>
      <w:r w:rsidRPr="00976633" w:rsidR="002B3A6F">
        <w:rPr>
          <w:color w:val="FF0000"/>
          <w:u w:val="single"/>
        </w:rPr>
        <w:t>regarding reentry fee cost responsibility</w:t>
      </w:r>
      <w:r w:rsidRPr="00976633" w:rsidR="00384901">
        <w:rPr>
          <w:color w:val="FF0000"/>
          <w:u w:val="single"/>
        </w:rPr>
        <w:t>.</w:t>
      </w:r>
      <w:r w:rsidRPr="00976633" w:rsidR="0020200B">
        <w:rPr>
          <w:color w:val="FF0000"/>
          <w:u w:val="single"/>
        </w:rPr>
        <w:t xml:space="preserve"> </w:t>
      </w:r>
      <w:r w:rsidRPr="00976633" w:rsidR="0043044E">
        <w:rPr>
          <w:color w:val="FF0000"/>
          <w:u w:val="single"/>
        </w:rPr>
        <w:t xml:space="preserve"> </w:t>
      </w:r>
      <w:r w:rsidRPr="00976633" w:rsidR="002B3A6F">
        <w:rPr>
          <w:color w:val="FF0000"/>
          <w:u w:val="single"/>
        </w:rPr>
        <w:t>The resolution now</w:t>
      </w:r>
      <w:r w:rsidRPr="00976633" w:rsidR="001C62EB">
        <w:rPr>
          <w:color w:val="FF0000"/>
          <w:u w:val="single"/>
        </w:rPr>
        <w:t xml:space="preserve"> clarif</w:t>
      </w:r>
      <w:r w:rsidRPr="00976633" w:rsidR="002B3A6F">
        <w:rPr>
          <w:color w:val="FF0000"/>
          <w:u w:val="single"/>
        </w:rPr>
        <w:t>ies</w:t>
      </w:r>
      <w:r w:rsidRPr="00976633" w:rsidR="001C62EB">
        <w:rPr>
          <w:color w:val="FF0000"/>
          <w:u w:val="single"/>
        </w:rPr>
        <w:t xml:space="preserve"> that </w:t>
      </w:r>
      <w:r w:rsidRPr="00976633" w:rsidR="00561862">
        <w:rPr>
          <w:color w:val="FF0000"/>
          <w:u w:val="single"/>
        </w:rPr>
        <w:t xml:space="preserve">activation of an FSR instrument may only occur </w:t>
      </w:r>
      <w:r w:rsidRPr="00976633" w:rsidR="003F6BCC">
        <w:rPr>
          <w:color w:val="FF0000"/>
          <w:u w:val="single"/>
        </w:rPr>
        <w:t xml:space="preserve">due to </w:t>
      </w:r>
      <w:r w:rsidRPr="00976633" w:rsidR="0043044E">
        <w:rPr>
          <w:color w:val="FF0000"/>
          <w:u w:val="single"/>
        </w:rPr>
        <w:t xml:space="preserve">either </w:t>
      </w:r>
      <w:r w:rsidRPr="00976633" w:rsidR="003F6BCC">
        <w:rPr>
          <w:color w:val="FF0000"/>
          <w:u w:val="single"/>
        </w:rPr>
        <w:t xml:space="preserve">an involuntary return of CCA customers or based on the </w:t>
      </w:r>
      <w:r w:rsidRPr="00976633" w:rsidR="00057D13">
        <w:rPr>
          <w:color w:val="FF0000"/>
          <w:u w:val="single"/>
        </w:rPr>
        <w:t xml:space="preserve">mutually agreed to </w:t>
      </w:r>
      <w:r w:rsidRPr="00976633" w:rsidR="003F6BCC">
        <w:rPr>
          <w:color w:val="FF0000"/>
          <w:u w:val="single"/>
        </w:rPr>
        <w:t xml:space="preserve">terms and conditions in the </w:t>
      </w:r>
      <w:r w:rsidRPr="00976633" w:rsidR="007E6DF7">
        <w:rPr>
          <w:color w:val="FF0000"/>
          <w:u w:val="single"/>
        </w:rPr>
        <w:t xml:space="preserve">FSR instrument. </w:t>
      </w:r>
      <w:r w:rsidRPr="00976633" w:rsidR="003D5899">
        <w:rPr>
          <w:color w:val="FF0000"/>
          <w:u w:val="single"/>
        </w:rPr>
        <w:t xml:space="preserve"> </w:t>
      </w:r>
      <w:r w:rsidRPr="00976633" w:rsidR="004109E5">
        <w:rPr>
          <w:color w:val="FF0000"/>
          <w:u w:val="single"/>
        </w:rPr>
        <w:t>CCA service may only be terminated by order of the CPUC</w:t>
      </w:r>
      <w:r w:rsidRPr="60A0E87D" w:rsidR="0F33078B">
        <w:rPr>
          <w:color w:val="FF0000"/>
          <w:u w:val="single"/>
        </w:rPr>
        <w:t>,</w:t>
      </w:r>
      <w:r w:rsidRPr="00976633" w:rsidR="004109E5">
        <w:rPr>
          <w:color w:val="FF0000"/>
          <w:u w:val="single"/>
        </w:rPr>
        <w:t xml:space="preserve"> and thus CPUC approval to activate the FSR is unnecessary. </w:t>
      </w:r>
      <w:r w:rsidRPr="00976633" w:rsidR="003D5899">
        <w:rPr>
          <w:color w:val="FF0000"/>
          <w:u w:val="single"/>
        </w:rPr>
        <w:t xml:space="preserve"> </w:t>
      </w:r>
      <w:r w:rsidRPr="00976633" w:rsidR="009D247F">
        <w:rPr>
          <w:color w:val="FF0000"/>
          <w:u w:val="single"/>
        </w:rPr>
        <w:t>We revise the</w:t>
      </w:r>
      <w:r w:rsidRPr="00976633" w:rsidR="004C65D7">
        <w:rPr>
          <w:color w:val="FF0000"/>
          <w:u w:val="single"/>
        </w:rPr>
        <w:t xml:space="preserve"> requirement for the IOU to submit a </w:t>
      </w:r>
      <w:r w:rsidRPr="00976633" w:rsidR="00B92109">
        <w:rPr>
          <w:color w:val="FF0000"/>
          <w:u w:val="single"/>
        </w:rPr>
        <w:t>Tier 1 advice letter</w:t>
      </w:r>
      <w:r w:rsidRPr="60A0E87D" w:rsidR="17541ED7">
        <w:rPr>
          <w:color w:val="FF0000"/>
          <w:u w:val="single"/>
        </w:rPr>
        <w:t>,</w:t>
      </w:r>
      <w:r w:rsidRPr="00976633" w:rsidR="00B92109">
        <w:rPr>
          <w:color w:val="FF0000"/>
          <w:u w:val="single"/>
        </w:rPr>
        <w:t xml:space="preserve"> as recommended by the IOUs. </w:t>
      </w:r>
    </w:p>
    <w:p w:rsidRPr="00976633" w:rsidR="00976633" w:rsidP="63A7745A" w:rsidRDefault="00976633" w14:paraId="6D9BBE6D" w14:textId="77777777">
      <w:pPr>
        <w:spacing w:line="276" w:lineRule="auto"/>
        <w:rPr>
          <w:color w:val="FF0000"/>
          <w:u w:val="single"/>
        </w:rPr>
      </w:pPr>
    </w:p>
    <w:p w:rsidRPr="00AE0689" w:rsidR="003A389C" w:rsidP="003A389C" w:rsidRDefault="63EFD6F7" w14:paraId="26453D36" w14:textId="54875036">
      <w:pPr>
        <w:spacing w:line="276" w:lineRule="auto"/>
        <w:rPr>
          <w:color w:val="FF0000"/>
          <w:u w:val="single"/>
        </w:rPr>
      </w:pPr>
      <w:r w:rsidRPr="00976633">
        <w:rPr>
          <w:color w:val="FF0000"/>
          <w:u w:val="single"/>
        </w:rPr>
        <w:t xml:space="preserve">CalCCA requests further clarifications on the details of the activation of the FSR instrument and the rules involving resolving disputed reentry fees and the FSR instruments. </w:t>
      </w:r>
      <w:r w:rsidRPr="00976633" w:rsidR="003D5899">
        <w:rPr>
          <w:color w:val="FF0000"/>
          <w:u w:val="single"/>
        </w:rPr>
        <w:t xml:space="preserve"> </w:t>
      </w:r>
      <w:r w:rsidRPr="00976633">
        <w:rPr>
          <w:color w:val="FF0000"/>
          <w:u w:val="single"/>
        </w:rPr>
        <w:t xml:space="preserve">Any party that disputes the </w:t>
      </w:r>
      <w:r w:rsidRPr="00976633" w:rsidR="0039420F">
        <w:rPr>
          <w:color w:val="FF0000"/>
          <w:u w:val="single"/>
        </w:rPr>
        <w:t>calculation of the</w:t>
      </w:r>
      <w:r w:rsidRPr="00976633">
        <w:rPr>
          <w:color w:val="FF0000"/>
          <w:u w:val="single"/>
        </w:rPr>
        <w:t xml:space="preserve"> reentry fees can do so through the advice letter process when the </w:t>
      </w:r>
      <w:r w:rsidRPr="00976633" w:rsidR="00D625E4">
        <w:rPr>
          <w:color w:val="FF0000"/>
          <w:u w:val="single"/>
        </w:rPr>
        <w:t xml:space="preserve">IOU </w:t>
      </w:r>
      <w:r w:rsidRPr="00976633" w:rsidR="00694795">
        <w:rPr>
          <w:color w:val="FF0000"/>
          <w:u w:val="single"/>
        </w:rPr>
        <w:t>advises the</w:t>
      </w:r>
      <w:r w:rsidRPr="00976633">
        <w:rPr>
          <w:color w:val="FF0000"/>
          <w:u w:val="single"/>
        </w:rPr>
        <w:t xml:space="preserve"> </w:t>
      </w:r>
      <w:r w:rsidRPr="00976633" w:rsidR="00A40CB8">
        <w:rPr>
          <w:color w:val="FF0000"/>
          <w:u w:val="single"/>
        </w:rPr>
        <w:t>CPUC of a mass involuntary return</w:t>
      </w:r>
      <w:r w:rsidRPr="00976633">
        <w:rPr>
          <w:color w:val="FF0000"/>
          <w:u w:val="single"/>
        </w:rPr>
        <w:t xml:space="preserve">. </w:t>
      </w:r>
      <w:r w:rsidRPr="00976633" w:rsidR="00495614">
        <w:rPr>
          <w:color w:val="FF0000"/>
          <w:u w:val="single"/>
        </w:rPr>
        <w:t xml:space="preserve"> </w:t>
      </w:r>
      <w:r w:rsidRPr="00976633" w:rsidR="007A7F98">
        <w:rPr>
          <w:color w:val="FF0000"/>
          <w:u w:val="single"/>
        </w:rPr>
        <w:t>As noted abov</w:t>
      </w:r>
      <w:r w:rsidRPr="00976633" w:rsidR="00ED39BA">
        <w:rPr>
          <w:color w:val="FF0000"/>
          <w:u w:val="single"/>
        </w:rPr>
        <w:t>e, w</w:t>
      </w:r>
      <w:r w:rsidRPr="00976633" w:rsidR="00C6195D">
        <w:rPr>
          <w:color w:val="FF0000"/>
          <w:u w:val="single"/>
        </w:rPr>
        <w:t>e revise the resol</w:t>
      </w:r>
      <w:r w:rsidRPr="00976633" w:rsidR="00955F7A">
        <w:rPr>
          <w:color w:val="FF0000"/>
          <w:u w:val="single"/>
        </w:rPr>
        <w:t>ution to clarify th</w:t>
      </w:r>
      <w:r w:rsidRPr="00976633" w:rsidR="009A77D2">
        <w:rPr>
          <w:color w:val="FF0000"/>
          <w:u w:val="single"/>
        </w:rPr>
        <w:t xml:space="preserve">e limited conditions upon </w:t>
      </w:r>
      <w:r w:rsidRPr="00AE0689" w:rsidR="009A77D2">
        <w:rPr>
          <w:color w:val="FF0000"/>
          <w:u w:val="single"/>
        </w:rPr>
        <w:t>which the</w:t>
      </w:r>
      <w:r w:rsidRPr="00AE0689" w:rsidR="00D7115C">
        <w:rPr>
          <w:color w:val="FF0000"/>
          <w:u w:val="single"/>
        </w:rPr>
        <w:t xml:space="preserve"> FSR </w:t>
      </w:r>
      <w:r w:rsidRPr="00AE0689" w:rsidR="00A40CB8">
        <w:rPr>
          <w:color w:val="FF0000"/>
          <w:u w:val="single"/>
        </w:rPr>
        <w:t xml:space="preserve">instrument </w:t>
      </w:r>
      <w:r w:rsidRPr="00AE0689" w:rsidR="00D7115C">
        <w:rPr>
          <w:color w:val="FF0000"/>
          <w:u w:val="single"/>
        </w:rPr>
        <w:t xml:space="preserve">can be activated and </w:t>
      </w:r>
      <w:r w:rsidRPr="00AE0689" w:rsidR="00A40CB8">
        <w:rPr>
          <w:color w:val="FF0000"/>
          <w:u w:val="single"/>
        </w:rPr>
        <w:t>drawn</w:t>
      </w:r>
      <w:r w:rsidRPr="00AE0689" w:rsidR="00D7115C">
        <w:rPr>
          <w:color w:val="FF0000"/>
          <w:u w:val="single"/>
        </w:rPr>
        <w:t xml:space="preserve"> upon.</w:t>
      </w:r>
      <w:r w:rsidRPr="00AE0689" w:rsidR="0014528E">
        <w:rPr>
          <w:color w:val="FF0000"/>
          <w:u w:val="single"/>
        </w:rPr>
        <w:t xml:space="preserve"> </w:t>
      </w:r>
      <w:r w:rsidRPr="00AE0689" w:rsidR="000B4627">
        <w:rPr>
          <w:color w:val="FF0000"/>
          <w:u w:val="single"/>
        </w:rPr>
        <w:t>The</w:t>
      </w:r>
      <w:r w:rsidRPr="00AE0689" w:rsidR="00EB4035">
        <w:rPr>
          <w:color w:val="FF0000"/>
          <w:u w:val="single"/>
        </w:rPr>
        <w:t xml:space="preserve"> process for activating the FSR is detailed in Appendix A. </w:t>
      </w:r>
    </w:p>
    <w:p w:rsidRPr="00AE0689" w:rsidR="63A7745A" w:rsidP="63A7745A" w:rsidRDefault="63A7745A" w14:paraId="4FCDE880" w14:textId="47C4BBE7">
      <w:pPr>
        <w:spacing w:line="276" w:lineRule="auto"/>
        <w:rPr>
          <w:color w:val="FF0000"/>
          <w:u w:val="single"/>
        </w:rPr>
      </w:pPr>
    </w:p>
    <w:p w:rsidRPr="00AE0689" w:rsidR="003A389C" w:rsidP="00CE54A7" w:rsidRDefault="003A389C" w14:paraId="494A197B" w14:textId="53C46523">
      <w:pPr>
        <w:spacing w:line="276" w:lineRule="auto"/>
        <w:rPr>
          <w:color w:val="FF0000"/>
          <w:u w:val="single"/>
        </w:rPr>
      </w:pPr>
      <w:r w:rsidRPr="00AE0689">
        <w:rPr>
          <w:color w:val="FF0000"/>
          <w:u w:val="single"/>
        </w:rPr>
        <w:t>CalCCA requests that the resolution provide</w:t>
      </w:r>
      <w:r w:rsidRPr="00AE0689" w:rsidR="00A40CB8">
        <w:rPr>
          <w:color w:val="FF0000"/>
          <w:u w:val="single"/>
        </w:rPr>
        <w:t>s</w:t>
      </w:r>
      <w:r w:rsidRPr="00AE0689">
        <w:rPr>
          <w:color w:val="FF0000"/>
          <w:u w:val="single"/>
        </w:rPr>
        <w:t xml:space="preserve"> CCAs additional time to implement and update the FSR instruments</w:t>
      </w:r>
      <w:r w:rsidRPr="00AE0689" w:rsidR="0026656D">
        <w:rPr>
          <w:color w:val="FF0000"/>
          <w:u w:val="single"/>
        </w:rPr>
        <w:t>, stating that r</w:t>
      </w:r>
      <w:r w:rsidRPr="00AE0689" w:rsidR="00CE54A7">
        <w:rPr>
          <w:color w:val="FF0000"/>
          <w:u w:val="single"/>
        </w:rPr>
        <w:t>eplacing an issuer may require a competitive</w:t>
      </w:r>
      <w:r w:rsidRPr="00AE0689" w:rsidR="00AC345A">
        <w:rPr>
          <w:color w:val="FF0000"/>
          <w:u w:val="single"/>
        </w:rPr>
        <w:t xml:space="preserve"> </w:t>
      </w:r>
      <w:r w:rsidRPr="00AE0689" w:rsidR="00CE54A7">
        <w:rPr>
          <w:color w:val="FF0000"/>
          <w:u w:val="single"/>
        </w:rPr>
        <w:t>solicitation and a vote of the CCA’s Board of Directors, which could take 30-60 days</w:t>
      </w:r>
      <w:r w:rsidRPr="00AE0689">
        <w:rPr>
          <w:color w:val="FF0000"/>
          <w:u w:val="single"/>
        </w:rPr>
        <w:t xml:space="preserve">. </w:t>
      </w:r>
      <w:r w:rsidRPr="00AE0689" w:rsidR="008E76F6">
        <w:rPr>
          <w:color w:val="FF0000"/>
          <w:u w:val="single"/>
        </w:rPr>
        <w:t xml:space="preserve"> </w:t>
      </w:r>
      <w:r w:rsidRPr="00AE0689" w:rsidR="00491F26">
        <w:rPr>
          <w:color w:val="FF0000"/>
          <w:u w:val="single"/>
        </w:rPr>
        <w:t>We</w:t>
      </w:r>
      <w:r w:rsidRPr="00AE0689">
        <w:rPr>
          <w:color w:val="FF0000"/>
          <w:u w:val="single"/>
        </w:rPr>
        <w:t xml:space="preserve"> agree that more than thirty-days to initially implement the terms of the FSR instruments may be needed, but also anticipate that the approval of this resolution will cause CCAs to expediently initiate such processes. We, therefore, extend this time to sixty</w:t>
      </w:r>
      <w:r w:rsidRPr="00AE0689" w:rsidR="002E4C4F">
        <w:rPr>
          <w:color w:val="FF0000"/>
          <w:u w:val="single"/>
        </w:rPr>
        <w:t xml:space="preserve"> </w:t>
      </w:r>
      <w:r w:rsidRPr="00AE0689">
        <w:rPr>
          <w:color w:val="FF0000"/>
          <w:u w:val="single"/>
        </w:rPr>
        <w:t>days.</w:t>
      </w:r>
    </w:p>
    <w:p w:rsidRPr="00AE0689" w:rsidR="00921CB3" w:rsidP="003A389C" w:rsidRDefault="00921CB3" w14:paraId="1B538B57" w14:textId="36872FCE">
      <w:pPr>
        <w:spacing w:line="276" w:lineRule="auto"/>
        <w:rPr>
          <w:color w:val="FF0000"/>
          <w:u w:val="single"/>
        </w:rPr>
      </w:pPr>
    </w:p>
    <w:p w:rsidRPr="00AE0689" w:rsidR="008C14D6" w:rsidP="00467675" w:rsidRDefault="00844DE7" w14:paraId="517AECB1" w14:textId="75F53D5B">
      <w:pPr>
        <w:spacing w:line="276" w:lineRule="auto"/>
        <w:rPr>
          <w:color w:val="FF0000"/>
          <w:szCs w:val="26"/>
          <w:u w:val="single"/>
        </w:rPr>
      </w:pPr>
      <w:r w:rsidRPr="00AE0689">
        <w:rPr>
          <w:color w:val="FF0000"/>
          <w:szCs w:val="26"/>
          <w:u w:val="single"/>
        </w:rPr>
        <w:t xml:space="preserve">The resolution has been revised </w:t>
      </w:r>
      <w:r w:rsidRPr="00AE0689" w:rsidR="00BE3FA9">
        <w:rPr>
          <w:color w:val="FF0000"/>
          <w:szCs w:val="26"/>
          <w:u w:val="single"/>
        </w:rPr>
        <w:t>to remove other factual inaccuracies</w:t>
      </w:r>
      <w:r w:rsidRPr="00AE0689" w:rsidR="00327FD0">
        <w:rPr>
          <w:color w:val="FF0000"/>
          <w:szCs w:val="26"/>
          <w:u w:val="single"/>
        </w:rPr>
        <w:t>, specifically regarding the period for which IOUs collect procurement costs identified in the advice letter</w:t>
      </w:r>
      <w:r w:rsidRPr="00AE0689" w:rsidR="009F71AD">
        <w:rPr>
          <w:color w:val="FF0000"/>
          <w:szCs w:val="26"/>
          <w:u w:val="single"/>
        </w:rPr>
        <w:t>, on page 7.</w:t>
      </w:r>
      <w:r w:rsidRPr="00AE0689" w:rsidR="0086618A">
        <w:rPr>
          <w:color w:val="FF0000"/>
          <w:szCs w:val="26"/>
          <w:u w:val="single"/>
        </w:rPr>
        <w:t xml:space="preserve"> </w:t>
      </w:r>
      <w:r w:rsidRPr="00AE0689" w:rsidR="008E76F6">
        <w:rPr>
          <w:color w:val="FF0000"/>
          <w:szCs w:val="26"/>
          <w:u w:val="single"/>
        </w:rPr>
        <w:t xml:space="preserve"> </w:t>
      </w:r>
      <w:r w:rsidRPr="00AE0689" w:rsidR="00BE425E">
        <w:rPr>
          <w:color w:val="FF0000"/>
          <w:szCs w:val="26"/>
          <w:u w:val="single"/>
        </w:rPr>
        <w:t>Other minor changes have been made to the proposed decision to clarify implementation details.</w:t>
      </w:r>
    </w:p>
    <w:p w:rsidRPr="00AE0689" w:rsidR="00AC6A84" w:rsidP="00467675" w:rsidRDefault="00AC6A84" w14:paraId="114B2BB5" w14:textId="77777777">
      <w:pPr>
        <w:spacing w:line="276" w:lineRule="auto"/>
        <w:rPr>
          <w:color w:val="FF0000"/>
          <w:szCs w:val="26"/>
          <w:u w:val="single"/>
        </w:rPr>
      </w:pPr>
    </w:p>
    <w:p w:rsidR="00AC6A84" w:rsidP="00AC6A84" w:rsidRDefault="00AC6A84" w14:paraId="4766FDEF" w14:textId="26A3C84D">
      <w:pPr>
        <w:spacing w:line="276" w:lineRule="auto"/>
      </w:pPr>
      <w:r w:rsidRPr="00AE0689">
        <w:rPr>
          <w:color w:val="FF0000"/>
          <w:u w:val="single"/>
        </w:rPr>
        <w:t xml:space="preserve">The parties raise additional comments that reargue the issues in this resolution, which </w:t>
      </w:r>
      <w:r w:rsidRPr="00AE0689" w:rsidR="006B3C0B">
        <w:rPr>
          <w:color w:val="FF0000"/>
          <w:u w:val="single"/>
        </w:rPr>
        <w:t>are</w:t>
      </w:r>
      <w:r w:rsidRPr="00AE0689">
        <w:rPr>
          <w:color w:val="FF0000"/>
          <w:u w:val="single"/>
        </w:rPr>
        <w:t xml:space="preserve"> addressed in the discussion of protested issues.</w:t>
      </w:r>
      <w:r w:rsidRPr="0087109C">
        <w:rPr>
          <w:color w:val="FF0000"/>
        </w:rPr>
        <w:t xml:space="preserve"> </w:t>
      </w:r>
    </w:p>
    <w:p w:rsidRPr="003D74E7" w:rsidR="003C59B1" w:rsidP="00467675" w:rsidRDefault="003C59B1" w14:paraId="0CB8E8E6" w14:textId="77777777">
      <w:pPr>
        <w:spacing w:line="276" w:lineRule="auto"/>
        <w:rPr>
          <w:szCs w:val="26"/>
        </w:rPr>
      </w:pPr>
    </w:p>
    <w:p w:rsidRPr="00C52014" w:rsidR="00CF17DE" w:rsidP="00F932F1" w:rsidRDefault="00CF17DE" w14:paraId="07618DBE" w14:textId="77777777">
      <w:pPr>
        <w:pStyle w:val="Heading1"/>
        <w:spacing w:line="276" w:lineRule="auto"/>
      </w:pPr>
      <w:r w:rsidRPr="00C52014">
        <w:t>Findings</w:t>
      </w:r>
    </w:p>
    <w:p w:rsidR="00CF17DE" w:rsidP="0023139A" w:rsidRDefault="001017F3" w14:paraId="4487620D" w14:textId="5C3FD52D">
      <w:pPr>
        <w:numPr>
          <w:ilvl w:val="0"/>
          <w:numId w:val="4"/>
        </w:numPr>
        <w:tabs>
          <w:tab w:val="clear" w:pos="420"/>
          <w:tab w:val="num" w:pos="840"/>
        </w:tabs>
        <w:spacing w:after="120" w:line="276" w:lineRule="auto"/>
      </w:pPr>
      <w:r w:rsidRPr="00C52014">
        <w:t>D.18-05-022</w:t>
      </w:r>
      <w:r w:rsidRPr="00C52014" w:rsidR="00CF17DE">
        <w:t xml:space="preserve"> directed</w:t>
      </w:r>
      <w:r w:rsidRPr="00C52014" w:rsidR="00645E07">
        <w:t xml:space="preserve"> the </w:t>
      </w:r>
      <w:r w:rsidRPr="00C52014" w:rsidR="00095C87">
        <w:t>implementation of Reentry Fees and</w:t>
      </w:r>
      <w:r w:rsidRPr="00C52014" w:rsidR="00645E07">
        <w:t xml:space="preserve"> </w:t>
      </w:r>
      <w:r w:rsidRPr="00C52014" w:rsidR="00095C87">
        <w:t>Financial Security Instruments, which are</w:t>
      </w:r>
      <w:r w:rsidRPr="00C52014" w:rsidR="00C34183">
        <w:t xml:space="preserve"> made effective through </w:t>
      </w:r>
      <w:r w:rsidRPr="00C52014" w:rsidR="00522418">
        <w:t>IOUs</w:t>
      </w:r>
      <w:r w:rsidRPr="00C52014" w:rsidR="00555D47">
        <w:t xml:space="preserve">’ </w:t>
      </w:r>
      <w:r w:rsidRPr="00C52014" w:rsidR="00764577">
        <w:t>Rules</w:t>
      </w:r>
      <w:r w:rsidRPr="00C52014" w:rsidR="00012204">
        <w:t>.</w:t>
      </w:r>
      <w:r w:rsidRPr="00C52014" w:rsidR="00CE1E3C">
        <w:t xml:space="preserve"> </w:t>
      </w:r>
      <w:r w:rsidR="008E76F6">
        <w:t xml:space="preserve"> </w:t>
      </w:r>
      <w:r w:rsidRPr="00C52014" w:rsidR="00764577">
        <w:t>PG&amp;E, SCE, and S</w:t>
      </w:r>
      <w:r w:rsidRPr="00C52014" w:rsidR="008C100C">
        <w:t>D</w:t>
      </w:r>
      <w:r w:rsidRPr="00C52014" w:rsidR="00764577">
        <w:t>G&amp;E</w:t>
      </w:r>
      <w:r w:rsidRPr="00C52014" w:rsidR="00095C87">
        <w:t xml:space="preserve"> </w:t>
      </w:r>
      <w:r w:rsidRPr="00C52014" w:rsidR="00CF17DE">
        <w:t>file</w:t>
      </w:r>
      <w:r w:rsidRPr="00C52014" w:rsidR="00764577">
        <w:t>d</w:t>
      </w:r>
      <w:r w:rsidRPr="00C52014" w:rsidR="00CF17DE">
        <w:t xml:space="preserve"> an Advice Letter</w:t>
      </w:r>
      <w:r w:rsidRPr="00C52014">
        <w:t xml:space="preserve">s </w:t>
      </w:r>
      <w:r w:rsidRPr="00C52014" w:rsidR="001E3EB5">
        <w:t xml:space="preserve">5354-E, </w:t>
      </w:r>
      <w:r w:rsidRPr="00C52014" w:rsidR="00F20D46">
        <w:t>3840-E, 3257-E</w:t>
      </w:r>
      <w:r w:rsidRPr="00C52014" w:rsidR="00C01330">
        <w:t xml:space="preserve"> pursuant to</w:t>
      </w:r>
      <w:r w:rsidRPr="00C52014" w:rsidR="00CE1E3C">
        <w:t xml:space="preserve"> Ordering Paragraphs of</w:t>
      </w:r>
      <w:r w:rsidRPr="00C52014" w:rsidR="00C01330">
        <w:t xml:space="preserve"> D.18-05-022</w:t>
      </w:r>
      <w:r w:rsidRPr="00C52014" w:rsidR="00A153CD">
        <w:t>.</w:t>
      </w:r>
    </w:p>
    <w:p w:rsidR="00EF0410" w:rsidP="0023139A" w:rsidRDefault="00EF0410" w14:paraId="2CB63F85" w14:textId="06FAD70F">
      <w:pPr>
        <w:pStyle w:val="ListParagraph"/>
        <w:numPr>
          <w:ilvl w:val="0"/>
          <w:numId w:val="4"/>
        </w:numPr>
        <w:spacing w:after="120" w:line="276" w:lineRule="auto"/>
      </w:pPr>
      <w:r>
        <w:t>The following tariff changes were directed by D.18-05-022:</w:t>
      </w:r>
    </w:p>
    <w:p w:rsidR="00EF0410" w:rsidP="0023139A" w:rsidRDefault="00EF0410" w14:paraId="5C65140B" w14:textId="1A332353">
      <w:pPr>
        <w:pStyle w:val="ListParagraph"/>
        <w:numPr>
          <w:ilvl w:val="1"/>
          <w:numId w:val="53"/>
        </w:numPr>
        <w:spacing w:line="276" w:lineRule="auto"/>
        <w:rPr>
          <w:bCs/>
        </w:rPr>
      </w:pPr>
      <w:r>
        <w:rPr>
          <w:bCs/>
        </w:rPr>
        <w:t>T</w:t>
      </w:r>
      <w:r w:rsidRPr="0052591D">
        <w:rPr>
          <w:bCs/>
        </w:rPr>
        <w:t xml:space="preserve">he calculation of administrative cost and incremental procurement cost for the purpose of calculating the </w:t>
      </w:r>
      <w:r>
        <w:rPr>
          <w:bCs/>
        </w:rPr>
        <w:t>amount of the FSR</w:t>
      </w:r>
      <w:r w:rsidR="00B67E13">
        <w:rPr>
          <w:bCs/>
        </w:rPr>
        <w:t>.</w:t>
      </w:r>
    </w:p>
    <w:p w:rsidR="00EF0410" w:rsidP="0023139A" w:rsidRDefault="00EF0410" w14:paraId="2CBED884" w14:textId="5AC5F37F">
      <w:pPr>
        <w:pStyle w:val="ListParagraph"/>
        <w:numPr>
          <w:ilvl w:val="1"/>
          <w:numId w:val="53"/>
        </w:numPr>
        <w:spacing w:line="276" w:lineRule="auto"/>
        <w:rPr>
          <w:bCs/>
        </w:rPr>
      </w:pPr>
      <w:r w:rsidRPr="0052591D">
        <w:rPr>
          <w:bCs/>
        </w:rPr>
        <w:t xml:space="preserve">The </w:t>
      </w:r>
      <w:r>
        <w:rPr>
          <w:bCs/>
        </w:rPr>
        <w:t>FSR</w:t>
      </w:r>
      <w:r w:rsidRPr="0052591D">
        <w:rPr>
          <w:bCs/>
        </w:rPr>
        <w:t xml:space="preserve"> amount is require</w:t>
      </w:r>
      <w:r>
        <w:rPr>
          <w:bCs/>
        </w:rPr>
        <w:t>d</w:t>
      </w:r>
      <w:r w:rsidRPr="0052591D">
        <w:rPr>
          <w:bCs/>
        </w:rPr>
        <w:t xml:space="preserve"> to be updated twice annually </w:t>
      </w:r>
      <w:r>
        <w:rPr>
          <w:bCs/>
        </w:rPr>
        <w:t>if the change in the calculated amount is greater than 10</w:t>
      </w:r>
      <w:r w:rsidR="00B67E13">
        <w:rPr>
          <w:bCs/>
        </w:rPr>
        <w:t xml:space="preserve"> percent.</w:t>
      </w:r>
    </w:p>
    <w:p w:rsidR="00EF0410" w:rsidP="0023139A" w:rsidRDefault="00EF0410" w14:paraId="308516B9" w14:textId="3B90904E">
      <w:pPr>
        <w:pStyle w:val="ListParagraph"/>
        <w:numPr>
          <w:ilvl w:val="1"/>
          <w:numId w:val="53"/>
        </w:numPr>
        <w:spacing w:line="276" w:lineRule="auto"/>
        <w:rPr>
          <w:bCs/>
        </w:rPr>
      </w:pPr>
      <w:r>
        <w:rPr>
          <w:bCs/>
        </w:rPr>
        <w:t>If the benefit of adding new load due to returned customers creates “n</w:t>
      </w:r>
      <w:r w:rsidRPr="0052591D">
        <w:rPr>
          <w:bCs/>
        </w:rPr>
        <w:t>egative incremental procurement</w:t>
      </w:r>
      <w:r>
        <w:rPr>
          <w:bCs/>
        </w:rPr>
        <w:t xml:space="preserve"> costs</w:t>
      </w:r>
      <w:r w:rsidR="00B74927">
        <w:rPr>
          <w:bCs/>
        </w:rPr>
        <w:t>,</w:t>
      </w:r>
      <w:r>
        <w:rPr>
          <w:bCs/>
        </w:rPr>
        <w:t>”</w:t>
      </w:r>
      <w:r>
        <w:rPr>
          <w:rStyle w:val="FootnoteReference"/>
          <w:bCs/>
        </w:rPr>
        <w:footnoteReference w:id="15"/>
      </w:r>
      <w:r>
        <w:rPr>
          <w:bCs/>
        </w:rPr>
        <w:t xml:space="preserve"> those negative procurement costs </w:t>
      </w:r>
      <w:r w:rsidRPr="0052591D">
        <w:rPr>
          <w:bCs/>
        </w:rPr>
        <w:t>will offset the FSR</w:t>
      </w:r>
      <w:r w:rsidR="00B74927">
        <w:rPr>
          <w:bCs/>
        </w:rPr>
        <w:t>’</w:t>
      </w:r>
      <w:r w:rsidRPr="0052591D">
        <w:rPr>
          <w:bCs/>
        </w:rPr>
        <w:t>s administrative cost</w:t>
      </w:r>
      <w:r>
        <w:rPr>
          <w:bCs/>
        </w:rPr>
        <w:t xml:space="preserve"> component of the reentry fees</w:t>
      </w:r>
      <w:r w:rsidR="00B67E13">
        <w:rPr>
          <w:bCs/>
        </w:rPr>
        <w:t>.</w:t>
      </w:r>
    </w:p>
    <w:p w:rsidR="00EF0410" w:rsidP="0023139A" w:rsidRDefault="00EF0410" w14:paraId="7CC577B8" w14:textId="30A154A0">
      <w:pPr>
        <w:pStyle w:val="ListParagraph"/>
        <w:numPr>
          <w:ilvl w:val="1"/>
          <w:numId w:val="53"/>
        </w:numPr>
        <w:spacing w:line="276" w:lineRule="auto"/>
        <w:rPr>
          <w:bCs/>
        </w:rPr>
      </w:pPr>
      <w:r>
        <w:rPr>
          <w:bCs/>
        </w:rPr>
        <w:t xml:space="preserve">The </w:t>
      </w:r>
      <w:r w:rsidRPr="0052591D">
        <w:rPr>
          <w:bCs/>
        </w:rPr>
        <w:t xml:space="preserve">minimum FSR amount </w:t>
      </w:r>
      <w:r>
        <w:rPr>
          <w:bCs/>
        </w:rPr>
        <w:t>is set at</w:t>
      </w:r>
      <w:r w:rsidRPr="0052591D">
        <w:rPr>
          <w:bCs/>
        </w:rPr>
        <w:t xml:space="preserve"> $147,000</w:t>
      </w:r>
      <w:r w:rsidR="003A7169">
        <w:rPr>
          <w:bCs/>
        </w:rPr>
        <w:t>.</w:t>
      </w:r>
    </w:p>
    <w:p w:rsidRPr="00EF0410" w:rsidR="00EF0410" w:rsidP="0023139A" w:rsidRDefault="00EF0410" w14:paraId="6019151E" w14:textId="4ACDA632">
      <w:pPr>
        <w:pStyle w:val="ListParagraph"/>
        <w:numPr>
          <w:ilvl w:val="1"/>
          <w:numId w:val="53"/>
        </w:numPr>
        <w:spacing w:line="276" w:lineRule="auto"/>
        <w:rPr>
          <w:bCs/>
        </w:rPr>
      </w:pPr>
      <w:r w:rsidRPr="0052591D">
        <w:rPr>
          <w:bCs/>
        </w:rPr>
        <w:t xml:space="preserve">The use of letters of credit, surety bonds, and cash held by a third-party </w:t>
      </w:r>
      <w:r>
        <w:rPr>
          <w:bCs/>
        </w:rPr>
        <w:t>will be accepted to satisfy the FSR</w:t>
      </w:r>
      <w:r w:rsidRPr="0052591D">
        <w:rPr>
          <w:bCs/>
        </w:rPr>
        <w:t>.</w:t>
      </w:r>
    </w:p>
    <w:p w:rsidRPr="00C52014" w:rsidR="002F1AF2" w:rsidP="00F932F1" w:rsidRDefault="00F20D46" w14:paraId="2A378771" w14:textId="68A6476A">
      <w:pPr>
        <w:numPr>
          <w:ilvl w:val="0"/>
          <w:numId w:val="4"/>
        </w:numPr>
        <w:spacing w:after="120" w:line="276" w:lineRule="auto"/>
      </w:pPr>
      <w:r w:rsidRPr="008F1631">
        <w:rPr>
          <w:strike/>
          <w:color w:val="FF0000"/>
        </w:rPr>
        <w:t xml:space="preserve">The </w:t>
      </w:r>
      <w:r w:rsidRPr="008F1631" w:rsidR="00B20C39">
        <w:rPr>
          <w:strike/>
          <w:color w:val="FF0000"/>
        </w:rPr>
        <w:t>issue of</w:t>
      </w:r>
      <w:r w:rsidRPr="008F1631">
        <w:rPr>
          <w:strike/>
          <w:color w:val="FF0000"/>
        </w:rPr>
        <w:t xml:space="preserve"> reentry fee amounts</w:t>
      </w:r>
      <w:r w:rsidRPr="008F1631" w:rsidR="00CE1E3C">
        <w:rPr>
          <w:strike/>
          <w:color w:val="FF0000"/>
        </w:rPr>
        <w:t xml:space="preserve"> in </w:t>
      </w:r>
      <w:r w:rsidRPr="008F1631" w:rsidR="005B3400">
        <w:rPr>
          <w:strike/>
          <w:color w:val="FF0000"/>
        </w:rPr>
        <w:t>excess of the FSR</w:t>
      </w:r>
      <w:r w:rsidRPr="008F1631">
        <w:rPr>
          <w:strike/>
          <w:color w:val="FF0000"/>
        </w:rPr>
        <w:t xml:space="preserve"> </w:t>
      </w:r>
      <w:r w:rsidRPr="008F1631" w:rsidR="0019263B">
        <w:rPr>
          <w:strike/>
          <w:color w:val="FF0000"/>
        </w:rPr>
        <w:t>wa</w:t>
      </w:r>
      <w:r w:rsidRPr="008F1631">
        <w:rPr>
          <w:strike/>
          <w:color w:val="FF0000"/>
        </w:rPr>
        <w:t xml:space="preserve">s </w:t>
      </w:r>
      <w:r w:rsidRPr="008F1631" w:rsidR="002B483F">
        <w:rPr>
          <w:strike/>
          <w:color w:val="FF0000"/>
        </w:rPr>
        <w:t xml:space="preserve">not </w:t>
      </w:r>
      <w:r w:rsidRPr="008F1631" w:rsidR="00D47A65">
        <w:rPr>
          <w:strike/>
          <w:color w:val="FF0000"/>
        </w:rPr>
        <w:t>directly</w:t>
      </w:r>
      <w:r w:rsidRPr="008F1631" w:rsidR="009E1D66">
        <w:rPr>
          <w:strike/>
          <w:color w:val="FF0000"/>
        </w:rPr>
        <w:t xml:space="preserve"> </w:t>
      </w:r>
      <w:r w:rsidRPr="008F1631">
        <w:rPr>
          <w:strike/>
          <w:color w:val="FF0000"/>
        </w:rPr>
        <w:t xml:space="preserve">addressed by D.18-05-022 or </w:t>
      </w:r>
      <w:r w:rsidRPr="00C52014">
        <w:t>Public Utilities Code Section 394.25(e</w:t>
      </w:r>
      <w:r>
        <w:t>)</w:t>
      </w:r>
      <w:r w:rsidRPr="008F1631" w:rsidR="5D9EB1D4">
        <w:rPr>
          <w:u w:val="single"/>
        </w:rPr>
        <w:t xml:space="preserve"> </w:t>
      </w:r>
      <w:r w:rsidRPr="008F1631" w:rsidR="5D9EB1D4">
        <w:rPr>
          <w:color w:val="FF0000"/>
          <w:u w:val="single"/>
        </w:rPr>
        <w:t xml:space="preserve">states that </w:t>
      </w:r>
      <w:r w:rsidRPr="008F1631" w:rsidR="6EB035EE">
        <w:rPr>
          <w:color w:val="FF0000"/>
          <w:u w:val="single"/>
        </w:rPr>
        <w:t>any reentry fees that the CPUC deems necessary to avoid imposing costs on other customers are the obligation of the ESP or CCA</w:t>
      </w:r>
      <w:r w:rsidRPr="008F1631">
        <w:rPr>
          <w:color w:val="FF0000"/>
        </w:rPr>
        <w:t>.</w:t>
      </w:r>
    </w:p>
    <w:p w:rsidRPr="00C52014" w:rsidR="006820A5" w:rsidP="006820A5" w:rsidRDefault="006820A5" w14:paraId="28FB7609" w14:textId="402B975D">
      <w:pPr>
        <w:numPr>
          <w:ilvl w:val="0"/>
          <w:numId w:val="4"/>
        </w:numPr>
        <w:spacing w:after="120" w:line="276" w:lineRule="auto"/>
      </w:pPr>
      <w:r w:rsidRPr="00C52014">
        <w:t xml:space="preserve">The lists of events that cause an involuntary return in SCE DA Rule 22 </w:t>
      </w:r>
      <w:r w:rsidR="00A606A8">
        <w:t>are</w:t>
      </w:r>
      <w:r w:rsidRPr="00C52014" w:rsidR="00A606A8">
        <w:t xml:space="preserve"> </w:t>
      </w:r>
      <w:r w:rsidRPr="00C52014">
        <w:t xml:space="preserve">not consistent with the list in PG&amp;E’s Rule 22 and SDG&amp;E’s Rule 25. </w:t>
      </w:r>
    </w:p>
    <w:p w:rsidRPr="00C52014" w:rsidR="007246FE" w:rsidP="00F932F1" w:rsidRDefault="006922CF" w14:paraId="617F032C" w14:textId="52D6589F">
      <w:pPr>
        <w:numPr>
          <w:ilvl w:val="0"/>
          <w:numId w:val="4"/>
        </w:numPr>
        <w:spacing w:after="120" w:line="276" w:lineRule="auto"/>
      </w:pPr>
      <w:r w:rsidRPr="00C52014">
        <w:t>The formation</w:t>
      </w:r>
      <w:r w:rsidRPr="00C52014" w:rsidR="00D0366A">
        <w:t xml:space="preserve"> process</w:t>
      </w:r>
      <w:r w:rsidRPr="00C52014">
        <w:t xml:space="preserve"> of </w:t>
      </w:r>
      <w:r w:rsidRPr="00C52014" w:rsidR="00D0366A">
        <w:t>an</w:t>
      </w:r>
      <w:r w:rsidRPr="00C52014">
        <w:t xml:space="preserve"> FSR instrument </w:t>
      </w:r>
      <w:r w:rsidRPr="00C52014" w:rsidR="00BE419B">
        <w:t xml:space="preserve">should provide </w:t>
      </w:r>
      <w:r w:rsidRPr="00C52014" w:rsidR="00D0366A">
        <w:t xml:space="preserve">all </w:t>
      </w:r>
      <w:r w:rsidRPr="00C52014" w:rsidR="00BE419B">
        <w:t>parties the opportunity to reach mutually</w:t>
      </w:r>
      <w:r w:rsidRPr="00C52014" w:rsidR="007246FE">
        <w:t xml:space="preserve"> </w:t>
      </w:r>
      <w:r w:rsidRPr="00C52014" w:rsidR="00226FDA">
        <w:t>agreeable</w:t>
      </w:r>
      <w:r w:rsidRPr="00C52014" w:rsidR="00BE419B">
        <w:t xml:space="preserve"> </w:t>
      </w:r>
      <w:r w:rsidRPr="00C52014" w:rsidR="007246FE">
        <w:t>terms</w:t>
      </w:r>
      <w:r w:rsidRPr="00C52014" w:rsidR="00D0366A">
        <w:t>, including those related to the specific condi</w:t>
      </w:r>
      <w:r w:rsidRPr="00C52014" w:rsidR="006D2B63">
        <w:t>ti</w:t>
      </w:r>
      <w:r w:rsidRPr="00C52014" w:rsidR="00D0366A">
        <w:t xml:space="preserve">on under which the </w:t>
      </w:r>
      <w:r w:rsidRPr="00C52014" w:rsidR="007246FE">
        <w:t>FSR</w:t>
      </w:r>
      <w:r w:rsidRPr="00C52014" w:rsidR="006D2B63">
        <w:t xml:space="preserve"> is activated</w:t>
      </w:r>
      <w:r w:rsidRPr="00C52014" w:rsidR="00223C09">
        <w:t>.</w:t>
      </w:r>
    </w:p>
    <w:p w:rsidRPr="00C52014" w:rsidR="004E7CE5" w:rsidP="00F932F1" w:rsidRDefault="00BB557D" w14:paraId="75E47D0D" w14:textId="4D897EB6">
      <w:pPr>
        <w:numPr>
          <w:ilvl w:val="0"/>
          <w:numId w:val="4"/>
        </w:numPr>
        <w:spacing w:after="120" w:line="276" w:lineRule="auto"/>
      </w:pPr>
      <w:r w:rsidRPr="00C52014">
        <w:rPr>
          <w:snapToGrid w:val="0"/>
        </w:rPr>
        <w:lastRenderedPageBreak/>
        <w:t>The Joint Utilities</w:t>
      </w:r>
      <w:r w:rsidRPr="00C52014" w:rsidR="00882FD9">
        <w:rPr>
          <w:snapToGrid w:val="0"/>
        </w:rPr>
        <w:t>’</w:t>
      </w:r>
      <w:r w:rsidRPr="00C52014">
        <w:rPr>
          <w:snapToGrid w:val="0"/>
        </w:rPr>
        <w:t xml:space="preserve"> submission of Acceptable Standard Forms </w:t>
      </w:r>
      <w:r w:rsidRPr="00C52014" w:rsidR="00673E72">
        <w:t>was</w:t>
      </w:r>
      <w:r w:rsidRPr="00C52014" w:rsidR="00FB0FF5">
        <w:t xml:space="preserve"> not submitted for </w:t>
      </w:r>
      <w:r w:rsidRPr="00C52014" w:rsidR="004771D0">
        <w:t>CPUC</w:t>
      </w:r>
      <w:r w:rsidRPr="00C52014" w:rsidR="00FB0FF5">
        <w:t xml:space="preserve"> approval and are only intended to</w:t>
      </w:r>
      <w:r w:rsidRPr="00C52014">
        <w:rPr>
          <w:snapToGrid w:val="0"/>
        </w:rPr>
        <w:t xml:space="preserve"> serve as a helpful starting point from which parties of the instrument may collaborate on to reach equitable solutions</w:t>
      </w:r>
      <w:r w:rsidRPr="00C52014" w:rsidR="000F4CF6">
        <w:t>.</w:t>
      </w:r>
    </w:p>
    <w:p w:rsidRPr="00C52014" w:rsidR="00EA322E" w:rsidP="00F932F1" w:rsidRDefault="005036FF" w14:paraId="7BB63903" w14:textId="4F3CC4C1">
      <w:pPr>
        <w:numPr>
          <w:ilvl w:val="0"/>
          <w:numId w:val="4"/>
        </w:numPr>
        <w:spacing w:after="120" w:line="276" w:lineRule="auto"/>
        <w:rPr>
          <w:bCs/>
        </w:rPr>
      </w:pPr>
      <w:r w:rsidRPr="00C52014">
        <w:t>CCA p</w:t>
      </w:r>
      <w:r w:rsidRPr="00C52014" w:rsidR="00AD1B86">
        <w:t xml:space="preserve">ayment remittance by the </w:t>
      </w:r>
      <w:r w:rsidRPr="00C52014" w:rsidR="00522418">
        <w:t>IOU</w:t>
      </w:r>
      <w:r w:rsidRPr="00C52014" w:rsidR="00AD1B86">
        <w:t xml:space="preserve"> w</w:t>
      </w:r>
      <w:r w:rsidRPr="00C52014" w:rsidR="00F81C32">
        <w:t>as</w:t>
      </w:r>
      <w:r w:rsidRPr="00C52014" w:rsidR="00AD1B86">
        <w:t xml:space="preserve"> previously established in</w:t>
      </w:r>
      <w:r w:rsidRPr="00C52014" w:rsidR="00F81C32">
        <w:t xml:space="preserve"> the </w:t>
      </w:r>
      <w:r w:rsidRPr="00C52014" w:rsidR="00522418">
        <w:t>IOUs</w:t>
      </w:r>
      <w:r w:rsidRPr="00C52014" w:rsidR="005E1DFF">
        <w:t xml:space="preserve">’ </w:t>
      </w:r>
      <w:r w:rsidRPr="00C52014" w:rsidR="00AD1B86">
        <w:t>tariffs</w:t>
      </w:r>
      <w:r w:rsidRPr="00C52014" w:rsidR="00CB5BEE">
        <w:t xml:space="preserve">, and </w:t>
      </w:r>
      <w:r w:rsidRPr="00C52014" w:rsidR="00347836">
        <w:t xml:space="preserve">revisions to include </w:t>
      </w:r>
      <w:r w:rsidRPr="00C52014" w:rsidR="0059540A">
        <w:t xml:space="preserve">failure to pay reentry </w:t>
      </w:r>
      <w:r w:rsidRPr="00C52014" w:rsidR="00F81C32">
        <w:t>fees</w:t>
      </w:r>
      <w:r w:rsidRPr="00C52014" w:rsidR="005E1DFF">
        <w:t xml:space="preserve"> </w:t>
      </w:r>
      <w:r w:rsidR="00CA2D00">
        <w:t>are</w:t>
      </w:r>
      <w:r w:rsidRPr="00C52014" w:rsidR="005E1DFF">
        <w:t xml:space="preserve"> reasonable </w:t>
      </w:r>
      <w:r w:rsidR="00CD6526">
        <w:t xml:space="preserve">to be </w:t>
      </w:r>
      <w:r w:rsidRPr="00C52014" w:rsidR="005E1DFF">
        <w:t xml:space="preserve">included as a </w:t>
      </w:r>
      <w:r w:rsidRPr="00C52014">
        <w:t>potential cause of payment remittance.</w:t>
      </w:r>
    </w:p>
    <w:p w:rsidRPr="00AE6AA2" w:rsidR="00361AC8" w:rsidP="00F932F1" w:rsidRDefault="0098561F" w14:paraId="0494C583" w14:textId="192B7EBA">
      <w:pPr>
        <w:numPr>
          <w:ilvl w:val="0"/>
          <w:numId w:val="4"/>
        </w:numPr>
        <w:spacing w:after="120" w:line="276" w:lineRule="auto"/>
        <w:rPr>
          <w:bCs/>
        </w:rPr>
      </w:pPr>
      <w:r w:rsidRPr="00C52014">
        <w:t xml:space="preserve">The </w:t>
      </w:r>
      <w:r w:rsidRPr="00C52014" w:rsidR="004771D0">
        <w:t>CPUC</w:t>
      </w:r>
      <w:r w:rsidRPr="00C52014">
        <w:t xml:space="preserve"> may order an involuntary service termination of a CCA </w:t>
      </w:r>
      <w:r w:rsidRPr="00C52014" w:rsidR="00324957">
        <w:t>that</w:t>
      </w:r>
      <w:r w:rsidRPr="00C52014">
        <w:t xml:space="preserve"> </w:t>
      </w:r>
      <w:r w:rsidRPr="00C52014" w:rsidR="00D96A55">
        <w:t xml:space="preserve">fails to meet its obligations under </w:t>
      </w:r>
      <w:r w:rsidRPr="00C52014" w:rsidR="00522418">
        <w:t>the</w:t>
      </w:r>
      <w:r w:rsidRPr="00C52014" w:rsidR="00D947F5">
        <w:t xml:space="preserve"> </w:t>
      </w:r>
      <w:r w:rsidRPr="00C52014" w:rsidR="00522418">
        <w:t>IOU</w:t>
      </w:r>
      <w:r w:rsidRPr="00C52014" w:rsidR="00D947F5">
        <w:t>’s CCA rules</w:t>
      </w:r>
      <w:r w:rsidRPr="00C52014" w:rsidR="00D60BEB">
        <w:t>, including its failure to repay reentry fees</w:t>
      </w:r>
      <w:r w:rsidRPr="00C52014" w:rsidR="00D947F5">
        <w:t>.</w:t>
      </w:r>
    </w:p>
    <w:p w:rsidRPr="00C52014" w:rsidR="00AE6AA2" w:rsidP="00F932F1" w:rsidRDefault="00DF77FC" w14:paraId="168C79A2" w14:textId="0F1C98E8">
      <w:pPr>
        <w:numPr>
          <w:ilvl w:val="0"/>
          <w:numId w:val="4"/>
        </w:numPr>
        <w:spacing w:after="120" w:line="276" w:lineRule="auto"/>
        <w:rPr>
          <w:bCs/>
        </w:rPr>
      </w:pPr>
      <w:r w:rsidRPr="009B2243">
        <w:rPr>
          <w:color w:val="FF0000"/>
          <w:u w:val="single"/>
        </w:rPr>
        <w:t>CCA customers bear cost responsibility for reentry fees that the CPUC deems necessary to avoid cost shifting</w:t>
      </w:r>
      <w:r w:rsidRPr="00DF77FC">
        <w:rPr>
          <w:bCs/>
        </w:rPr>
        <w:t>.</w:t>
      </w:r>
    </w:p>
    <w:p w:rsidR="00605254" w:rsidP="00F932F1" w:rsidRDefault="00CD6526" w14:paraId="0FE48182" w14:textId="29F821E5">
      <w:pPr>
        <w:numPr>
          <w:ilvl w:val="0"/>
          <w:numId w:val="4"/>
        </w:numPr>
        <w:spacing w:after="120" w:line="276" w:lineRule="auto"/>
        <w:rPr>
          <w:bCs/>
        </w:rPr>
      </w:pPr>
      <w:r>
        <w:rPr>
          <w:bCs/>
        </w:rPr>
        <w:t>D.18-05-022 determined that</w:t>
      </w:r>
      <w:r w:rsidRPr="00C52014" w:rsidR="00D60BEB">
        <w:rPr>
          <w:bCs/>
        </w:rPr>
        <w:t xml:space="preserve"> incremental a</w:t>
      </w:r>
      <w:r w:rsidRPr="00C52014" w:rsidR="00E818AE">
        <w:rPr>
          <w:bCs/>
        </w:rPr>
        <w:t xml:space="preserve">dministrative costs are a component of reentry fees and </w:t>
      </w:r>
      <w:r>
        <w:rPr>
          <w:bCs/>
        </w:rPr>
        <w:t>are reviewed and approved in the IOUs</w:t>
      </w:r>
      <w:r w:rsidR="00B74927">
        <w:rPr>
          <w:bCs/>
        </w:rPr>
        <w:t>’</w:t>
      </w:r>
      <w:r>
        <w:rPr>
          <w:bCs/>
        </w:rPr>
        <w:t xml:space="preserve"> General Rate Case.</w:t>
      </w:r>
    </w:p>
    <w:p w:rsidRPr="00C52014" w:rsidR="004C40F1" w:rsidP="00F932F1" w:rsidRDefault="004C40F1" w14:paraId="75B37E60" w14:textId="711ED27D">
      <w:pPr>
        <w:numPr>
          <w:ilvl w:val="0"/>
          <w:numId w:val="4"/>
        </w:numPr>
        <w:spacing w:after="120" w:line="276" w:lineRule="auto"/>
        <w:rPr>
          <w:bCs/>
        </w:rPr>
      </w:pPr>
      <w:r>
        <w:t>D.18-05-022 did not authorize the option for a CCA to post cash directly with the IOU</w:t>
      </w:r>
      <w:r w:rsidR="00747A55">
        <w:t>.</w:t>
      </w:r>
    </w:p>
    <w:p w:rsidRPr="006B3752" w:rsidR="007C345D" w:rsidP="00F932F1" w:rsidRDefault="00D60BEB" w14:paraId="78B74B82" w14:textId="4D7236CA">
      <w:pPr>
        <w:numPr>
          <w:ilvl w:val="0"/>
          <w:numId w:val="4"/>
        </w:numPr>
        <w:spacing w:after="120" w:line="276" w:lineRule="auto"/>
        <w:rPr>
          <w:strike/>
        </w:rPr>
      </w:pPr>
      <w:r w:rsidRPr="009B2243">
        <w:rPr>
          <w:strike/>
          <w:color w:val="FF0000"/>
        </w:rPr>
        <w:t>T</w:t>
      </w:r>
      <w:r w:rsidRPr="009B2243" w:rsidR="00BD4E4E">
        <w:rPr>
          <w:strike/>
          <w:color w:val="FF0000"/>
        </w:rPr>
        <w:t>he</w:t>
      </w:r>
      <w:r w:rsidRPr="009B2243" w:rsidR="007C345D">
        <w:rPr>
          <w:strike/>
          <w:color w:val="FF0000"/>
        </w:rPr>
        <w:t xml:space="preserve"> </w:t>
      </w:r>
      <w:r w:rsidRPr="009B2243">
        <w:rPr>
          <w:strike/>
          <w:color w:val="FF0000"/>
        </w:rPr>
        <w:t xml:space="preserve">AL </w:t>
      </w:r>
      <w:r w:rsidRPr="009B2243" w:rsidR="007C345D">
        <w:rPr>
          <w:strike/>
          <w:color w:val="FF0000"/>
        </w:rPr>
        <w:t>proposed</w:t>
      </w:r>
      <w:r w:rsidRPr="009B2243" w:rsidR="00BD4E4E">
        <w:rPr>
          <w:strike/>
          <w:color w:val="FF0000"/>
        </w:rPr>
        <w:t xml:space="preserve"> revisions</w:t>
      </w:r>
      <w:r w:rsidRPr="009B2243" w:rsidR="00BA69AF">
        <w:rPr>
          <w:color w:val="FF0000"/>
        </w:rPr>
        <w:t xml:space="preserve"> </w:t>
      </w:r>
      <w:r w:rsidR="0E5BD537">
        <w:t>A</w:t>
      </w:r>
      <w:r w:rsidRPr="00C52014" w:rsidR="007C345D">
        <w:rPr>
          <w:bCs/>
        </w:rPr>
        <w:t xml:space="preserve"> </w:t>
      </w:r>
      <w:r w:rsidRPr="00C52014" w:rsidR="00D553E8">
        <w:rPr>
          <w:bCs/>
        </w:rPr>
        <w:t>two-month safe harbor period</w:t>
      </w:r>
      <w:r w:rsidRPr="009B2243" w:rsidR="00D553E8">
        <w:rPr>
          <w:color w:val="FF0000"/>
        </w:rPr>
        <w:t xml:space="preserve"> </w:t>
      </w:r>
      <w:r w:rsidRPr="009B2243" w:rsidR="00D553E8">
        <w:rPr>
          <w:strike/>
          <w:color w:val="FF0000"/>
        </w:rPr>
        <w:t>ALs</w:t>
      </w:r>
      <w:r w:rsidRPr="009B2243" w:rsidR="00D553E8">
        <w:rPr>
          <w:color w:val="FF0000"/>
        </w:rPr>
        <w:t xml:space="preserve"> </w:t>
      </w:r>
      <w:r w:rsidRPr="00C52014" w:rsidR="00D553E8">
        <w:rPr>
          <w:bCs/>
        </w:rPr>
        <w:t xml:space="preserve">is not additive to </w:t>
      </w:r>
      <w:r w:rsidRPr="00C52014" w:rsidR="00BD4E4E">
        <w:rPr>
          <w:bCs/>
        </w:rPr>
        <w:t xml:space="preserve">the six-month incremental procurement cost </w:t>
      </w:r>
      <w:r w:rsidRPr="00C52014">
        <w:rPr>
          <w:bCs/>
        </w:rPr>
        <w:t>calculation</w:t>
      </w:r>
      <w:r w:rsidRPr="009B2243" w:rsidR="002B3A6F">
        <w:rPr>
          <w:color w:val="FF0000"/>
          <w:u w:val="single"/>
        </w:rPr>
        <w:t>.</w:t>
      </w:r>
      <w:r w:rsidRPr="009B2243">
        <w:rPr>
          <w:color w:val="FF0000"/>
        </w:rPr>
        <w:t xml:space="preserve"> </w:t>
      </w:r>
      <w:r w:rsidRPr="009B2243">
        <w:rPr>
          <w:strike/>
          <w:color w:val="FF0000"/>
        </w:rPr>
        <w:t>and has been appropriately</w:t>
      </w:r>
      <w:r w:rsidRPr="009B2243" w:rsidDel="00EE572B" w:rsidR="00EE572B">
        <w:rPr>
          <w:strike/>
          <w:color w:val="FF0000"/>
        </w:rPr>
        <w:t xml:space="preserve"> revised</w:t>
      </w:r>
      <w:r w:rsidRPr="006B3752" w:rsidDel="002B3A6F" w:rsidR="00D553E8">
        <w:rPr>
          <w:strike/>
        </w:rPr>
        <w:t>.</w:t>
      </w:r>
    </w:p>
    <w:p w:rsidR="00A517B9" w:rsidP="00F932F1" w:rsidRDefault="005E76EB" w14:paraId="70F77472" w14:textId="6523517F">
      <w:pPr>
        <w:numPr>
          <w:ilvl w:val="0"/>
          <w:numId w:val="4"/>
        </w:numPr>
        <w:spacing w:after="120" w:line="276" w:lineRule="auto"/>
        <w:rPr>
          <w:bCs/>
        </w:rPr>
      </w:pPr>
      <w:r w:rsidRPr="00C52014">
        <w:rPr>
          <w:bCs/>
        </w:rPr>
        <w:t>Reasonably assessed reentry fee</w:t>
      </w:r>
      <w:r w:rsidR="0068197A">
        <w:rPr>
          <w:bCs/>
        </w:rPr>
        <w:t>s</w:t>
      </w:r>
      <w:r w:rsidRPr="00C52014" w:rsidR="00D60BEB">
        <w:rPr>
          <w:bCs/>
        </w:rPr>
        <w:t xml:space="preserve"> </w:t>
      </w:r>
      <w:r w:rsidRPr="00C52014" w:rsidR="00B32915">
        <w:rPr>
          <w:bCs/>
        </w:rPr>
        <w:t>have not been limited in amount by the CPUC.</w:t>
      </w:r>
    </w:p>
    <w:p w:rsidRPr="006820A5" w:rsidR="006820A5" w:rsidP="00A15E60" w:rsidRDefault="006820A5" w14:paraId="00AE920E" w14:textId="5A273E91">
      <w:pPr>
        <w:numPr>
          <w:ilvl w:val="0"/>
          <w:numId w:val="4"/>
        </w:numPr>
        <w:spacing w:after="120" w:line="276" w:lineRule="auto"/>
        <w:rPr>
          <w:bCs/>
        </w:rPr>
      </w:pPr>
      <w:r w:rsidRPr="006820A5">
        <w:rPr>
          <w:bCs/>
        </w:rPr>
        <w:t>Forms and terms of financial security should be mutually agree</w:t>
      </w:r>
      <w:r w:rsidR="00CA2D00">
        <w:rPr>
          <w:bCs/>
        </w:rPr>
        <w:t>able</w:t>
      </w:r>
      <w:r w:rsidRPr="006820A5">
        <w:rPr>
          <w:bCs/>
        </w:rPr>
        <w:t>.</w:t>
      </w:r>
    </w:p>
    <w:p w:rsidRPr="006820A5" w:rsidR="006820A5" w:rsidP="006820A5" w:rsidRDefault="00D12829" w14:paraId="539F21F6" w14:textId="60C3858F">
      <w:pPr>
        <w:numPr>
          <w:ilvl w:val="0"/>
          <w:numId w:val="4"/>
        </w:numPr>
        <w:spacing w:after="120" w:line="276" w:lineRule="auto"/>
        <w:rPr>
          <w:bCs/>
        </w:rPr>
      </w:pPr>
      <w:r w:rsidRPr="00370F78">
        <w:rPr>
          <w:color w:val="FF0000"/>
          <w:u w:val="single"/>
        </w:rPr>
        <w:t xml:space="preserve">A utility may not terminate </w:t>
      </w:r>
      <w:r w:rsidRPr="00370F78" w:rsidR="0073048D">
        <w:rPr>
          <w:color w:val="FF0000"/>
          <w:u w:val="single"/>
        </w:rPr>
        <w:t xml:space="preserve">CCA service </w:t>
      </w:r>
      <w:r w:rsidRPr="00370F78">
        <w:rPr>
          <w:color w:val="FF0000"/>
          <w:u w:val="single"/>
        </w:rPr>
        <w:t>without an</w:t>
      </w:r>
      <w:r w:rsidRPr="00370F78" w:rsidR="0073048D">
        <w:rPr>
          <w:color w:val="FF0000"/>
          <w:u w:val="single"/>
        </w:rPr>
        <w:t xml:space="preserve"> order of the CPUC.</w:t>
      </w:r>
      <w:r w:rsidRPr="00370F78" w:rsidR="0073048D">
        <w:rPr>
          <w:color w:val="FF0000"/>
        </w:rPr>
        <w:t xml:space="preserve"> </w:t>
      </w:r>
      <w:r w:rsidRPr="00370F78" w:rsidR="008E76F6">
        <w:rPr>
          <w:color w:val="FF0000"/>
        </w:rPr>
        <w:t xml:space="preserve"> </w:t>
      </w:r>
      <w:r w:rsidRPr="009B2243" w:rsidR="006820A5">
        <w:rPr>
          <w:bCs/>
          <w:strike/>
          <w:color w:val="FF0000"/>
        </w:rPr>
        <w:t>The launch of the termination of CCA service and involuntary return is subject to CPUC approval</w:t>
      </w:r>
      <w:r w:rsidRPr="006820A5" w:rsidR="006820A5">
        <w:rPr>
          <w:bCs/>
        </w:rPr>
        <w:t xml:space="preserve">. </w:t>
      </w:r>
    </w:p>
    <w:p w:rsidRPr="00C52014" w:rsidR="00D60BEB" w:rsidP="00F932F1" w:rsidRDefault="00677B8B" w14:paraId="5435A690" w14:textId="6FBB5A5F">
      <w:pPr>
        <w:numPr>
          <w:ilvl w:val="0"/>
          <w:numId w:val="4"/>
        </w:numPr>
        <w:spacing w:after="120" w:line="276" w:lineRule="auto"/>
        <w:rPr>
          <w:bCs/>
        </w:rPr>
      </w:pPr>
      <w:r w:rsidRPr="004F546B">
        <w:rPr>
          <w:bCs/>
          <w:strike/>
          <w:color w:val="FF0000"/>
        </w:rPr>
        <w:lastRenderedPageBreak/>
        <w:t>In</w:t>
      </w:r>
      <w:r w:rsidRPr="004F546B">
        <w:rPr>
          <w:bCs/>
          <w:color w:val="FF0000"/>
        </w:rPr>
        <w:t xml:space="preserve"> </w:t>
      </w:r>
      <w:r w:rsidRPr="00C52014" w:rsidR="00CC4CCC">
        <w:rPr>
          <w:bCs/>
        </w:rPr>
        <w:t>D.18-05-022</w:t>
      </w:r>
      <w:r w:rsidRPr="00C85F2D" w:rsidR="73DB0113">
        <w:rPr>
          <w:color w:val="FF0000"/>
          <w:u w:val="single"/>
        </w:rPr>
        <w:t xml:space="preserve"> rejected</w:t>
      </w:r>
      <w:r w:rsidR="00C85F2D">
        <w:rPr>
          <w:color w:val="FF0000"/>
          <w:u w:val="single"/>
        </w:rPr>
        <w:t xml:space="preserve"> </w:t>
      </w:r>
      <w:r w:rsidRPr="004F546B">
        <w:rPr>
          <w:bCs/>
          <w:strike/>
          <w:color w:val="FF0000"/>
        </w:rPr>
        <w:t xml:space="preserve">parties argued </w:t>
      </w:r>
      <w:r w:rsidRPr="004F546B" w:rsidR="00FA648A">
        <w:rPr>
          <w:bCs/>
          <w:strike/>
          <w:color w:val="FF0000"/>
        </w:rPr>
        <w:t xml:space="preserve">the </w:t>
      </w:r>
      <w:r w:rsidRPr="004F546B" w:rsidR="00A15E60">
        <w:rPr>
          <w:bCs/>
          <w:strike/>
          <w:color w:val="FF0000"/>
        </w:rPr>
        <w:t xml:space="preserve">merits </w:t>
      </w:r>
      <w:r w:rsidRPr="004F546B" w:rsidR="0089253C">
        <w:rPr>
          <w:bCs/>
          <w:strike/>
          <w:color w:val="FF0000"/>
        </w:rPr>
        <w:t>of allowin</w:t>
      </w:r>
      <w:r w:rsidR="00CA6100">
        <w:rPr>
          <w:bCs/>
          <w:strike/>
          <w:color w:val="FF0000"/>
        </w:rPr>
        <w:t xml:space="preserve">g </w:t>
      </w:r>
      <w:r w:rsidR="0089253C">
        <w:rPr>
          <w:bCs/>
        </w:rPr>
        <w:t xml:space="preserve">the </w:t>
      </w:r>
      <w:r w:rsidRPr="00C52014" w:rsidR="00393B13">
        <w:rPr>
          <w:bCs/>
        </w:rPr>
        <w:t>posting of cash by the CCA with the IOU as another form of FSR</w:t>
      </w:r>
      <w:r w:rsidR="001F167A">
        <w:rPr>
          <w:bCs/>
        </w:rPr>
        <w:t>.</w:t>
      </w:r>
      <w:r w:rsidR="732DE36F">
        <w:t xml:space="preserve"> </w:t>
      </w:r>
      <w:r w:rsidRPr="004F546B" w:rsidR="007569EF">
        <w:rPr>
          <w:bCs/>
          <w:strike/>
          <w:color w:val="FF0000"/>
        </w:rPr>
        <w:t xml:space="preserve"> and it was not approved</w:t>
      </w:r>
      <w:r w:rsidRPr="004F546B" w:rsidR="001D2580">
        <w:rPr>
          <w:bCs/>
          <w:strike/>
          <w:color w:val="FF0000"/>
        </w:rPr>
        <w:t>.</w:t>
      </w:r>
    </w:p>
    <w:p w:rsidR="00F329CA" w:rsidP="00F932F1" w:rsidRDefault="00DC5541" w14:paraId="1389D210" w14:textId="58FD4813">
      <w:pPr>
        <w:numPr>
          <w:ilvl w:val="0"/>
          <w:numId w:val="4"/>
        </w:numPr>
        <w:spacing w:after="120" w:line="276" w:lineRule="auto"/>
        <w:rPr>
          <w:bCs/>
        </w:rPr>
      </w:pPr>
      <w:r w:rsidRPr="00C52014">
        <w:rPr>
          <w:bCs/>
        </w:rPr>
        <w:t>The posting of the FSR</w:t>
      </w:r>
      <w:r w:rsidRPr="00C52014" w:rsidR="00C865A8">
        <w:rPr>
          <w:bCs/>
        </w:rPr>
        <w:t xml:space="preserve"> refers to</w:t>
      </w:r>
      <w:r w:rsidRPr="00C52014" w:rsidR="00920857">
        <w:rPr>
          <w:bCs/>
        </w:rPr>
        <w:t xml:space="preserve"> </w:t>
      </w:r>
      <w:r w:rsidR="00B74927">
        <w:rPr>
          <w:bCs/>
        </w:rPr>
        <w:t xml:space="preserve">the </w:t>
      </w:r>
      <w:r w:rsidRPr="00C52014" w:rsidR="00920857">
        <w:rPr>
          <w:bCs/>
        </w:rPr>
        <w:t xml:space="preserve">demonstration of </w:t>
      </w:r>
      <w:r w:rsidRPr="00C52014" w:rsidR="00C865A8">
        <w:rPr>
          <w:bCs/>
        </w:rPr>
        <w:t>the financial instrument having been formed</w:t>
      </w:r>
      <w:r w:rsidR="00B74927">
        <w:rPr>
          <w:bCs/>
        </w:rPr>
        <w:t>,</w:t>
      </w:r>
      <w:r w:rsidRPr="00C52014" w:rsidR="00C865A8">
        <w:rPr>
          <w:bCs/>
        </w:rPr>
        <w:t xml:space="preserve"> and the </w:t>
      </w:r>
      <w:r w:rsidRPr="00C52014" w:rsidR="00522418">
        <w:rPr>
          <w:bCs/>
        </w:rPr>
        <w:t>IOU</w:t>
      </w:r>
      <w:r w:rsidRPr="00C52014" w:rsidR="00C865A8">
        <w:rPr>
          <w:bCs/>
        </w:rPr>
        <w:t xml:space="preserve"> made </w:t>
      </w:r>
      <w:r w:rsidRPr="00C52014" w:rsidR="00920857">
        <w:rPr>
          <w:bCs/>
        </w:rPr>
        <w:t>its</w:t>
      </w:r>
      <w:r w:rsidRPr="00C52014" w:rsidR="00C865A8">
        <w:rPr>
          <w:bCs/>
        </w:rPr>
        <w:t xml:space="preserve"> </w:t>
      </w:r>
      <w:r w:rsidRPr="00C52014" w:rsidR="000D4800">
        <w:rPr>
          <w:bCs/>
        </w:rPr>
        <w:t>o</w:t>
      </w:r>
      <w:r w:rsidRPr="00C52014" w:rsidR="00C865A8">
        <w:rPr>
          <w:bCs/>
        </w:rPr>
        <w:t>bligee</w:t>
      </w:r>
      <w:r w:rsidRPr="00C52014" w:rsidR="00920857">
        <w:rPr>
          <w:bCs/>
        </w:rPr>
        <w:t>,</w:t>
      </w:r>
      <w:r w:rsidRPr="00C52014" w:rsidR="00C865A8">
        <w:rPr>
          <w:bCs/>
        </w:rPr>
        <w:t xml:space="preserve"> </w:t>
      </w:r>
      <w:r w:rsidRPr="00834EF3" w:rsidR="0060610D">
        <w:rPr>
          <w:bCs/>
          <w:color w:val="FF0000"/>
          <w:u w:val="single"/>
        </w:rPr>
        <w:t>recipient</w:t>
      </w:r>
      <w:r w:rsidRPr="005B60E6" w:rsidR="0060610D">
        <w:rPr>
          <w:bCs/>
          <w:color w:val="FF0000"/>
        </w:rPr>
        <w:t xml:space="preserve"> </w:t>
      </w:r>
      <w:r w:rsidRPr="00FE5094" w:rsidR="00C865A8">
        <w:rPr>
          <w:bCs/>
          <w:strike/>
          <w:color w:val="FF0000"/>
        </w:rPr>
        <w:t>beneficiary</w:t>
      </w:r>
      <w:r w:rsidRPr="00C52014" w:rsidR="00920857">
        <w:rPr>
          <w:bCs/>
        </w:rPr>
        <w:t>, or equivalent</w:t>
      </w:r>
      <w:r w:rsidRPr="00C52014" w:rsidR="00C865A8">
        <w:rPr>
          <w:bCs/>
        </w:rPr>
        <w:t>.</w:t>
      </w:r>
    </w:p>
    <w:p w:rsidRPr="00BB45BA" w:rsidR="00A15E60" w:rsidP="00F932F1" w:rsidRDefault="0068197A" w14:paraId="366EC651" w14:textId="2B66F44E">
      <w:pPr>
        <w:numPr>
          <w:ilvl w:val="0"/>
          <w:numId w:val="4"/>
        </w:numPr>
        <w:spacing w:after="120" w:line="276" w:lineRule="auto"/>
        <w:rPr>
          <w:bCs/>
          <w:color w:val="FF0000"/>
        </w:rPr>
      </w:pPr>
      <w:r>
        <w:t>T</w:t>
      </w:r>
      <w:r w:rsidRPr="00C52014" w:rsidR="00A15E60">
        <w:t>he establishment of CCA FSRs should be transparent</w:t>
      </w:r>
      <w:r w:rsidR="00B74927">
        <w:t>. T</w:t>
      </w:r>
      <w:r w:rsidR="0052443F">
        <w:t>herefore</w:t>
      </w:r>
      <w:r w:rsidRPr="00BB45BA" w:rsidR="00817A24">
        <w:rPr>
          <w:color w:val="FF0000"/>
        </w:rPr>
        <w:t>,</w:t>
      </w:r>
      <w:r w:rsidR="0052443F">
        <w:t xml:space="preserve"> </w:t>
      </w:r>
      <w:r w:rsidR="00B74927">
        <w:t xml:space="preserve">the </w:t>
      </w:r>
      <w:r w:rsidRPr="00C52014" w:rsidR="00A15E60">
        <w:t xml:space="preserve">IOUs </w:t>
      </w:r>
      <w:r w:rsidR="0052443F">
        <w:t xml:space="preserve">should </w:t>
      </w:r>
      <w:r w:rsidRPr="00C52014" w:rsidR="00A15E60">
        <w:t>make efforts to secure permission to release the price forecast information necessary to calculate FSRs for CCAs within their service areas</w:t>
      </w:r>
      <w:r w:rsidR="00DA1BAA">
        <w:t xml:space="preserve"> </w:t>
      </w:r>
      <w:r w:rsidRPr="00BE1265" w:rsidR="00301768">
        <w:rPr>
          <w:color w:val="FF0000"/>
          <w:u w:val="single"/>
        </w:rPr>
        <w:t>to the extent that is possible.</w:t>
      </w:r>
    </w:p>
    <w:p w:rsidRPr="00C52014" w:rsidR="00F329CA" w:rsidP="00F932F1" w:rsidRDefault="00F329CA" w14:paraId="4C3AA2F6" w14:textId="77777777">
      <w:pPr>
        <w:spacing w:line="276" w:lineRule="auto"/>
        <w:rPr>
          <w:b/>
        </w:rPr>
      </w:pPr>
    </w:p>
    <w:p w:rsidRPr="00C52014" w:rsidR="00CF17DE" w:rsidP="00F932F1" w:rsidRDefault="00CF17DE" w14:paraId="03EBB768" w14:textId="77777777">
      <w:pPr>
        <w:pStyle w:val="Heading1"/>
        <w:spacing w:line="276" w:lineRule="auto"/>
      </w:pPr>
      <w:r w:rsidRPr="00C52014">
        <w:t>Therefore it is ordered that:</w:t>
      </w:r>
    </w:p>
    <w:p w:rsidR="00CF17DE" w:rsidP="00A15E60" w:rsidRDefault="00CF17DE" w14:paraId="04E7CDC7" w14:textId="368B42B7">
      <w:pPr>
        <w:numPr>
          <w:ilvl w:val="0"/>
          <w:numId w:val="5"/>
        </w:numPr>
        <w:spacing w:line="276" w:lineRule="auto"/>
        <w:rPr>
          <w:snapToGrid w:val="0"/>
        </w:rPr>
      </w:pPr>
      <w:r w:rsidRPr="00C52014">
        <w:rPr>
          <w:snapToGrid w:val="0"/>
        </w:rPr>
        <w:t xml:space="preserve">The </w:t>
      </w:r>
      <w:r w:rsidRPr="00C52014" w:rsidR="00522418">
        <w:rPr>
          <w:snapToGrid w:val="0"/>
        </w:rPr>
        <w:t>IOUs</w:t>
      </w:r>
      <w:r w:rsidRPr="00C52014" w:rsidR="0050147E">
        <w:rPr>
          <w:snapToGrid w:val="0"/>
        </w:rPr>
        <w:t xml:space="preserve">’ </w:t>
      </w:r>
      <w:r w:rsidRPr="00C52014">
        <w:rPr>
          <w:snapToGrid w:val="0"/>
        </w:rPr>
        <w:t>request to</w:t>
      </w:r>
      <w:r w:rsidRPr="00C52014" w:rsidR="008C100C">
        <w:rPr>
          <w:snapToGrid w:val="0"/>
        </w:rPr>
        <w:t xml:space="preserve"> modify </w:t>
      </w:r>
      <w:r w:rsidRPr="00C52014" w:rsidR="006B0D10">
        <w:rPr>
          <w:snapToGrid w:val="0"/>
        </w:rPr>
        <w:t xml:space="preserve">respective CCA </w:t>
      </w:r>
      <w:r w:rsidRPr="00C52014" w:rsidR="00482753">
        <w:rPr>
          <w:snapToGrid w:val="0"/>
        </w:rPr>
        <w:t>Rule</w:t>
      </w:r>
      <w:r w:rsidRPr="00C52014" w:rsidR="002C27C8">
        <w:rPr>
          <w:snapToGrid w:val="0"/>
        </w:rPr>
        <w:t>s</w:t>
      </w:r>
      <w:r w:rsidRPr="00C52014">
        <w:rPr>
          <w:snapToGrid w:val="0"/>
        </w:rPr>
        <w:t xml:space="preserve"> as requested in Advice Letter</w:t>
      </w:r>
      <w:r w:rsidRPr="00C52014" w:rsidR="00482753">
        <w:rPr>
          <w:snapToGrid w:val="0"/>
        </w:rPr>
        <w:t>s</w:t>
      </w:r>
      <w:r w:rsidRPr="00C52014">
        <w:rPr>
          <w:snapToGrid w:val="0"/>
        </w:rPr>
        <w:t xml:space="preserve"> </w:t>
      </w:r>
      <w:r w:rsidRPr="00C52014" w:rsidR="0050147E">
        <w:rPr>
          <w:snapToGrid w:val="0"/>
        </w:rPr>
        <w:t xml:space="preserve">PG&amp;E </w:t>
      </w:r>
      <w:r w:rsidRPr="00C52014" w:rsidR="00482753">
        <w:t xml:space="preserve">5354-E, </w:t>
      </w:r>
      <w:r w:rsidRPr="00C52014" w:rsidR="0050147E">
        <w:rPr>
          <w:snapToGrid w:val="0"/>
        </w:rPr>
        <w:t xml:space="preserve">SCE </w:t>
      </w:r>
      <w:r w:rsidRPr="00C52014" w:rsidR="00482753">
        <w:t xml:space="preserve">3840-E, </w:t>
      </w:r>
      <w:r w:rsidRPr="00C52014" w:rsidR="0050147E">
        <w:rPr>
          <w:snapToGrid w:val="0"/>
        </w:rPr>
        <w:t>SDG&amp;E</w:t>
      </w:r>
      <w:r w:rsidRPr="00C52014" w:rsidR="0050147E">
        <w:t xml:space="preserve"> </w:t>
      </w:r>
      <w:r w:rsidRPr="00C52014" w:rsidR="00482753">
        <w:t>3257-E</w:t>
      </w:r>
      <w:r w:rsidRPr="00C52014" w:rsidR="000E3BAE">
        <w:rPr>
          <w:snapToGrid w:val="0"/>
        </w:rPr>
        <w:t xml:space="preserve"> is</w:t>
      </w:r>
      <w:r w:rsidRPr="00C52014">
        <w:rPr>
          <w:snapToGrid w:val="0"/>
        </w:rPr>
        <w:t xml:space="preserve"> approved</w:t>
      </w:r>
      <w:r w:rsidRPr="00C52014" w:rsidR="00482753">
        <w:rPr>
          <w:snapToGrid w:val="0"/>
        </w:rPr>
        <w:t xml:space="preserve"> with modification.</w:t>
      </w:r>
      <w:r w:rsidRPr="00C52014">
        <w:rPr>
          <w:snapToGrid w:val="0"/>
        </w:rPr>
        <w:t xml:space="preserve">  </w:t>
      </w:r>
    </w:p>
    <w:p w:rsidRPr="00C52014" w:rsidR="00B23A67" w:rsidP="00A15E60" w:rsidRDefault="00B23A67" w14:paraId="178B4471" w14:textId="56E8EAD6">
      <w:pPr>
        <w:numPr>
          <w:ilvl w:val="0"/>
          <w:numId w:val="5"/>
        </w:numPr>
        <w:spacing w:line="276" w:lineRule="auto"/>
        <w:rPr>
          <w:snapToGrid w:val="0"/>
        </w:rPr>
      </w:pPr>
      <w:r>
        <w:rPr>
          <w:snapToGrid w:val="0"/>
        </w:rPr>
        <w:t xml:space="preserve">Tariff </w:t>
      </w:r>
      <w:r w:rsidR="006820A5">
        <w:rPr>
          <w:snapToGrid w:val="0"/>
        </w:rPr>
        <w:t>revisions</w:t>
      </w:r>
      <w:r>
        <w:rPr>
          <w:snapToGrid w:val="0"/>
        </w:rPr>
        <w:t xml:space="preserve"> authorized in D.18-05-022 are adopted</w:t>
      </w:r>
      <w:r w:rsidR="00172E40">
        <w:rPr>
          <w:snapToGrid w:val="0"/>
        </w:rPr>
        <w:t>.</w:t>
      </w:r>
    </w:p>
    <w:p w:rsidRPr="00C52014" w:rsidR="00A15E60" w:rsidP="00A15E60" w:rsidRDefault="00A15E60" w14:paraId="6C7CFD28" w14:textId="55775D35">
      <w:pPr>
        <w:numPr>
          <w:ilvl w:val="0"/>
          <w:numId w:val="5"/>
        </w:numPr>
        <w:spacing w:line="276" w:lineRule="auto"/>
        <w:rPr>
          <w:snapToGrid w:val="0"/>
        </w:rPr>
      </w:pPr>
      <w:r w:rsidRPr="00C52014">
        <w:rPr>
          <w:snapToGrid w:val="0"/>
        </w:rPr>
        <w:t>PG&amp;E and SDG&amp;E’s revisions to language defining an involuntary return are rejected</w:t>
      </w:r>
      <w:r w:rsidR="0068197A">
        <w:rPr>
          <w:snapToGrid w:val="0"/>
        </w:rPr>
        <w:t xml:space="preserve">.  PG&amp;E and SDG&amp;E </w:t>
      </w:r>
      <w:r w:rsidRPr="00C52014">
        <w:rPr>
          <w:snapToGrid w:val="0"/>
        </w:rPr>
        <w:t xml:space="preserve">are ordered to refile tariff sheets with language that is consistent with the lists provided in SDG&amp;E Electric Rule 25 and PG&amp;E Electric Rule 22. </w:t>
      </w:r>
      <w:r w:rsidR="008E76F6">
        <w:rPr>
          <w:snapToGrid w:val="0"/>
        </w:rPr>
        <w:t xml:space="preserve"> </w:t>
      </w:r>
      <w:r w:rsidRPr="00C52014">
        <w:rPr>
          <w:snapToGrid w:val="0"/>
        </w:rPr>
        <w:t>The proposed additional subsections to the list defining an involuntary return to include Voluntary Service Termination and Involuntary Service Termination, however, are approved.</w:t>
      </w:r>
    </w:p>
    <w:p w:rsidRPr="002A202F" w:rsidR="009C2F89" w:rsidP="009C2F89" w:rsidRDefault="009C2F89" w14:paraId="5E8980D3" w14:textId="77777777">
      <w:pPr>
        <w:numPr>
          <w:ilvl w:val="0"/>
          <w:numId w:val="5"/>
        </w:numPr>
        <w:spacing w:line="276" w:lineRule="auto"/>
        <w:rPr>
          <w:snapToGrid w:val="0"/>
          <w:color w:val="FF0000"/>
          <w:u w:val="single"/>
        </w:rPr>
      </w:pPr>
      <w:r w:rsidRPr="002A202F">
        <w:rPr>
          <w:snapToGrid w:val="0"/>
          <w:color w:val="FF0000"/>
          <w:u w:val="single"/>
        </w:rPr>
        <w:t>The IOUs shall refile their tariff sheets via Tier 1 advice letter to clarify the following:</w:t>
      </w:r>
    </w:p>
    <w:p w:rsidRPr="002A202F" w:rsidR="0010607C" w:rsidP="009C2F89" w:rsidRDefault="009C2F89" w14:paraId="36AB0872" w14:textId="28D5C3B7">
      <w:pPr>
        <w:numPr>
          <w:ilvl w:val="1"/>
          <w:numId w:val="5"/>
        </w:numPr>
        <w:spacing w:line="276" w:lineRule="auto"/>
        <w:rPr>
          <w:snapToGrid w:val="0"/>
          <w:color w:val="FF0000"/>
          <w:u w:val="single"/>
        </w:rPr>
      </w:pPr>
      <w:r w:rsidRPr="002A202F">
        <w:rPr>
          <w:snapToGrid w:val="0"/>
          <w:color w:val="FF0000"/>
          <w:u w:val="single"/>
        </w:rPr>
        <w:t>The terms of the FSR are subject to mutual agreement by the IOU</w:t>
      </w:r>
      <w:r w:rsidRPr="002A202F" w:rsidR="00640336">
        <w:rPr>
          <w:snapToGrid w:val="0"/>
          <w:color w:val="FF0000"/>
          <w:u w:val="single"/>
        </w:rPr>
        <w:t xml:space="preserve">, the </w:t>
      </w:r>
      <w:r w:rsidRPr="002A202F">
        <w:rPr>
          <w:snapToGrid w:val="0"/>
          <w:color w:val="FF0000"/>
          <w:u w:val="single"/>
        </w:rPr>
        <w:t>CCA</w:t>
      </w:r>
      <w:r w:rsidRPr="002A202F" w:rsidR="00640336">
        <w:rPr>
          <w:snapToGrid w:val="0"/>
          <w:color w:val="FF0000"/>
          <w:u w:val="single"/>
        </w:rPr>
        <w:t>,</w:t>
      </w:r>
      <w:r w:rsidRPr="002A202F">
        <w:rPr>
          <w:snapToGrid w:val="0"/>
          <w:color w:val="FF0000"/>
          <w:u w:val="single"/>
        </w:rPr>
        <w:t xml:space="preserve"> and the third-party issuer of the FSR</w:t>
      </w:r>
      <w:r w:rsidRPr="002A202F" w:rsidR="00640336">
        <w:rPr>
          <w:snapToGrid w:val="0"/>
          <w:color w:val="FF0000"/>
          <w:u w:val="single"/>
        </w:rPr>
        <w:t xml:space="preserve"> instrument</w:t>
      </w:r>
      <w:r w:rsidRPr="002A202F">
        <w:rPr>
          <w:snapToGrid w:val="0"/>
          <w:color w:val="FF0000"/>
          <w:u w:val="single"/>
        </w:rPr>
        <w:t xml:space="preserve">. </w:t>
      </w:r>
      <w:r w:rsidRPr="002A202F" w:rsidR="008E76F6">
        <w:rPr>
          <w:snapToGrid w:val="0"/>
          <w:color w:val="FF0000"/>
          <w:u w:val="single"/>
        </w:rPr>
        <w:t xml:space="preserve"> </w:t>
      </w:r>
      <w:r w:rsidRPr="002A202F">
        <w:rPr>
          <w:snapToGrid w:val="0"/>
          <w:color w:val="FF0000"/>
          <w:u w:val="single"/>
        </w:rPr>
        <w:t>The FSR</w:t>
      </w:r>
      <w:r w:rsidRPr="002A202F" w:rsidR="00640336">
        <w:rPr>
          <w:snapToGrid w:val="0"/>
          <w:color w:val="FF0000"/>
          <w:u w:val="single"/>
        </w:rPr>
        <w:t xml:space="preserve"> instrument</w:t>
      </w:r>
      <w:r w:rsidRPr="002A202F">
        <w:rPr>
          <w:snapToGrid w:val="0"/>
          <w:color w:val="FF0000"/>
          <w:u w:val="single"/>
        </w:rPr>
        <w:t xml:space="preserve"> will govern the rights and obligations of the parties and shall be based on commercially reasonable and accepted terms and conditions and consistent with D.18-05-022 and the IOUs’ tariffs. </w:t>
      </w:r>
      <w:r w:rsidRPr="002A202F" w:rsidR="008E76F6">
        <w:rPr>
          <w:snapToGrid w:val="0"/>
          <w:color w:val="FF0000"/>
          <w:u w:val="single"/>
        </w:rPr>
        <w:t xml:space="preserve"> </w:t>
      </w:r>
      <w:r w:rsidRPr="002A202F">
        <w:rPr>
          <w:snapToGrid w:val="0"/>
          <w:color w:val="FF0000"/>
          <w:u w:val="single"/>
        </w:rPr>
        <w:t xml:space="preserve">No party may </w:t>
      </w:r>
      <w:r w:rsidRPr="002A202F">
        <w:rPr>
          <w:snapToGrid w:val="0"/>
          <w:color w:val="FF0000"/>
          <w:u w:val="single"/>
        </w:rPr>
        <w:lastRenderedPageBreak/>
        <w:t>unreasonably withhold its agreement to commercially reasonable terms and conditions of the FSR</w:t>
      </w:r>
      <w:r w:rsidRPr="002A202F" w:rsidR="00696F83">
        <w:rPr>
          <w:snapToGrid w:val="0"/>
          <w:color w:val="FF0000"/>
          <w:u w:val="single"/>
        </w:rPr>
        <w:t xml:space="preserve"> instrument</w:t>
      </w:r>
      <w:r w:rsidRPr="002A202F">
        <w:rPr>
          <w:snapToGrid w:val="0"/>
          <w:color w:val="FF0000"/>
          <w:u w:val="single"/>
        </w:rPr>
        <w:t xml:space="preserve">. </w:t>
      </w:r>
    </w:p>
    <w:p w:rsidRPr="002A202F" w:rsidR="009C2F89" w:rsidP="009C2F89" w:rsidRDefault="009C2F89" w14:paraId="4D973E88" w14:textId="67F633F7">
      <w:pPr>
        <w:numPr>
          <w:ilvl w:val="1"/>
          <w:numId w:val="5"/>
        </w:numPr>
        <w:spacing w:line="276" w:lineRule="auto"/>
        <w:rPr>
          <w:snapToGrid w:val="0"/>
          <w:color w:val="FF0000"/>
          <w:u w:val="single"/>
        </w:rPr>
      </w:pPr>
      <w:r w:rsidRPr="002A202F">
        <w:rPr>
          <w:snapToGrid w:val="0"/>
          <w:color w:val="FF0000"/>
          <w:u w:val="single"/>
        </w:rPr>
        <w:t xml:space="preserve">Failure of the CCA to </w:t>
      </w:r>
      <w:r w:rsidRPr="002A202F" w:rsidR="25E10307">
        <w:rPr>
          <w:color w:val="FF0000"/>
          <w:u w:val="single"/>
        </w:rPr>
        <w:t xml:space="preserve">post the </w:t>
      </w:r>
      <w:r w:rsidRPr="002A202F">
        <w:rPr>
          <w:snapToGrid w:val="0"/>
          <w:color w:val="FF0000"/>
          <w:u w:val="single"/>
        </w:rPr>
        <w:t>FSR</w:t>
      </w:r>
      <w:r w:rsidRPr="002A202F" w:rsidR="00B40965">
        <w:rPr>
          <w:snapToGrid w:val="0"/>
          <w:color w:val="FF0000"/>
          <w:u w:val="single"/>
        </w:rPr>
        <w:t xml:space="preserve"> instru</w:t>
      </w:r>
      <w:r w:rsidRPr="002A202F" w:rsidR="004D49CF">
        <w:rPr>
          <w:snapToGrid w:val="0"/>
          <w:color w:val="FF0000"/>
          <w:u w:val="single"/>
        </w:rPr>
        <w:t>ment</w:t>
      </w:r>
      <w:r w:rsidRPr="002A202F">
        <w:rPr>
          <w:snapToGrid w:val="0"/>
          <w:color w:val="FF0000"/>
          <w:u w:val="single"/>
        </w:rPr>
        <w:t xml:space="preserve"> using the acceptable instruments of a letter of credit, surety bond, or cash in a third</w:t>
      </w:r>
      <w:r w:rsidRPr="002A202F" w:rsidR="00ED7F44">
        <w:rPr>
          <w:snapToGrid w:val="0"/>
          <w:color w:val="FF0000"/>
          <w:u w:val="single"/>
        </w:rPr>
        <w:t>-</w:t>
      </w:r>
      <w:r w:rsidRPr="002A202F">
        <w:rPr>
          <w:snapToGrid w:val="0"/>
          <w:color w:val="FF0000"/>
          <w:u w:val="single"/>
        </w:rPr>
        <w:t xml:space="preserve">party escrow within the </w:t>
      </w:r>
      <w:r w:rsidRPr="002A202F" w:rsidR="00C52A7C">
        <w:rPr>
          <w:snapToGrid w:val="0"/>
          <w:color w:val="FF0000"/>
          <w:u w:val="single"/>
        </w:rPr>
        <w:t>six</w:t>
      </w:r>
      <w:r w:rsidRPr="002A202F" w:rsidR="00A52740">
        <w:rPr>
          <w:snapToGrid w:val="0"/>
          <w:color w:val="FF0000"/>
          <w:u w:val="single"/>
        </w:rPr>
        <w:t>ty</w:t>
      </w:r>
      <w:r w:rsidRPr="002A202F" w:rsidR="00817A24">
        <w:rPr>
          <w:snapToGrid w:val="0"/>
          <w:color w:val="FF0000"/>
          <w:u w:val="single"/>
        </w:rPr>
        <w:t>-</w:t>
      </w:r>
      <w:r w:rsidRPr="002A202F">
        <w:rPr>
          <w:snapToGrid w:val="0"/>
          <w:color w:val="FF0000"/>
          <w:u w:val="single"/>
        </w:rPr>
        <w:t xml:space="preserve">days </w:t>
      </w:r>
      <w:r w:rsidRPr="002A202F" w:rsidR="00A52740">
        <w:rPr>
          <w:snapToGrid w:val="0"/>
          <w:color w:val="FF0000"/>
          <w:u w:val="single"/>
        </w:rPr>
        <w:t>shall be</w:t>
      </w:r>
      <w:r w:rsidRPr="002A202F">
        <w:rPr>
          <w:snapToGrid w:val="0"/>
          <w:color w:val="FF0000"/>
          <w:u w:val="single"/>
        </w:rPr>
        <w:t xml:space="preserve"> grounds for the CCA’s involuntary service suspension by the CPUC.</w:t>
      </w:r>
    </w:p>
    <w:p w:rsidRPr="00F80ECF" w:rsidR="00F80ECF" w:rsidP="00BE0486" w:rsidRDefault="00ED7F44" w14:paraId="5BFC55DF" w14:textId="77777777">
      <w:pPr>
        <w:numPr>
          <w:ilvl w:val="1"/>
          <w:numId w:val="5"/>
        </w:numPr>
        <w:spacing w:line="276" w:lineRule="auto"/>
        <w:rPr>
          <w:strike/>
          <w:snapToGrid w:val="0"/>
          <w:color w:val="FF0000"/>
        </w:rPr>
      </w:pPr>
      <w:r w:rsidRPr="002A202F">
        <w:rPr>
          <w:color w:val="FF0000"/>
          <w:u w:val="single"/>
        </w:rPr>
        <w:t>The IOU may not terminate CCA service without approval from the CPUC.</w:t>
      </w:r>
    </w:p>
    <w:p w:rsidRPr="00216E04" w:rsidR="009C2F89" w:rsidP="00F80ECF" w:rsidRDefault="004E3629" w14:paraId="3212454C" w14:textId="489A214D">
      <w:pPr>
        <w:numPr>
          <w:ilvl w:val="1"/>
          <w:numId w:val="73"/>
        </w:numPr>
        <w:spacing w:line="276" w:lineRule="auto"/>
        <w:rPr>
          <w:strike/>
          <w:snapToGrid w:val="0"/>
          <w:color w:val="FF0000"/>
        </w:rPr>
      </w:pPr>
      <w:r w:rsidRPr="00216E04">
        <w:rPr>
          <w:strike/>
          <w:color w:val="FF0000"/>
        </w:rPr>
        <w:t xml:space="preserve">The </w:t>
      </w:r>
      <w:r w:rsidRPr="00216E04" w:rsidR="00BB61B4">
        <w:rPr>
          <w:strike/>
          <w:color w:val="FF0000"/>
        </w:rPr>
        <w:t xml:space="preserve">IOUs shall refile their tariff sheets via Tier 1 </w:t>
      </w:r>
      <w:r w:rsidRPr="00216E04" w:rsidR="00AD7BE9">
        <w:rPr>
          <w:strike/>
          <w:color w:val="FF0000"/>
        </w:rPr>
        <w:t xml:space="preserve">advice </w:t>
      </w:r>
      <w:proofErr w:type="gramStart"/>
      <w:r w:rsidRPr="00216E04" w:rsidR="00AD7BE9">
        <w:rPr>
          <w:strike/>
          <w:color w:val="FF0000"/>
        </w:rPr>
        <w:t xml:space="preserve">letter </w:t>
      </w:r>
      <w:r w:rsidRPr="00216E04" w:rsidR="00BB61B4">
        <w:rPr>
          <w:strike/>
          <w:color w:val="FF0000"/>
        </w:rPr>
        <w:t xml:space="preserve"> to</w:t>
      </w:r>
      <w:proofErr w:type="gramEnd"/>
      <w:r w:rsidRPr="00216E04" w:rsidR="00BB61B4">
        <w:rPr>
          <w:strike/>
          <w:color w:val="FF0000"/>
        </w:rPr>
        <w:t xml:space="preserve"> clarify the following:</w:t>
      </w:r>
    </w:p>
    <w:p w:rsidRPr="00216E04" w:rsidR="009C2F89" w:rsidP="00F80ECF" w:rsidRDefault="00BB61B4" w14:paraId="4F0422A2" w14:textId="3B9B9096">
      <w:pPr>
        <w:numPr>
          <w:ilvl w:val="1"/>
          <w:numId w:val="73"/>
        </w:numPr>
        <w:spacing w:line="276" w:lineRule="auto"/>
        <w:rPr>
          <w:strike/>
          <w:snapToGrid w:val="0"/>
          <w:color w:val="FF0000"/>
        </w:rPr>
      </w:pPr>
      <w:r w:rsidRPr="00216E04">
        <w:rPr>
          <w:strike/>
          <w:color w:val="FF0000"/>
        </w:rPr>
        <w:t>The terms of the FSR are subject to mutual agreement by the IOU and CCA.</w:t>
      </w:r>
    </w:p>
    <w:p w:rsidRPr="00216E04" w:rsidR="009C2F89" w:rsidP="00F80ECF" w:rsidRDefault="00BB61B4" w14:paraId="5B9BF37A" w14:textId="29540F78">
      <w:pPr>
        <w:numPr>
          <w:ilvl w:val="1"/>
          <w:numId w:val="73"/>
        </w:numPr>
        <w:spacing w:line="276" w:lineRule="auto"/>
        <w:rPr>
          <w:strike/>
          <w:snapToGrid w:val="0"/>
          <w:color w:val="FF0000"/>
        </w:rPr>
      </w:pPr>
      <w:r w:rsidRPr="00216E04">
        <w:rPr>
          <w:strike/>
          <w:color w:val="FF0000"/>
        </w:rPr>
        <w:t>The IOU may not terminate CCA service or withhold CCA funds without</w:t>
      </w:r>
      <w:r w:rsidRPr="00216E04" w:rsidR="00E201FE">
        <w:rPr>
          <w:strike/>
          <w:color w:val="FF0000"/>
        </w:rPr>
        <w:t xml:space="preserve"> approval</w:t>
      </w:r>
      <w:r w:rsidRPr="00216E04">
        <w:rPr>
          <w:strike/>
          <w:color w:val="FF0000"/>
        </w:rPr>
        <w:t xml:space="preserve"> from the CPUC. </w:t>
      </w:r>
    </w:p>
    <w:p w:rsidRPr="00216E04" w:rsidR="00BB61B4" w:rsidP="00F80ECF" w:rsidRDefault="00BB61B4" w14:paraId="27D45E49" w14:textId="33A6FB5F">
      <w:pPr>
        <w:numPr>
          <w:ilvl w:val="1"/>
          <w:numId w:val="73"/>
        </w:numPr>
        <w:spacing w:line="276" w:lineRule="auto"/>
        <w:rPr>
          <w:strike/>
          <w:snapToGrid w:val="0"/>
          <w:color w:val="FF0000"/>
        </w:rPr>
      </w:pPr>
      <w:r w:rsidRPr="00216E04">
        <w:rPr>
          <w:strike/>
          <w:color w:val="FF0000"/>
        </w:rPr>
        <w:t>The IOU may only withhold</w:t>
      </w:r>
      <w:r w:rsidRPr="00216E04" w:rsidR="00B50969">
        <w:rPr>
          <w:strike/>
          <w:color w:val="FF0000"/>
        </w:rPr>
        <w:t xml:space="preserve"> CCA</w:t>
      </w:r>
      <w:r w:rsidRPr="00216E04">
        <w:rPr>
          <w:strike/>
          <w:color w:val="FF0000"/>
        </w:rPr>
        <w:t xml:space="preserve"> customer payments if the charges are undisputed. </w:t>
      </w:r>
    </w:p>
    <w:p w:rsidRPr="00216E04" w:rsidR="000F4D2D" w:rsidP="00F80ECF" w:rsidRDefault="000F4D2D" w14:paraId="137ABAFD" w14:textId="730A8E50">
      <w:pPr>
        <w:numPr>
          <w:ilvl w:val="1"/>
          <w:numId w:val="73"/>
        </w:numPr>
        <w:rPr>
          <w:strike/>
          <w:color w:val="FF0000"/>
        </w:rPr>
      </w:pPr>
      <w:r w:rsidRPr="00216E04">
        <w:rPr>
          <w:strike/>
          <w:color w:val="FF0000"/>
        </w:rPr>
        <w:t>The recovery of reentry fees from involuntarily returned customers in the event that the CCA is unable to recover the fees shall be deferred to the POLR proceeding.</w:t>
      </w:r>
    </w:p>
    <w:p w:rsidR="009C2F89" w:rsidP="004E7D11" w:rsidRDefault="000F4D2D" w14:paraId="6550D6B9" w14:textId="77777777">
      <w:pPr>
        <w:pStyle w:val="ListParagraph"/>
        <w:numPr>
          <w:ilvl w:val="0"/>
          <w:numId w:val="75"/>
        </w:numPr>
      </w:pPr>
      <w:r>
        <w:t>The following provisions are rejected:</w:t>
      </w:r>
    </w:p>
    <w:p w:rsidR="009C2F89" w:rsidP="004E7D11" w:rsidRDefault="000F4D2D" w14:paraId="0B1F3A17" w14:textId="77777777">
      <w:pPr>
        <w:pStyle w:val="ListParagraph"/>
        <w:numPr>
          <w:ilvl w:val="1"/>
          <w:numId w:val="75"/>
        </w:numPr>
      </w:pPr>
      <w:r>
        <w:t>The option to submit a</w:t>
      </w:r>
      <w:r w:rsidRPr="00C170FC">
        <w:t xml:space="preserve"> cash deposit provided directly to</w:t>
      </w:r>
      <w:r w:rsidR="00DC29D7">
        <w:t xml:space="preserve"> the IOU</w:t>
      </w:r>
      <w:r w:rsidRPr="00C170FC">
        <w:t xml:space="preserve"> with interest pai</w:t>
      </w:r>
      <w:r>
        <w:t xml:space="preserve">d </w:t>
      </w:r>
      <w:r w:rsidR="00AF3C7C">
        <w:t xml:space="preserve">as a form of or </w:t>
      </w:r>
      <w:r>
        <w:t>in lieu of the financial security instruments;</w:t>
      </w:r>
    </w:p>
    <w:p w:rsidRPr="009C2F89" w:rsidR="009C2F89" w:rsidP="004E7D11" w:rsidRDefault="000F4D2D" w14:paraId="46BD2F27" w14:textId="77777777">
      <w:pPr>
        <w:pStyle w:val="ListParagraph"/>
        <w:numPr>
          <w:ilvl w:val="1"/>
          <w:numId w:val="75"/>
        </w:numPr>
      </w:pPr>
      <w:r w:rsidRPr="009C2F89">
        <w:rPr>
          <w:bCs/>
        </w:rPr>
        <w:t>The IOU’s right to terminate CCA service if a CCA fails to post its financial security instrument within the stated deadline; and</w:t>
      </w:r>
    </w:p>
    <w:p w:rsidRPr="00C9582B" w:rsidR="00C9582B" w:rsidP="004E7D11" w:rsidRDefault="004E3629" w14:paraId="21B41E40" w14:textId="7FA70D7B">
      <w:pPr>
        <w:pStyle w:val="ListParagraph"/>
        <w:numPr>
          <w:ilvl w:val="1"/>
          <w:numId w:val="75"/>
        </w:numPr>
      </w:pPr>
      <w:r w:rsidRPr="009C2F89">
        <w:rPr>
          <w:bCs/>
        </w:rPr>
        <w:t>The requirement that DA-eligible customers must return to IOU service in the event of an involuntary return</w:t>
      </w:r>
    </w:p>
    <w:p w:rsidRPr="00BE427E" w:rsidR="00F35F57" w:rsidP="004E7D11" w:rsidRDefault="00F35F57" w14:paraId="2ADFB6FA" w14:textId="6B29FDAE">
      <w:pPr>
        <w:pStyle w:val="ListParagraph"/>
        <w:numPr>
          <w:ilvl w:val="0"/>
          <w:numId w:val="75"/>
        </w:numPr>
        <w:rPr>
          <w:color w:val="FF0000"/>
          <w:u w:val="single"/>
        </w:rPr>
      </w:pPr>
      <w:r w:rsidRPr="00E16AD6">
        <w:rPr>
          <w:color w:val="FF0000"/>
          <w:u w:val="single"/>
        </w:rPr>
        <w:t xml:space="preserve">The CCA FSR instrument may only be drawn </w:t>
      </w:r>
      <w:r w:rsidRPr="00BE427E">
        <w:rPr>
          <w:color w:val="FF0000"/>
          <w:u w:val="single"/>
        </w:rPr>
        <w:t>upon in the event of an involuntary return,</w:t>
      </w:r>
      <w:r w:rsidRPr="00BE427E" w:rsidDel="00D7690D">
        <w:rPr>
          <w:color w:val="FF0000"/>
          <w:u w:val="single"/>
        </w:rPr>
        <w:t xml:space="preserve"> or as </w:t>
      </w:r>
      <w:r w:rsidRPr="00BE427E">
        <w:rPr>
          <w:color w:val="FF0000"/>
          <w:u w:val="single"/>
        </w:rPr>
        <w:t xml:space="preserve">mutually agreed upon </w:t>
      </w:r>
      <w:r w:rsidRPr="00BE427E" w:rsidDel="008E2A2F">
        <w:rPr>
          <w:color w:val="FF0000"/>
          <w:u w:val="single"/>
        </w:rPr>
        <w:t>in</w:t>
      </w:r>
      <w:r w:rsidRPr="00BE427E" w:rsidR="00385B12">
        <w:rPr>
          <w:color w:val="FF0000"/>
        </w:rPr>
        <w:t xml:space="preserve"> </w:t>
      </w:r>
      <w:r w:rsidRPr="00BE427E" w:rsidR="00385B12">
        <w:rPr>
          <w:color w:val="FF0000"/>
          <w:u w:val="single"/>
        </w:rPr>
        <w:t>or pursuant to</w:t>
      </w:r>
      <w:r w:rsidRPr="00BE427E">
        <w:rPr>
          <w:color w:val="FF0000"/>
          <w:u w:val="single"/>
        </w:rPr>
        <w:t xml:space="preserve"> the terms of</w:t>
      </w:r>
      <w:r w:rsidRPr="00BE427E" w:rsidDel="00D7690D">
        <w:rPr>
          <w:color w:val="FF0000"/>
          <w:u w:val="single"/>
        </w:rPr>
        <w:t xml:space="preserve"> the FSR instrument.</w:t>
      </w:r>
    </w:p>
    <w:p w:rsidRPr="005A0EBA" w:rsidR="00510126" w:rsidP="004E7D11" w:rsidRDefault="00B465D3" w14:paraId="0F847B26" w14:textId="5F1C4BA8">
      <w:pPr>
        <w:pStyle w:val="ListParagraph"/>
        <w:numPr>
          <w:ilvl w:val="0"/>
          <w:numId w:val="75"/>
        </w:numPr>
        <w:spacing w:line="276" w:lineRule="auto"/>
        <w:rPr>
          <w:color w:val="FF0000"/>
          <w:u w:val="single"/>
        </w:rPr>
      </w:pPr>
      <w:r w:rsidRPr="00BE427E">
        <w:rPr>
          <w:color w:val="FF0000"/>
          <w:u w:val="single"/>
        </w:rPr>
        <w:t>In the event</w:t>
      </w:r>
      <w:r w:rsidRPr="00BE427E" w:rsidR="00C11E10">
        <w:rPr>
          <w:color w:val="FF0000"/>
          <w:u w:val="single"/>
        </w:rPr>
        <w:t xml:space="preserve"> that</w:t>
      </w:r>
      <w:r w:rsidRPr="00BE427E">
        <w:rPr>
          <w:color w:val="FF0000"/>
          <w:u w:val="single"/>
        </w:rPr>
        <w:t xml:space="preserve"> an involuntary return</w:t>
      </w:r>
      <w:r w:rsidRPr="00BE427E" w:rsidR="00B107AF">
        <w:rPr>
          <w:color w:val="FF0000"/>
          <w:u w:val="single"/>
        </w:rPr>
        <w:t xml:space="preserve"> </w:t>
      </w:r>
      <w:r w:rsidRPr="00BE427E" w:rsidR="00B107AF">
        <w:rPr>
          <w:strike/>
          <w:color w:val="FF0000"/>
        </w:rPr>
        <w:t>is triggered prior to further Commission guidance on reentry fee liability</w:t>
      </w:r>
      <w:r w:rsidRPr="00BE427E" w:rsidR="00E16AD6">
        <w:rPr>
          <w:color w:val="FF0000"/>
          <w:u w:val="single"/>
        </w:rPr>
        <w:t xml:space="preserve"> occurs</w:t>
      </w:r>
      <w:r w:rsidRPr="00BE427E">
        <w:rPr>
          <w:color w:val="FF0000"/>
          <w:u w:val="single"/>
        </w:rPr>
        <w:t xml:space="preserve">, the </w:t>
      </w:r>
      <w:r w:rsidRPr="005A1DC4">
        <w:rPr>
          <w:color w:val="FF0000"/>
          <w:u w:val="single"/>
        </w:rPr>
        <w:t xml:space="preserve">utility shall file a Tier 1 advice letter </w:t>
      </w:r>
      <w:r w:rsidRPr="005A0EBA">
        <w:rPr>
          <w:color w:val="FF0000"/>
          <w:u w:val="single"/>
        </w:rPr>
        <w:t>to notify the Commission that an involuntary return has commenced or occurred and to set forth the reentry fee calculation</w:t>
      </w:r>
      <w:r w:rsidRPr="005A0EBA" w:rsidR="005409BF">
        <w:rPr>
          <w:color w:val="FF0000"/>
          <w:u w:val="single"/>
        </w:rPr>
        <w:t>.</w:t>
      </w:r>
    </w:p>
    <w:p w:rsidRPr="006E4179" w:rsidR="003C0A38" w:rsidP="004E7D11" w:rsidRDefault="006D0709" w14:paraId="27B5A096" w14:textId="0A7C8642">
      <w:pPr>
        <w:pStyle w:val="ListParagraph"/>
        <w:numPr>
          <w:ilvl w:val="0"/>
          <w:numId w:val="75"/>
        </w:numPr>
        <w:spacing w:line="276" w:lineRule="auto"/>
        <w:rPr>
          <w:rFonts w:eastAsia="Palatino" w:cs="Palatino"/>
          <w:color w:val="FF0000"/>
          <w:u w:val="single"/>
        </w:rPr>
      </w:pPr>
      <w:r w:rsidRPr="006E4179">
        <w:rPr>
          <w:color w:val="FF0000"/>
          <w:u w:val="single"/>
        </w:rPr>
        <w:t xml:space="preserve">Reentry fees that </w:t>
      </w:r>
      <w:r w:rsidRPr="006E4179" w:rsidR="0055659F">
        <w:rPr>
          <w:color w:val="FF0000"/>
          <w:u w:val="single"/>
        </w:rPr>
        <w:t xml:space="preserve">are calculated in </w:t>
      </w:r>
      <w:r w:rsidRPr="006E4179" w:rsidR="00B465D3">
        <w:rPr>
          <w:color w:val="FF0000"/>
          <w:u w:val="single"/>
        </w:rPr>
        <w:t>compliance with D.18-05-022 and</w:t>
      </w:r>
      <w:r w:rsidRPr="006E4179" w:rsidR="005E61C6">
        <w:rPr>
          <w:color w:val="FF0000"/>
          <w:u w:val="single"/>
        </w:rPr>
        <w:t xml:space="preserve"> </w:t>
      </w:r>
      <w:r w:rsidRPr="006E4179" w:rsidR="004D50C4">
        <w:rPr>
          <w:color w:val="FF0000"/>
          <w:u w:val="single"/>
        </w:rPr>
        <w:t>IOU tariffs should</w:t>
      </w:r>
      <w:r w:rsidRPr="006E4179" w:rsidR="001D394E">
        <w:rPr>
          <w:color w:val="FF0000"/>
          <w:u w:val="single"/>
        </w:rPr>
        <w:t xml:space="preserve"> not be subject to disput</w:t>
      </w:r>
      <w:r w:rsidRPr="006E4179" w:rsidR="00B947CE">
        <w:rPr>
          <w:color w:val="FF0000"/>
          <w:u w:val="single"/>
        </w:rPr>
        <w:t>e</w:t>
      </w:r>
      <w:r w:rsidRPr="006E4179" w:rsidR="00B465D3">
        <w:rPr>
          <w:color w:val="FF0000"/>
          <w:u w:val="single"/>
        </w:rPr>
        <w:t xml:space="preserve">. </w:t>
      </w:r>
      <w:r w:rsidRPr="006E4179" w:rsidR="0061144A">
        <w:rPr>
          <w:color w:val="FF0000"/>
          <w:u w:val="single"/>
        </w:rPr>
        <w:t xml:space="preserve"> If</w:t>
      </w:r>
      <w:r w:rsidRPr="006E4179" w:rsidR="00985573">
        <w:rPr>
          <w:color w:val="FF0000"/>
          <w:u w:val="single"/>
        </w:rPr>
        <w:t xml:space="preserve"> there is a dispute that is not directly </w:t>
      </w:r>
      <w:r w:rsidRPr="006E4179" w:rsidR="00985573">
        <w:rPr>
          <w:color w:val="FF0000"/>
          <w:u w:val="single"/>
        </w:rPr>
        <w:lastRenderedPageBreak/>
        <w:t xml:space="preserve">addressed by </w:t>
      </w:r>
      <w:r w:rsidRPr="006E4179" w:rsidR="6DA7F4CF">
        <w:rPr>
          <w:color w:val="FF0000"/>
          <w:u w:val="single"/>
        </w:rPr>
        <w:t xml:space="preserve">D.18-05-022 or this </w:t>
      </w:r>
      <w:r w:rsidRPr="006E4179" w:rsidR="00985573">
        <w:rPr>
          <w:color w:val="FF0000"/>
          <w:u w:val="single"/>
        </w:rPr>
        <w:t>resolution, the</w:t>
      </w:r>
      <w:r w:rsidRPr="006E4179" w:rsidR="00B465D3">
        <w:rPr>
          <w:color w:val="FF0000"/>
          <w:u w:val="single"/>
        </w:rPr>
        <w:t xml:space="preserve"> IOU </w:t>
      </w:r>
      <w:r w:rsidRPr="006E4179" w:rsidR="00985573">
        <w:rPr>
          <w:color w:val="FF0000"/>
          <w:u w:val="single"/>
        </w:rPr>
        <w:t>shall</w:t>
      </w:r>
      <w:r w:rsidRPr="006E4179" w:rsidR="00B465D3">
        <w:rPr>
          <w:color w:val="FF0000"/>
          <w:u w:val="single"/>
        </w:rPr>
        <w:t xml:space="preserve"> </w:t>
      </w:r>
      <w:r w:rsidRPr="006E4179" w:rsidR="6ECCD27E">
        <w:rPr>
          <w:color w:val="FF0000"/>
          <w:u w:val="single"/>
        </w:rPr>
        <w:t xml:space="preserve">submit a Tier </w:t>
      </w:r>
      <w:r w:rsidRPr="006E4179" w:rsidR="00983D00">
        <w:rPr>
          <w:color w:val="FF0000"/>
          <w:u w:val="single"/>
        </w:rPr>
        <w:t>1</w:t>
      </w:r>
      <w:r w:rsidRPr="006E4179" w:rsidR="6ECCD27E">
        <w:rPr>
          <w:color w:val="FF0000"/>
          <w:u w:val="single"/>
        </w:rPr>
        <w:t xml:space="preserve"> Advice Letter to</w:t>
      </w:r>
      <w:r w:rsidRPr="006E4179" w:rsidR="00B13B44">
        <w:rPr>
          <w:color w:val="FF0000"/>
          <w:u w:val="single"/>
        </w:rPr>
        <w:t xml:space="preserve"> </w:t>
      </w:r>
      <w:r w:rsidRPr="006E4179" w:rsidR="00B465D3">
        <w:rPr>
          <w:color w:val="FF0000"/>
          <w:u w:val="single"/>
        </w:rPr>
        <w:t>create a memorandum account to track the costs</w:t>
      </w:r>
      <w:r w:rsidRPr="006E4179" w:rsidR="00794CFE">
        <w:rPr>
          <w:color w:val="FF0000"/>
          <w:u w:val="single"/>
        </w:rPr>
        <w:t>.</w:t>
      </w:r>
      <w:r w:rsidRPr="006E4179" w:rsidR="000509DA">
        <w:rPr>
          <w:color w:val="FF0000"/>
          <w:u w:val="single"/>
        </w:rPr>
        <w:t xml:space="preserve"> </w:t>
      </w:r>
    </w:p>
    <w:p w:rsidRPr="005A0EBA" w:rsidR="00B465D3" w:rsidP="004E7D11" w:rsidRDefault="00794CFE" w14:paraId="71798960" w14:textId="0367B3B9">
      <w:pPr>
        <w:pStyle w:val="ListParagraph"/>
        <w:numPr>
          <w:ilvl w:val="0"/>
          <w:numId w:val="75"/>
        </w:numPr>
        <w:spacing w:line="276" w:lineRule="auto"/>
        <w:rPr>
          <w:rFonts w:eastAsia="Palatino" w:cs="Palatino"/>
          <w:color w:val="FF0000"/>
        </w:rPr>
      </w:pPr>
      <w:r w:rsidRPr="006E4179">
        <w:rPr>
          <w:color w:val="FF0000"/>
          <w:u w:val="single"/>
        </w:rPr>
        <w:t>If the IOU</w:t>
      </w:r>
      <w:r w:rsidRPr="006E4179" w:rsidR="00B465D3">
        <w:rPr>
          <w:color w:val="FF0000"/>
          <w:u w:val="single"/>
        </w:rPr>
        <w:t xml:space="preserve"> seeks</w:t>
      </w:r>
      <w:r w:rsidRPr="006E4179" w:rsidDel="00A46518" w:rsidR="00B465D3">
        <w:rPr>
          <w:color w:val="FF0000"/>
          <w:u w:val="single"/>
        </w:rPr>
        <w:t xml:space="preserve"> </w:t>
      </w:r>
      <w:r w:rsidRPr="006E4179" w:rsidR="00B465D3">
        <w:rPr>
          <w:color w:val="FF0000"/>
          <w:u w:val="single"/>
        </w:rPr>
        <w:t>recover</w:t>
      </w:r>
      <w:r w:rsidRPr="006E4179" w:rsidR="00A46518">
        <w:rPr>
          <w:color w:val="FF0000"/>
          <w:u w:val="single"/>
        </w:rPr>
        <w:t>y of</w:t>
      </w:r>
      <w:r w:rsidRPr="006E4179" w:rsidR="00275B93">
        <w:rPr>
          <w:color w:val="FF0000"/>
          <w:u w:val="single"/>
        </w:rPr>
        <w:t xml:space="preserve"> </w:t>
      </w:r>
      <w:r w:rsidRPr="006E4179" w:rsidR="00916FE2">
        <w:rPr>
          <w:color w:val="FF0000"/>
          <w:u w:val="single"/>
        </w:rPr>
        <w:t xml:space="preserve">actual </w:t>
      </w:r>
      <w:r w:rsidRPr="006E4179" w:rsidR="00B465D3">
        <w:rPr>
          <w:color w:val="FF0000"/>
          <w:u w:val="single"/>
        </w:rPr>
        <w:t>administrative costs of the involuntary return in lieu of the adopted proxy CCA service fee amount</w:t>
      </w:r>
      <w:r w:rsidRPr="006E4179" w:rsidR="003C0A38">
        <w:rPr>
          <w:color w:val="FF0000"/>
          <w:u w:val="single"/>
        </w:rPr>
        <w:t xml:space="preserve">, </w:t>
      </w:r>
      <w:r w:rsidRPr="006E4179" w:rsidR="00916FE2">
        <w:rPr>
          <w:color w:val="FF0000"/>
          <w:u w:val="single"/>
        </w:rPr>
        <w:t>it</w:t>
      </w:r>
      <w:r w:rsidRPr="006E4179" w:rsidR="00275B93">
        <w:rPr>
          <w:color w:val="FF0000"/>
          <w:u w:val="single"/>
        </w:rPr>
        <w:t xml:space="preserve"> shall submit a Tier </w:t>
      </w:r>
      <w:r w:rsidRPr="006E4179" w:rsidR="004463E9">
        <w:rPr>
          <w:color w:val="FF0000"/>
          <w:u w:val="single"/>
        </w:rPr>
        <w:t>1</w:t>
      </w:r>
      <w:r w:rsidRPr="006E4179" w:rsidR="00275B93">
        <w:rPr>
          <w:color w:val="FF0000"/>
          <w:u w:val="single"/>
        </w:rPr>
        <w:t xml:space="preserve"> Advice Letter to create a memorandum</w:t>
      </w:r>
      <w:r w:rsidRPr="005A0EBA" w:rsidR="00275B93">
        <w:rPr>
          <w:color w:val="FF0000"/>
          <w:u w:val="single"/>
        </w:rPr>
        <w:t xml:space="preserve"> account to track the costs</w:t>
      </w:r>
      <w:r w:rsidRPr="005A0EBA" w:rsidR="00B465D3">
        <w:rPr>
          <w:color w:val="FF0000"/>
          <w:u w:val="single"/>
        </w:rPr>
        <w:t xml:space="preserve">. </w:t>
      </w:r>
      <w:r w:rsidRPr="005A0EBA" w:rsidR="008E76F6">
        <w:rPr>
          <w:color w:val="FF0000"/>
          <w:u w:val="single"/>
        </w:rPr>
        <w:t xml:space="preserve"> </w:t>
      </w:r>
      <w:r w:rsidRPr="005A0EBA" w:rsidR="00B465D3">
        <w:rPr>
          <w:color w:val="FF0000"/>
          <w:u w:val="single"/>
        </w:rPr>
        <w:t xml:space="preserve">The IOUs’ procurement costs </w:t>
      </w:r>
      <w:r w:rsidRPr="005A0EBA" w:rsidR="00D17F10">
        <w:rPr>
          <w:color w:val="FF0000"/>
          <w:u w:val="single"/>
        </w:rPr>
        <w:t xml:space="preserve">shall </w:t>
      </w:r>
      <w:r w:rsidRPr="005A0EBA" w:rsidR="00B465D3">
        <w:rPr>
          <w:color w:val="FF0000"/>
          <w:u w:val="single"/>
        </w:rPr>
        <w:t>continue to be recovered in rates through the operation of their applicable balancing accounts.</w:t>
      </w:r>
    </w:p>
    <w:p w:rsidRPr="005A0EBA" w:rsidR="000509DA" w:rsidP="004E7D11" w:rsidRDefault="000509DA" w14:paraId="276A40E6" w14:textId="32487320">
      <w:pPr>
        <w:pStyle w:val="ListParagraph"/>
        <w:numPr>
          <w:ilvl w:val="0"/>
          <w:numId w:val="75"/>
        </w:numPr>
        <w:spacing w:line="276" w:lineRule="auto"/>
        <w:rPr>
          <w:rFonts w:eastAsia="Palatino" w:cs="Palatino"/>
          <w:color w:val="FF0000"/>
          <w:u w:val="single"/>
        </w:rPr>
      </w:pPr>
      <w:r w:rsidRPr="005A0EBA">
        <w:rPr>
          <w:color w:val="FF0000"/>
          <w:u w:val="single"/>
        </w:rPr>
        <w:t>Any disputed reentry fees will be evaluated and approved in the POLR proceeding</w:t>
      </w:r>
      <w:r w:rsidRPr="005A0EBA" w:rsidDel="00D7690D">
        <w:rPr>
          <w:color w:val="FF0000"/>
          <w:u w:val="single"/>
        </w:rPr>
        <w:t>.</w:t>
      </w:r>
    </w:p>
    <w:p w:rsidRPr="00F80ECF" w:rsidR="006820A5" w:rsidDel="00B465D3" w:rsidP="004E7D11" w:rsidRDefault="006820A5" w14:paraId="3FCDE1E3" w14:textId="53A4B9D2">
      <w:pPr>
        <w:pStyle w:val="ListParagraph"/>
        <w:numPr>
          <w:ilvl w:val="0"/>
          <w:numId w:val="75"/>
        </w:numPr>
        <w:spacing w:line="276" w:lineRule="auto"/>
        <w:rPr>
          <w:strike/>
          <w:color w:val="FF0000"/>
        </w:rPr>
      </w:pPr>
      <w:r w:rsidRPr="00F80ECF" w:rsidDel="00B465D3">
        <w:rPr>
          <w:strike/>
          <w:color w:val="FF0000"/>
        </w:rPr>
        <w:t xml:space="preserve">In the event an involuntary return is triggered prior to </w:t>
      </w:r>
      <w:r w:rsidRPr="00F80ECF" w:rsidDel="00B465D3" w:rsidR="00836443">
        <w:rPr>
          <w:strike/>
          <w:color w:val="FF0000"/>
        </w:rPr>
        <w:t>further Commission guidance on reentry fee liability</w:t>
      </w:r>
      <w:r w:rsidRPr="00F80ECF" w:rsidDel="00B465D3" w:rsidR="004C40F1">
        <w:rPr>
          <w:strike/>
          <w:color w:val="FF0000"/>
        </w:rPr>
        <w:t>,</w:t>
      </w:r>
      <w:r w:rsidRPr="00F80ECF" w:rsidDel="00B465D3" w:rsidR="006058F9">
        <w:rPr>
          <w:strike/>
          <w:color w:val="FF0000"/>
        </w:rPr>
        <w:t xml:space="preserve"> </w:t>
      </w:r>
      <w:r w:rsidRPr="00F80ECF" w:rsidDel="00B465D3" w:rsidR="0068197A">
        <w:rPr>
          <w:strike/>
          <w:color w:val="FF0000"/>
        </w:rPr>
        <w:t xml:space="preserve">the utility </w:t>
      </w:r>
      <w:r w:rsidRPr="00F80ECF" w:rsidDel="00B465D3">
        <w:rPr>
          <w:strike/>
          <w:color w:val="FF0000"/>
        </w:rPr>
        <w:t xml:space="preserve">shall file </w:t>
      </w:r>
      <w:r w:rsidRPr="00F80ECF" w:rsidDel="00B465D3" w:rsidR="0068197A">
        <w:rPr>
          <w:strike/>
          <w:color w:val="FF0000"/>
        </w:rPr>
        <w:t xml:space="preserve">a </w:t>
      </w:r>
      <w:r w:rsidRPr="00F80ECF" w:rsidDel="00B465D3">
        <w:rPr>
          <w:strike/>
          <w:color w:val="FF0000"/>
        </w:rPr>
        <w:t xml:space="preserve">Tier 1 </w:t>
      </w:r>
      <w:r w:rsidRPr="00F80ECF" w:rsidDel="00B465D3" w:rsidR="00AD7BE9">
        <w:rPr>
          <w:strike/>
          <w:color w:val="FF0000"/>
        </w:rPr>
        <w:t xml:space="preserve">advice letter </w:t>
      </w:r>
      <w:r w:rsidRPr="00F80ECF" w:rsidDel="00B465D3">
        <w:rPr>
          <w:strike/>
          <w:color w:val="FF0000"/>
        </w:rPr>
        <w:t xml:space="preserve"> </w:t>
      </w:r>
      <w:r w:rsidRPr="00F80ECF" w:rsidDel="00B465D3" w:rsidR="0068197A">
        <w:rPr>
          <w:strike/>
          <w:color w:val="FF0000"/>
        </w:rPr>
        <w:t xml:space="preserve">to </w:t>
      </w:r>
      <w:r w:rsidRPr="00F80ECF" w:rsidDel="00B465D3">
        <w:rPr>
          <w:strike/>
          <w:color w:val="FF0000"/>
        </w:rPr>
        <w:t>create a memorandum account to track the actual costs of returning customers and to launch</w:t>
      </w:r>
      <w:r w:rsidRPr="00F80ECF" w:rsidDel="00B465D3" w:rsidR="00B74927">
        <w:rPr>
          <w:strike/>
          <w:color w:val="FF0000"/>
        </w:rPr>
        <w:t>ing</w:t>
      </w:r>
      <w:r w:rsidRPr="00F80ECF" w:rsidDel="00B465D3">
        <w:rPr>
          <w:strike/>
          <w:color w:val="FF0000"/>
        </w:rPr>
        <w:t xml:space="preserve"> the involuntary return process.</w:t>
      </w:r>
    </w:p>
    <w:p w:rsidRPr="00F80ECF" w:rsidR="00712800" w:rsidDel="00B465D3" w:rsidP="004E7D11" w:rsidRDefault="00E57697" w14:paraId="66ABF73F" w14:textId="74C9B71F">
      <w:pPr>
        <w:pStyle w:val="ListParagraph"/>
        <w:numPr>
          <w:ilvl w:val="0"/>
          <w:numId w:val="75"/>
        </w:numPr>
        <w:spacing w:line="276" w:lineRule="auto"/>
        <w:rPr>
          <w:strike/>
          <w:color w:val="FF0000"/>
        </w:rPr>
      </w:pPr>
      <w:r w:rsidRPr="00F80ECF" w:rsidDel="00B465D3">
        <w:rPr>
          <w:strike/>
          <w:color w:val="FF0000"/>
        </w:rPr>
        <w:t xml:space="preserve">PG&amp;E and SCE </w:t>
      </w:r>
      <w:r w:rsidRPr="00F80ECF" w:rsidDel="00B465D3" w:rsidR="00712800">
        <w:rPr>
          <w:strike/>
          <w:color w:val="FF0000"/>
        </w:rPr>
        <w:t xml:space="preserve">shall file Tier 2 </w:t>
      </w:r>
      <w:r w:rsidRPr="00F80ECF" w:rsidDel="00B465D3" w:rsidR="00B465D3">
        <w:rPr>
          <w:strike/>
          <w:color w:val="FF0000"/>
        </w:rPr>
        <w:t xml:space="preserve">advice letters </w:t>
      </w:r>
      <w:r w:rsidRPr="00F80ECF" w:rsidDel="00B465D3" w:rsidR="00712800">
        <w:rPr>
          <w:strike/>
          <w:color w:val="FF0000"/>
        </w:rPr>
        <w:t xml:space="preserve">to revise </w:t>
      </w:r>
      <w:r w:rsidRPr="00F80ECF" w:rsidDel="00B465D3">
        <w:rPr>
          <w:strike/>
          <w:color w:val="FF0000"/>
        </w:rPr>
        <w:t>their respective</w:t>
      </w:r>
      <w:r w:rsidRPr="00F80ECF" w:rsidDel="00B465D3" w:rsidR="00712800">
        <w:rPr>
          <w:strike/>
          <w:color w:val="FF0000"/>
        </w:rPr>
        <w:t xml:space="preserve"> Rule 23, and SDG&amp;E </w:t>
      </w:r>
      <w:r w:rsidRPr="00F80ECF" w:rsidDel="00B465D3">
        <w:rPr>
          <w:strike/>
          <w:color w:val="FF0000"/>
        </w:rPr>
        <w:t xml:space="preserve">shall file a Tier 2 </w:t>
      </w:r>
      <w:r w:rsidRPr="00F80ECF" w:rsidDel="00B465D3" w:rsidR="00AD7BE9">
        <w:rPr>
          <w:strike/>
          <w:color w:val="FF0000"/>
        </w:rPr>
        <w:t xml:space="preserve">advice letter </w:t>
      </w:r>
      <w:r w:rsidRPr="00F80ECF" w:rsidDel="00B465D3">
        <w:rPr>
          <w:strike/>
          <w:color w:val="FF0000"/>
        </w:rPr>
        <w:t xml:space="preserve"> to revise its </w:t>
      </w:r>
      <w:r w:rsidRPr="00F80ECF" w:rsidDel="00B465D3" w:rsidR="00712800">
        <w:rPr>
          <w:strike/>
          <w:color w:val="FF0000"/>
        </w:rPr>
        <w:t xml:space="preserve">Rule 27 within 30 days of this </w:t>
      </w:r>
      <w:r w:rsidRPr="00F80ECF" w:rsidDel="00B465D3" w:rsidR="00F0470B">
        <w:rPr>
          <w:strike/>
          <w:color w:val="FF0000"/>
        </w:rPr>
        <w:t>r</w:t>
      </w:r>
      <w:r w:rsidRPr="00F80ECF" w:rsidDel="00B465D3" w:rsidR="00712800">
        <w:rPr>
          <w:strike/>
          <w:color w:val="FF0000"/>
        </w:rPr>
        <w:t>esolution</w:t>
      </w:r>
      <w:r w:rsidRPr="00F80ECF" w:rsidDel="00B465D3">
        <w:rPr>
          <w:strike/>
          <w:color w:val="FF0000"/>
        </w:rPr>
        <w:t xml:space="preserve">. </w:t>
      </w:r>
      <w:r w:rsidRPr="00F80ECF" w:rsidDel="00B465D3" w:rsidR="00712800">
        <w:rPr>
          <w:strike/>
          <w:color w:val="FF0000"/>
        </w:rPr>
        <w:t xml:space="preserve"> </w:t>
      </w:r>
      <w:r w:rsidRPr="00F80ECF" w:rsidDel="00B465D3" w:rsidR="008D4904">
        <w:rPr>
          <w:strike/>
          <w:color w:val="FF0000"/>
        </w:rPr>
        <w:t xml:space="preserve"> </w:t>
      </w:r>
    </w:p>
    <w:p w:rsidRPr="00C52014" w:rsidR="00712800" w:rsidP="004E7D11" w:rsidRDefault="00712800" w14:paraId="2905B9FF" w14:textId="217FCAC7">
      <w:pPr>
        <w:numPr>
          <w:ilvl w:val="0"/>
          <w:numId w:val="75"/>
        </w:numPr>
        <w:spacing w:line="276" w:lineRule="auto"/>
        <w:rPr>
          <w:snapToGrid w:val="0"/>
        </w:rPr>
      </w:pPr>
      <w:r>
        <w:t xml:space="preserve">All CCAs shall post a financial security </w:t>
      </w:r>
      <w:r w:rsidR="00CD6D49">
        <w:t xml:space="preserve">instrument </w:t>
      </w:r>
      <w:r>
        <w:t xml:space="preserve">within </w:t>
      </w:r>
      <w:r w:rsidRPr="0078339B" w:rsidR="00311F00">
        <w:rPr>
          <w:strike/>
          <w:color w:val="FF0000"/>
        </w:rPr>
        <w:t>30</w:t>
      </w:r>
      <w:r w:rsidR="00311F00">
        <w:t xml:space="preserve"> </w:t>
      </w:r>
      <w:r w:rsidRPr="001E3C87" w:rsidR="00AB6C71">
        <w:rPr>
          <w:color w:val="FF0000"/>
          <w:u w:val="single"/>
        </w:rPr>
        <w:t>six</w:t>
      </w:r>
      <w:r w:rsidRPr="001E3C87" w:rsidR="00B552D0">
        <w:rPr>
          <w:color w:val="FF0000"/>
          <w:u w:val="single"/>
        </w:rPr>
        <w:t>ty</w:t>
      </w:r>
      <w:r w:rsidRPr="001E3C87" w:rsidR="00AB6C71">
        <w:rPr>
          <w:color w:val="FF0000"/>
          <w:u w:val="single"/>
        </w:rPr>
        <w:t>-</w:t>
      </w:r>
      <w:r>
        <w:t xml:space="preserve">days of </w:t>
      </w:r>
      <w:r w:rsidR="00311F00">
        <w:t>this resolution</w:t>
      </w:r>
    </w:p>
    <w:p w:rsidRPr="00C52014" w:rsidR="00CF17DE" w:rsidP="00F932F1" w:rsidRDefault="00CF17DE" w14:paraId="4BCDF939" w14:textId="77777777">
      <w:pPr>
        <w:spacing w:line="276" w:lineRule="auto"/>
      </w:pPr>
    </w:p>
    <w:p w:rsidRPr="00C52014" w:rsidR="00CF17DE" w:rsidP="00F932F1" w:rsidRDefault="00CF17DE" w14:paraId="37DEE6CF" w14:textId="77A24A50">
      <w:pPr>
        <w:tabs>
          <w:tab w:val="left" w:pos="720"/>
          <w:tab w:val="left" w:pos="1296"/>
          <w:tab w:val="left" w:pos="2016"/>
          <w:tab w:val="left" w:pos="2736"/>
          <w:tab w:val="left" w:pos="3456"/>
          <w:tab w:val="left" w:pos="4176"/>
          <w:tab w:val="left" w:pos="5760"/>
        </w:tabs>
        <w:spacing w:line="276" w:lineRule="auto"/>
      </w:pPr>
      <w:r w:rsidRPr="00C52014">
        <w:t xml:space="preserve">This </w:t>
      </w:r>
      <w:r w:rsidR="00F0470B">
        <w:t>r</w:t>
      </w:r>
      <w:r w:rsidRPr="00C52014">
        <w:t>esolution is effective today.</w:t>
      </w:r>
    </w:p>
    <w:p w:rsidR="0080109F" w:rsidP="00F932F1" w:rsidRDefault="0080109F" w14:paraId="7D496AA3" w14:textId="1E747EAD">
      <w:pPr>
        <w:tabs>
          <w:tab w:val="left" w:pos="720"/>
          <w:tab w:val="left" w:pos="1296"/>
          <w:tab w:val="left" w:pos="2016"/>
          <w:tab w:val="left" w:pos="2736"/>
          <w:tab w:val="left" w:pos="3456"/>
          <w:tab w:val="left" w:pos="4176"/>
          <w:tab w:val="left" w:pos="5760"/>
        </w:tabs>
        <w:spacing w:line="276" w:lineRule="auto"/>
      </w:pPr>
      <w:r>
        <w:br/>
      </w:r>
    </w:p>
    <w:p w:rsidR="0080109F" w:rsidRDefault="0080109F" w14:paraId="762C771B" w14:textId="77777777">
      <w:r>
        <w:br w:type="page"/>
      </w:r>
    </w:p>
    <w:p w:rsidRPr="00C52014" w:rsidR="00CF17DE" w:rsidP="00F932F1" w:rsidRDefault="00CF17DE" w14:paraId="048CEE72" w14:textId="54ED8B0A">
      <w:pPr>
        <w:spacing w:line="276" w:lineRule="auto"/>
        <w:rPr>
          <w:snapToGrid w:val="0"/>
        </w:rPr>
      </w:pPr>
      <w:r w:rsidRPr="00C52014">
        <w:rPr>
          <w:snapToGrid w:val="0"/>
        </w:rPr>
        <w:lastRenderedPageBreak/>
        <w:t xml:space="preserve">I certify that the foregoing resolution was duly introduced, </w:t>
      </w:r>
      <w:proofErr w:type="gramStart"/>
      <w:r w:rsidRPr="00C52014">
        <w:rPr>
          <w:snapToGrid w:val="0"/>
        </w:rPr>
        <w:t>passed</w:t>
      </w:r>
      <w:proofErr w:type="gramEnd"/>
      <w:r w:rsidRPr="00C52014">
        <w:rPr>
          <w:snapToGrid w:val="0"/>
        </w:rPr>
        <w:t xml:space="preserve"> and adopted at a conference of the Public Utilities </w:t>
      </w:r>
      <w:r w:rsidRPr="00C52014" w:rsidR="004771D0">
        <w:rPr>
          <w:snapToGrid w:val="0"/>
        </w:rPr>
        <w:t>CPUC</w:t>
      </w:r>
      <w:r w:rsidRPr="00C52014">
        <w:rPr>
          <w:snapToGrid w:val="0"/>
        </w:rPr>
        <w:t xml:space="preserve"> of the State of California held on</w:t>
      </w:r>
      <w:r w:rsidR="008D4904">
        <w:rPr>
          <w:snapToGrid w:val="0"/>
        </w:rPr>
        <w:t xml:space="preserve"> </w:t>
      </w:r>
      <w:r w:rsidR="001202F0">
        <w:rPr>
          <w:snapToGrid w:val="0"/>
        </w:rPr>
        <w:t>October 8</w:t>
      </w:r>
      <w:r w:rsidRPr="00C52014" w:rsidR="00117E10">
        <w:rPr>
          <w:snapToGrid w:val="0"/>
        </w:rPr>
        <w:t>, 2020</w:t>
      </w:r>
      <w:r w:rsidRPr="00C52014">
        <w:rPr>
          <w:snapToGrid w:val="0"/>
        </w:rPr>
        <w:t>; the following Commissioners voting favorably thereon:</w:t>
      </w:r>
    </w:p>
    <w:p w:rsidRPr="00C52014" w:rsidR="00CF17DE" w:rsidP="00F932F1" w:rsidRDefault="00CF17DE" w14:paraId="2DA44F60" w14:textId="77777777">
      <w:pPr>
        <w:tabs>
          <w:tab w:val="left" w:pos="720"/>
          <w:tab w:val="left" w:pos="1152"/>
          <w:tab w:val="left" w:pos="1728"/>
          <w:tab w:val="left" w:pos="3168"/>
          <w:tab w:val="left" w:pos="5040"/>
        </w:tabs>
        <w:spacing w:line="276" w:lineRule="auto"/>
        <w:ind w:right="144"/>
      </w:pPr>
    </w:p>
    <w:p w:rsidRPr="00C52014" w:rsidR="00CF17DE" w:rsidP="00F932F1" w:rsidRDefault="00CF17DE" w14:paraId="1385E60D" w14:textId="77777777">
      <w:pPr>
        <w:tabs>
          <w:tab w:val="left" w:pos="720"/>
          <w:tab w:val="left" w:pos="1152"/>
          <w:tab w:val="left" w:pos="1728"/>
          <w:tab w:val="left" w:pos="3168"/>
          <w:tab w:val="left" w:pos="5040"/>
        </w:tabs>
        <w:spacing w:line="276" w:lineRule="auto"/>
        <w:ind w:right="144"/>
      </w:pPr>
    </w:p>
    <w:p w:rsidRPr="00C52014" w:rsidR="00CF17DE" w:rsidP="00F932F1" w:rsidRDefault="00CF17DE" w14:paraId="12D741D7" w14:textId="77777777">
      <w:pPr>
        <w:tabs>
          <w:tab w:val="left" w:pos="720"/>
          <w:tab w:val="left" w:pos="1152"/>
          <w:tab w:val="left" w:pos="1728"/>
          <w:tab w:val="left" w:pos="3168"/>
          <w:tab w:val="left" w:pos="5040"/>
        </w:tabs>
        <w:spacing w:line="276" w:lineRule="auto"/>
        <w:ind w:right="144"/>
      </w:pPr>
    </w:p>
    <w:p w:rsidRPr="00C52014" w:rsidR="00CF17DE" w:rsidP="00F932F1" w:rsidRDefault="00CF17DE" w14:paraId="670582A9" w14:textId="77777777">
      <w:pPr>
        <w:tabs>
          <w:tab w:val="left" w:pos="720"/>
          <w:tab w:val="left" w:pos="1152"/>
          <w:tab w:val="left" w:pos="1728"/>
          <w:tab w:val="left" w:pos="3168"/>
          <w:tab w:val="left" w:pos="5040"/>
        </w:tabs>
        <w:spacing w:line="276" w:lineRule="auto"/>
        <w:ind w:right="144"/>
      </w:pPr>
    </w:p>
    <w:p w:rsidRPr="00C52014" w:rsidR="00CF17DE" w:rsidP="00F932F1" w:rsidRDefault="00CF17DE" w14:paraId="59727804" w14:textId="77777777">
      <w:pPr>
        <w:tabs>
          <w:tab w:val="left" w:pos="720"/>
          <w:tab w:val="left" w:pos="1152"/>
          <w:tab w:val="left" w:pos="1728"/>
          <w:tab w:val="left" w:pos="3168"/>
          <w:tab w:val="left" w:pos="5040"/>
        </w:tabs>
        <w:spacing w:line="276" w:lineRule="auto"/>
        <w:ind w:right="144"/>
      </w:pPr>
      <w:r w:rsidRPr="00C52014">
        <w:tab/>
      </w:r>
      <w:r w:rsidRPr="00C52014">
        <w:tab/>
      </w:r>
      <w:r w:rsidRPr="00C52014">
        <w:tab/>
      </w:r>
      <w:r w:rsidRPr="00C52014">
        <w:tab/>
      </w:r>
      <w:r w:rsidRPr="00C52014">
        <w:tab/>
      </w:r>
      <w:r w:rsidRPr="00C52014">
        <w:tab/>
        <w:t>_______________</w:t>
      </w:r>
      <w:r w:rsidRPr="00C52014" w:rsidR="008E6797">
        <w:t>______</w:t>
      </w:r>
    </w:p>
    <w:p w:rsidRPr="00C52014" w:rsidR="00CF17DE" w:rsidP="00F932F1" w:rsidRDefault="00CF17DE" w14:paraId="17731D81" w14:textId="1B77E5AB">
      <w:pPr>
        <w:spacing w:line="276" w:lineRule="auto"/>
      </w:pPr>
      <w:r w:rsidRPr="00C52014">
        <w:tab/>
      </w:r>
      <w:r w:rsidRPr="00C52014">
        <w:tab/>
      </w:r>
      <w:r w:rsidRPr="00C52014">
        <w:tab/>
      </w:r>
      <w:r w:rsidRPr="00C52014">
        <w:tab/>
      </w:r>
      <w:r w:rsidRPr="00C52014">
        <w:tab/>
      </w:r>
      <w:r w:rsidRPr="00C52014">
        <w:tab/>
      </w:r>
      <w:r w:rsidRPr="00C52014">
        <w:tab/>
      </w:r>
      <w:r w:rsidRPr="00C52014">
        <w:tab/>
      </w:r>
      <w:r w:rsidR="001202F0">
        <w:t>Rachel Peterson</w:t>
      </w:r>
    </w:p>
    <w:p w:rsidR="00CF17DE" w:rsidP="00F932F1" w:rsidRDefault="00CF17DE" w14:paraId="363F8E7E" w14:textId="1D2D908F">
      <w:pPr>
        <w:spacing w:line="276" w:lineRule="auto"/>
      </w:pPr>
      <w:r w:rsidRPr="00C52014">
        <w:tab/>
      </w:r>
      <w:r w:rsidRPr="00C52014">
        <w:tab/>
      </w:r>
      <w:r w:rsidRPr="00C52014">
        <w:tab/>
      </w:r>
      <w:r w:rsidRPr="00C52014">
        <w:tab/>
      </w:r>
      <w:r w:rsidRPr="00C52014">
        <w:tab/>
      </w:r>
      <w:r w:rsidRPr="00C52014">
        <w:tab/>
      </w:r>
      <w:r w:rsidRPr="00C52014">
        <w:tab/>
      </w:r>
      <w:r w:rsidRPr="00C52014">
        <w:tab/>
      </w:r>
      <w:r w:rsidRPr="0080109F" w:rsidR="0080109F">
        <w:t>Acting Executive Director</w:t>
      </w:r>
    </w:p>
    <w:p w:rsidR="00F94E7C" w:rsidRDefault="00F94E7C" w14:paraId="3073D98C" w14:textId="7729093E">
      <w:r>
        <w:br w:type="page"/>
      </w:r>
    </w:p>
    <w:p w:rsidR="00D618BB" w:rsidP="00F94E7C" w:rsidRDefault="00D618BB" w14:paraId="02271872" w14:textId="77777777">
      <w:pPr>
        <w:pStyle w:val="ListParagraph"/>
        <w:rPr>
          <w:szCs w:val="26"/>
        </w:rPr>
      </w:pPr>
    </w:p>
    <w:p w:rsidRPr="009A49BB" w:rsidR="00D618BB" w:rsidP="009A49BB" w:rsidRDefault="001053BB" w14:paraId="30E18875" w14:textId="77777777">
      <w:pPr>
        <w:pStyle w:val="ListParagraph"/>
        <w:ind w:left="0"/>
        <w:jc w:val="center"/>
        <w:rPr>
          <w:color w:val="FF0000"/>
          <w:szCs w:val="26"/>
          <w:u w:val="single"/>
        </w:rPr>
      </w:pPr>
      <w:r w:rsidRPr="009A49BB">
        <w:rPr>
          <w:color w:val="FF0000"/>
          <w:szCs w:val="26"/>
          <w:u w:val="single"/>
        </w:rPr>
        <w:t>APPENDIX A:</w:t>
      </w:r>
    </w:p>
    <w:p w:rsidRPr="009A49BB" w:rsidR="001053BB" w:rsidP="009A49BB" w:rsidRDefault="001053BB" w14:paraId="573CCF70" w14:textId="77777777">
      <w:pPr>
        <w:pStyle w:val="ListParagraph"/>
        <w:ind w:left="0"/>
        <w:jc w:val="center"/>
        <w:rPr>
          <w:color w:val="FF0000"/>
          <w:szCs w:val="26"/>
          <w:u w:val="single"/>
        </w:rPr>
      </w:pPr>
      <w:r w:rsidRPr="009A49BB">
        <w:rPr>
          <w:color w:val="FF0000"/>
          <w:szCs w:val="26"/>
          <w:u w:val="single"/>
        </w:rPr>
        <w:t>Involuntary Return Proces</w:t>
      </w:r>
      <w:r w:rsidRPr="009A49BB" w:rsidR="00982872">
        <w:rPr>
          <w:color w:val="FF0000"/>
          <w:szCs w:val="26"/>
          <w:u w:val="single"/>
        </w:rPr>
        <w:t>s</w:t>
      </w:r>
    </w:p>
    <w:p w:rsidRPr="009A49BB" w:rsidR="00D618BB" w:rsidP="009A49BB" w:rsidRDefault="00D618BB" w14:paraId="52EEF1D9" w14:textId="77777777">
      <w:pPr>
        <w:pStyle w:val="ListParagraph"/>
        <w:ind w:left="0"/>
        <w:rPr>
          <w:color w:val="FF0000"/>
          <w:szCs w:val="26"/>
          <w:u w:val="single"/>
        </w:rPr>
      </w:pPr>
    </w:p>
    <w:p w:rsidRPr="009A49BB" w:rsidR="00F94E7C" w:rsidP="006505E2" w:rsidRDefault="00414E68" w14:paraId="33C0FCD5" w14:textId="6DCF7B41">
      <w:pPr>
        <w:pStyle w:val="ListParagraph"/>
        <w:numPr>
          <w:ilvl w:val="0"/>
          <w:numId w:val="74"/>
        </w:numPr>
        <w:rPr>
          <w:color w:val="FF0000"/>
          <w:u w:val="single"/>
        </w:rPr>
      </w:pPr>
      <w:r w:rsidRPr="60A0E87D">
        <w:rPr>
          <w:color w:val="FF0000"/>
          <w:u w:val="single"/>
        </w:rPr>
        <w:t xml:space="preserve">When the involuntary return process is initiated, the utility will file a Tier 1 Advice Letter to notify the Commission of the involuntary return and provide the reentry fee calculation, which serves notice to the CCA that they must pay the calculated reentry fees. </w:t>
      </w:r>
    </w:p>
    <w:p w:rsidRPr="009A49BB" w:rsidR="00F94E7C" w:rsidP="006505E2" w:rsidRDefault="00F94E7C" w14:paraId="0DB0398B" w14:textId="7BDFB525">
      <w:pPr>
        <w:pStyle w:val="ListParagraph"/>
        <w:numPr>
          <w:ilvl w:val="1"/>
          <w:numId w:val="69"/>
        </w:numPr>
        <w:spacing w:after="73"/>
        <w:ind w:left="810"/>
        <w:rPr>
          <w:color w:val="FF0000"/>
          <w:u w:val="single"/>
        </w:rPr>
      </w:pPr>
      <w:r w:rsidRPr="54413622">
        <w:rPr>
          <w:color w:val="FF0000"/>
          <w:u w:val="single"/>
        </w:rPr>
        <w:t xml:space="preserve">Any party </w:t>
      </w:r>
      <w:r w:rsidR="003526EA">
        <w:rPr>
          <w:color w:val="FF0000"/>
          <w:szCs w:val="26"/>
          <w:u w:val="single"/>
        </w:rPr>
        <w:t>may</w:t>
      </w:r>
      <w:r w:rsidRPr="54413622">
        <w:rPr>
          <w:color w:val="FF0000"/>
          <w:u w:val="single"/>
        </w:rPr>
        <w:t xml:space="preserve"> file a protest to this AL disputing aspects of the reentry fees </w:t>
      </w:r>
      <w:r w:rsidRPr="54413622" w:rsidR="3346D019">
        <w:rPr>
          <w:color w:val="FF0000"/>
          <w:u w:val="single"/>
        </w:rPr>
        <w:t>and whether they</w:t>
      </w:r>
      <w:r w:rsidRPr="54413622">
        <w:rPr>
          <w:color w:val="FF0000"/>
          <w:u w:val="single"/>
        </w:rPr>
        <w:t xml:space="preserve"> are compliant with D.18-05-022 or the IOU tariff.</w:t>
      </w:r>
    </w:p>
    <w:p w:rsidRPr="009A49BB" w:rsidR="00F94E7C" w:rsidP="006505E2" w:rsidRDefault="00F94E7C" w14:paraId="3C9C4BE2" w14:textId="46EA16CD">
      <w:pPr>
        <w:pStyle w:val="ListParagraph"/>
        <w:numPr>
          <w:ilvl w:val="1"/>
          <w:numId w:val="69"/>
        </w:numPr>
        <w:spacing w:after="73"/>
        <w:ind w:left="810"/>
        <w:rPr>
          <w:color w:val="FF0000"/>
          <w:u w:val="single"/>
        </w:rPr>
      </w:pPr>
      <w:r w:rsidRPr="60A0E87D">
        <w:rPr>
          <w:color w:val="FF0000"/>
          <w:u w:val="single"/>
        </w:rPr>
        <w:t>However, the IOU can continue to move forward with drawing upon the FSR instrument</w:t>
      </w:r>
      <w:r w:rsidRPr="60A0E87D" w:rsidR="4B82D368">
        <w:rPr>
          <w:color w:val="FF0000"/>
          <w:u w:val="single"/>
        </w:rPr>
        <w:t>,</w:t>
      </w:r>
      <w:r w:rsidRPr="60A0E87D">
        <w:rPr>
          <w:color w:val="FF0000"/>
          <w:u w:val="single"/>
        </w:rPr>
        <w:t xml:space="preserve"> even if the CCA files a protest.</w:t>
      </w:r>
    </w:p>
    <w:p w:rsidRPr="009A49BB" w:rsidR="00F94E7C" w:rsidP="006505E2" w:rsidRDefault="00F94E7C" w14:paraId="5317F464" w14:textId="1CC53C35">
      <w:pPr>
        <w:pStyle w:val="ListParagraph"/>
        <w:numPr>
          <w:ilvl w:val="0"/>
          <w:numId w:val="69"/>
        </w:numPr>
        <w:spacing w:after="73"/>
        <w:ind w:left="360"/>
        <w:rPr>
          <w:color w:val="FF0000"/>
          <w:u w:val="single"/>
        </w:rPr>
      </w:pPr>
      <w:r w:rsidRPr="60A0E87D">
        <w:rPr>
          <w:color w:val="FF0000"/>
          <w:u w:val="single"/>
        </w:rPr>
        <w:t xml:space="preserve">If </w:t>
      </w:r>
      <w:r w:rsidRPr="60A0E87D" w:rsidR="5BF92643">
        <w:rPr>
          <w:color w:val="FF0000"/>
          <w:u w:val="single"/>
        </w:rPr>
        <w:t>the</w:t>
      </w:r>
      <w:r w:rsidRPr="60A0E87D">
        <w:rPr>
          <w:color w:val="FF0000"/>
          <w:u w:val="single"/>
        </w:rPr>
        <w:t xml:space="preserve"> CCA fails to pay reentry fees, the FSR will be drawn upon to cover them.</w:t>
      </w:r>
    </w:p>
    <w:p w:rsidRPr="009A49BB" w:rsidR="00F94E7C" w:rsidP="006505E2" w:rsidRDefault="00F94E7C" w14:paraId="5907919E" w14:textId="3624EE1E">
      <w:pPr>
        <w:pStyle w:val="ListParagraph"/>
        <w:numPr>
          <w:ilvl w:val="0"/>
          <w:numId w:val="69"/>
        </w:numPr>
        <w:spacing w:after="73"/>
        <w:ind w:left="360"/>
        <w:rPr>
          <w:color w:val="FF0000"/>
          <w:u w:val="single"/>
        </w:rPr>
      </w:pPr>
      <w:r w:rsidRPr="54413622">
        <w:rPr>
          <w:color w:val="FF0000"/>
          <w:u w:val="single"/>
        </w:rPr>
        <w:t>If the CCA protests the calculated reentry or the IOU tracks and plan</w:t>
      </w:r>
      <w:r w:rsidRPr="54413622" w:rsidR="2EE6FEBD">
        <w:rPr>
          <w:color w:val="FF0000"/>
          <w:u w:val="single"/>
        </w:rPr>
        <w:t>s</w:t>
      </w:r>
      <w:r w:rsidRPr="54413622">
        <w:rPr>
          <w:color w:val="FF0000"/>
          <w:u w:val="single"/>
        </w:rPr>
        <w:t xml:space="preserve"> to recover the actual administrative costs of returning customers, it shall file another </w:t>
      </w:r>
      <w:r w:rsidRPr="60A0E87D">
        <w:rPr>
          <w:color w:val="FF0000"/>
          <w:u w:val="single"/>
        </w:rPr>
        <w:t>T</w:t>
      </w:r>
      <w:r w:rsidRPr="60A0E87D" w:rsidR="65CA6C19">
        <w:rPr>
          <w:color w:val="FF0000"/>
          <w:u w:val="single"/>
        </w:rPr>
        <w:t>ier 1</w:t>
      </w:r>
      <w:r w:rsidRPr="54413622">
        <w:rPr>
          <w:color w:val="FF0000"/>
          <w:u w:val="single"/>
        </w:rPr>
        <w:t xml:space="preserve"> AL creating a memorandum account.</w:t>
      </w:r>
    </w:p>
    <w:p w:rsidRPr="009A49BB" w:rsidR="00F94E7C" w:rsidP="006505E2" w:rsidRDefault="00F94E7C" w14:paraId="126A4CD1" w14:textId="2E202513">
      <w:pPr>
        <w:pStyle w:val="ListParagraph"/>
        <w:numPr>
          <w:ilvl w:val="1"/>
          <w:numId w:val="69"/>
        </w:numPr>
        <w:spacing w:after="73"/>
        <w:ind w:left="810"/>
        <w:rPr>
          <w:color w:val="FF0000"/>
          <w:u w:val="single"/>
        </w:rPr>
      </w:pPr>
      <w:r w:rsidRPr="60A0E87D">
        <w:rPr>
          <w:color w:val="FF0000"/>
          <w:u w:val="single"/>
        </w:rPr>
        <w:t xml:space="preserve">Any disputed costs will be deferred to the </w:t>
      </w:r>
      <w:r w:rsidRPr="60A0E87D" w:rsidR="786D6714">
        <w:rPr>
          <w:color w:val="FF0000"/>
          <w:u w:val="single"/>
        </w:rPr>
        <w:t>Provider of Last Resort (</w:t>
      </w:r>
      <w:r w:rsidRPr="60A0E87D">
        <w:rPr>
          <w:color w:val="FF0000"/>
          <w:u w:val="single"/>
        </w:rPr>
        <w:t>POLR</w:t>
      </w:r>
      <w:r w:rsidRPr="60A0E87D" w:rsidR="10AEA20F">
        <w:rPr>
          <w:color w:val="FF0000"/>
          <w:u w:val="single"/>
        </w:rPr>
        <w:t>)</w:t>
      </w:r>
      <w:r w:rsidRPr="60A0E87D">
        <w:rPr>
          <w:color w:val="FF0000"/>
          <w:u w:val="single"/>
        </w:rPr>
        <w:t xml:space="preserve"> proceeding for review. </w:t>
      </w:r>
    </w:p>
    <w:p w:rsidRPr="009A49BB" w:rsidR="00F94E7C" w:rsidP="006505E2" w:rsidRDefault="00F94E7C" w14:paraId="1311AF6B" w14:textId="77777777">
      <w:pPr>
        <w:pStyle w:val="ListParagraph"/>
        <w:numPr>
          <w:ilvl w:val="0"/>
          <w:numId w:val="69"/>
        </w:numPr>
        <w:spacing w:after="73"/>
        <w:ind w:left="360"/>
        <w:rPr>
          <w:color w:val="FF0000"/>
          <w:szCs w:val="26"/>
          <w:u w:val="single"/>
        </w:rPr>
      </w:pPr>
      <w:r w:rsidRPr="009A49BB">
        <w:rPr>
          <w:color w:val="FF0000"/>
          <w:szCs w:val="26"/>
          <w:u w:val="single"/>
        </w:rPr>
        <w:t>If the CCA payments and the FSR amount are together inadequate to cover reentry fees, the residual costs will be allocated to returned CCA customers.</w:t>
      </w:r>
    </w:p>
    <w:p w:rsidRPr="009A49BB" w:rsidR="00F94E7C" w:rsidP="006505E2" w:rsidRDefault="00F94E7C" w14:paraId="288345E8" w14:textId="77777777">
      <w:pPr>
        <w:pStyle w:val="ListParagraph"/>
        <w:numPr>
          <w:ilvl w:val="0"/>
          <w:numId w:val="70"/>
        </w:numPr>
        <w:spacing w:after="73"/>
        <w:ind w:left="810"/>
        <w:rPr>
          <w:color w:val="FF0000"/>
          <w:szCs w:val="26"/>
          <w:u w:val="single"/>
        </w:rPr>
      </w:pPr>
      <w:r w:rsidRPr="009A49BB">
        <w:rPr>
          <w:color w:val="FF0000"/>
          <w:szCs w:val="26"/>
          <w:u w:val="single"/>
        </w:rPr>
        <w:t>If the reentry fees are not disputed</w:t>
      </w:r>
      <w:r w:rsidR="006505E2">
        <w:rPr>
          <w:color w:val="FF0000"/>
          <w:szCs w:val="26"/>
          <w:u w:val="single"/>
        </w:rPr>
        <w:t>,</w:t>
      </w:r>
      <w:r w:rsidRPr="009A49BB" w:rsidR="006505E2">
        <w:rPr>
          <w:color w:val="FF0000"/>
          <w:szCs w:val="26"/>
          <w:u w:val="single"/>
        </w:rPr>
        <w:t xml:space="preserve"> the</w:t>
      </w:r>
      <w:r w:rsidR="006505E2">
        <w:rPr>
          <w:color w:val="FF0000"/>
          <w:szCs w:val="26"/>
          <w:u w:val="single"/>
        </w:rPr>
        <w:t>y</w:t>
      </w:r>
      <w:r w:rsidRPr="009A49BB">
        <w:rPr>
          <w:color w:val="FF0000"/>
          <w:szCs w:val="26"/>
          <w:u w:val="single"/>
        </w:rPr>
        <w:t xml:space="preserve"> may be collected upon approval of the AL.</w:t>
      </w:r>
    </w:p>
    <w:p w:rsidRPr="009A49BB" w:rsidR="00F94E7C" w:rsidP="006505E2" w:rsidRDefault="00F94E7C" w14:paraId="4F1DAB4C" w14:textId="1C517AE7">
      <w:pPr>
        <w:pStyle w:val="ListParagraph"/>
        <w:numPr>
          <w:ilvl w:val="0"/>
          <w:numId w:val="70"/>
        </w:numPr>
        <w:spacing w:after="73"/>
        <w:ind w:left="810"/>
        <w:rPr>
          <w:color w:val="FF0000"/>
          <w:u w:val="single"/>
        </w:rPr>
      </w:pPr>
      <w:r w:rsidRPr="60A0E87D">
        <w:rPr>
          <w:color w:val="FF0000"/>
          <w:u w:val="single"/>
        </w:rPr>
        <w:t xml:space="preserve">If the reentry fees are disputed, the costs will be </w:t>
      </w:r>
      <w:proofErr w:type="gramStart"/>
      <w:r w:rsidRPr="60A0E87D" w:rsidR="4DF9EE2D">
        <w:rPr>
          <w:color w:val="FF0000"/>
          <w:u w:val="single"/>
        </w:rPr>
        <w:t>reviewed</w:t>
      </w:r>
      <w:proofErr w:type="gramEnd"/>
      <w:r w:rsidRPr="60A0E87D">
        <w:rPr>
          <w:color w:val="FF0000"/>
          <w:u w:val="single"/>
        </w:rPr>
        <w:t xml:space="preserve"> and </w:t>
      </w:r>
      <w:r w:rsidRPr="60A0E87D" w:rsidR="4DF9EE2D">
        <w:rPr>
          <w:color w:val="FF0000"/>
          <w:u w:val="single"/>
        </w:rPr>
        <w:t>a determination will be made</w:t>
      </w:r>
      <w:r w:rsidRPr="60A0E87D">
        <w:rPr>
          <w:color w:val="FF0000"/>
          <w:u w:val="single"/>
        </w:rPr>
        <w:t xml:space="preserve"> in the POLR proceeding. </w:t>
      </w:r>
    </w:p>
    <w:p w:rsidRPr="009A49BB" w:rsidR="004E3629" w:rsidP="00F932F1" w:rsidRDefault="004E3629" w14:paraId="7C548562" w14:textId="77777777">
      <w:pPr>
        <w:spacing w:line="276" w:lineRule="auto"/>
        <w:rPr>
          <w:rFonts w:ascii="Palatino Linotype" w:hAnsi="Palatino Linotype"/>
        </w:rPr>
      </w:pPr>
    </w:p>
    <w:sectPr w:rsidRPr="009A49BB" w:rsidR="004E3629">
      <w:headerReference w:type="default" r:id="rId1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8047" w14:textId="77777777" w:rsidR="00643D67" w:rsidRDefault="00643D67">
      <w:r>
        <w:separator/>
      </w:r>
    </w:p>
  </w:endnote>
  <w:endnote w:type="continuationSeparator" w:id="0">
    <w:p w14:paraId="387E0BD0" w14:textId="77777777" w:rsidR="00643D67" w:rsidRDefault="00643D67">
      <w:r>
        <w:continuationSeparator/>
      </w:r>
    </w:p>
  </w:endnote>
  <w:endnote w:type="continuationNotice" w:id="1">
    <w:p w14:paraId="21974D76" w14:textId="77777777" w:rsidR="00643D67" w:rsidRDefault="00643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11B" w14:textId="07CCB809" w:rsidR="00D40A68" w:rsidRDefault="00D40A68">
    <w:pPr>
      <w:pStyle w:val="Footer"/>
    </w:pPr>
    <w:r>
      <w:rPr>
        <w:rStyle w:val="PageNumber"/>
      </w:rPr>
      <w:fldChar w:fldCharType="begin"/>
    </w:r>
    <w:r>
      <w:rPr>
        <w:rStyle w:val="PageNumber"/>
      </w:rPr>
      <w:instrText xml:space="preserve"> PAGE </w:instrText>
    </w:r>
    <w:r>
      <w:rPr>
        <w:rStyle w:val="PageNumber"/>
      </w:rPr>
      <w:fldChar w:fldCharType="separate"/>
    </w:r>
    <w:r w:rsidR="007E2F4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440774A5" w:rsidR="00D40A68" w:rsidRDefault="0035424E" w:rsidP="0035424E">
    <w:pPr>
      <w:pStyle w:val="Footer"/>
      <w:tabs>
        <w:tab w:val="clear" w:pos="4320"/>
        <w:tab w:val="left" w:pos="980"/>
        <w:tab w:val="center" w:pos="4680"/>
      </w:tabs>
      <w:jc w:val="left"/>
    </w:pPr>
    <w:r>
      <w:rPr>
        <w:rStyle w:val="PageNumber"/>
      </w:rPr>
      <w:tab/>
    </w:r>
    <w:r w:rsidRPr="0035424E">
      <w:rPr>
        <w:rStyle w:val="PageNumber"/>
      </w:rPr>
      <w:t>346755666</w:t>
    </w:r>
    <w:r>
      <w:rPr>
        <w:rStyle w:val="PageNumber"/>
      </w:rPr>
      <w:tab/>
    </w:r>
    <w:r w:rsidR="00D40A68">
      <w:rPr>
        <w:rStyle w:val="PageNumber"/>
      </w:rPr>
      <w:fldChar w:fldCharType="begin"/>
    </w:r>
    <w:r w:rsidR="00D40A68">
      <w:rPr>
        <w:rStyle w:val="PageNumber"/>
      </w:rPr>
      <w:instrText xml:space="preserve"> PAGE </w:instrText>
    </w:r>
    <w:r w:rsidR="00D40A68">
      <w:rPr>
        <w:rStyle w:val="PageNumber"/>
      </w:rPr>
      <w:fldChar w:fldCharType="separate"/>
    </w:r>
    <w:r w:rsidR="007E2F44">
      <w:rPr>
        <w:rStyle w:val="PageNumber"/>
        <w:noProof/>
      </w:rPr>
      <w:t>1</w:t>
    </w:r>
    <w:r w:rsidR="00D40A6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8006" w14:textId="77777777" w:rsidR="00643D67" w:rsidRDefault="00643D67">
      <w:r>
        <w:separator/>
      </w:r>
    </w:p>
  </w:footnote>
  <w:footnote w:type="continuationSeparator" w:id="0">
    <w:p w14:paraId="6098B061" w14:textId="77777777" w:rsidR="00643D67" w:rsidRDefault="00643D67">
      <w:r>
        <w:continuationSeparator/>
      </w:r>
    </w:p>
  </w:footnote>
  <w:footnote w:type="continuationNotice" w:id="1">
    <w:p w14:paraId="6955979B" w14:textId="77777777" w:rsidR="00643D67" w:rsidRDefault="00643D67">
      <w:pPr>
        <w:rPr>
          <w:sz w:val="22"/>
        </w:rPr>
      </w:pPr>
    </w:p>
    <w:p w14:paraId="13A5F43F" w14:textId="77777777" w:rsidR="00643D67" w:rsidRDefault="00643D67">
      <w:pPr>
        <w:jc w:val="right"/>
        <w:rPr>
          <w:sz w:val="22"/>
        </w:rPr>
      </w:pPr>
      <w:r>
        <w:rPr>
          <w:i/>
          <w:sz w:val="22"/>
        </w:rPr>
        <w:t>Footnote continued on next page</w:t>
      </w:r>
    </w:p>
  </w:footnote>
  <w:footnote w:id="2">
    <w:p w14:paraId="29058557" w14:textId="5F1E7699" w:rsidR="00316C37" w:rsidRDefault="00316C37" w:rsidP="002519B1">
      <w:pPr>
        <w:pStyle w:val="FootnoteText"/>
        <w:numPr>
          <w:ilvl w:val="0"/>
          <w:numId w:val="0"/>
        </w:numPr>
      </w:pPr>
      <w:r>
        <w:rPr>
          <w:rStyle w:val="FootnoteReference"/>
        </w:rPr>
        <w:footnoteRef/>
      </w:r>
      <w:r>
        <w:t xml:space="preserve"> As established </w:t>
      </w:r>
      <w:r w:rsidRPr="004207B8">
        <w:t>in Decision 13-01-021</w:t>
      </w:r>
      <w:r w:rsidR="00983D00" w:rsidRPr="001E3C87">
        <w:rPr>
          <w:color w:val="FF0000"/>
          <w:u w:val="single"/>
        </w:rPr>
        <w:t>.</w:t>
      </w:r>
    </w:p>
  </w:footnote>
  <w:footnote w:id="3">
    <w:p w14:paraId="37E4F49A" w14:textId="2FE60D41" w:rsidR="003A7169" w:rsidRDefault="003A7169" w:rsidP="003A7169">
      <w:pPr>
        <w:pStyle w:val="FootnoteText"/>
        <w:numPr>
          <w:ilvl w:val="0"/>
          <w:numId w:val="0"/>
        </w:numPr>
      </w:pPr>
      <w:r>
        <w:rPr>
          <w:rStyle w:val="FootnoteReference"/>
        </w:rPr>
        <w:footnoteRef/>
      </w:r>
      <w:r>
        <w:t xml:space="preserve"> </w:t>
      </w:r>
      <w:r w:rsidR="00C11EF6" w:rsidRPr="00C11EF6">
        <w:t>D.05-12-041 established reentry fees for customers that elect to voluntarily return to customer service. The reentry fee for voluntary returns is found in SCE and SDG&amp;E Schedule CCA-SF and PG&amp;E Schedule E–CCA.</w:t>
      </w:r>
    </w:p>
  </w:footnote>
  <w:footnote w:id="4">
    <w:p w14:paraId="12A855E3" w14:textId="77777777" w:rsidR="00D40A68" w:rsidRDefault="00D40A68" w:rsidP="001C2C05">
      <w:pPr>
        <w:pStyle w:val="FootnoteText"/>
        <w:numPr>
          <w:ilvl w:val="0"/>
          <w:numId w:val="0"/>
        </w:numPr>
        <w:ind w:left="180" w:hanging="180"/>
      </w:pPr>
      <w:r>
        <w:rPr>
          <w:rStyle w:val="FootnoteReference"/>
        </w:rPr>
        <w:footnoteRef/>
      </w:r>
      <w:r>
        <w:t xml:space="preserve"> </w:t>
      </w:r>
      <w:r w:rsidRPr="00B4686A">
        <w:rPr>
          <w:rFonts w:ascii="Palatino Linotype" w:hAnsi="Palatino Linotype" w:cs="Book Antiqua"/>
          <w:color w:val="000000"/>
          <w:sz w:val="26"/>
          <w:szCs w:val="26"/>
        </w:rPr>
        <w:t>Resolution E-4133 provided for CCAs to post an interim financial security requirement of $100,000 with the Commission.</w:t>
      </w:r>
    </w:p>
  </w:footnote>
  <w:footnote w:id="5">
    <w:p w14:paraId="6BDFE503" w14:textId="2EB8B42F" w:rsidR="00D40A68" w:rsidRDefault="00D40A68" w:rsidP="0005597A">
      <w:pPr>
        <w:pStyle w:val="FootnoteText"/>
        <w:numPr>
          <w:ilvl w:val="0"/>
          <w:numId w:val="0"/>
        </w:numPr>
      </w:pPr>
      <w:r>
        <w:rPr>
          <w:rStyle w:val="FootnoteReference"/>
        </w:rPr>
        <w:footnoteRef/>
      </w:r>
      <w:r>
        <w:t xml:space="preserve"> C</w:t>
      </w:r>
      <w:r w:rsidRPr="00876430">
        <w:t>onsistent with the methodology adopted for ESPs in D.11-12-018</w:t>
      </w:r>
      <w:r w:rsidR="00983D00" w:rsidRPr="008D11B6">
        <w:rPr>
          <w:color w:val="FF0000"/>
        </w:rPr>
        <w:t>.</w:t>
      </w:r>
      <w:r>
        <w:t xml:space="preserve"> </w:t>
      </w:r>
    </w:p>
  </w:footnote>
  <w:footnote w:id="6">
    <w:p w14:paraId="6BCBE932" w14:textId="5318F163" w:rsidR="00D40A68" w:rsidRDefault="00D40A68" w:rsidP="004D09A0">
      <w:pPr>
        <w:pStyle w:val="FootnoteText"/>
        <w:numPr>
          <w:ilvl w:val="0"/>
          <w:numId w:val="0"/>
        </w:numPr>
      </w:pPr>
      <w:r>
        <w:rPr>
          <w:rStyle w:val="FootnoteReference"/>
        </w:rPr>
        <w:footnoteRef/>
      </w:r>
      <w:r>
        <w:t xml:space="preserve"> The tariffs removed </w:t>
      </w:r>
      <w:r>
        <w:rPr>
          <w:bCs/>
        </w:rPr>
        <w:t xml:space="preserve">existing </w:t>
      </w:r>
      <w:r w:rsidRPr="00CB4F8D">
        <w:rPr>
          <w:bCs/>
        </w:rPr>
        <w:t>provisions specify</w:t>
      </w:r>
      <w:r>
        <w:rPr>
          <w:bCs/>
        </w:rPr>
        <w:t>ing</w:t>
      </w:r>
      <w:r w:rsidRPr="00CB4F8D">
        <w:rPr>
          <w:bCs/>
        </w:rPr>
        <w:t xml:space="preserve"> that </w:t>
      </w:r>
      <w:r w:rsidRPr="00495BE8">
        <w:rPr>
          <w:bCs/>
        </w:rPr>
        <w:t>Direct Access eligible customers</w:t>
      </w:r>
      <w:r>
        <w:rPr>
          <w:bCs/>
        </w:rPr>
        <w:t xml:space="preserve"> </w:t>
      </w:r>
      <w:r w:rsidRPr="00495BE8">
        <w:rPr>
          <w:bCs/>
        </w:rPr>
        <w:t xml:space="preserve">enrolled in CCA </w:t>
      </w:r>
      <w:r>
        <w:rPr>
          <w:bCs/>
        </w:rPr>
        <w:t>s</w:t>
      </w:r>
      <w:r w:rsidRPr="00495BE8">
        <w:rPr>
          <w:bCs/>
        </w:rPr>
        <w:t>ervice do not need to return to Bundled Service</w:t>
      </w:r>
      <w:r>
        <w:rPr>
          <w:bCs/>
        </w:rPr>
        <w:t xml:space="preserve"> before taking DA service</w:t>
      </w:r>
      <w:r w:rsidRPr="00495BE8">
        <w:rPr>
          <w:bCs/>
        </w:rPr>
        <w:t>.</w:t>
      </w:r>
    </w:p>
  </w:footnote>
  <w:footnote w:id="7">
    <w:p w14:paraId="22B853BC" w14:textId="1CB4CA1A" w:rsidR="00507829" w:rsidRPr="007723FD" w:rsidRDefault="00507829" w:rsidP="007D74E3">
      <w:pPr>
        <w:pStyle w:val="FootnoteText"/>
        <w:numPr>
          <w:ilvl w:val="0"/>
          <w:numId w:val="0"/>
        </w:numPr>
        <w:rPr>
          <w:u w:val="single"/>
        </w:rPr>
      </w:pPr>
      <w:r w:rsidRPr="007723FD">
        <w:rPr>
          <w:rStyle w:val="FootnoteReference"/>
          <w:color w:val="FF0000"/>
          <w:u w:val="single"/>
        </w:rPr>
        <w:footnoteRef/>
      </w:r>
      <w:r w:rsidRPr="007723FD">
        <w:rPr>
          <w:color w:val="FF0000"/>
          <w:u w:val="single"/>
        </w:rPr>
        <w:t xml:space="preserve"> </w:t>
      </w:r>
      <w:r w:rsidR="00F42813" w:rsidRPr="007723FD">
        <w:rPr>
          <w:color w:val="FF0000"/>
          <w:u w:val="single"/>
        </w:rPr>
        <w:t xml:space="preserve">D.18-05-022, </w:t>
      </w:r>
      <w:r w:rsidR="00983D00" w:rsidRPr="007723FD">
        <w:rPr>
          <w:color w:val="FF0000"/>
          <w:u w:val="single"/>
        </w:rPr>
        <w:t xml:space="preserve">Conclusion of Law </w:t>
      </w:r>
      <w:r w:rsidR="00F42813" w:rsidRPr="007723FD">
        <w:rPr>
          <w:color w:val="FF0000"/>
          <w:u w:val="single"/>
        </w:rPr>
        <w:t>5</w:t>
      </w:r>
      <w:r w:rsidR="00983D00" w:rsidRPr="007723FD">
        <w:rPr>
          <w:color w:val="FF0000"/>
          <w:u w:val="single"/>
        </w:rPr>
        <w:t>.</w:t>
      </w:r>
    </w:p>
  </w:footnote>
  <w:footnote w:id="8">
    <w:p w14:paraId="1C847F2E" w14:textId="77777777" w:rsidR="00D40A68" w:rsidDel="008C4D18" w:rsidRDefault="00D40A68" w:rsidP="00AA54B1">
      <w:pPr>
        <w:pStyle w:val="FootnoteText"/>
        <w:numPr>
          <w:ilvl w:val="0"/>
          <w:numId w:val="0"/>
        </w:numPr>
      </w:pPr>
      <w:r w:rsidRPr="008D11B6">
        <w:rPr>
          <w:rStyle w:val="FootnoteReference"/>
          <w:strike/>
          <w:color w:val="FF0000"/>
        </w:rPr>
        <w:footnoteRef/>
      </w:r>
      <w:r w:rsidRPr="008D11B6">
        <w:rPr>
          <w:strike/>
          <w:color w:val="FF0000"/>
        </w:rPr>
        <w:t xml:space="preserve"> </w:t>
      </w:r>
      <w:r w:rsidRPr="007723FD" w:rsidDel="008C4D18">
        <w:rPr>
          <w:strike/>
          <w:color w:val="FF0000"/>
        </w:rPr>
        <w:t>See D.18-05-022, COL 5</w:t>
      </w:r>
    </w:p>
  </w:footnote>
  <w:footnote w:id="9">
    <w:p w14:paraId="1A5EDCC3" w14:textId="1FE17727" w:rsidR="00D40A68" w:rsidRDefault="00D40A68" w:rsidP="008D4904">
      <w:pPr>
        <w:pStyle w:val="FootnoteText"/>
        <w:numPr>
          <w:ilvl w:val="0"/>
          <w:numId w:val="0"/>
        </w:numPr>
        <w:spacing w:after="0"/>
      </w:pPr>
      <w:r>
        <w:rPr>
          <w:rStyle w:val="FootnoteReference"/>
        </w:rPr>
        <w:footnoteRef/>
      </w:r>
      <w:r>
        <w:t xml:space="preserve"> </w:t>
      </w:r>
      <w:r w:rsidRPr="0018092A">
        <w:rPr>
          <w:i/>
          <w:iCs/>
        </w:rPr>
        <w:t>See</w:t>
      </w:r>
      <w:r>
        <w:t xml:space="preserve"> definition of “Involuntary Return” in: </w:t>
      </w:r>
      <w:r w:rsidRPr="00383C93">
        <w:t>PG&amp;</w:t>
      </w:r>
      <w:r>
        <w:t>E Rule 22, Direct Access, page 11; SCE Rule 23, Direct Access, page 10; SDG&amp;E Rule 27, Direct Access, page 9</w:t>
      </w:r>
      <w:r w:rsidR="00983D00" w:rsidRPr="00345F9D">
        <w:rPr>
          <w:color w:val="FF0000"/>
        </w:rPr>
        <w:t>.</w:t>
      </w:r>
    </w:p>
  </w:footnote>
  <w:footnote w:id="10">
    <w:p w14:paraId="1574A937" w14:textId="77777777" w:rsidR="00D40A68" w:rsidRDefault="00D40A68" w:rsidP="00AA54B1">
      <w:pPr>
        <w:pStyle w:val="FootnoteText"/>
        <w:numPr>
          <w:ilvl w:val="0"/>
          <w:numId w:val="0"/>
        </w:numPr>
        <w:spacing w:after="0"/>
        <w:ind w:left="180" w:hanging="180"/>
      </w:pPr>
      <w:r>
        <w:rPr>
          <w:rStyle w:val="FootnoteReference"/>
        </w:rPr>
        <w:footnoteRef/>
      </w:r>
      <w:r>
        <w:t xml:space="preserve"> Calculation of the FSR’s</w:t>
      </w:r>
      <w:r w:rsidRPr="00D01195">
        <w:t xml:space="preserve"> administrative costs is based on</w:t>
      </w:r>
      <w:r>
        <w:t xml:space="preserve"> the </w:t>
      </w:r>
      <w:r w:rsidRPr="00D01195">
        <w:t>per-customer reentry fee for utility reentry fee for voluntary returns</w:t>
      </w:r>
      <w:r>
        <w:t xml:space="preserve">. </w:t>
      </w:r>
      <w:r w:rsidRPr="009005D8">
        <w:t>See</w:t>
      </w:r>
      <w:r>
        <w:t>:</w:t>
      </w:r>
    </w:p>
    <w:p w14:paraId="378C6EE2" w14:textId="77777777" w:rsidR="00D40A68" w:rsidRDefault="00D40A68" w:rsidP="00AA54B1">
      <w:pPr>
        <w:pStyle w:val="FootnoteText"/>
        <w:numPr>
          <w:ilvl w:val="0"/>
          <w:numId w:val="0"/>
        </w:numPr>
        <w:tabs>
          <w:tab w:val="left" w:pos="720"/>
          <w:tab w:val="left" w:pos="1080"/>
          <w:tab w:val="left" w:pos="1530"/>
        </w:tabs>
        <w:spacing w:after="0"/>
        <w:ind w:left="720"/>
      </w:pPr>
      <w:r>
        <w:t xml:space="preserve">PG&amp;E </w:t>
      </w:r>
      <w:r w:rsidRPr="00474C97">
        <w:t>Schedule</w:t>
      </w:r>
      <w:r w:rsidRPr="00D01195">
        <w:t xml:space="preserve"> E-CCA</w:t>
      </w:r>
    </w:p>
    <w:p w14:paraId="2186AE05" w14:textId="77777777" w:rsidR="00D40A68" w:rsidRDefault="00D40A68" w:rsidP="00AA54B1">
      <w:pPr>
        <w:pStyle w:val="FootnoteText"/>
        <w:numPr>
          <w:ilvl w:val="0"/>
          <w:numId w:val="0"/>
        </w:numPr>
        <w:tabs>
          <w:tab w:val="left" w:pos="720"/>
          <w:tab w:val="left" w:pos="1080"/>
          <w:tab w:val="left" w:pos="1530"/>
        </w:tabs>
        <w:spacing w:after="0"/>
        <w:ind w:left="720"/>
      </w:pPr>
      <w:r>
        <w:t xml:space="preserve">SCE </w:t>
      </w:r>
      <w:r w:rsidRPr="00474C97">
        <w:t>Schedule CCA-SF</w:t>
      </w:r>
    </w:p>
    <w:p w14:paraId="46CEA818" w14:textId="77777777" w:rsidR="00D40A68" w:rsidRDefault="00D40A68" w:rsidP="00AA54B1">
      <w:pPr>
        <w:pStyle w:val="FootnoteText"/>
        <w:numPr>
          <w:ilvl w:val="0"/>
          <w:numId w:val="0"/>
        </w:numPr>
        <w:tabs>
          <w:tab w:val="left" w:pos="720"/>
          <w:tab w:val="left" w:pos="1080"/>
          <w:tab w:val="left" w:pos="1530"/>
        </w:tabs>
        <w:spacing w:after="0"/>
        <w:ind w:left="720"/>
      </w:pPr>
      <w:r>
        <w:t xml:space="preserve">SDG&amp;E </w:t>
      </w:r>
      <w:r w:rsidRPr="00474C97">
        <w:t xml:space="preserve">Schedule </w:t>
      </w:r>
      <w:r>
        <w:t>CCA</w:t>
      </w:r>
    </w:p>
  </w:footnote>
  <w:footnote w:id="11">
    <w:p w14:paraId="19B46EBA" w14:textId="6523ED1A" w:rsidR="00AF08A2" w:rsidRDefault="00AF08A2" w:rsidP="00AF08A2">
      <w:pPr>
        <w:pStyle w:val="FootnoteText"/>
        <w:numPr>
          <w:ilvl w:val="0"/>
          <w:numId w:val="0"/>
        </w:numPr>
      </w:pPr>
      <w:r>
        <w:rPr>
          <w:rStyle w:val="FootnoteReference"/>
        </w:rPr>
        <w:footnoteRef/>
      </w:r>
      <w:r w:rsidRPr="004F5BFA">
        <w:rPr>
          <w:i/>
          <w:iCs/>
        </w:rPr>
        <w:t xml:space="preserve"> </w:t>
      </w:r>
      <w:r w:rsidR="004F5BFA" w:rsidRPr="004F5BFA">
        <w:rPr>
          <w:i/>
          <w:iCs/>
        </w:rPr>
        <w:t xml:space="preserve">See </w:t>
      </w:r>
      <w:r w:rsidR="004F5BFA" w:rsidRPr="004F5BFA">
        <w:t>Exhibit JU-01, July 28, 2017, at p. 35 (lines 29-34) (R.03-10-003).</w:t>
      </w:r>
    </w:p>
  </w:footnote>
  <w:footnote w:id="12">
    <w:p w14:paraId="011375FE" w14:textId="27A4E96A" w:rsidR="00D40A68" w:rsidRDefault="00D40A68" w:rsidP="00AA54B1">
      <w:pPr>
        <w:pStyle w:val="FootnoteText"/>
        <w:numPr>
          <w:ilvl w:val="0"/>
          <w:numId w:val="0"/>
        </w:numPr>
        <w:ind w:left="180" w:hanging="180"/>
      </w:pPr>
      <w:r>
        <w:rPr>
          <w:rStyle w:val="FootnoteReference"/>
        </w:rPr>
        <w:footnoteRef/>
      </w:r>
      <w:r>
        <w:t xml:space="preserve"> Joint</w:t>
      </w:r>
      <w:r w:rsidRPr="00FE1367">
        <w:t xml:space="preserve"> </w:t>
      </w:r>
      <w:r>
        <w:t>Utilities R</w:t>
      </w:r>
      <w:r w:rsidRPr="00D528EC">
        <w:t>eply</w:t>
      </w:r>
      <w:r>
        <w:t>, Page</w:t>
      </w:r>
      <w:r w:rsidRPr="00D528EC">
        <w:t xml:space="preserve"> 13</w:t>
      </w:r>
      <w:r w:rsidR="00983D00" w:rsidRPr="00345F9D">
        <w:rPr>
          <w:color w:val="FF0000"/>
        </w:rPr>
        <w:t>.</w:t>
      </w:r>
      <w:r w:rsidRPr="00D528EC">
        <w:t xml:space="preserve"> </w:t>
      </w:r>
    </w:p>
  </w:footnote>
  <w:footnote w:id="13">
    <w:p w14:paraId="589B11D2" w14:textId="46BCD6B6" w:rsidR="004D650C" w:rsidRDefault="004D650C" w:rsidP="007D74E3">
      <w:pPr>
        <w:pStyle w:val="FootnoteText"/>
        <w:numPr>
          <w:ilvl w:val="0"/>
          <w:numId w:val="0"/>
        </w:numPr>
        <w:spacing w:after="0"/>
      </w:pPr>
      <w:r>
        <w:rPr>
          <w:rStyle w:val="FootnoteReference"/>
        </w:rPr>
        <w:footnoteRef/>
      </w:r>
      <w:r>
        <w:t xml:space="preserve"> </w:t>
      </w:r>
      <w:r w:rsidR="004F5BFA">
        <w:t>Section T of PG&amp;E</w:t>
      </w:r>
      <w:r w:rsidR="006D7D59">
        <w:t xml:space="preserve"> and SCE</w:t>
      </w:r>
      <w:r w:rsidR="004F5BFA">
        <w:t xml:space="preserve"> Rule 23</w:t>
      </w:r>
      <w:r w:rsidR="006D7D59">
        <w:t xml:space="preserve"> </w:t>
      </w:r>
      <w:r w:rsidR="004F5BFA">
        <w:t>and SDG&amp;E Rule 2</w:t>
      </w:r>
      <w:r w:rsidR="006D7D59">
        <w:t>7</w:t>
      </w:r>
      <w:r w:rsidR="004F5BFA">
        <w:t xml:space="preserve"> set the requirements in the event </w:t>
      </w:r>
      <w:r w:rsidR="006D7D59">
        <w:t>the</w:t>
      </w:r>
      <w:r w:rsidR="004F5BFA">
        <w:t xml:space="preserve"> IOU seeks to terminate service to a CCA. </w:t>
      </w:r>
      <w:r w:rsidR="006F54F6">
        <w:t xml:space="preserve"> </w:t>
      </w:r>
      <w:r w:rsidR="004F5BFA">
        <w:t xml:space="preserve">Among these requirements is the specification that </w:t>
      </w:r>
      <w:r w:rsidR="006D7D59">
        <w:t>to</w:t>
      </w:r>
      <w:r w:rsidR="004F5BFA">
        <w:t xml:space="preserve"> terminat</w:t>
      </w:r>
      <w:r w:rsidR="006D7D59">
        <w:t>e</w:t>
      </w:r>
      <w:r w:rsidR="004F5BFA">
        <w:t xml:space="preserve"> of CCA service</w:t>
      </w:r>
      <w:r w:rsidR="006D7D59">
        <w:t>,</w:t>
      </w:r>
      <w:r w:rsidR="004F5BFA">
        <w:t xml:space="preserve"> </w:t>
      </w:r>
      <w:r w:rsidR="006D7D59">
        <w:t xml:space="preserve">the IOU will seek </w:t>
      </w:r>
      <w:r w:rsidR="004F5BFA">
        <w:t>an</w:t>
      </w:r>
      <w:r w:rsidR="004F5BFA" w:rsidRPr="004F5BFA">
        <w:t xml:space="preserve"> emergency order from the Commission</w:t>
      </w:r>
      <w:r w:rsidR="006D7D59">
        <w:t xml:space="preserve"> </w:t>
      </w:r>
      <w:r w:rsidR="006D7D59" w:rsidRPr="004F5BFA">
        <w:t>Pursuant to D.05-12-041</w:t>
      </w:r>
      <w:r w:rsidR="004F5BFA" w:rsidRPr="004F5BFA">
        <w:t>.</w:t>
      </w:r>
    </w:p>
  </w:footnote>
  <w:footnote w:id="14">
    <w:p w14:paraId="1CE10993" w14:textId="7C9B3D9A" w:rsidR="004F5BFA" w:rsidRDefault="004F5BFA" w:rsidP="007D74E3">
      <w:pPr>
        <w:pStyle w:val="FootnoteText"/>
        <w:numPr>
          <w:ilvl w:val="0"/>
          <w:numId w:val="0"/>
        </w:numPr>
        <w:spacing w:after="0"/>
      </w:pPr>
      <w:r w:rsidDel="003910F6">
        <w:rPr>
          <w:rStyle w:val="FootnoteReference"/>
        </w:rPr>
        <w:footnoteRef/>
      </w:r>
      <w:r w:rsidDel="003910F6">
        <w:t xml:space="preserve"> Disputed charges are subject</w:t>
      </w:r>
      <w:r w:rsidR="006D7D59" w:rsidDel="003910F6">
        <w:t xml:space="preserve"> to the IOU's Rule 10</w:t>
      </w:r>
      <w:r w:rsidR="00983D00">
        <w:t>.</w:t>
      </w:r>
      <w:r w:rsidR="006D7D59" w:rsidDel="003910F6">
        <w:t xml:space="preserve"> </w:t>
      </w:r>
    </w:p>
  </w:footnote>
  <w:footnote w:id="15">
    <w:p w14:paraId="04057C41" w14:textId="6BAAE081" w:rsidR="00D40A68" w:rsidRDefault="00D40A68" w:rsidP="00EF0410">
      <w:pPr>
        <w:pStyle w:val="FootnoteText"/>
        <w:numPr>
          <w:ilvl w:val="0"/>
          <w:numId w:val="0"/>
        </w:numPr>
      </w:pPr>
      <w:r>
        <w:rPr>
          <w:rStyle w:val="FootnoteReference"/>
        </w:rPr>
        <w:footnoteRef/>
      </w:r>
      <w:r>
        <w:t xml:space="preserve"> C</w:t>
      </w:r>
      <w:r w:rsidRPr="00EC70A5">
        <w:t>onsistent with the methodology adopted for ESPs in D.11-12-018.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6BA00582" w:rsidR="00D40A68" w:rsidRPr="00D012C8" w:rsidRDefault="00D40A68">
    <w:pPr>
      <w:pStyle w:val="Header"/>
      <w:tabs>
        <w:tab w:val="clear" w:pos="4320"/>
        <w:tab w:val="clear" w:pos="8640"/>
        <w:tab w:val="center" w:pos="4680"/>
        <w:tab w:val="right" w:pos="9180"/>
      </w:tabs>
    </w:pPr>
    <w:r w:rsidRPr="00D012C8">
      <w:t>Resolution E-5059</w:t>
    </w:r>
    <w:r w:rsidRPr="00D012C8">
      <w:tab/>
      <w:t>DRAFT</w:t>
    </w:r>
    <w:r w:rsidRPr="00D012C8">
      <w:tab/>
    </w:r>
    <w:r w:rsidR="001202F0">
      <w:t>October 8</w:t>
    </w:r>
    <w:r>
      <w:t>, 2020</w:t>
    </w:r>
  </w:p>
  <w:p w14:paraId="279E5C15" w14:textId="458B8F0B" w:rsidR="00D40A68" w:rsidRDefault="00D40A68" w:rsidP="00D012C8">
    <w:pPr>
      <w:pStyle w:val="Header"/>
      <w:tabs>
        <w:tab w:val="center" w:pos="4680"/>
        <w:tab w:val="right" w:pos="9180"/>
      </w:tabs>
    </w:pPr>
    <w:r w:rsidRPr="00D012C8">
      <w:t>PG&amp;E, SCE, &amp; SDG&amp;E ALs 5354-E, 3840-E, 3257-E/TB1</w:t>
    </w:r>
  </w:p>
  <w:p w14:paraId="013F4CD4" w14:textId="77777777" w:rsidR="00D40A68" w:rsidRDefault="00D40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77777777" w:rsidR="00D40A68" w:rsidRPr="008E6797" w:rsidRDefault="00D40A68" w:rsidP="003F6E5A">
    <w:pPr>
      <w:pStyle w:val="Header"/>
      <w:jc w:val="center"/>
      <w:rPr>
        <w:rFonts w:ascii="Helvetica" w:hAnsi="Helvetica"/>
        <w:sz w:val="28"/>
      </w:rPr>
    </w:pPr>
    <w:r w:rsidRPr="008E6797">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8540" w14:textId="6395FF34" w:rsidR="00F94E7C" w:rsidRPr="00D012C8" w:rsidRDefault="00F94E7C">
    <w:pPr>
      <w:pStyle w:val="Header"/>
      <w:tabs>
        <w:tab w:val="clear" w:pos="4320"/>
        <w:tab w:val="clear" w:pos="8640"/>
        <w:tab w:val="center" w:pos="4680"/>
        <w:tab w:val="right" w:pos="9180"/>
      </w:tabs>
    </w:pPr>
    <w:r w:rsidRPr="00D012C8">
      <w:t>Resolution E-5059</w:t>
    </w:r>
    <w:r w:rsidRPr="00D012C8">
      <w:tab/>
      <w:t>DRAFT</w:t>
    </w:r>
    <w:r w:rsidRPr="00D012C8">
      <w:tab/>
    </w:r>
    <w:r w:rsidR="0080109F">
      <w:t>October 8</w:t>
    </w:r>
    <w:r>
      <w:t>, 2020</w:t>
    </w:r>
  </w:p>
  <w:p w14:paraId="7873B57F" w14:textId="00C98752" w:rsidR="00F94E7C" w:rsidRDefault="00F94E7C" w:rsidP="00D012C8">
    <w:pPr>
      <w:pStyle w:val="Header"/>
      <w:tabs>
        <w:tab w:val="center" w:pos="4680"/>
        <w:tab w:val="right" w:pos="9180"/>
      </w:tabs>
    </w:pPr>
    <w:r w:rsidRPr="00D012C8">
      <w:t>PG&amp;E, SCE, &amp; SDG&amp;E ALs 5354-E, 3840-E, 3257-E-E/TB1</w:t>
    </w:r>
  </w:p>
  <w:p w14:paraId="0A06D3C2" w14:textId="77777777" w:rsidR="00F94E7C" w:rsidRDefault="00F94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E4E"/>
    <w:multiLevelType w:val="hybridMultilevel"/>
    <w:tmpl w:val="B9047F80"/>
    <w:lvl w:ilvl="0" w:tplc="FDCC3334">
      <w:start w:val="1"/>
      <w:numFmt w:val="decimal"/>
      <w:lvlText w:val="%1."/>
      <w:lvlJc w:val="left"/>
      <w:pPr>
        <w:ind w:left="720" w:hanging="360"/>
      </w:pPr>
      <w:rPr>
        <w:rFonts w:ascii="Calibri Light" w:eastAsia="Times New Roman" w:hAnsi="Calibri Light" w:cs="Calibri Ligh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C9438C1"/>
    <w:multiLevelType w:val="hybridMultilevel"/>
    <w:tmpl w:val="18E434DC"/>
    <w:lvl w:ilvl="0" w:tplc="4150F2E2">
      <w:start w:val="1"/>
      <w:numFmt w:val="decimal"/>
      <w:lvlText w:val="%1."/>
      <w:lvlJc w:val="left"/>
      <w:pPr>
        <w:ind w:left="720" w:hanging="360"/>
      </w:pPr>
      <w:rPr>
        <w:rFonts w:hint="default"/>
        <w:b/>
      </w:rPr>
    </w:lvl>
    <w:lvl w:ilvl="1" w:tplc="6D7CBD3C" w:tentative="1">
      <w:start w:val="1"/>
      <w:numFmt w:val="lowerLetter"/>
      <w:lvlText w:val="%2."/>
      <w:lvlJc w:val="left"/>
      <w:pPr>
        <w:ind w:left="1440" w:hanging="360"/>
      </w:pPr>
    </w:lvl>
    <w:lvl w:ilvl="2" w:tplc="2C0E62C8" w:tentative="1">
      <w:start w:val="1"/>
      <w:numFmt w:val="lowerRoman"/>
      <w:lvlText w:val="%3."/>
      <w:lvlJc w:val="right"/>
      <w:pPr>
        <w:ind w:left="2160" w:hanging="180"/>
      </w:pPr>
    </w:lvl>
    <w:lvl w:ilvl="3" w:tplc="0F881ED4" w:tentative="1">
      <w:start w:val="1"/>
      <w:numFmt w:val="decimal"/>
      <w:lvlText w:val="%4."/>
      <w:lvlJc w:val="left"/>
      <w:pPr>
        <w:ind w:left="2880" w:hanging="360"/>
      </w:pPr>
    </w:lvl>
    <w:lvl w:ilvl="4" w:tplc="19D2EB8A" w:tentative="1">
      <w:start w:val="1"/>
      <w:numFmt w:val="lowerLetter"/>
      <w:lvlText w:val="%5."/>
      <w:lvlJc w:val="left"/>
      <w:pPr>
        <w:ind w:left="3600" w:hanging="360"/>
      </w:pPr>
    </w:lvl>
    <w:lvl w:ilvl="5" w:tplc="BAF4BAEA" w:tentative="1">
      <w:start w:val="1"/>
      <w:numFmt w:val="lowerRoman"/>
      <w:lvlText w:val="%6."/>
      <w:lvlJc w:val="right"/>
      <w:pPr>
        <w:ind w:left="4320" w:hanging="180"/>
      </w:pPr>
    </w:lvl>
    <w:lvl w:ilvl="6" w:tplc="2F94B50A" w:tentative="1">
      <w:start w:val="1"/>
      <w:numFmt w:val="decimal"/>
      <w:lvlText w:val="%7."/>
      <w:lvlJc w:val="left"/>
      <w:pPr>
        <w:ind w:left="5040" w:hanging="360"/>
      </w:pPr>
    </w:lvl>
    <w:lvl w:ilvl="7" w:tplc="EB92D716" w:tentative="1">
      <w:start w:val="1"/>
      <w:numFmt w:val="lowerLetter"/>
      <w:lvlText w:val="%8."/>
      <w:lvlJc w:val="left"/>
      <w:pPr>
        <w:ind w:left="5760" w:hanging="360"/>
      </w:pPr>
    </w:lvl>
    <w:lvl w:ilvl="8" w:tplc="13C6F490" w:tentative="1">
      <w:start w:val="1"/>
      <w:numFmt w:val="lowerRoman"/>
      <w:lvlText w:val="%9."/>
      <w:lvlJc w:val="right"/>
      <w:pPr>
        <w:ind w:left="6480" w:hanging="180"/>
      </w:pPr>
    </w:lvl>
  </w:abstractNum>
  <w:abstractNum w:abstractNumId="3" w15:restartNumberingAfterBreak="0">
    <w:nsid w:val="1775203D"/>
    <w:multiLevelType w:val="hybridMultilevel"/>
    <w:tmpl w:val="B74EBD1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7966"/>
    <w:multiLevelType w:val="hybridMultilevel"/>
    <w:tmpl w:val="45A2EE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18CF6AEF"/>
    <w:multiLevelType w:val="multilevel"/>
    <w:tmpl w:val="87D80D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237998"/>
    <w:multiLevelType w:val="hybridMultilevel"/>
    <w:tmpl w:val="2F229BD4"/>
    <w:lvl w:ilvl="0" w:tplc="4BECFA5C">
      <w:start w:val="1"/>
      <w:numFmt w:val="bullet"/>
      <w:lvlText w:val=""/>
      <w:lvlJc w:val="left"/>
      <w:pPr>
        <w:ind w:left="720" w:hanging="360"/>
      </w:pPr>
      <w:rPr>
        <w:rFonts w:ascii="Symbol" w:hAnsi="Symbol" w:hint="default"/>
      </w:rPr>
    </w:lvl>
    <w:lvl w:ilvl="1" w:tplc="38A6C360" w:tentative="1">
      <w:start w:val="1"/>
      <w:numFmt w:val="bullet"/>
      <w:lvlText w:val="o"/>
      <w:lvlJc w:val="left"/>
      <w:pPr>
        <w:ind w:left="1440" w:hanging="360"/>
      </w:pPr>
      <w:rPr>
        <w:rFonts w:ascii="Courier New" w:hAnsi="Courier New" w:cs="Courier New" w:hint="default"/>
      </w:rPr>
    </w:lvl>
    <w:lvl w:ilvl="2" w:tplc="D4BCE698" w:tentative="1">
      <w:start w:val="1"/>
      <w:numFmt w:val="bullet"/>
      <w:lvlText w:val=""/>
      <w:lvlJc w:val="left"/>
      <w:pPr>
        <w:ind w:left="2160" w:hanging="360"/>
      </w:pPr>
      <w:rPr>
        <w:rFonts w:ascii="Wingdings" w:hAnsi="Wingdings" w:hint="default"/>
      </w:rPr>
    </w:lvl>
    <w:lvl w:ilvl="3" w:tplc="F9F8365C" w:tentative="1">
      <w:start w:val="1"/>
      <w:numFmt w:val="bullet"/>
      <w:lvlText w:val=""/>
      <w:lvlJc w:val="left"/>
      <w:pPr>
        <w:ind w:left="2880" w:hanging="360"/>
      </w:pPr>
      <w:rPr>
        <w:rFonts w:ascii="Symbol" w:hAnsi="Symbol" w:hint="default"/>
      </w:rPr>
    </w:lvl>
    <w:lvl w:ilvl="4" w:tplc="D96EFEDC" w:tentative="1">
      <w:start w:val="1"/>
      <w:numFmt w:val="bullet"/>
      <w:lvlText w:val="o"/>
      <w:lvlJc w:val="left"/>
      <w:pPr>
        <w:ind w:left="3600" w:hanging="360"/>
      </w:pPr>
      <w:rPr>
        <w:rFonts w:ascii="Courier New" w:hAnsi="Courier New" w:cs="Courier New" w:hint="default"/>
      </w:rPr>
    </w:lvl>
    <w:lvl w:ilvl="5" w:tplc="0C5EC6DE" w:tentative="1">
      <w:start w:val="1"/>
      <w:numFmt w:val="bullet"/>
      <w:lvlText w:val=""/>
      <w:lvlJc w:val="left"/>
      <w:pPr>
        <w:ind w:left="4320" w:hanging="360"/>
      </w:pPr>
      <w:rPr>
        <w:rFonts w:ascii="Wingdings" w:hAnsi="Wingdings" w:hint="default"/>
      </w:rPr>
    </w:lvl>
    <w:lvl w:ilvl="6" w:tplc="DD04A44E" w:tentative="1">
      <w:start w:val="1"/>
      <w:numFmt w:val="bullet"/>
      <w:lvlText w:val=""/>
      <w:lvlJc w:val="left"/>
      <w:pPr>
        <w:ind w:left="5040" w:hanging="360"/>
      </w:pPr>
      <w:rPr>
        <w:rFonts w:ascii="Symbol" w:hAnsi="Symbol" w:hint="default"/>
      </w:rPr>
    </w:lvl>
    <w:lvl w:ilvl="7" w:tplc="BA3E7828" w:tentative="1">
      <w:start w:val="1"/>
      <w:numFmt w:val="bullet"/>
      <w:lvlText w:val="o"/>
      <w:lvlJc w:val="left"/>
      <w:pPr>
        <w:ind w:left="5760" w:hanging="360"/>
      </w:pPr>
      <w:rPr>
        <w:rFonts w:ascii="Courier New" w:hAnsi="Courier New" w:cs="Courier New" w:hint="default"/>
      </w:rPr>
    </w:lvl>
    <w:lvl w:ilvl="8" w:tplc="361EA5D4" w:tentative="1">
      <w:start w:val="1"/>
      <w:numFmt w:val="bullet"/>
      <w:lvlText w:val=""/>
      <w:lvlJc w:val="left"/>
      <w:pPr>
        <w:ind w:left="6480" w:hanging="360"/>
      </w:pPr>
      <w:rPr>
        <w:rFonts w:ascii="Wingdings" w:hAnsi="Wingdings" w:hint="default"/>
      </w:rPr>
    </w:lvl>
  </w:abstractNum>
  <w:abstractNum w:abstractNumId="7" w15:restartNumberingAfterBreak="0">
    <w:nsid w:val="1A0318E6"/>
    <w:multiLevelType w:val="hybridMultilevel"/>
    <w:tmpl w:val="CC988376"/>
    <w:lvl w:ilvl="0" w:tplc="04090001">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15:restartNumberingAfterBreak="0">
    <w:nsid w:val="1BCE73D7"/>
    <w:multiLevelType w:val="hybridMultilevel"/>
    <w:tmpl w:val="8BAA7104"/>
    <w:lvl w:ilvl="0" w:tplc="04090019">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6017C"/>
    <w:multiLevelType w:val="hybridMultilevel"/>
    <w:tmpl w:val="AE185CDC"/>
    <w:lvl w:ilvl="0" w:tplc="0409000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A6EB5"/>
    <w:multiLevelType w:val="hybridMultilevel"/>
    <w:tmpl w:val="153A943E"/>
    <w:lvl w:ilvl="0" w:tplc="04090015">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04116"/>
    <w:multiLevelType w:val="hybridMultilevel"/>
    <w:tmpl w:val="FDAAF61C"/>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E700B7"/>
    <w:multiLevelType w:val="hybridMultilevel"/>
    <w:tmpl w:val="2820A07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23397E89"/>
    <w:multiLevelType w:val="hybridMultilevel"/>
    <w:tmpl w:val="FDAAF61C"/>
    <w:lvl w:ilvl="0" w:tplc="2C343494">
      <w:start w:val="1"/>
      <w:numFmt w:val="decimal"/>
      <w:lvlText w:val="%1."/>
      <w:lvlJc w:val="left"/>
      <w:pPr>
        <w:ind w:left="360" w:hanging="360"/>
      </w:pPr>
    </w:lvl>
    <w:lvl w:ilvl="1" w:tplc="923ECC72" w:tentative="1">
      <w:start w:val="1"/>
      <w:numFmt w:val="lowerLetter"/>
      <w:lvlText w:val="%2."/>
      <w:lvlJc w:val="left"/>
      <w:pPr>
        <w:ind w:left="1080" w:hanging="360"/>
      </w:pPr>
    </w:lvl>
    <w:lvl w:ilvl="2" w:tplc="C040EBCA" w:tentative="1">
      <w:start w:val="1"/>
      <w:numFmt w:val="lowerRoman"/>
      <w:lvlText w:val="%3."/>
      <w:lvlJc w:val="right"/>
      <w:pPr>
        <w:ind w:left="1800" w:hanging="180"/>
      </w:pPr>
    </w:lvl>
    <w:lvl w:ilvl="3" w:tplc="6AFA9AC8" w:tentative="1">
      <w:start w:val="1"/>
      <w:numFmt w:val="decimal"/>
      <w:lvlText w:val="%4."/>
      <w:lvlJc w:val="left"/>
      <w:pPr>
        <w:ind w:left="2520" w:hanging="360"/>
      </w:pPr>
    </w:lvl>
    <w:lvl w:ilvl="4" w:tplc="6610CD62" w:tentative="1">
      <w:start w:val="1"/>
      <w:numFmt w:val="lowerLetter"/>
      <w:lvlText w:val="%5."/>
      <w:lvlJc w:val="left"/>
      <w:pPr>
        <w:ind w:left="3240" w:hanging="360"/>
      </w:pPr>
    </w:lvl>
    <w:lvl w:ilvl="5" w:tplc="DC2ABBBE" w:tentative="1">
      <w:start w:val="1"/>
      <w:numFmt w:val="lowerRoman"/>
      <w:lvlText w:val="%6."/>
      <w:lvlJc w:val="right"/>
      <w:pPr>
        <w:ind w:left="3960" w:hanging="180"/>
      </w:pPr>
    </w:lvl>
    <w:lvl w:ilvl="6" w:tplc="E836E526" w:tentative="1">
      <w:start w:val="1"/>
      <w:numFmt w:val="decimal"/>
      <w:lvlText w:val="%7."/>
      <w:lvlJc w:val="left"/>
      <w:pPr>
        <w:ind w:left="4680" w:hanging="360"/>
      </w:pPr>
    </w:lvl>
    <w:lvl w:ilvl="7" w:tplc="9C448CB4" w:tentative="1">
      <w:start w:val="1"/>
      <w:numFmt w:val="lowerLetter"/>
      <w:lvlText w:val="%8."/>
      <w:lvlJc w:val="left"/>
      <w:pPr>
        <w:ind w:left="5400" w:hanging="360"/>
      </w:pPr>
    </w:lvl>
    <w:lvl w:ilvl="8" w:tplc="571C3980" w:tentative="1">
      <w:start w:val="1"/>
      <w:numFmt w:val="lowerRoman"/>
      <w:lvlText w:val="%9."/>
      <w:lvlJc w:val="right"/>
      <w:pPr>
        <w:ind w:left="6120" w:hanging="180"/>
      </w:pPr>
    </w:lvl>
  </w:abstractNum>
  <w:abstractNum w:abstractNumId="15" w15:restartNumberingAfterBreak="0">
    <w:nsid w:val="26F8414F"/>
    <w:multiLevelType w:val="hybridMultilevel"/>
    <w:tmpl w:val="A62C815E"/>
    <w:lvl w:ilvl="0" w:tplc="0409000F">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15:restartNumberingAfterBreak="0">
    <w:nsid w:val="285039C2"/>
    <w:multiLevelType w:val="hybridMultilevel"/>
    <w:tmpl w:val="CCA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ED71B1"/>
    <w:multiLevelType w:val="hybridMultilevel"/>
    <w:tmpl w:val="AEF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21A3D"/>
    <w:multiLevelType w:val="multilevel"/>
    <w:tmpl w:val="87D80D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1F0936"/>
    <w:multiLevelType w:val="hybridMultilevel"/>
    <w:tmpl w:val="9FAC3A78"/>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2EC204AC"/>
    <w:multiLevelType w:val="hybridMultilevel"/>
    <w:tmpl w:val="118A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83BB1"/>
    <w:multiLevelType w:val="hybridMultilevel"/>
    <w:tmpl w:val="8E84E044"/>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33614264"/>
    <w:multiLevelType w:val="hybridMultilevel"/>
    <w:tmpl w:val="5F0246B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9516E"/>
    <w:multiLevelType w:val="hybridMultilevel"/>
    <w:tmpl w:val="9092DBF2"/>
    <w:lvl w:ilvl="0" w:tplc="04090001">
      <w:start w:val="1"/>
      <w:numFmt w:val="upperLetter"/>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396C1D2E"/>
    <w:multiLevelType w:val="hybridMultilevel"/>
    <w:tmpl w:val="AE7079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55106C"/>
    <w:multiLevelType w:val="hybridMultilevel"/>
    <w:tmpl w:val="823CD9E6"/>
    <w:lvl w:ilvl="0" w:tplc="175C9E2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875F12"/>
    <w:multiLevelType w:val="hybridMultilevel"/>
    <w:tmpl w:val="EA349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31702"/>
    <w:multiLevelType w:val="hybridMultilevel"/>
    <w:tmpl w:val="B442D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274D2"/>
    <w:multiLevelType w:val="hybridMultilevel"/>
    <w:tmpl w:val="DAEADC9E"/>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417721F4"/>
    <w:multiLevelType w:val="hybridMultilevel"/>
    <w:tmpl w:val="014C2D20"/>
    <w:lvl w:ilvl="0" w:tplc="0409000F">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88A16B7"/>
    <w:multiLevelType w:val="multilevel"/>
    <w:tmpl w:val="87D80D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9F4E83"/>
    <w:multiLevelType w:val="hybridMultilevel"/>
    <w:tmpl w:val="65E22CFA"/>
    <w:lvl w:ilvl="0" w:tplc="6EA2AF68">
      <w:start w:val="1"/>
      <w:numFmt w:val="decimal"/>
      <w:lvlText w:val="%1."/>
      <w:lvlJc w:val="left"/>
      <w:pPr>
        <w:ind w:left="360" w:hanging="360"/>
      </w:pPr>
    </w:lvl>
    <w:lvl w:ilvl="1" w:tplc="B6D219B6" w:tentative="1">
      <w:start w:val="1"/>
      <w:numFmt w:val="lowerLetter"/>
      <w:lvlText w:val="%2."/>
      <w:lvlJc w:val="left"/>
      <w:pPr>
        <w:ind w:left="1080" w:hanging="360"/>
      </w:pPr>
    </w:lvl>
    <w:lvl w:ilvl="2" w:tplc="A9C8CE06" w:tentative="1">
      <w:start w:val="1"/>
      <w:numFmt w:val="lowerRoman"/>
      <w:lvlText w:val="%3."/>
      <w:lvlJc w:val="right"/>
      <w:pPr>
        <w:ind w:left="1800" w:hanging="180"/>
      </w:pPr>
    </w:lvl>
    <w:lvl w:ilvl="3" w:tplc="7A48885E" w:tentative="1">
      <w:start w:val="1"/>
      <w:numFmt w:val="decimal"/>
      <w:lvlText w:val="%4."/>
      <w:lvlJc w:val="left"/>
      <w:pPr>
        <w:ind w:left="2520" w:hanging="360"/>
      </w:pPr>
    </w:lvl>
    <w:lvl w:ilvl="4" w:tplc="026EB7AA" w:tentative="1">
      <w:start w:val="1"/>
      <w:numFmt w:val="lowerLetter"/>
      <w:lvlText w:val="%5."/>
      <w:lvlJc w:val="left"/>
      <w:pPr>
        <w:ind w:left="3240" w:hanging="360"/>
      </w:pPr>
    </w:lvl>
    <w:lvl w:ilvl="5" w:tplc="947E214C" w:tentative="1">
      <w:start w:val="1"/>
      <w:numFmt w:val="lowerRoman"/>
      <w:lvlText w:val="%6."/>
      <w:lvlJc w:val="right"/>
      <w:pPr>
        <w:ind w:left="3960" w:hanging="180"/>
      </w:pPr>
    </w:lvl>
    <w:lvl w:ilvl="6" w:tplc="A33CAEEC" w:tentative="1">
      <w:start w:val="1"/>
      <w:numFmt w:val="decimal"/>
      <w:lvlText w:val="%7."/>
      <w:lvlJc w:val="left"/>
      <w:pPr>
        <w:ind w:left="4680" w:hanging="360"/>
      </w:pPr>
    </w:lvl>
    <w:lvl w:ilvl="7" w:tplc="FE8AAB92" w:tentative="1">
      <w:start w:val="1"/>
      <w:numFmt w:val="lowerLetter"/>
      <w:lvlText w:val="%8."/>
      <w:lvlJc w:val="left"/>
      <w:pPr>
        <w:ind w:left="5400" w:hanging="360"/>
      </w:pPr>
    </w:lvl>
    <w:lvl w:ilvl="8" w:tplc="971A362E" w:tentative="1">
      <w:start w:val="1"/>
      <w:numFmt w:val="lowerRoman"/>
      <w:lvlText w:val="%9."/>
      <w:lvlJc w:val="right"/>
      <w:pPr>
        <w:ind w:left="6120" w:hanging="180"/>
      </w:pPr>
    </w:lvl>
  </w:abstractNum>
  <w:abstractNum w:abstractNumId="33" w15:restartNumberingAfterBreak="0">
    <w:nsid w:val="4D3C4C10"/>
    <w:multiLevelType w:val="hybridMultilevel"/>
    <w:tmpl w:val="8A0A31B8"/>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474DC3"/>
    <w:multiLevelType w:val="hybridMultilevel"/>
    <w:tmpl w:val="F0F234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B24B26"/>
    <w:multiLevelType w:val="hybridMultilevel"/>
    <w:tmpl w:val="80EC4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C70EB"/>
    <w:multiLevelType w:val="hybridMultilevel"/>
    <w:tmpl w:val="370425DC"/>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15:restartNumberingAfterBreak="0">
    <w:nsid w:val="516B34CA"/>
    <w:multiLevelType w:val="hybridMultilevel"/>
    <w:tmpl w:val="41F0012A"/>
    <w:lvl w:ilvl="0" w:tplc="04090001">
      <w:start w:val="1"/>
      <w:numFmt w:val="upperLetter"/>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53F47951"/>
    <w:multiLevelType w:val="multilevel"/>
    <w:tmpl w:val="87D80D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458043A"/>
    <w:multiLevelType w:val="hybridMultilevel"/>
    <w:tmpl w:val="B74EBD1E"/>
    <w:lvl w:ilvl="0" w:tplc="04090015">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1" w15:restartNumberingAfterBreak="0">
    <w:nsid w:val="59DB7F3B"/>
    <w:multiLevelType w:val="hybridMultilevel"/>
    <w:tmpl w:val="F744858C"/>
    <w:lvl w:ilvl="0" w:tplc="9E92C160">
      <w:start w:val="1"/>
      <w:numFmt w:val="upperLetter"/>
      <w:lvlText w:val="%1."/>
      <w:lvlJc w:val="left"/>
      <w:pPr>
        <w:ind w:left="720" w:hanging="360"/>
      </w:pPr>
    </w:lvl>
    <w:lvl w:ilvl="1" w:tplc="1A84AA34">
      <w:start w:val="1"/>
      <w:numFmt w:val="bullet"/>
      <w:lvlText w:val=""/>
      <w:lvlJc w:val="left"/>
      <w:pPr>
        <w:ind w:left="1440" w:hanging="360"/>
      </w:pPr>
      <w:rPr>
        <w:rFonts w:ascii="Symbol" w:hAnsi="Symbol" w:hint="default"/>
      </w:rPr>
    </w:lvl>
    <w:lvl w:ilvl="2" w:tplc="2A404594" w:tentative="1">
      <w:start w:val="1"/>
      <w:numFmt w:val="lowerRoman"/>
      <w:lvlText w:val="%3."/>
      <w:lvlJc w:val="right"/>
      <w:pPr>
        <w:ind w:left="2160" w:hanging="180"/>
      </w:pPr>
    </w:lvl>
    <w:lvl w:ilvl="3" w:tplc="9E20CB8A" w:tentative="1">
      <w:start w:val="1"/>
      <w:numFmt w:val="decimal"/>
      <w:lvlText w:val="%4."/>
      <w:lvlJc w:val="left"/>
      <w:pPr>
        <w:ind w:left="2880" w:hanging="360"/>
      </w:pPr>
    </w:lvl>
    <w:lvl w:ilvl="4" w:tplc="2A58E22A" w:tentative="1">
      <w:start w:val="1"/>
      <w:numFmt w:val="lowerLetter"/>
      <w:lvlText w:val="%5."/>
      <w:lvlJc w:val="left"/>
      <w:pPr>
        <w:ind w:left="3600" w:hanging="360"/>
      </w:pPr>
    </w:lvl>
    <w:lvl w:ilvl="5" w:tplc="ED488DC4" w:tentative="1">
      <w:start w:val="1"/>
      <w:numFmt w:val="lowerRoman"/>
      <w:lvlText w:val="%6."/>
      <w:lvlJc w:val="right"/>
      <w:pPr>
        <w:ind w:left="4320" w:hanging="180"/>
      </w:pPr>
    </w:lvl>
    <w:lvl w:ilvl="6" w:tplc="21287CE6" w:tentative="1">
      <w:start w:val="1"/>
      <w:numFmt w:val="decimal"/>
      <w:lvlText w:val="%7."/>
      <w:lvlJc w:val="left"/>
      <w:pPr>
        <w:ind w:left="5040" w:hanging="360"/>
      </w:pPr>
    </w:lvl>
    <w:lvl w:ilvl="7" w:tplc="18BC3606" w:tentative="1">
      <w:start w:val="1"/>
      <w:numFmt w:val="lowerLetter"/>
      <w:lvlText w:val="%8."/>
      <w:lvlJc w:val="left"/>
      <w:pPr>
        <w:ind w:left="5760" w:hanging="360"/>
      </w:pPr>
    </w:lvl>
    <w:lvl w:ilvl="8" w:tplc="FDA8DA42" w:tentative="1">
      <w:start w:val="1"/>
      <w:numFmt w:val="lowerRoman"/>
      <w:lvlText w:val="%9."/>
      <w:lvlJc w:val="right"/>
      <w:pPr>
        <w:ind w:left="6480" w:hanging="180"/>
      </w:pPr>
    </w:lvl>
  </w:abstractNum>
  <w:abstractNum w:abstractNumId="42" w15:restartNumberingAfterBreak="0">
    <w:nsid w:val="5B3B32E4"/>
    <w:multiLevelType w:val="hybridMultilevel"/>
    <w:tmpl w:val="514AE7FA"/>
    <w:lvl w:ilvl="0" w:tplc="04090015">
      <w:start w:val="3232"/>
      <w:numFmt w:val="bullet"/>
      <w:lvlText w:val="•"/>
      <w:lvlJc w:val="left"/>
      <w:pPr>
        <w:ind w:left="720" w:hanging="360"/>
      </w:pPr>
      <w:rPr>
        <w:rFonts w:ascii="Palatino" w:eastAsia="Times New Roman" w:hAnsi="Palatino" w:cs="Times New Roman"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5C0E5573"/>
    <w:multiLevelType w:val="hybridMultilevel"/>
    <w:tmpl w:val="E228BA42"/>
    <w:lvl w:ilvl="0" w:tplc="BCEE72C4">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4" w15:restartNumberingAfterBreak="0">
    <w:nsid w:val="5DA84D39"/>
    <w:multiLevelType w:val="hybridMultilevel"/>
    <w:tmpl w:val="7394757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15:restartNumberingAfterBreak="0">
    <w:nsid w:val="5F6730A2"/>
    <w:multiLevelType w:val="hybridMultilevel"/>
    <w:tmpl w:val="E9C23A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10962F8"/>
    <w:multiLevelType w:val="hybridMultilevel"/>
    <w:tmpl w:val="FFAE4B8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610B3E46"/>
    <w:multiLevelType w:val="hybridMultilevel"/>
    <w:tmpl w:val="9FAC3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10D67F0"/>
    <w:multiLevelType w:val="hybridMultilevel"/>
    <w:tmpl w:val="5A98090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9" w15:restartNumberingAfterBreak="0">
    <w:nsid w:val="65636637"/>
    <w:multiLevelType w:val="hybridMultilevel"/>
    <w:tmpl w:val="C196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01703C"/>
    <w:multiLevelType w:val="hybridMultilevel"/>
    <w:tmpl w:val="708C05A8"/>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67404B2F"/>
    <w:multiLevelType w:val="hybridMultilevel"/>
    <w:tmpl w:val="9FAC3A78"/>
    <w:lvl w:ilvl="0" w:tplc="04090019">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5633C4"/>
    <w:multiLevelType w:val="hybridMultilevel"/>
    <w:tmpl w:val="3780847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6B9F105E"/>
    <w:multiLevelType w:val="hybridMultilevel"/>
    <w:tmpl w:val="B8BED270"/>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6BB84711"/>
    <w:multiLevelType w:val="hybridMultilevel"/>
    <w:tmpl w:val="3CA611E0"/>
    <w:lvl w:ilvl="0" w:tplc="0409000F">
      <w:start w:val="1"/>
      <w:numFmt w:val="bullet"/>
      <w:lvlText w:val=""/>
      <w:lvlJc w:val="left"/>
      <w:pPr>
        <w:ind w:left="1440" w:hanging="360"/>
      </w:pPr>
      <w:rPr>
        <w:rFonts w:ascii="Symbol" w:hAnsi="Symbol" w:hint="default"/>
      </w:rPr>
    </w:lvl>
    <w:lvl w:ilvl="1" w:tplc="04090001"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5" w15:restartNumberingAfterBreak="0">
    <w:nsid w:val="6C3B7359"/>
    <w:multiLevelType w:val="hybridMultilevel"/>
    <w:tmpl w:val="C154572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6C8B550C"/>
    <w:multiLevelType w:val="hybridMultilevel"/>
    <w:tmpl w:val="E2E27E3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193670"/>
    <w:multiLevelType w:val="multilevel"/>
    <w:tmpl w:val="15F6D04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08E4826"/>
    <w:multiLevelType w:val="hybridMultilevel"/>
    <w:tmpl w:val="41F0012A"/>
    <w:lvl w:ilvl="0" w:tplc="04090019">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7A5A09"/>
    <w:multiLevelType w:val="hybridMultilevel"/>
    <w:tmpl w:val="C260551E"/>
    <w:lvl w:ilvl="0" w:tplc="04090015">
      <w:start w:val="1"/>
      <w:numFmt w:val="upp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78DE28CD"/>
    <w:multiLevelType w:val="hybridMultilevel"/>
    <w:tmpl w:val="AE1A9ADA"/>
    <w:lvl w:ilvl="0" w:tplc="0409001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835847"/>
    <w:multiLevelType w:val="hybridMultilevel"/>
    <w:tmpl w:val="DE6C9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C42BBA"/>
    <w:multiLevelType w:val="hybridMultilevel"/>
    <w:tmpl w:val="02140CDA"/>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15:restartNumberingAfterBreak="0">
    <w:nsid w:val="7BDC7E65"/>
    <w:multiLevelType w:val="hybridMultilevel"/>
    <w:tmpl w:val="6298F6A6"/>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E56713E"/>
    <w:multiLevelType w:val="hybridMultilevel"/>
    <w:tmpl w:val="45566766"/>
    <w:lvl w:ilvl="0" w:tplc="04090019">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5" w15:restartNumberingAfterBreak="0">
    <w:nsid w:val="7FE252CF"/>
    <w:multiLevelType w:val="hybridMultilevel"/>
    <w:tmpl w:val="D3420848"/>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
  </w:num>
  <w:num w:numId="2">
    <w:abstractNumId w:val="30"/>
  </w:num>
  <w:num w:numId="3">
    <w:abstractNumId w:val="13"/>
  </w:num>
  <w:num w:numId="4">
    <w:abstractNumId w:val="40"/>
  </w:num>
  <w:num w:numId="5">
    <w:abstractNumId w:val="5"/>
  </w:num>
  <w:num w:numId="6">
    <w:abstractNumId w:val="15"/>
  </w:num>
  <w:num w:numId="7">
    <w:abstractNumId w:val="54"/>
  </w:num>
  <w:num w:numId="8">
    <w:abstractNumId w:val="64"/>
  </w:num>
  <w:num w:numId="9">
    <w:abstractNumId w:val="6"/>
  </w:num>
  <w:num w:numId="10">
    <w:abstractNumId w:val="42"/>
  </w:num>
  <w:num w:numId="11">
    <w:abstractNumId w:val="49"/>
  </w:num>
  <w:num w:numId="12">
    <w:abstractNumId w:val="17"/>
  </w:num>
  <w:num w:numId="13">
    <w:abstractNumId w:val="14"/>
  </w:num>
  <w:num w:numId="14">
    <w:abstractNumId w:val="33"/>
  </w:num>
  <w:num w:numId="15">
    <w:abstractNumId w:val="36"/>
  </w:num>
  <w:num w:numId="16">
    <w:abstractNumId w:val="16"/>
  </w:num>
  <w:num w:numId="17">
    <w:abstractNumId w:val="60"/>
  </w:num>
  <w:num w:numId="18">
    <w:abstractNumId w:val="41"/>
  </w:num>
  <w:num w:numId="19">
    <w:abstractNumId w:val="53"/>
  </w:num>
  <w:num w:numId="20">
    <w:abstractNumId w:val="46"/>
  </w:num>
  <w:num w:numId="21">
    <w:abstractNumId w:val="35"/>
  </w:num>
  <w:num w:numId="22">
    <w:abstractNumId w:val="61"/>
  </w:num>
  <w:num w:numId="23">
    <w:abstractNumId w:val="4"/>
  </w:num>
  <w:num w:numId="24">
    <w:abstractNumId w:val="44"/>
  </w:num>
  <w:num w:numId="25">
    <w:abstractNumId w:val="62"/>
  </w:num>
  <w:num w:numId="26">
    <w:abstractNumId w:val="8"/>
  </w:num>
  <w:num w:numId="27">
    <w:abstractNumId w:val="0"/>
  </w:num>
  <w:num w:numId="28">
    <w:abstractNumId w:val="39"/>
  </w:num>
  <w:num w:numId="29">
    <w:abstractNumId w:val="58"/>
  </w:num>
  <w:num w:numId="30">
    <w:abstractNumId w:val="9"/>
  </w:num>
  <w:num w:numId="31">
    <w:abstractNumId w:val="2"/>
  </w:num>
  <w:num w:numId="32">
    <w:abstractNumId w:val="37"/>
  </w:num>
  <w:num w:numId="33">
    <w:abstractNumId w:val="23"/>
  </w:num>
  <w:num w:numId="34">
    <w:abstractNumId w:val="55"/>
  </w:num>
  <w:num w:numId="35">
    <w:abstractNumId w:val="20"/>
  </w:num>
  <w:num w:numId="36">
    <w:abstractNumId w:val="28"/>
  </w:num>
  <w:num w:numId="37">
    <w:abstractNumId w:val="59"/>
  </w:num>
  <w:num w:numId="38">
    <w:abstractNumId w:val="21"/>
  </w:num>
  <w:num w:numId="39">
    <w:abstractNumId w:val="56"/>
  </w:num>
  <w:num w:numId="40">
    <w:abstractNumId w:val="22"/>
  </w:num>
  <w:num w:numId="41">
    <w:abstractNumId w:val="48"/>
  </w:num>
  <w:num w:numId="42">
    <w:abstractNumId w:val="12"/>
  </w:num>
  <w:num w:numId="43">
    <w:abstractNumId w:val="52"/>
  </w:num>
  <w:num w:numId="44">
    <w:abstractNumId w:val="3"/>
  </w:num>
  <w:num w:numId="45">
    <w:abstractNumId w:val="13"/>
  </w:num>
  <w:num w:numId="46">
    <w:abstractNumId w:val="13"/>
  </w:num>
  <w:num w:numId="47">
    <w:abstractNumId w:val="13"/>
  </w:num>
  <w:num w:numId="48">
    <w:abstractNumId w:val="13"/>
  </w:num>
  <w:num w:numId="49">
    <w:abstractNumId w:val="29"/>
  </w:num>
  <w:num w:numId="50">
    <w:abstractNumId w:val="43"/>
  </w:num>
  <w:num w:numId="51">
    <w:abstractNumId w:val="32"/>
  </w:num>
  <w:num w:numId="52">
    <w:abstractNumId w:val="19"/>
  </w:num>
  <w:num w:numId="53">
    <w:abstractNumId w:val="7"/>
  </w:num>
  <w:num w:numId="54">
    <w:abstractNumId w:val="51"/>
  </w:num>
  <w:num w:numId="55">
    <w:abstractNumId w:val="47"/>
  </w:num>
  <w:num w:numId="56">
    <w:abstractNumId w:val="63"/>
  </w:num>
  <w:num w:numId="57">
    <w:abstractNumId w:val="11"/>
  </w:num>
  <w:num w:numId="58">
    <w:abstractNumId w:val="25"/>
  </w:num>
  <w:num w:numId="59">
    <w:abstractNumId w:val="34"/>
  </w:num>
  <w:num w:numId="60">
    <w:abstractNumId w:val="15"/>
  </w:num>
  <w:num w:numId="61">
    <w:abstractNumId w:val="27"/>
  </w:num>
  <w:num w:numId="62">
    <w:abstractNumId w:val="10"/>
  </w:num>
  <w:num w:numId="63">
    <w:abstractNumId w:val="65"/>
  </w:num>
  <w:num w:numId="64">
    <w:abstractNumId w:val="50"/>
  </w:num>
  <w:num w:numId="65">
    <w:abstractNumId w:val="26"/>
  </w:num>
  <w:num w:numId="66">
    <w:abstractNumId w:val="31"/>
  </w:num>
  <w:num w:numId="67">
    <w:abstractNumId w:val="24"/>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24"/>
    <w:lvlOverride w:ilvl="0">
      <w:startOverride w:val="1"/>
    </w:lvlOverride>
    <w:lvlOverride w:ilvl="1"/>
    <w:lvlOverride w:ilvl="2"/>
    <w:lvlOverride w:ilvl="3"/>
    <w:lvlOverride w:ilvl="4"/>
    <w:lvlOverride w:ilvl="5"/>
    <w:lvlOverride w:ilvl="6"/>
    <w:lvlOverride w:ilvl="7"/>
    <w:lvlOverride w:ilvl="8"/>
  </w:num>
  <w:num w:numId="70">
    <w:abstractNumId w:val="45"/>
  </w:num>
  <w:num w:numId="71">
    <w:abstractNumId w:val="24"/>
    <w:lvlOverride w:ilvl="0">
      <w:startOverride w:val="1"/>
    </w:lvlOverride>
    <w:lvlOverride w:ilvl="1"/>
    <w:lvlOverride w:ilvl="2"/>
    <w:lvlOverride w:ilvl="3"/>
    <w:lvlOverride w:ilvl="4"/>
    <w:lvlOverride w:ilvl="5"/>
    <w:lvlOverride w:ilvl="6"/>
    <w:lvlOverride w:ilvl="7"/>
    <w:lvlOverride w:ilvl="8"/>
  </w:num>
  <w:num w:numId="72">
    <w:abstractNumId w:val="45"/>
  </w:num>
  <w:num w:numId="73">
    <w:abstractNumId w:val="18"/>
  </w:num>
  <w:num w:numId="74">
    <w:abstractNumId w:val="38"/>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254"/>
    <w:rsid w:val="000002A3"/>
    <w:rsid w:val="00000BE8"/>
    <w:rsid w:val="00001A83"/>
    <w:rsid w:val="00001CED"/>
    <w:rsid w:val="00002477"/>
    <w:rsid w:val="000027FF"/>
    <w:rsid w:val="00003540"/>
    <w:rsid w:val="00003EFE"/>
    <w:rsid w:val="00004402"/>
    <w:rsid w:val="000047CD"/>
    <w:rsid w:val="00004A9C"/>
    <w:rsid w:val="00004CDC"/>
    <w:rsid w:val="00005883"/>
    <w:rsid w:val="000068C4"/>
    <w:rsid w:val="00006BD6"/>
    <w:rsid w:val="0000759A"/>
    <w:rsid w:val="000079E5"/>
    <w:rsid w:val="00007C50"/>
    <w:rsid w:val="000101BA"/>
    <w:rsid w:val="0001036E"/>
    <w:rsid w:val="000107B3"/>
    <w:rsid w:val="000117A4"/>
    <w:rsid w:val="00012204"/>
    <w:rsid w:val="00012D45"/>
    <w:rsid w:val="0001389C"/>
    <w:rsid w:val="000139A4"/>
    <w:rsid w:val="00013FE0"/>
    <w:rsid w:val="000142F9"/>
    <w:rsid w:val="00014458"/>
    <w:rsid w:val="00014476"/>
    <w:rsid w:val="000147D6"/>
    <w:rsid w:val="00014FA6"/>
    <w:rsid w:val="00015338"/>
    <w:rsid w:val="00015442"/>
    <w:rsid w:val="00015DD3"/>
    <w:rsid w:val="000169C3"/>
    <w:rsid w:val="00016E3F"/>
    <w:rsid w:val="0001727E"/>
    <w:rsid w:val="00017BBB"/>
    <w:rsid w:val="00017D47"/>
    <w:rsid w:val="0002058D"/>
    <w:rsid w:val="0002080D"/>
    <w:rsid w:val="00021F35"/>
    <w:rsid w:val="000229BE"/>
    <w:rsid w:val="00022B9E"/>
    <w:rsid w:val="00022ECC"/>
    <w:rsid w:val="00023273"/>
    <w:rsid w:val="000236A7"/>
    <w:rsid w:val="00023D01"/>
    <w:rsid w:val="00024104"/>
    <w:rsid w:val="00024C89"/>
    <w:rsid w:val="00024CA9"/>
    <w:rsid w:val="000256A8"/>
    <w:rsid w:val="00025725"/>
    <w:rsid w:val="00025738"/>
    <w:rsid w:val="00025975"/>
    <w:rsid w:val="000259B7"/>
    <w:rsid w:val="0002610A"/>
    <w:rsid w:val="00026135"/>
    <w:rsid w:val="00026179"/>
    <w:rsid w:val="000264E7"/>
    <w:rsid w:val="00026F42"/>
    <w:rsid w:val="00027810"/>
    <w:rsid w:val="000314FD"/>
    <w:rsid w:val="00031E81"/>
    <w:rsid w:val="00032A10"/>
    <w:rsid w:val="00032ADD"/>
    <w:rsid w:val="00033891"/>
    <w:rsid w:val="000345F6"/>
    <w:rsid w:val="00034786"/>
    <w:rsid w:val="00035134"/>
    <w:rsid w:val="00035152"/>
    <w:rsid w:val="00035CD2"/>
    <w:rsid w:val="00035F73"/>
    <w:rsid w:val="00036200"/>
    <w:rsid w:val="00036948"/>
    <w:rsid w:val="00036B4F"/>
    <w:rsid w:val="00037274"/>
    <w:rsid w:val="00037A45"/>
    <w:rsid w:val="00037BD8"/>
    <w:rsid w:val="00037C93"/>
    <w:rsid w:val="00037F35"/>
    <w:rsid w:val="00037F7F"/>
    <w:rsid w:val="0004010A"/>
    <w:rsid w:val="00040497"/>
    <w:rsid w:val="000405BB"/>
    <w:rsid w:val="00040625"/>
    <w:rsid w:val="00040A8B"/>
    <w:rsid w:val="00040CFE"/>
    <w:rsid w:val="00040E05"/>
    <w:rsid w:val="00040F34"/>
    <w:rsid w:val="00041D7C"/>
    <w:rsid w:val="00042851"/>
    <w:rsid w:val="00042DF9"/>
    <w:rsid w:val="00042EBB"/>
    <w:rsid w:val="00043ED4"/>
    <w:rsid w:val="000441ED"/>
    <w:rsid w:val="00044447"/>
    <w:rsid w:val="00044CF3"/>
    <w:rsid w:val="00044D34"/>
    <w:rsid w:val="0004524F"/>
    <w:rsid w:val="00045A7E"/>
    <w:rsid w:val="0004650E"/>
    <w:rsid w:val="00046765"/>
    <w:rsid w:val="00046B8C"/>
    <w:rsid w:val="000472F0"/>
    <w:rsid w:val="0004730A"/>
    <w:rsid w:val="00047503"/>
    <w:rsid w:val="00047DA3"/>
    <w:rsid w:val="000506F0"/>
    <w:rsid w:val="0005094A"/>
    <w:rsid w:val="000509DA"/>
    <w:rsid w:val="00051064"/>
    <w:rsid w:val="000518F0"/>
    <w:rsid w:val="0005200B"/>
    <w:rsid w:val="000523A3"/>
    <w:rsid w:val="00053BD3"/>
    <w:rsid w:val="00053D34"/>
    <w:rsid w:val="00053F39"/>
    <w:rsid w:val="000542AB"/>
    <w:rsid w:val="00055467"/>
    <w:rsid w:val="0005597A"/>
    <w:rsid w:val="00055B17"/>
    <w:rsid w:val="00055BDA"/>
    <w:rsid w:val="000560FC"/>
    <w:rsid w:val="0005611B"/>
    <w:rsid w:val="00056CAF"/>
    <w:rsid w:val="00056D48"/>
    <w:rsid w:val="000577D1"/>
    <w:rsid w:val="00057D13"/>
    <w:rsid w:val="000604CF"/>
    <w:rsid w:val="00060669"/>
    <w:rsid w:val="000607AC"/>
    <w:rsid w:val="00060B68"/>
    <w:rsid w:val="00060FF6"/>
    <w:rsid w:val="000613C0"/>
    <w:rsid w:val="00061AAF"/>
    <w:rsid w:val="00061C46"/>
    <w:rsid w:val="000623E8"/>
    <w:rsid w:val="000624EB"/>
    <w:rsid w:val="00062978"/>
    <w:rsid w:val="00062B48"/>
    <w:rsid w:val="00063B11"/>
    <w:rsid w:val="00063C8A"/>
    <w:rsid w:val="00064536"/>
    <w:rsid w:val="00064B82"/>
    <w:rsid w:val="00064D42"/>
    <w:rsid w:val="0006527B"/>
    <w:rsid w:val="00065967"/>
    <w:rsid w:val="00065ACA"/>
    <w:rsid w:val="00066219"/>
    <w:rsid w:val="00066955"/>
    <w:rsid w:val="00066A7D"/>
    <w:rsid w:val="00066B47"/>
    <w:rsid w:val="00066D3C"/>
    <w:rsid w:val="00070585"/>
    <w:rsid w:val="00070A24"/>
    <w:rsid w:val="00071974"/>
    <w:rsid w:val="00071CA5"/>
    <w:rsid w:val="00071E5B"/>
    <w:rsid w:val="00072024"/>
    <w:rsid w:val="000728B5"/>
    <w:rsid w:val="00072A73"/>
    <w:rsid w:val="00072FE7"/>
    <w:rsid w:val="00073183"/>
    <w:rsid w:val="000737A5"/>
    <w:rsid w:val="00073AA7"/>
    <w:rsid w:val="00073CC6"/>
    <w:rsid w:val="000756C3"/>
    <w:rsid w:val="000759AB"/>
    <w:rsid w:val="00076711"/>
    <w:rsid w:val="000768D7"/>
    <w:rsid w:val="00076967"/>
    <w:rsid w:val="00076E5A"/>
    <w:rsid w:val="00076EE5"/>
    <w:rsid w:val="000770E1"/>
    <w:rsid w:val="000775C0"/>
    <w:rsid w:val="00077DA7"/>
    <w:rsid w:val="00077E98"/>
    <w:rsid w:val="00080270"/>
    <w:rsid w:val="0008029D"/>
    <w:rsid w:val="000804D5"/>
    <w:rsid w:val="00080B00"/>
    <w:rsid w:val="00081C23"/>
    <w:rsid w:val="00081C72"/>
    <w:rsid w:val="00081E1B"/>
    <w:rsid w:val="000826F6"/>
    <w:rsid w:val="000828B8"/>
    <w:rsid w:val="000831CA"/>
    <w:rsid w:val="00083334"/>
    <w:rsid w:val="0008355C"/>
    <w:rsid w:val="00084692"/>
    <w:rsid w:val="00084BA9"/>
    <w:rsid w:val="00085037"/>
    <w:rsid w:val="0008569F"/>
    <w:rsid w:val="00085A8D"/>
    <w:rsid w:val="00086262"/>
    <w:rsid w:val="000862A4"/>
    <w:rsid w:val="000864A6"/>
    <w:rsid w:val="000909A2"/>
    <w:rsid w:val="000912D2"/>
    <w:rsid w:val="0009133F"/>
    <w:rsid w:val="000916AB"/>
    <w:rsid w:val="000916F2"/>
    <w:rsid w:val="000917B7"/>
    <w:rsid w:val="0009263A"/>
    <w:rsid w:val="000936EB"/>
    <w:rsid w:val="00093DF9"/>
    <w:rsid w:val="0009471B"/>
    <w:rsid w:val="00094ADF"/>
    <w:rsid w:val="00094CAF"/>
    <w:rsid w:val="00094F62"/>
    <w:rsid w:val="000951E5"/>
    <w:rsid w:val="0009526F"/>
    <w:rsid w:val="0009542D"/>
    <w:rsid w:val="00095712"/>
    <w:rsid w:val="00095C87"/>
    <w:rsid w:val="00096535"/>
    <w:rsid w:val="00096AB7"/>
    <w:rsid w:val="00096AFF"/>
    <w:rsid w:val="00097F11"/>
    <w:rsid w:val="000A010A"/>
    <w:rsid w:val="000A129D"/>
    <w:rsid w:val="000A193F"/>
    <w:rsid w:val="000A1E87"/>
    <w:rsid w:val="000A2505"/>
    <w:rsid w:val="000A28DD"/>
    <w:rsid w:val="000A2F73"/>
    <w:rsid w:val="000A399E"/>
    <w:rsid w:val="000A3AC9"/>
    <w:rsid w:val="000A41D5"/>
    <w:rsid w:val="000A43FB"/>
    <w:rsid w:val="000A458E"/>
    <w:rsid w:val="000A53DE"/>
    <w:rsid w:val="000A634F"/>
    <w:rsid w:val="000A686A"/>
    <w:rsid w:val="000A6EAE"/>
    <w:rsid w:val="000B0CD5"/>
    <w:rsid w:val="000B0E32"/>
    <w:rsid w:val="000B12E8"/>
    <w:rsid w:val="000B1411"/>
    <w:rsid w:val="000B1738"/>
    <w:rsid w:val="000B1EFE"/>
    <w:rsid w:val="000B387C"/>
    <w:rsid w:val="000B3E99"/>
    <w:rsid w:val="000B440D"/>
    <w:rsid w:val="000B4627"/>
    <w:rsid w:val="000B46D3"/>
    <w:rsid w:val="000B5781"/>
    <w:rsid w:val="000B5D11"/>
    <w:rsid w:val="000B5DF2"/>
    <w:rsid w:val="000B6A13"/>
    <w:rsid w:val="000B6DA9"/>
    <w:rsid w:val="000B6EF2"/>
    <w:rsid w:val="000B6F45"/>
    <w:rsid w:val="000B7BEF"/>
    <w:rsid w:val="000C0A33"/>
    <w:rsid w:val="000C1B08"/>
    <w:rsid w:val="000C1D25"/>
    <w:rsid w:val="000C2123"/>
    <w:rsid w:val="000C2B20"/>
    <w:rsid w:val="000C4288"/>
    <w:rsid w:val="000C4946"/>
    <w:rsid w:val="000C4DCE"/>
    <w:rsid w:val="000C607A"/>
    <w:rsid w:val="000C706A"/>
    <w:rsid w:val="000C70DB"/>
    <w:rsid w:val="000C7AFC"/>
    <w:rsid w:val="000D0160"/>
    <w:rsid w:val="000D1DB7"/>
    <w:rsid w:val="000D28BD"/>
    <w:rsid w:val="000D3A75"/>
    <w:rsid w:val="000D4800"/>
    <w:rsid w:val="000D49B5"/>
    <w:rsid w:val="000D4B15"/>
    <w:rsid w:val="000D4F60"/>
    <w:rsid w:val="000D5428"/>
    <w:rsid w:val="000D557F"/>
    <w:rsid w:val="000D577E"/>
    <w:rsid w:val="000D5A89"/>
    <w:rsid w:val="000D6AF5"/>
    <w:rsid w:val="000D73D8"/>
    <w:rsid w:val="000D76BB"/>
    <w:rsid w:val="000D7750"/>
    <w:rsid w:val="000D7D69"/>
    <w:rsid w:val="000E0473"/>
    <w:rsid w:val="000E093B"/>
    <w:rsid w:val="000E1633"/>
    <w:rsid w:val="000E1C4C"/>
    <w:rsid w:val="000E1EE3"/>
    <w:rsid w:val="000E264C"/>
    <w:rsid w:val="000E2ECD"/>
    <w:rsid w:val="000E2F2B"/>
    <w:rsid w:val="000E339B"/>
    <w:rsid w:val="000E3BAE"/>
    <w:rsid w:val="000E3DF0"/>
    <w:rsid w:val="000E4833"/>
    <w:rsid w:val="000E54E0"/>
    <w:rsid w:val="000E5869"/>
    <w:rsid w:val="000E601B"/>
    <w:rsid w:val="000E74B0"/>
    <w:rsid w:val="000E7786"/>
    <w:rsid w:val="000E79A7"/>
    <w:rsid w:val="000E7A07"/>
    <w:rsid w:val="000E7C40"/>
    <w:rsid w:val="000E7EB4"/>
    <w:rsid w:val="000F10BD"/>
    <w:rsid w:val="000F17E6"/>
    <w:rsid w:val="000F25E6"/>
    <w:rsid w:val="000F2A48"/>
    <w:rsid w:val="000F2E58"/>
    <w:rsid w:val="000F2EA6"/>
    <w:rsid w:val="000F2F03"/>
    <w:rsid w:val="000F3336"/>
    <w:rsid w:val="000F34A6"/>
    <w:rsid w:val="000F3D4B"/>
    <w:rsid w:val="000F4A15"/>
    <w:rsid w:val="000F4B52"/>
    <w:rsid w:val="000F4BFE"/>
    <w:rsid w:val="000F4C36"/>
    <w:rsid w:val="000F4C89"/>
    <w:rsid w:val="000F4CF6"/>
    <w:rsid w:val="000F4D2D"/>
    <w:rsid w:val="000F53E1"/>
    <w:rsid w:val="000F5A0A"/>
    <w:rsid w:val="000F5B6B"/>
    <w:rsid w:val="000F5C18"/>
    <w:rsid w:val="000F68C1"/>
    <w:rsid w:val="000F6BD4"/>
    <w:rsid w:val="000F768E"/>
    <w:rsid w:val="000F7A0A"/>
    <w:rsid w:val="0010174B"/>
    <w:rsid w:val="001017F3"/>
    <w:rsid w:val="00101AD3"/>
    <w:rsid w:val="00102496"/>
    <w:rsid w:val="001024D2"/>
    <w:rsid w:val="00102C5F"/>
    <w:rsid w:val="00102F86"/>
    <w:rsid w:val="001030C5"/>
    <w:rsid w:val="001032B0"/>
    <w:rsid w:val="001039D6"/>
    <w:rsid w:val="001053BB"/>
    <w:rsid w:val="001059DB"/>
    <w:rsid w:val="00105DB2"/>
    <w:rsid w:val="0010607C"/>
    <w:rsid w:val="00106200"/>
    <w:rsid w:val="001062E9"/>
    <w:rsid w:val="00106CC0"/>
    <w:rsid w:val="00106F4F"/>
    <w:rsid w:val="00107383"/>
    <w:rsid w:val="00107622"/>
    <w:rsid w:val="001100F4"/>
    <w:rsid w:val="001103F8"/>
    <w:rsid w:val="0011112D"/>
    <w:rsid w:val="001113F6"/>
    <w:rsid w:val="00111883"/>
    <w:rsid w:val="001120C9"/>
    <w:rsid w:val="001121CF"/>
    <w:rsid w:val="00112C2A"/>
    <w:rsid w:val="00113078"/>
    <w:rsid w:val="001133E1"/>
    <w:rsid w:val="00113575"/>
    <w:rsid w:val="001135ED"/>
    <w:rsid w:val="001139D2"/>
    <w:rsid w:val="00114157"/>
    <w:rsid w:val="00114B95"/>
    <w:rsid w:val="00114DE3"/>
    <w:rsid w:val="001152A0"/>
    <w:rsid w:val="00115883"/>
    <w:rsid w:val="00115AC9"/>
    <w:rsid w:val="001163BC"/>
    <w:rsid w:val="00116577"/>
    <w:rsid w:val="00116A09"/>
    <w:rsid w:val="001172C3"/>
    <w:rsid w:val="00117CDF"/>
    <w:rsid w:val="00117E10"/>
    <w:rsid w:val="0012008B"/>
    <w:rsid w:val="001202F0"/>
    <w:rsid w:val="00121827"/>
    <w:rsid w:val="00121B76"/>
    <w:rsid w:val="00121D4E"/>
    <w:rsid w:val="001221B3"/>
    <w:rsid w:val="0012234B"/>
    <w:rsid w:val="0012262F"/>
    <w:rsid w:val="00122EE3"/>
    <w:rsid w:val="00123767"/>
    <w:rsid w:val="00124A4E"/>
    <w:rsid w:val="00125678"/>
    <w:rsid w:val="00126516"/>
    <w:rsid w:val="001265D5"/>
    <w:rsid w:val="001266AE"/>
    <w:rsid w:val="00126CA2"/>
    <w:rsid w:val="001276AD"/>
    <w:rsid w:val="00130E93"/>
    <w:rsid w:val="00132569"/>
    <w:rsid w:val="00133859"/>
    <w:rsid w:val="0013415C"/>
    <w:rsid w:val="001341EE"/>
    <w:rsid w:val="0013432B"/>
    <w:rsid w:val="001349A5"/>
    <w:rsid w:val="0013505E"/>
    <w:rsid w:val="00136174"/>
    <w:rsid w:val="00136B73"/>
    <w:rsid w:val="001370D5"/>
    <w:rsid w:val="0013718C"/>
    <w:rsid w:val="001371FE"/>
    <w:rsid w:val="0013775D"/>
    <w:rsid w:val="00137AAB"/>
    <w:rsid w:val="00137D8B"/>
    <w:rsid w:val="00137EC4"/>
    <w:rsid w:val="00142401"/>
    <w:rsid w:val="00142821"/>
    <w:rsid w:val="00142F07"/>
    <w:rsid w:val="00142FB8"/>
    <w:rsid w:val="00144B0D"/>
    <w:rsid w:val="0014528E"/>
    <w:rsid w:val="00145E65"/>
    <w:rsid w:val="0014686A"/>
    <w:rsid w:val="001469CE"/>
    <w:rsid w:val="001504E1"/>
    <w:rsid w:val="00150A35"/>
    <w:rsid w:val="00150B7F"/>
    <w:rsid w:val="00150F87"/>
    <w:rsid w:val="00151049"/>
    <w:rsid w:val="001514A5"/>
    <w:rsid w:val="00151BEC"/>
    <w:rsid w:val="0015251F"/>
    <w:rsid w:val="0015257F"/>
    <w:rsid w:val="00152598"/>
    <w:rsid w:val="00152649"/>
    <w:rsid w:val="00152682"/>
    <w:rsid w:val="00152D62"/>
    <w:rsid w:val="00153468"/>
    <w:rsid w:val="0015399F"/>
    <w:rsid w:val="00154599"/>
    <w:rsid w:val="001550EB"/>
    <w:rsid w:val="00156A38"/>
    <w:rsid w:val="00156C80"/>
    <w:rsid w:val="00157706"/>
    <w:rsid w:val="00157B5D"/>
    <w:rsid w:val="001600D8"/>
    <w:rsid w:val="00160CEB"/>
    <w:rsid w:val="001610E9"/>
    <w:rsid w:val="0016112B"/>
    <w:rsid w:val="00161F7C"/>
    <w:rsid w:val="00162330"/>
    <w:rsid w:val="0016318C"/>
    <w:rsid w:val="001640B0"/>
    <w:rsid w:val="00164BDB"/>
    <w:rsid w:val="00165280"/>
    <w:rsid w:val="00165B80"/>
    <w:rsid w:val="00166E0B"/>
    <w:rsid w:val="0017065E"/>
    <w:rsid w:val="00170929"/>
    <w:rsid w:val="00171AA9"/>
    <w:rsid w:val="00171BBB"/>
    <w:rsid w:val="00172319"/>
    <w:rsid w:val="0017281A"/>
    <w:rsid w:val="00172E40"/>
    <w:rsid w:val="00172EC0"/>
    <w:rsid w:val="001734F9"/>
    <w:rsid w:val="00174003"/>
    <w:rsid w:val="00174075"/>
    <w:rsid w:val="0017466D"/>
    <w:rsid w:val="0017470C"/>
    <w:rsid w:val="00174F78"/>
    <w:rsid w:val="001753F1"/>
    <w:rsid w:val="001755D5"/>
    <w:rsid w:val="00176006"/>
    <w:rsid w:val="0017601D"/>
    <w:rsid w:val="001761E7"/>
    <w:rsid w:val="0017647E"/>
    <w:rsid w:val="001765F3"/>
    <w:rsid w:val="00176690"/>
    <w:rsid w:val="001768CB"/>
    <w:rsid w:val="00177049"/>
    <w:rsid w:val="00177462"/>
    <w:rsid w:val="001777F9"/>
    <w:rsid w:val="00177844"/>
    <w:rsid w:val="0018092A"/>
    <w:rsid w:val="00180A19"/>
    <w:rsid w:val="00180C62"/>
    <w:rsid w:val="00181481"/>
    <w:rsid w:val="00181806"/>
    <w:rsid w:val="001824CB"/>
    <w:rsid w:val="00182F79"/>
    <w:rsid w:val="00183B25"/>
    <w:rsid w:val="001849CA"/>
    <w:rsid w:val="001856B6"/>
    <w:rsid w:val="00185800"/>
    <w:rsid w:val="0018615C"/>
    <w:rsid w:val="001862D1"/>
    <w:rsid w:val="0018693C"/>
    <w:rsid w:val="001876BF"/>
    <w:rsid w:val="00187CE4"/>
    <w:rsid w:val="00190B89"/>
    <w:rsid w:val="0019162C"/>
    <w:rsid w:val="00191BEF"/>
    <w:rsid w:val="0019263B"/>
    <w:rsid w:val="001926E3"/>
    <w:rsid w:val="0019279F"/>
    <w:rsid w:val="00192DE4"/>
    <w:rsid w:val="001935DF"/>
    <w:rsid w:val="00193BEC"/>
    <w:rsid w:val="00195627"/>
    <w:rsid w:val="00195B36"/>
    <w:rsid w:val="00196027"/>
    <w:rsid w:val="001961BE"/>
    <w:rsid w:val="00196936"/>
    <w:rsid w:val="00196C95"/>
    <w:rsid w:val="00196F09"/>
    <w:rsid w:val="001973BF"/>
    <w:rsid w:val="001A0263"/>
    <w:rsid w:val="001A0DFF"/>
    <w:rsid w:val="001A1A14"/>
    <w:rsid w:val="001A1F25"/>
    <w:rsid w:val="001A2977"/>
    <w:rsid w:val="001A2B18"/>
    <w:rsid w:val="001A40F5"/>
    <w:rsid w:val="001A416B"/>
    <w:rsid w:val="001A425B"/>
    <w:rsid w:val="001A48CA"/>
    <w:rsid w:val="001A5702"/>
    <w:rsid w:val="001A5B6E"/>
    <w:rsid w:val="001A6B96"/>
    <w:rsid w:val="001A6C3F"/>
    <w:rsid w:val="001A6FF2"/>
    <w:rsid w:val="001A7042"/>
    <w:rsid w:val="001A74EE"/>
    <w:rsid w:val="001A7BAE"/>
    <w:rsid w:val="001A7EC6"/>
    <w:rsid w:val="001A7EF2"/>
    <w:rsid w:val="001B06BF"/>
    <w:rsid w:val="001B09BA"/>
    <w:rsid w:val="001B1D3A"/>
    <w:rsid w:val="001B227E"/>
    <w:rsid w:val="001B240F"/>
    <w:rsid w:val="001B40B3"/>
    <w:rsid w:val="001B40F3"/>
    <w:rsid w:val="001B469F"/>
    <w:rsid w:val="001B48EF"/>
    <w:rsid w:val="001B5963"/>
    <w:rsid w:val="001B653E"/>
    <w:rsid w:val="001B6F6B"/>
    <w:rsid w:val="001B7470"/>
    <w:rsid w:val="001C132D"/>
    <w:rsid w:val="001C1BA1"/>
    <w:rsid w:val="001C1CA8"/>
    <w:rsid w:val="001C255C"/>
    <w:rsid w:val="001C25F0"/>
    <w:rsid w:val="001C2636"/>
    <w:rsid w:val="001C2765"/>
    <w:rsid w:val="001C281D"/>
    <w:rsid w:val="001C2C05"/>
    <w:rsid w:val="001C3511"/>
    <w:rsid w:val="001C37EA"/>
    <w:rsid w:val="001C433F"/>
    <w:rsid w:val="001C4616"/>
    <w:rsid w:val="001C5098"/>
    <w:rsid w:val="001C522B"/>
    <w:rsid w:val="001C5B2C"/>
    <w:rsid w:val="001C5BD9"/>
    <w:rsid w:val="001C608F"/>
    <w:rsid w:val="001C6296"/>
    <w:rsid w:val="001C62EB"/>
    <w:rsid w:val="001C6B34"/>
    <w:rsid w:val="001C6E87"/>
    <w:rsid w:val="001C6F85"/>
    <w:rsid w:val="001C78B6"/>
    <w:rsid w:val="001C78BF"/>
    <w:rsid w:val="001C7992"/>
    <w:rsid w:val="001C7A52"/>
    <w:rsid w:val="001C7C09"/>
    <w:rsid w:val="001C7DCA"/>
    <w:rsid w:val="001D07CB"/>
    <w:rsid w:val="001D0B7E"/>
    <w:rsid w:val="001D0E25"/>
    <w:rsid w:val="001D10CE"/>
    <w:rsid w:val="001D1C27"/>
    <w:rsid w:val="001D1F31"/>
    <w:rsid w:val="001D21EE"/>
    <w:rsid w:val="001D2580"/>
    <w:rsid w:val="001D2781"/>
    <w:rsid w:val="001D27FA"/>
    <w:rsid w:val="001D2C03"/>
    <w:rsid w:val="001D3309"/>
    <w:rsid w:val="001D362C"/>
    <w:rsid w:val="001D394E"/>
    <w:rsid w:val="001D3963"/>
    <w:rsid w:val="001D3B83"/>
    <w:rsid w:val="001D413F"/>
    <w:rsid w:val="001D43EF"/>
    <w:rsid w:val="001D4862"/>
    <w:rsid w:val="001D486B"/>
    <w:rsid w:val="001D4BA0"/>
    <w:rsid w:val="001D53A9"/>
    <w:rsid w:val="001D5629"/>
    <w:rsid w:val="001D66B2"/>
    <w:rsid w:val="001D75EF"/>
    <w:rsid w:val="001D7E0E"/>
    <w:rsid w:val="001D7E3E"/>
    <w:rsid w:val="001E0F91"/>
    <w:rsid w:val="001E2114"/>
    <w:rsid w:val="001E2913"/>
    <w:rsid w:val="001E32C3"/>
    <w:rsid w:val="001E3446"/>
    <w:rsid w:val="001E39F8"/>
    <w:rsid w:val="001E3BE3"/>
    <w:rsid w:val="001E3C87"/>
    <w:rsid w:val="001E3D5D"/>
    <w:rsid w:val="001E3EB5"/>
    <w:rsid w:val="001E46CE"/>
    <w:rsid w:val="001E4797"/>
    <w:rsid w:val="001E4DBD"/>
    <w:rsid w:val="001E5E60"/>
    <w:rsid w:val="001E7173"/>
    <w:rsid w:val="001E7189"/>
    <w:rsid w:val="001E7251"/>
    <w:rsid w:val="001E7497"/>
    <w:rsid w:val="001E7DFE"/>
    <w:rsid w:val="001F0389"/>
    <w:rsid w:val="001F0AFF"/>
    <w:rsid w:val="001F0B86"/>
    <w:rsid w:val="001F14AB"/>
    <w:rsid w:val="001F167A"/>
    <w:rsid w:val="001F1B93"/>
    <w:rsid w:val="001F1E63"/>
    <w:rsid w:val="001F21CA"/>
    <w:rsid w:val="001F253D"/>
    <w:rsid w:val="001F28F2"/>
    <w:rsid w:val="001F2E94"/>
    <w:rsid w:val="001F31C7"/>
    <w:rsid w:val="001F3CDD"/>
    <w:rsid w:val="001F3DEF"/>
    <w:rsid w:val="001F4222"/>
    <w:rsid w:val="001F4631"/>
    <w:rsid w:val="001F46E2"/>
    <w:rsid w:val="001F48AD"/>
    <w:rsid w:val="001F5325"/>
    <w:rsid w:val="001F65B2"/>
    <w:rsid w:val="001F671A"/>
    <w:rsid w:val="001F675E"/>
    <w:rsid w:val="001F67C4"/>
    <w:rsid w:val="001F7DBD"/>
    <w:rsid w:val="002002A2"/>
    <w:rsid w:val="00200390"/>
    <w:rsid w:val="0020045D"/>
    <w:rsid w:val="00200464"/>
    <w:rsid w:val="00201648"/>
    <w:rsid w:val="00201738"/>
    <w:rsid w:val="00201CB1"/>
    <w:rsid w:val="0020200B"/>
    <w:rsid w:val="00202102"/>
    <w:rsid w:val="00202689"/>
    <w:rsid w:val="002026D2"/>
    <w:rsid w:val="00202DBD"/>
    <w:rsid w:val="00203255"/>
    <w:rsid w:val="00203CD6"/>
    <w:rsid w:val="0020489A"/>
    <w:rsid w:val="002051E6"/>
    <w:rsid w:val="002059B9"/>
    <w:rsid w:val="00205B19"/>
    <w:rsid w:val="00205BD5"/>
    <w:rsid w:val="00205FAE"/>
    <w:rsid w:val="00207549"/>
    <w:rsid w:val="00207A33"/>
    <w:rsid w:val="00207E4E"/>
    <w:rsid w:val="00210115"/>
    <w:rsid w:val="002103F6"/>
    <w:rsid w:val="00210D52"/>
    <w:rsid w:val="00210D7F"/>
    <w:rsid w:val="00210F08"/>
    <w:rsid w:val="0021194F"/>
    <w:rsid w:val="00212632"/>
    <w:rsid w:val="00213502"/>
    <w:rsid w:val="0021359A"/>
    <w:rsid w:val="002137C1"/>
    <w:rsid w:val="002139D9"/>
    <w:rsid w:val="00213DCF"/>
    <w:rsid w:val="002143F0"/>
    <w:rsid w:val="00214580"/>
    <w:rsid w:val="002150B2"/>
    <w:rsid w:val="00215556"/>
    <w:rsid w:val="00215803"/>
    <w:rsid w:val="002159B0"/>
    <w:rsid w:val="002166F9"/>
    <w:rsid w:val="00216E04"/>
    <w:rsid w:val="0021705F"/>
    <w:rsid w:val="00217400"/>
    <w:rsid w:val="002178E3"/>
    <w:rsid w:val="0022000E"/>
    <w:rsid w:val="00220088"/>
    <w:rsid w:val="002204F9"/>
    <w:rsid w:val="002206D4"/>
    <w:rsid w:val="00220A63"/>
    <w:rsid w:val="00221408"/>
    <w:rsid w:val="002215FB"/>
    <w:rsid w:val="00221608"/>
    <w:rsid w:val="00222607"/>
    <w:rsid w:val="0022293C"/>
    <w:rsid w:val="00222968"/>
    <w:rsid w:val="00222E3A"/>
    <w:rsid w:val="00223900"/>
    <w:rsid w:val="00223AE7"/>
    <w:rsid w:val="00223C09"/>
    <w:rsid w:val="00223CC6"/>
    <w:rsid w:val="00223D59"/>
    <w:rsid w:val="00224109"/>
    <w:rsid w:val="0022489F"/>
    <w:rsid w:val="00224CCB"/>
    <w:rsid w:val="002252F0"/>
    <w:rsid w:val="00225860"/>
    <w:rsid w:val="00225DF7"/>
    <w:rsid w:val="00225EF6"/>
    <w:rsid w:val="0022600F"/>
    <w:rsid w:val="002265C0"/>
    <w:rsid w:val="00226B02"/>
    <w:rsid w:val="00226FDA"/>
    <w:rsid w:val="002275A7"/>
    <w:rsid w:val="00227735"/>
    <w:rsid w:val="00230B2C"/>
    <w:rsid w:val="00230BA1"/>
    <w:rsid w:val="00230C3C"/>
    <w:rsid w:val="0023139A"/>
    <w:rsid w:val="00231672"/>
    <w:rsid w:val="00231A4A"/>
    <w:rsid w:val="002327F7"/>
    <w:rsid w:val="002329A5"/>
    <w:rsid w:val="00233F35"/>
    <w:rsid w:val="0023437F"/>
    <w:rsid w:val="002345B3"/>
    <w:rsid w:val="002346F1"/>
    <w:rsid w:val="00234C12"/>
    <w:rsid w:val="00235595"/>
    <w:rsid w:val="002359C7"/>
    <w:rsid w:val="002369A4"/>
    <w:rsid w:val="00236A39"/>
    <w:rsid w:val="00236B43"/>
    <w:rsid w:val="00237784"/>
    <w:rsid w:val="0023EFD9"/>
    <w:rsid w:val="002402DC"/>
    <w:rsid w:val="002405EB"/>
    <w:rsid w:val="00241D75"/>
    <w:rsid w:val="00241DE4"/>
    <w:rsid w:val="002421BF"/>
    <w:rsid w:val="002424AE"/>
    <w:rsid w:val="00242819"/>
    <w:rsid w:val="00242892"/>
    <w:rsid w:val="002429D3"/>
    <w:rsid w:val="002436B2"/>
    <w:rsid w:val="00243D12"/>
    <w:rsid w:val="002442C5"/>
    <w:rsid w:val="0024459D"/>
    <w:rsid w:val="002446C6"/>
    <w:rsid w:val="00244710"/>
    <w:rsid w:val="002455F9"/>
    <w:rsid w:val="00245E9C"/>
    <w:rsid w:val="0024651F"/>
    <w:rsid w:val="00246688"/>
    <w:rsid w:val="0024691D"/>
    <w:rsid w:val="00247B07"/>
    <w:rsid w:val="00250567"/>
    <w:rsid w:val="00250662"/>
    <w:rsid w:val="00250FBE"/>
    <w:rsid w:val="0025175D"/>
    <w:rsid w:val="002519B1"/>
    <w:rsid w:val="00251D9B"/>
    <w:rsid w:val="00251EAB"/>
    <w:rsid w:val="00251F77"/>
    <w:rsid w:val="002523E4"/>
    <w:rsid w:val="002530FF"/>
    <w:rsid w:val="0025423D"/>
    <w:rsid w:val="002542EE"/>
    <w:rsid w:val="00254615"/>
    <w:rsid w:val="0025608B"/>
    <w:rsid w:val="002569CD"/>
    <w:rsid w:val="00256D8D"/>
    <w:rsid w:val="002573B7"/>
    <w:rsid w:val="00257525"/>
    <w:rsid w:val="0026027D"/>
    <w:rsid w:val="00260296"/>
    <w:rsid w:val="00260661"/>
    <w:rsid w:val="00260BE3"/>
    <w:rsid w:val="00260C4C"/>
    <w:rsid w:val="00261F36"/>
    <w:rsid w:val="002621EC"/>
    <w:rsid w:val="002622F8"/>
    <w:rsid w:val="00262328"/>
    <w:rsid w:val="00262834"/>
    <w:rsid w:val="002636EF"/>
    <w:rsid w:val="002642B0"/>
    <w:rsid w:val="0026481A"/>
    <w:rsid w:val="002649C8"/>
    <w:rsid w:val="00264A75"/>
    <w:rsid w:val="00265456"/>
    <w:rsid w:val="00265CBC"/>
    <w:rsid w:val="00265DBF"/>
    <w:rsid w:val="00265E82"/>
    <w:rsid w:val="00265EE5"/>
    <w:rsid w:val="00266039"/>
    <w:rsid w:val="00266437"/>
    <w:rsid w:val="0026656D"/>
    <w:rsid w:val="00266B4A"/>
    <w:rsid w:val="00266C04"/>
    <w:rsid w:val="00267F49"/>
    <w:rsid w:val="002701A0"/>
    <w:rsid w:val="002707E0"/>
    <w:rsid w:val="00270996"/>
    <w:rsid w:val="00270FA1"/>
    <w:rsid w:val="00271B9E"/>
    <w:rsid w:val="00272435"/>
    <w:rsid w:val="0027259F"/>
    <w:rsid w:val="002728A0"/>
    <w:rsid w:val="00272C13"/>
    <w:rsid w:val="002735CF"/>
    <w:rsid w:val="00273D48"/>
    <w:rsid w:val="00273FA4"/>
    <w:rsid w:val="002745B7"/>
    <w:rsid w:val="00274727"/>
    <w:rsid w:val="0027473C"/>
    <w:rsid w:val="00274D15"/>
    <w:rsid w:val="00274DE5"/>
    <w:rsid w:val="00274E45"/>
    <w:rsid w:val="00274E81"/>
    <w:rsid w:val="002750F2"/>
    <w:rsid w:val="00275123"/>
    <w:rsid w:val="0027558C"/>
    <w:rsid w:val="00275B93"/>
    <w:rsid w:val="002763AE"/>
    <w:rsid w:val="00276BE9"/>
    <w:rsid w:val="002772BA"/>
    <w:rsid w:val="002772BD"/>
    <w:rsid w:val="0028018D"/>
    <w:rsid w:val="00280A28"/>
    <w:rsid w:val="00280B68"/>
    <w:rsid w:val="00281747"/>
    <w:rsid w:val="00281CD3"/>
    <w:rsid w:val="0028214C"/>
    <w:rsid w:val="00282486"/>
    <w:rsid w:val="00282D87"/>
    <w:rsid w:val="00283629"/>
    <w:rsid w:val="00283910"/>
    <w:rsid w:val="002839F8"/>
    <w:rsid w:val="00283FB8"/>
    <w:rsid w:val="00284228"/>
    <w:rsid w:val="00284332"/>
    <w:rsid w:val="00284F61"/>
    <w:rsid w:val="00285294"/>
    <w:rsid w:val="00285D1B"/>
    <w:rsid w:val="00285D1F"/>
    <w:rsid w:val="00285D4B"/>
    <w:rsid w:val="002878BE"/>
    <w:rsid w:val="002878E2"/>
    <w:rsid w:val="00291E0C"/>
    <w:rsid w:val="002921A7"/>
    <w:rsid w:val="00292906"/>
    <w:rsid w:val="00293156"/>
    <w:rsid w:val="0029315A"/>
    <w:rsid w:val="00293457"/>
    <w:rsid w:val="002934E3"/>
    <w:rsid w:val="002935CB"/>
    <w:rsid w:val="002939DE"/>
    <w:rsid w:val="00293B9A"/>
    <w:rsid w:val="00294640"/>
    <w:rsid w:val="00295554"/>
    <w:rsid w:val="002959C0"/>
    <w:rsid w:val="002959C7"/>
    <w:rsid w:val="002960DB"/>
    <w:rsid w:val="002961DA"/>
    <w:rsid w:val="00296B70"/>
    <w:rsid w:val="00296CC4"/>
    <w:rsid w:val="00296F4F"/>
    <w:rsid w:val="00297BB2"/>
    <w:rsid w:val="002A0055"/>
    <w:rsid w:val="002A0C13"/>
    <w:rsid w:val="002A0DCF"/>
    <w:rsid w:val="002A202F"/>
    <w:rsid w:val="002A23DF"/>
    <w:rsid w:val="002A2679"/>
    <w:rsid w:val="002A31EA"/>
    <w:rsid w:val="002A3A4A"/>
    <w:rsid w:val="002A4FB5"/>
    <w:rsid w:val="002A50C6"/>
    <w:rsid w:val="002A5993"/>
    <w:rsid w:val="002A63B8"/>
    <w:rsid w:val="002A6BAB"/>
    <w:rsid w:val="002A6BEE"/>
    <w:rsid w:val="002A6CD8"/>
    <w:rsid w:val="002A6D15"/>
    <w:rsid w:val="002A76BD"/>
    <w:rsid w:val="002A7912"/>
    <w:rsid w:val="002B028D"/>
    <w:rsid w:val="002B0E42"/>
    <w:rsid w:val="002B0FA7"/>
    <w:rsid w:val="002B1BBF"/>
    <w:rsid w:val="002B2BE1"/>
    <w:rsid w:val="002B3411"/>
    <w:rsid w:val="002B3A6F"/>
    <w:rsid w:val="002B3B6B"/>
    <w:rsid w:val="002B3D45"/>
    <w:rsid w:val="002B450F"/>
    <w:rsid w:val="002B4781"/>
    <w:rsid w:val="002B483F"/>
    <w:rsid w:val="002B4D1C"/>
    <w:rsid w:val="002B4F9E"/>
    <w:rsid w:val="002B6694"/>
    <w:rsid w:val="002B68E6"/>
    <w:rsid w:val="002B6A9C"/>
    <w:rsid w:val="002B6B1D"/>
    <w:rsid w:val="002B6B85"/>
    <w:rsid w:val="002B704D"/>
    <w:rsid w:val="002B792F"/>
    <w:rsid w:val="002C0686"/>
    <w:rsid w:val="002C10FD"/>
    <w:rsid w:val="002C1274"/>
    <w:rsid w:val="002C1BCB"/>
    <w:rsid w:val="002C243B"/>
    <w:rsid w:val="002C27C8"/>
    <w:rsid w:val="002C29B4"/>
    <w:rsid w:val="002C35DE"/>
    <w:rsid w:val="002C402B"/>
    <w:rsid w:val="002C426E"/>
    <w:rsid w:val="002C4512"/>
    <w:rsid w:val="002C4F18"/>
    <w:rsid w:val="002C5320"/>
    <w:rsid w:val="002C536B"/>
    <w:rsid w:val="002C5846"/>
    <w:rsid w:val="002C5D02"/>
    <w:rsid w:val="002C5E48"/>
    <w:rsid w:val="002C7DC6"/>
    <w:rsid w:val="002C7F44"/>
    <w:rsid w:val="002D00FE"/>
    <w:rsid w:val="002D0188"/>
    <w:rsid w:val="002D051F"/>
    <w:rsid w:val="002D0E53"/>
    <w:rsid w:val="002D113A"/>
    <w:rsid w:val="002D125D"/>
    <w:rsid w:val="002D15F4"/>
    <w:rsid w:val="002D162C"/>
    <w:rsid w:val="002D2640"/>
    <w:rsid w:val="002D29A5"/>
    <w:rsid w:val="002D30ED"/>
    <w:rsid w:val="002D3B30"/>
    <w:rsid w:val="002D4FB7"/>
    <w:rsid w:val="002D5012"/>
    <w:rsid w:val="002D54C4"/>
    <w:rsid w:val="002D5A5D"/>
    <w:rsid w:val="002D66F7"/>
    <w:rsid w:val="002D68B2"/>
    <w:rsid w:val="002D7174"/>
    <w:rsid w:val="002D7E3A"/>
    <w:rsid w:val="002E0348"/>
    <w:rsid w:val="002E091E"/>
    <w:rsid w:val="002E0E67"/>
    <w:rsid w:val="002E16BC"/>
    <w:rsid w:val="002E1DC8"/>
    <w:rsid w:val="002E218B"/>
    <w:rsid w:val="002E219A"/>
    <w:rsid w:val="002E23A6"/>
    <w:rsid w:val="002E265F"/>
    <w:rsid w:val="002E2C98"/>
    <w:rsid w:val="002E2CBB"/>
    <w:rsid w:val="002E2CCF"/>
    <w:rsid w:val="002E4660"/>
    <w:rsid w:val="002E4C4F"/>
    <w:rsid w:val="002E4C71"/>
    <w:rsid w:val="002E4EC9"/>
    <w:rsid w:val="002E5350"/>
    <w:rsid w:val="002E5BC5"/>
    <w:rsid w:val="002E5DCC"/>
    <w:rsid w:val="002E639A"/>
    <w:rsid w:val="002E6A85"/>
    <w:rsid w:val="002E6C20"/>
    <w:rsid w:val="002E7905"/>
    <w:rsid w:val="002E7983"/>
    <w:rsid w:val="002F006C"/>
    <w:rsid w:val="002F0418"/>
    <w:rsid w:val="002F0912"/>
    <w:rsid w:val="002F1463"/>
    <w:rsid w:val="002F1512"/>
    <w:rsid w:val="002F1A6C"/>
    <w:rsid w:val="002F1AF2"/>
    <w:rsid w:val="002F24C2"/>
    <w:rsid w:val="002F2A58"/>
    <w:rsid w:val="002F30B0"/>
    <w:rsid w:val="002F3DB9"/>
    <w:rsid w:val="002F427F"/>
    <w:rsid w:val="002F47CB"/>
    <w:rsid w:val="002F4B37"/>
    <w:rsid w:val="002F51AC"/>
    <w:rsid w:val="002F5410"/>
    <w:rsid w:val="002F5447"/>
    <w:rsid w:val="002F5539"/>
    <w:rsid w:val="002F6779"/>
    <w:rsid w:val="002F72BA"/>
    <w:rsid w:val="00300103"/>
    <w:rsid w:val="003005C0"/>
    <w:rsid w:val="00301316"/>
    <w:rsid w:val="00301768"/>
    <w:rsid w:val="003021C8"/>
    <w:rsid w:val="003025BC"/>
    <w:rsid w:val="00302855"/>
    <w:rsid w:val="003029A2"/>
    <w:rsid w:val="00302C21"/>
    <w:rsid w:val="00303B80"/>
    <w:rsid w:val="00303BEB"/>
    <w:rsid w:val="00304300"/>
    <w:rsid w:val="0030484A"/>
    <w:rsid w:val="00304A8F"/>
    <w:rsid w:val="00304DA6"/>
    <w:rsid w:val="00304DCF"/>
    <w:rsid w:val="00304FA1"/>
    <w:rsid w:val="003053BD"/>
    <w:rsid w:val="003061D5"/>
    <w:rsid w:val="00306436"/>
    <w:rsid w:val="003065CB"/>
    <w:rsid w:val="00306E56"/>
    <w:rsid w:val="00307560"/>
    <w:rsid w:val="003076A2"/>
    <w:rsid w:val="00307C37"/>
    <w:rsid w:val="00307EA5"/>
    <w:rsid w:val="00310B9F"/>
    <w:rsid w:val="0031137D"/>
    <w:rsid w:val="00311F00"/>
    <w:rsid w:val="00312F17"/>
    <w:rsid w:val="003137E4"/>
    <w:rsid w:val="00313D84"/>
    <w:rsid w:val="00314345"/>
    <w:rsid w:val="003144DB"/>
    <w:rsid w:val="00314699"/>
    <w:rsid w:val="00315013"/>
    <w:rsid w:val="00315516"/>
    <w:rsid w:val="003156A7"/>
    <w:rsid w:val="003157BF"/>
    <w:rsid w:val="00315CFD"/>
    <w:rsid w:val="00315ED0"/>
    <w:rsid w:val="00315EE8"/>
    <w:rsid w:val="00316336"/>
    <w:rsid w:val="00316C37"/>
    <w:rsid w:val="00316DE3"/>
    <w:rsid w:val="0031716E"/>
    <w:rsid w:val="0031796F"/>
    <w:rsid w:val="003179DF"/>
    <w:rsid w:val="00317CBA"/>
    <w:rsid w:val="00317F26"/>
    <w:rsid w:val="003202C7"/>
    <w:rsid w:val="00320758"/>
    <w:rsid w:val="003222E7"/>
    <w:rsid w:val="00322B91"/>
    <w:rsid w:val="00322BD8"/>
    <w:rsid w:val="00322D41"/>
    <w:rsid w:val="00322E0A"/>
    <w:rsid w:val="00323D43"/>
    <w:rsid w:val="00323E8D"/>
    <w:rsid w:val="00324957"/>
    <w:rsid w:val="00324EB7"/>
    <w:rsid w:val="003254C6"/>
    <w:rsid w:val="00325C13"/>
    <w:rsid w:val="00325E11"/>
    <w:rsid w:val="0032625F"/>
    <w:rsid w:val="00326AD4"/>
    <w:rsid w:val="003271E2"/>
    <w:rsid w:val="00327FD0"/>
    <w:rsid w:val="003308D8"/>
    <w:rsid w:val="003315BB"/>
    <w:rsid w:val="003320DC"/>
    <w:rsid w:val="00332197"/>
    <w:rsid w:val="0033246E"/>
    <w:rsid w:val="0033273B"/>
    <w:rsid w:val="003327A6"/>
    <w:rsid w:val="003327B6"/>
    <w:rsid w:val="00332ADD"/>
    <w:rsid w:val="00332C89"/>
    <w:rsid w:val="00332D9B"/>
    <w:rsid w:val="00333079"/>
    <w:rsid w:val="003333C6"/>
    <w:rsid w:val="003335F2"/>
    <w:rsid w:val="00333A46"/>
    <w:rsid w:val="003346A1"/>
    <w:rsid w:val="00334DED"/>
    <w:rsid w:val="003356CF"/>
    <w:rsid w:val="00335856"/>
    <w:rsid w:val="003359EA"/>
    <w:rsid w:val="0033697F"/>
    <w:rsid w:val="00337332"/>
    <w:rsid w:val="003373DF"/>
    <w:rsid w:val="003375EE"/>
    <w:rsid w:val="003376BB"/>
    <w:rsid w:val="00337ABB"/>
    <w:rsid w:val="003401D7"/>
    <w:rsid w:val="00340B62"/>
    <w:rsid w:val="00341CA2"/>
    <w:rsid w:val="0034237A"/>
    <w:rsid w:val="003436A4"/>
    <w:rsid w:val="00344607"/>
    <w:rsid w:val="00344B45"/>
    <w:rsid w:val="0034562A"/>
    <w:rsid w:val="00345CF8"/>
    <w:rsid w:val="00345F9D"/>
    <w:rsid w:val="00346F5E"/>
    <w:rsid w:val="00346FF0"/>
    <w:rsid w:val="00347836"/>
    <w:rsid w:val="00347C33"/>
    <w:rsid w:val="003519B5"/>
    <w:rsid w:val="00351C1A"/>
    <w:rsid w:val="00351EDB"/>
    <w:rsid w:val="003526EA"/>
    <w:rsid w:val="00352912"/>
    <w:rsid w:val="0035372A"/>
    <w:rsid w:val="00353AE2"/>
    <w:rsid w:val="00353BCA"/>
    <w:rsid w:val="00353C68"/>
    <w:rsid w:val="00353F24"/>
    <w:rsid w:val="0035402D"/>
    <w:rsid w:val="00354195"/>
    <w:rsid w:val="0035424E"/>
    <w:rsid w:val="00354DE0"/>
    <w:rsid w:val="0035538E"/>
    <w:rsid w:val="00355763"/>
    <w:rsid w:val="00355801"/>
    <w:rsid w:val="00355A46"/>
    <w:rsid w:val="00355B1F"/>
    <w:rsid w:val="0035643B"/>
    <w:rsid w:val="00356637"/>
    <w:rsid w:val="003566BA"/>
    <w:rsid w:val="00356B06"/>
    <w:rsid w:val="003575F6"/>
    <w:rsid w:val="00357617"/>
    <w:rsid w:val="00361591"/>
    <w:rsid w:val="00361AC8"/>
    <w:rsid w:val="00361DD0"/>
    <w:rsid w:val="00361ECD"/>
    <w:rsid w:val="00362837"/>
    <w:rsid w:val="00362E07"/>
    <w:rsid w:val="00362FBA"/>
    <w:rsid w:val="0036327A"/>
    <w:rsid w:val="00363754"/>
    <w:rsid w:val="003638D7"/>
    <w:rsid w:val="00365686"/>
    <w:rsid w:val="0036595F"/>
    <w:rsid w:val="00365B39"/>
    <w:rsid w:val="00366FF9"/>
    <w:rsid w:val="003670A2"/>
    <w:rsid w:val="003678AE"/>
    <w:rsid w:val="003678C1"/>
    <w:rsid w:val="00367C2C"/>
    <w:rsid w:val="003704B6"/>
    <w:rsid w:val="00370F78"/>
    <w:rsid w:val="003715D6"/>
    <w:rsid w:val="0037229A"/>
    <w:rsid w:val="0037262C"/>
    <w:rsid w:val="00372753"/>
    <w:rsid w:val="003730DD"/>
    <w:rsid w:val="0037359A"/>
    <w:rsid w:val="00373D92"/>
    <w:rsid w:val="00374186"/>
    <w:rsid w:val="0037441E"/>
    <w:rsid w:val="0037468D"/>
    <w:rsid w:val="003747EA"/>
    <w:rsid w:val="00374847"/>
    <w:rsid w:val="00374BF2"/>
    <w:rsid w:val="00374D74"/>
    <w:rsid w:val="00374F35"/>
    <w:rsid w:val="0037509D"/>
    <w:rsid w:val="003766E6"/>
    <w:rsid w:val="003770F6"/>
    <w:rsid w:val="00377F7E"/>
    <w:rsid w:val="00380697"/>
    <w:rsid w:val="00380813"/>
    <w:rsid w:val="003811D5"/>
    <w:rsid w:val="00381920"/>
    <w:rsid w:val="003824C4"/>
    <w:rsid w:val="00382809"/>
    <w:rsid w:val="00382A40"/>
    <w:rsid w:val="00382C00"/>
    <w:rsid w:val="0038367D"/>
    <w:rsid w:val="003837CC"/>
    <w:rsid w:val="00383B18"/>
    <w:rsid w:val="00383C93"/>
    <w:rsid w:val="003843AB"/>
    <w:rsid w:val="00384901"/>
    <w:rsid w:val="0038528C"/>
    <w:rsid w:val="00385983"/>
    <w:rsid w:val="00385B12"/>
    <w:rsid w:val="00386141"/>
    <w:rsid w:val="003865EB"/>
    <w:rsid w:val="00386E79"/>
    <w:rsid w:val="00387546"/>
    <w:rsid w:val="003900EB"/>
    <w:rsid w:val="00390321"/>
    <w:rsid w:val="00390958"/>
    <w:rsid w:val="00390A3D"/>
    <w:rsid w:val="00390DAF"/>
    <w:rsid w:val="003910F6"/>
    <w:rsid w:val="003919AF"/>
    <w:rsid w:val="003924DD"/>
    <w:rsid w:val="00392832"/>
    <w:rsid w:val="00392BCB"/>
    <w:rsid w:val="00392EE5"/>
    <w:rsid w:val="00393B13"/>
    <w:rsid w:val="00393B90"/>
    <w:rsid w:val="00393D4B"/>
    <w:rsid w:val="0039420F"/>
    <w:rsid w:val="00394B3A"/>
    <w:rsid w:val="00395257"/>
    <w:rsid w:val="00395A6B"/>
    <w:rsid w:val="00396194"/>
    <w:rsid w:val="003961A2"/>
    <w:rsid w:val="00396C64"/>
    <w:rsid w:val="003973B8"/>
    <w:rsid w:val="003978E9"/>
    <w:rsid w:val="00397AE1"/>
    <w:rsid w:val="00397CB2"/>
    <w:rsid w:val="00397CFE"/>
    <w:rsid w:val="003A0123"/>
    <w:rsid w:val="003A0230"/>
    <w:rsid w:val="003A086D"/>
    <w:rsid w:val="003A0932"/>
    <w:rsid w:val="003A0BFC"/>
    <w:rsid w:val="003A2C5C"/>
    <w:rsid w:val="003A2D2E"/>
    <w:rsid w:val="003A317C"/>
    <w:rsid w:val="003A389C"/>
    <w:rsid w:val="003A3935"/>
    <w:rsid w:val="003A3EE8"/>
    <w:rsid w:val="003A4495"/>
    <w:rsid w:val="003A5138"/>
    <w:rsid w:val="003A57DD"/>
    <w:rsid w:val="003A5C38"/>
    <w:rsid w:val="003A5F35"/>
    <w:rsid w:val="003A6182"/>
    <w:rsid w:val="003A66B3"/>
    <w:rsid w:val="003A690F"/>
    <w:rsid w:val="003A6D9F"/>
    <w:rsid w:val="003A7169"/>
    <w:rsid w:val="003A728A"/>
    <w:rsid w:val="003A7602"/>
    <w:rsid w:val="003A789D"/>
    <w:rsid w:val="003A7C4D"/>
    <w:rsid w:val="003A7E70"/>
    <w:rsid w:val="003B04FA"/>
    <w:rsid w:val="003B1284"/>
    <w:rsid w:val="003B1839"/>
    <w:rsid w:val="003B2570"/>
    <w:rsid w:val="003B26FA"/>
    <w:rsid w:val="003B27C5"/>
    <w:rsid w:val="003B2A52"/>
    <w:rsid w:val="003B35F5"/>
    <w:rsid w:val="003B362B"/>
    <w:rsid w:val="003B446F"/>
    <w:rsid w:val="003B4575"/>
    <w:rsid w:val="003B4615"/>
    <w:rsid w:val="003B4FD1"/>
    <w:rsid w:val="003B5B8F"/>
    <w:rsid w:val="003B600A"/>
    <w:rsid w:val="003B6395"/>
    <w:rsid w:val="003B6699"/>
    <w:rsid w:val="003B6C1B"/>
    <w:rsid w:val="003B77FD"/>
    <w:rsid w:val="003C019B"/>
    <w:rsid w:val="003C0A38"/>
    <w:rsid w:val="003C181D"/>
    <w:rsid w:val="003C1921"/>
    <w:rsid w:val="003C1B92"/>
    <w:rsid w:val="003C2299"/>
    <w:rsid w:val="003C276A"/>
    <w:rsid w:val="003C27D3"/>
    <w:rsid w:val="003C2E8C"/>
    <w:rsid w:val="003C2F2E"/>
    <w:rsid w:val="003C410A"/>
    <w:rsid w:val="003C474A"/>
    <w:rsid w:val="003C507A"/>
    <w:rsid w:val="003C516B"/>
    <w:rsid w:val="003C52BD"/>
    <w:rsid w:val="003C52DA"/>
    <w:rsid w:val="003C595D"/>
    <w:rsid w:val="003C59B1"/>
    <w:rsid w:val="003C62D2"/>
    <w:rsid w:val="003C64AB"/>
    <w:rsid w:val="003C6BFB"/>
    <w:rsid w:val="003C6D35"/>
    <w:rsid w:val="003C7D2E"/>
    <w:rsid w:val="003D1EC8"/>
    <w:rsid w:val="003D23DB"/>
    <w:rsid w:val="003D2532"/>
    <w:rsid w:val="003D25CA"/>
    <w:rsid w:val="003D289C"/>
    <w:rsid w:val="003D29D6"/>
    <w:rsid w:val="003D32A6"/>
    <w:rsid w:val="003D354A"/>
    <w:rsid w:val="003D3A5B"/>
    <w:rsid w:val="003D3B23"/>
    <w:rsid w:val="003D4814"/>
    <w:rsid w:val="003D49F8"/>
    <w:rsid w:val="003D5394"/>
    <w:rsid w:val="003D5706"/>
    <w:rsid w:val="003D5899"/>
    <w:rsid w:val="003D6077"/>
    <w:rsid w:val="003D74E7"/>
    <w:rsid w:val="003D7EA0"/>
    <w:rsid w:val="003E0725"/>
    <w:rsid w:val="003E082E"/>
    <w:rsid w:val="003E0FFB"/>
    <w:rsid w:val="003E19C0"/>
    <w:rsid w:val="003E1F7D"/>
    <w:rsid w:val="003E236F"/>
    <w:rsid w:val="003E2477"/>
    <w:rsid w:val="003E29DB"/>
    <w:rsid w:val="003E2ED8"/>
    <w:rsid w:val="003E31D5"/>
    <w:rsid w:val="003E390D"/>
    <w:rsid w:val="003E40E6"/>
    <w:rsid w:val="003E42AF"/>
    <w:rsid w:val="003E4423"/>
    <w:rsid w:val="003E4C15"/>
    <w:rsid w:val="003E4F65"/>
    <w:rsid w:val="003E5062"/>
    <w:rsid w:val="003E528A"/>
    <w:rsid w:val="003E5852"/>
    <w:rsid w:val="003E742B"/>
    <w:rsid w:val="003E7447"/>
    <w:rsid w:val="003E75C6"/>
    <w:rsid w:val="003E75F8"/>
    <w:rsid w:val="003E7789"/>
    <w:rsid w:val="003E797C"/>
    <w:rsid w:val="003E7C93"/>
    <w:rsid w:val="003F18B2"/>
    <w:rsid w:val="003F1A55"/>
    <w:rsid w:val="003F233B"/>
    <w:rsid w:val="003F2938"/>
    <w:rsid w:val="003F2B00"/>
    <w:rsid w:val="003F2DDF"/>
    <w:rsid w:val="003F2F91"/>
    <w:rsid w:val="003F2FBC"/>
    <w:rsid w:val="003F3421"/>
    <w:rsid w:val="003F3A93"/>
    <w:rsid w:val="003F44A0"/>
    <w:rsid w:val="003F4708"/>
    <w:rsid w:val="003F4DE1"/>
    <w:rsid w:val="003F65D1"/>
    <w:rsid w:val="003F6687"/>
    <w:rsid w:val="003F6B1A"/>
    <w:rsid w:val="003F6BCC"/>
    <w:rsid w:val="003F6CBE"/>
    <w:rsid w:val="003F6E5A"/>
    <w:rsid w:val="003F6EED"/>
    <w:rsid w:val="003F7004"/>
    <w:rsid w:val="003F713B"/>
    <w:rsid w:val="00400403"/>
    <w:rsid w:val="00400F3C"/>
    <w:rsid w:val="00400F6B"/>
    <w:rsid w:val="00401968"/>
    <w:rsid w:val="00401CFC"/>
    <w:rsid w:val="004023A3"/>
    <w:rsid w:val="0040260A"/>
    <w:rsid w:val="00402F72"/>
    <w:rsid w:val="004033FE"/>
    <w:rsid w:val="004037B5"/>
    <w:rsid w:val="0040385B"/>
    <w:rsid w:val="004038D1"/>
    <w:rsid w:val="00403E8B"/>
    <w:rsid w:val="00403F8B"/>
    <w:rsid w:val="00404235"/>
    <w:rsid w:val="004043B4"/>
    <w:rsid w:val="004050FA"/>
    <w:rsid w:val="00405584"/>
    <w:rsid w:val="004055BA"/>
    <w:rsid w:val="004059A6"/>
    <w:rsid w:val="0040671C"/>
    <w:rsid w:val="00407197"/>
    <w:rsid w:val="00407C3B"/>
    <w:rsid w:val="00407E02"/>
    <w:rsid w:val="00410928"/>
    <w:rsid w:val="004109E5"/>
    <w:rsid w:val="00410AEB"/>
    <w:rsid w:val="00410BCB"/>
    <w:rsid w:val="00410C7B"/>
    <w:rsid w:val="00411C3F"/>
    <w:rsid w:val="00411D6C"/>
    <w:rsid w:val="004121BA"/>
    <w:rsid w:val="00412395"/>
    <w:rsid w:val="004123BB"/>
    <w:rsid w:val="004127E2"/>
    <w:rsid w:val="00412FC8"/>
    <w:rsid w:val="00413B1D"/>
    <w:rsid w:val="004141AB"/>
    <w:rsid w:val="0041435D"/>
    <w:rsid w:val="00414E01"/>
    <w:rsid w:val="00414E68"/>
    <w:rsid w:val="00415600"/>
    <w:rsid w:val="00415721"/>
    <w:rsid w:val="00415F4D"/>
    <w:rsid w:val="0041644E"/>
    <w:rsid w:val="00416F0D"/>
    <w:rsid w:val="004171F6"/>
    <w:rsid w:val="004172C8"/>
    <w:rsid w:val="00420533"/>
    <w:rsid w:val="004207B8"/>
    <w:rsid w:val="0042091E"/>
    <w:rsid w:val="00420977"/>
    <w:rsid w:val="00420C16"/>
    <w:rsid w:val="00420D97"/>
    <w:rsid w:val="0042121F"/>
    <w:rsid w:val="00421C02"/>
    <w:rsid w:val="004220ED"/>
    <w:rsid w:val="00423074"/>
    <w:rsid w:val="0042325F"/>
    <w:rsid w:val="004239C0"/>
    <w:rsid w:val="00424EAE"/>
    <w:rsid w:val="00425017"/>
    <w:rsid w:val="004253D2"/>
    <w:rsid w:val="00426800"/>
    <w:rsid w:val="00426A53"/>
    <w:rsid w:val="004279B7"/>
    <w:rsid w:val="0043044E"/>
    <w:rsid w:val="00430591"/>
    <w:rsid w:val="00430638"/>
    <w:rsid w:val="00430639"/>
    <w:rsid w:val="004307F0"/>
    <w:rsid w:val="00430885"/>
    <w:rsid w:val="00430F73"/>
    <w:rsid w:val="004310EE"/>
    <w:rsid w:val="00431749"/>
    <w:rsid w:val="00431D55"/>
    <w:rsid w:val="00432065"/>
    <w:rsid w:val="00432EB4"/>
    <w:rsid w:val="00432FD4"/>
    <w:rsid w:val="00433616"/>
    <w:rsid w:val="0043390B"/>
    <w:rsid w:val="0043391F"/>
    <w:rsid w:val="00433B15"/>
    <w:rsid w:val="004340F5"/>
    <w:rsid w:val="00434406"/>
    <w:rsid w:val="00434744"/>
    <w:rsid w:val="00434A27"/>
    <w:rsid w:val="00435117"/>
    <w:rsid w:val="004352EF"/>
    <w:rsid w:val="00435D51"/>
    <w:rsid w:val="00436E13"/>
    <w:rsid w:val="00437101"/>
    <w:rsid w:val="004373E4"/>
    <w:rsid w:val="00437836"/>
    <w:rsid w:val="00437FAF"/>
    <w:rsid w:val="004401BB"/>
    <w:rsid w:val="00440AB7"/>
    <w:rsid w:val="0044103E"/>
    <w:rsid w:val="00441132"/>
    <w:rsid w:val="00441373"/>
    <w:rsid w:val="00442221"/>
    <w:rsid w:val="0044227B"/>
    <w:rsid w:val="004424F7"/>
    <w:rsid w:val="004429EC"/>
    <w:rsid w:val="00443047"/>
    <w:rsid w:val="00444228"/>
    <w:rsid w:val="00444FA0"/>
    <w:rsid w:val="004451CA"/>
    <w:rsid w:val="004451DE"/>
    <w:rsid w:val="0044562A"/>
    <w:rsid w:val="00445779"/>
    <w:rsid w:val="00445D98"/>
    <w:rsid w:val="004461AB"/>
    <w:rsid w:val="004463E9"/>
    <w:rsid w:val="00446B0D"/>
    <w:rsid w:val="00447069"/>
    <w:rsid w:val="0044708A"/>
    <w:rsid w:val="0044716E"/>
    <w:rsid w:val="00447201"/>
    <w:rsid w:val="0044758E"/>
    <w:rsid w:val="00447AB5"/>
    <w:rsid w:val="00447C21"/>
    <w:rsid w:val="00450542"/>
    <w:rsid w:val="00450B83"/>
    <w:rsid w:val="00451704"/>
    <w:rsid w:val="00451982"/>
    <w:rsid w:val="00452715"/>
    <w:rsid w:val="004542C6"/>
    <w:rsid w:val="004552CA"/>
    <w:rsid w:val="00455F07"/>
    <w:rsid w:val="00456703"/>
    <w:rsid w:val="00456D90"/>
    <w:rsid w:val="00456E4C"/>
    <w:rsid w:val="00456EAC"/>
    <w:rsid w:val="004573E0"/>
    <w:rsid w:val="004604EA"/>
    <w:rsid w:val="004606CC"/>
    <w:rsid w:val="00460E0D"/>
    <w:rsid w:val="0046140C"/>
    <w:rsid w:val="00461D04"/>
    <w:rsid w:val="00462836"/>
    <w:rsid w:val="00462F37"/>
    <w:rsid w:val="0046320E"/>
    <w:rsid w:val="00463692"/>
    <w:rsid w:val="00463880"/>
    <w:rsid w:val="00464744"/>
    <w:rsid w:val="00464E7C"/>
    <w:rsid w:val="004655A4"/>
    <w:rsid w:val="00465D4F"/>
    <w:rsid w:val="00465DDC"/>
    <w:rsid w:val="00465F6A"/>
    <w:rsid w:val="00466B6F"/>
    <w:rsid w:val="00467675"/>
    <w:rsid w:val="004676A6"/>
    <w:rsid w:val="00467956"/>
    <w:rsid w:val="00467CC9"/>
    <w:rsid w:val="00470644"/>
    <w:rsid w:val="00470B9B"/>
    <w:rsid w:val="004711EE"/>
    <w:rsid w:val="00471DDD"/>
    <w:rsid w:val="00472761"/>
    <w:rsid w:val="00472762"/>
    <w:rsid w:val="0047416D"/>
    <w:rsid w:val="004743D7"/>
    <w:rsid w:val="004745BA"/>
    <w:rsid w:val="0047492B"/>
    <w:rsid w:val="00474C97"/>
    <w:rsid w:val="00475759"/>
    <w:rsid w:val="00475DC0"/>
    <w:rsid w:val="00475F9C"/>
    <w:rsid w:val="004764C2"/>
    <w:rsid w:val="00476B83"/>
    <w:rsid w:val="00476C37"/>
    <w:rsid w:val="00477092"/>
    <w:rsid w:val="004771D0"/>
    <w:rsid w:val="00480510"/>
    <w:rsid w:val="0048116B"/>
    <w:rsid w:val="00481343"/>
    <w:rsid w:val="0048189F"/>
    <w:rsid w:val="00482474"/>
    <w:rsid w:val="00482753"/>
    <w:rsid w:val="00482DFD"/>
    <w:rsid w:val="00484AF3"/>
    <w:rsid w:val="00484C86"/>
    <w:rsid w:val="00484D52"/>
    <w:rsid w:val="0048560A"/>
    <w:rsid w:val="00485D1F"/>
    <w:rsid w:val="00485EDF"/>
    <w:rsid w:val="00486295"/>
    <w:rsid w:val="00486515"/>
    <w:rsid w:val="0048660C"/>
    <w:rsid w:val="00486F95"/>
    <w:rsid w:val="0048702B"/>
    <w:rsid w:val="004875AF"/>
    <w:rsid w:val="0048766E"/>
    <w:rsid w:val="00487A28"/>
    <w:rsid w:val="0048CC8B"/>
    <w:rsid w:val="0049051C"/>
    <w:rsid w:val="004905D3"/>
    <w:rsid w:val="00490B4D"/>
    <w:rsid w:val="00490DBB"/>
    <w:rsid w:val="0049152F"/>
    <w:rsid w:val="004919C9"/>
    <w:rsid w:val="004919E3"/>
    <w:rsid w:val="00491F26"/>
    <w:rsid w:val="004930FC"/>
    <w:rsid w:val="004931E8"/>
    <w:rsid w:val="00493209"/>
    <w:rsid w:val="00493AAE"/>
    <w:rsid w:val="004948A6"/>
    <w:rsid w:val="0049538F"/>
    <w:rsid w:val="00495526"/>
    <w:rsid w:val="00495614"/>
    <w:rsid w:val="0049583C"/>
    <w:rsid w:val="00495BE8"/>
    <w:rsid w:val="00495DAE"/>
    <w:rsid w:val="0049618B"/>
    <w:rsid w:val="00496291"/>
    <w:rsid w:val="00497F61"/>
    <w:rsid w:val="004A0142"/>
    <w:rsid w:val="004A024C"/>
    <w:rsid w:val="004A02C4"/>
    <w:rsid w:val="004A20DE"/>
    <w:rsid w:val="004A283C"/>
    <w:rsid w:val="004A3520"/>
    <w:rsid w:val="004A394E"/>
    <w:rsid w:val="004A395C"/>
    <w:rsid w:val="004A3B4B"/>
    <w:rsid w:val="004A3CE0"/>
    <w:rsid w:val="004A41DD"/>
    <w:rsid w:val="004A4857"/>
    <w:rsid w:val="004A50EB"/>
    <w:rsid w:val="004A606C"/>
    <w:rsid w:val="004A634B"/>
    <w:rsid w:val="004A654C"/>
    <w:rsid w:val="004A7A0B"/>
    <w:rsid w:val="004A7F12"/>
    <w:rsid w:val="004B04E8"/>
    <w:rsid w:val="004B07A0"/>
    <w:rsid w:val="004B0D69"/>
    <w:rsid w:val="004B1A61"/>
    <w:rsid w:val="004B1B22"/>
    <w:rsid w:val="004B221F"/>
    <w:rsid w:val="004B2F10"/>
    <w:rsid w:val="004B328F"/>
    <w:rsid w:val="004B33A2"/>
    <w:rsid w:val="004B3557"/>
    <w:rsid w:val="004B37FC"/>
    <w:rsid w:val="004B4D37"/>
    <w:rsid w:val="004B4D89"/>
    <w:rsid w:val="004B4FB6"/>
    <w:rsid w:val="004B55C3"/>
    <w:rsid w:val="004B5872"/>
    <w:rsid w:val="004B616A"/>
    <w:rsid w:val="004B693C"/>
    <w:rsid w:val="004B7778"/>
    <w:rsid w:val="004C0E07"/>
    <w:rsid w:val="004C112F"/>
    <w:rsid w:val="004C11A4"/>
    <w:rsid w:val="004C1223"/>
    <w:rsid w:val="004C25B3"/>
    <w:rsid w:val="004C3342"/>
    <w:rsid w:val="004C40F1"/>
    <w:rsid w:val="004C43EE"/>
    <w:rsid w:val="004C5238"/>
    <w:rsid w:val="004C577D"/>
    <w:rsid w:val="004C5C23"/>
    <w:rsid w:val="004C624A"/>
    <w:rsid w:val="004C65D7"/>
    <w:rsid w:val="004C7012"/>
    <w:rsid w:val="004C7528"/>
    <w:rsid w:val="004C7D08"/>
    <w:rsid w:val="004C7D6A"/>
    <w:rsid w:val="004D0721"/>
    <w:rsid w:val="004D09A0"/>
    <w:rsid w:val="004D18FD"/>
    <w:rsid w:val="004D1CA2"/>
    <w:rsid w:val="004D2BF7"/>
    <w:rsid w:val="004D2D6F"/>
    <w:rsid w:val="004D3212"/>
    <w:rsid w:val="004D371A"/>
    <w:rsid w:val="004D3F63"/>
    <w:rsid w:val="004D46A7"/>
    <w:rsid w:val="004D4726"/>
    <w:rsid w:val="004D48CC"/>
    <w:rsid w:val="004D49CF"/>
    <w:rsid w:val="004D50C4"/>
    <w:rsid w:val="004D51A3"/>
    <w:rsid w:val="004D586F"/>
    <w:rsid w:val="004D5955"/>
    <w:rsid w:val="004D5B1A"/>
    <w:rsid w:val="004D650C"/>
    <w:rsid w:val="004D683C"/>
    <w:rsid w:val="004D739C"/>
    <w:rsid w:val="004D7F59"/>
    <w:rsid w:val="004E011C"/>
    <w:rsid w:val="004E0321"/>
    <w:rsid w:val="004E08D9"/>
    <w:rsid w:val="004E09F0"/>
    <w:rsid w:val="004E0B0F"/>
    <w:rsid w:val="004E0E5B"/>
    <w:rsid w:val="004E1361"/>
    <w:rsid w:val="004E1DD6"/>
    <w:rsid w:val="004E1E08"/>
    <w:rsid w:val="004E245D"/>
    <w:rsid w:val="004E26B6"/>
    <w:rsid w:val="004E2D1C"/>
    <w:rsid w:val="004E2EFE"/>
    <w:rsid w:val="004E32B4"/>
    <w:rsid w:val="004E3629"/>
    <w:rsid w:val="004E3EC3"/>
    <w:rsid w:val="004E4279"/>
    <w:rsid w:val="004E4AC0"/>
    <w:rsid w:val="004E6274"/>
    <w:rsid w:val="004E7155"/>
    <w:rsid w:val="004E7BAA"/>
    <w:rsid w:val="004E7CE5"/>
    <w:rsid w:val="004E7D11"/>
    <w:rsid w:val="004F04DC"/>
    <w:rsid w:val="004F0784"/>
    <w:rsid w:val="004F1025"/>
    <w:rsid w:val="004F25D0"/>
    <w:rsid w:val="004F25D3"/>
    <w:rsid w:val="004F2E3F"/>
    <w:rsid w:val="004F2FBF"/>
    <w:rsid w:val="004F32D5"/>
    <w:rsid w:val="004F3EB4"/>
    <w:rsid w:val="004F403D"/>
    <w:rsid w:val="004F42AA"/>
    <w:rsid w:val="004F5102"/>
    <w:rsid w:val="004F537B"/>
    <w:rsid w:val="004F546B"/>
    <w:rsid w:val="004F5BFA"/>
    <w:rsid w:val="004F624E"/>
    <w:rsid w:val="004F6269"/>
    <w:rsid w:val="004F6338"/>
    <w:rsid w:val="004F67D8"/>
    <w:rsid w:val="004F6947"/>
    <w:rsid w:val="004F6A70"/>
    <w:rsid w:val="004F74A6"/>
    <w:rsid w:val="004F75B6"/>
    <w:rsid w:val="005007A6"/>
    <w:rsid w:val="0050080D"/>
    <w:rsid w:val="0050107F"/>
    <w:rsid w:val="00501202"/>
    <w:rsid w:val="00501448"/>
    <w:rsid w:val="0050147E"/>
    <w:rsid w:val="00501EAE"/>
    <w:rsid w:val="005036FF"/>
    <w:rsid w:val="005038B6"/>
    <w:rsid w:val="00503DC0"/>
    <w:rsid w:val="005048E2"/>
    <w:rsid w:val="0050546A"/>
    <w:rsid w:val="00505676"/>
    <w:rsid w:val="00506951"/>
    <w:rsid w:val="00506C75"/>
    <w:rsid w:val="00506F14"/>
    <w:rsid w:val="00507829"/>
    <w:rsid w:val="005079EE"/>
    <w:rsid w:val="00510126"/>
    <w:rsid w:val="005101FF"/>
    <w:rsid w:val="005104E3"/>
    <w:rsid w:val="005120E2"/>
    <w:rsid w:val="00512687"/>
    <w:rsid w:val="0051278F"/>
    <w:rsid w:val="00512C28"/>
    <w:rsid w:val="005131B1"/>
    <w:rsid w:val="00513379"/>
    <w:rsid w:val="00513D3C"/>
    <w:rsid w:val="005140C7"/>
    <w:rsid w:val="005142F5"/>
    <w:rsid w:val="00514D45"/>
    <w:rsid w:val="005151C8"/>
    <w:rsid w:val="00515A4A"/>
    <w:rsid w:val="00515CC4"/>
    <w:rsid w:val="00515D29"/>
    <w:rsid w:val="00515D9E"/>
    <w:rsid w:val="00515E8E"/>
    <w:rsid w:val="00515EBB"/>
    <w:rsid w:val="00515EC2"/>
    <w:rsid w:val="00515FFC"/>
    <w:rsid w:val="00516A1A"/>
    <w:rsid w:val="00516DC3"/>
    <w:rsid w:val="00517899"/>
    <w:rsid w:val="0051792F"/>
    <w:rsid w:val="00520BC5"/>
    <w:rsid w:val="00521CE1"/>
    <w:rsid w:val="00522307"/>
    <w:rsid w:val="00522418"/>
    <w:rsid w:val="00522951"/>
    <w:rsid w:val="00522A80"/>
    <w:rsid w:val="00523288"/>
    <w:rsid w:val="005234FD"/>
    <w:rsid w:val="00523C39"/>
    <w:rsid w:val="00523D7D"/>
    <w:rsid w:val="00523EC4"/>
    <w:rsid w:val="0052443F"/>
    <w:rsid w:val="0052496C"/>
    <w:rsid w:val="00524F40"/>
    <w:rsid w:val="00524F8B"/>
    <w:rsid w:val="005254BE"/>
    <w:rsid w:val="00525568"/>
    <w:rsid w:val="0052591D"/>
    <w:rsid w:val="00525FCC"/>
    <w:rsid w:val="005262CD"/>
    <w:rsid w:val="0052655C"/>
    <w:rsid w:val="00526851"/>
    <w:rsid w:val="00526B31"/>
    <w:rsid w:val="005279BB"/>
    <w:rsid w:val="00530F3A"/>
    <w:rsid w:val="0053161B"/>
    <w:rsid w:val="00531911"/>
    <w:rsid w:val="00531A7F"/>
    <w:rsid w:val="00531E34"/>
    <w:rsid w:val="00531F0B"/>
    <w:rsid w:val="005321DD"/>
    <w:rsid w:val="0053240D"/>
    <w:rsid w:val="0053291E"/>
    <w:rsid w:val="0053309B"/>
    <w:rsid w:val="00533BCA"/>
    <w:rsid w:val="00533DFD"/>
    <w:rsid w:val="00533E31"/>
    <w:rsid w:val="0053407E"/>
    <w:rsid w:val="0053536D"/>
    <w:rsid w:val="005358B0"/>
    <w:rsid w:val="00535BCC"/>
    <w:rsid w:val="00535C13"/>
    <w:rsid w:val="00536F83"/>
    <w:rsid w:val="00537233"/>
    <w:rsid w:val="00537BC2"/>
    <w:rsid w:val="00537FF4"/>
    <w:rsid w:val="005409BF"/>
    <w:rsid w:val="00541CD4"/>
    <w:rsid w:val="0054297E"/>
    <w:rsid w:val="00543A85"/>
    <w:rsid w:val="00543E1B"/>
    <w:rsid w:val="00544699"/>
    <w:rsid w:val="00544EF4"/>
    <w:rsid w:val="005455C2"/>
    <w:rsid w:val="00545799"/>
    <w:rsid w:val="00546832"/>
    <w:rsid w:val="00546887"/>
    <w:rsid w:val="00546AFA"/>
    <w:rsid w:val="00546D56"/>
    <w:rsid w:val="00547211"/>
    <w:rsid w:val="00547256"/>
    <w:rsid w:val="00547DB6"/>
    <w:rsid w:val="00547DCC"/>
    <w:rsid w:val="00550BE8"/>
    <w:rsid w:val="00550CB4"/>
    <w:rsid w:val="00550E52"/>
    <w:rsid w:val="00551526"/>
    <w:rsid w:val="00551AEF"/>
    <w:rsid w:val="00552100"/>
    <w:rsid w:val="005522FE"/>
    <w:rsid w:val="00552EB3"/>
    <w:rsid w:val="00552EDD"/>
    <w:rsid w:val="00553393"/>
    <w:rsid w:val="00553420"/>
    <w:rsid w:val="005534F2"/>
    <w:rsid w:val="00553ECD"/>
    <w:rsid w:val="0055473B"/>
    <w:rsid w:val="005554A3"/>
    <w:rsid w:val="005555E2"/>
    <w:rsid w:val="005557B5"/>
    <w:rsid w:val="0055582F"/>
    <w:rsid w:val="00555ABB"/>
    <w:rsid w:val="00555B02"/>
    <w:rsid w:val="00555D3F"/>
    <w:rsid w:val="00555D47"/>
    <w:rsid w:val="00555FD2"/>
    <w:rsid w:val="0055659F"/>
    <w:rsid w:val="00556AC5"/>
    <w:rsid w:val="00556D62"/>
    <w:rsid w:val="00557A1B"/>
    <w:rsid w:val="00557ADC"/>
    <w:rsid w:val="00561862"/>
    <w:rsid w:val="005618D9"/>
    <w:rsid w:val="005618DD"/>
    <w:rsid w:val="00561D59"/>
    <w:rsid w:val="005620D6"/>
    <w:rsid w:val="005628B4"/>
    <w:rsid w:val="00562A83"/>
    <w:rsid w:val="005635F2"/>
    <w:rsid w:val="00563648"/>
    <w:rsid w:val="0056365A"/>
    <w:rsid w:val="00563C23"/>
    <w:rsid w:val="00563F70"/>
    <w:rsid w:val="00564DED"/>
    <w:rsid w:val="005666E2"/>
    <w:rsid w:val="00566994"/>
    <w:rsid w:val="00566ACE"/>
    <w:rsid w:val="00566BB1"/>
    <w:rsid w:val="00566CDB"/>
    <w:rsid w:val="00566E2E"/>
    <w:rsid w:val="00571070"/>
    <w:rsid w:val="00571966"/>
    <w:rsid w:val="00572D78"/>
    <w:rsid w:val="0057308E"/>
    <w:rsid w:val="0057335D"/>
    <w:rsid w:val="0057398B"/>
    <w:rsid w:val="00573AD4"/>
    <w:rsid w:val="00574776"/>
    <w:rsid w:val="00574B7F"/>
    <w:rsid w:val="00575140"/>
    <w:rsid w:val="00575CCC"/>
    <w:rsid w:val="00576304"/>
    <w:rsid w:val="005766BD"/>
    <w:rsid w:val="00577A2E"/>
    <w:rsid w:val="00577D42"/>
    <w:rsid w:val="00580101"/>
    <w:rsid w:val="005805BF"/>
    <w:rsid w:val="00580677"/>
    <w:rsid w:val="00581584"/>
    <w:rsid w:val="00581D69"/>
    <w:rsid w:val="005821D4"/>
    <w:rsid w:val="00582579"/>
    <w:rsid w:val="00582D0E"/>
    <w:rsid w:val="0058354D"/>
    <w:rsid w:val="00583B38"/>
    <w:rsid w:val="005849BE"/>
    <w:rsid w:val="00585056"/>
    <w:rsid w:val="00586E0C"/>
    <w:rsid w:val="00586E3A"/>
    <w:rsid w:val="00587450"/>
    <w:rsid w:val="005875A9"/>
    <w:rsid w:val="005879E4"/>
    <w:rsid w:val="00590101"/>
    <w:rsid w:val="00590388"/>
    <w:rsid w:val="00590E66"/>
    <w:rsid w:val="005910D9"/>
    <w:rsid w:val="005916D1"/>
    <w:rsid w:val="00591A84"/>
    <w:rsid w:val="00591CBB"/>
    <w:rsid w:val="00591F03"/>
    <w:rsid w:val="005929AC"/>
    <w:rsid w:val="00592D18"/>
    <w:rsid w:val="00593807"/>
    <w:rsid w:val="00593D2F"/>
    <w:rsid w:val="00593F3D"/>
    <w:rsid w:val="00594155"/>
    <w:rsid w:val="00594DE3"/>
    <w:rsid w:val="00594EFD"/>
    <w:rsid w:val="0059513D"/>
    <w:rsid w:val="0059540A"/>
    <w:rsid w:val="00595A37"/>
    <w:rsid w:val="00596081"/>
    <w:rsid w:val="00596766"/>
    <w:rsid w:val="0059679B"/>
    <w:rsid w:val="005967D4"/>
    <w:rsid w:val="00596838"/>
    <w:rsid w:val="00596892"/>
    <w:rsid w:val="00596C69"/>
    <w:rsid w:val="00597BC7"/>
    <w:rsid w:val="005A00E0"/>
    <w:rsid w:val="005A02C4"/>
    <w:rsid w:val="005A076D"/>
    <w:rsid w:val="005A09C4"/>
    <w:rsid w:val="005A0EBA"/>
    <w:rsid w:val="005A0F32"/>
    <w:rsid w:val="005A1711"/>
    <w:rsid w:val="005A1DC4"/>
    <w:rsid w:val="005A227F"/>
    <w:rsid w:val="005A25CD"/>
    <w:rsid w:val="005A31EF"/>
    <w:rsid w:val="005A3A92"/>
    <w:rsid w:val="005A401A"/>
    <w:rsid w:val="005A4328"/>
    <w:rsid w:val="005A46B3"/>
    <w:rsid w:val="005A5B13"/>
    <w:rsid w:val="005A5BF9"/>
    <w:rsid w:val="005A5F6B"/>
    <w:rsid w:val="005A60E1"/>
    <w:rsid w:val="005A658B"/>
    <w:rsid w:val="005A71F1"/>
    <w:rsid w:val="005A74D1"/>
    <w:rsid w:val="005A7D44"/>
    <w:rsid w:val="005B190A"/>
    <w:rsid w:val="005B233A"/>
    <w:rsid w:val="005B3400"/>
    <w:rsid w:val="005B341D"/>
    <w:rsid w:val="005B4CC3"/>
    <w:rsid w:val="005B4EE2"/>
    <w:rsid w:val="005B4F98"/>
    <w:rsid w:val="005B60E6"/>
    <w:rsid w:val="005B61B9"/>
    <w:rsid w:val="005B6466"/>
    <w:rsid w:val="005B6C86"/>
    <w:rsid w:val="005B7DC3"/>
    <w:rsid w:val="005B7DEE"/>
    <w:rsid w:val="005C0346"/>
    <w:rsid w:val="005C0718"/>
    <w:rsid w:val="005C0815"/>
    <w:rsid w:val="005C0900"/>
    <w:rsid w:val="005C0984"/>
    <w:rsid w:val="005C0D83"/>
    <w:rsid w:val="005C0E1D"/>
    <w:rsid w:val="005C1D60"/>
    <w:rsid w:val="005C20A7"/>
    <w:rsid w:val="005C2697"/>
    <w:rsid w:val="005C2771"/>
    <w:rsid w:val="005C2CAB"/>
    <w:rsid w:val="005C302B"/>
    <w:rsid w:val="005C338B"/>
    <w:rsid w:val="005C3A0F"/>
    <w:rsid w:val="005C4B2B"/>
    <w:rsid w:val="005C4E52"/>
    <w:rsid w:val="005C5BDB"/>
    <w:rsid w:val="005C61A8"/>
    <w:rsid w:val="005C62B0"/>
    <w:rsid w:val="005C6433"/>
    <w:rsid w:val="005C64EE"/>
    <w:rsid w:val="005C674D"/>
    <w:rsid w:val="005C6952"/>
    <w:rsid w:val="005C6DAC"/>
    <w:rsid w:val="005C724D"/>
    <w:rsid w:val="005C74E7"/>
    <w:rsid w:val="005D00D5"/>
    <w:rsid w:val="005D1F71"/>
    <w:rsid w:val="005D23DD"/>
    <w:rsid w:val="005D294E"/>
    <w:rsid w:val="005D2DF8"/>
    <w:rsid w:val="005D394E"/>
    <w:rsid w:val="005D3C6C"/>
    <w:rsid w:val="005D45D9"/>
    <w:rsid w:val="005D4919"/>
    <w:rsid w:val="005D4988"/>
    <w:rsid w:val="005D4BE9"/>
    <w:rsid w:val="005D59CD"/>
    <w:rsid w:val="005D63FB"/>
    <w:rsid w:val="005D697C"/>
    <w:rsid w:val="005E0580"/>
    <w:rsid w:val="005E07D3"/>
    <w:rsid w:val="005E084C"/>
    <w:rsid w:val="005E096A"/>
    <w:rsid w:val="005E11FC"/>
    <w:rsid w:val="005E1D4B"/>
    <w:rsid w:val="005E1DFF"/>
    <w:rsid w:val="005E223E"/>
    <w:rsid w:val="005E2C2C"/>
    <w:rsid w:val="005E2F89"/>
    <w:rsid w:val="005E3BAD"/>
    <w:rsid w:val="005E43F1"/>
    <w:rsid w:val="005E4650"/>
    <w:rsid w:val="005E496E"/>
    <w:rsid w:val="005E4BF3"/>
    <w:rsid w:val="005E4F90"/>
    <w:rsid w:val="005E52A0"/>
    <w:rsid w:val="005E5EBF"/>
    <w:rsid w:val="005E61C6"/>
    <w:rsid w:val="005E61F9"/>
    <w:rsid w:val="005E656C"/>
    <w:rsid w:val="005E65F7"/>
    <w:rsid w:val="005E6746"/>
    <w:rsid w:val="005E76EB"/>
    <w:rsid w:val="005F0FF2"/>
    <w:rsid w:val="005F139D"/>
    <w:rsid w:val="005F1942"/>
    <w:rsid w:val="005F2661"/>
    <w:rsid w:val="005F2F0D"/>
    <w:rsid w:val="005F2FF1"/>
    <w:rsid w:val="005F37F5"/>
    <w:rsid w:val="005F39A9"/>
    <w:rsid w:val="005F4476"/>
    <w:rsid w:val="005F448F"/>
    <w:rsid w:val="005F49D5"/>
    <w:rsid w:val="005F5A4B"/>
    <w:rsid w:val="005F5C3E"/>
    <w:rsid w:val="005F5DA1"/>
    <w:rsid w:val="005F688D"/>
    <w:rsid w:val="005F76C6"/>
    <w:rsid w:val="005F7C73"/>
    <w:rsid w:val="0060013B"/>
    <w:rsid w:val="00600B8B"/>
    <w:rsid w:val="006015BA"/>
    <w:rsid w:val="00603883"/>
    <w:rsid w:val="00603A3E"/>
    <w:rsid w:val="0060422E"/>
    <w:rsid w:val="00604474"/>
    <w:rsid w:val="00604DA8"/>
    <w:rsid w:val="0060516D"/>
    <w:rsid w:val="006051E2"/>
    <w:rsid w:val="00605254"/>
    <w:rsid w:val="00605451"/>
    <w:rsid w:val="006058F9"/>
    <w:rsid w:val="0060610D"/>
    <w:rsid w:val="0060637A"/>
    <w:rsid w:val="00606FF6"/>
    <w:rsid w:val="006070BA"/>
    <w:rsid w:val="006071D7"/>
    <w:rsid w:val="006071FF"/>
    <w:rsid w:val="0061045F"/>
    <w:rsid w:val="006107E8"/>
    <w:rsid w:val="00610B62"/>
    <w:rsid w:val="00610FD8"/>
    <w:rsid w:val="0061144A"/>
    <w:rsid w:val="006115C2"/>
    <w:rsid w:val="00611C1B"/>
    <w:rsid w:val="0061201F"/>
    <w:rsid w:val="00612441"/>
    <w:rsid w:val="00612BD7"/>
    <w:rsid w:val="00612C4A"/>
    <w:rsid w:val="00612F3F"/>
    <w:rsid w:val="006138FF"/>
    <w:rsid w:val="00613C9A"/>
    <w:rsid w:val="006142B6"/>
    <w:rsid w:val="006145F4"/>
    <w:rsid w:val="0061568D"/>
    <w:rsid w:val="00615B6A"/>
    <w:rsid w:val="00617090"/>
    <w:rsid w:val="00617BDD"/>
    <w:rsid w:val="00617E72"/>
    <w:rsid w:val="00620480"/>
    <w:rsid w:val="00620951"/>
    <w:rsid w:val="00620DDC"/>
    <w:rsid w:val="006216AC"/>
    <w:rsid w:val="00622769"/>
    <w:rsid w:val="00622ADE"/>
    <w:rsid w:val="00622C68"/>
    <w:rsid w:val="00623AE8"/>
    <w:rsid w:val="0062410B"/>
    <w:rsid w:val="0062416F"/>
    <w:rsid w:val="006245F9"/>
    <w:rsid w:val="00624B3C"/>
    <w:rsid w:val="006253C0"/>
    <w:rsid w:val="00625DE0"/>
    <w:rsid w:val="0062609A"/>
    <w:rsid w:val="00626532"/>
    <w:rsid w:val="006265C1"/>
    <w:rsid w:val="006303B8"/>
    <w:rsid w:val="0063051E"/>
    <w:rsid w:val="00630B8D"/>
    <w:rsid w:val="006310E1"/>
    <w:rsid w:val="0063115B"/>
    <w:rsid w:val="006315A0"/>
    <w:rsid w:val="00631DFF"/>
    <w:rsid w:val="0063228B"/>
    <w:rsid w:val="00632416"/>
    <w:rsid w:val="00632C1B"/>
    <w:rsid w:val="00633F50"/>
    <w:rsid w:val="00634096"/>
    <w:rsid w:val="0063509D"/>
    <w:rsid w:val="00635DC5"/>
    <w:rsid w:val="00635E5A"/>
    <w:rsid w:val="00635E95"/>
    <w:rsid w:val="00636513"/>
    <w:rsid w:val="0063743A"/>
    <w:rsid w:val="00637503"/>
    <w:rsid w:val="006375E7"/>
    <w:rsid w:val="00637865"/>
    <w:rsid w:val="00640336"/>
    <w:rsid w:val="006405A5"/>
    <w:rsid w:val="0064314D"/>
    <w:rsid w:val="0064320E"/>
    <w:rsid w:val="006439B1"/>
    <w:rsid w:val="00643ACF"/>
    <w:rsid w:val="00643D67"/>
    <w:rsid w:val="00644011"/>
    <w:rsid w:val="00644563"/>
    <w:rsid w:val="006448BB"/>
    <w:rsid w:val="00645E07"/>
    <w:rsid w:val="00646906"/>
    <w:rsid w:val="00647917"/>
    <w:rsid w:val="006479C3"/>
    <w:rsid w:val="00647B3F"/>
    <w:rsid w:val="00647C8A"/>
    <w:rsid w:val="006505E2"/>
    <w:rsid w:val="00650E87"/>
    <w:rsid w:val="006515DD"/>
    <w:rsid w:val="006519B4"/>
    <w:rsid w:val="00651D48"/>
    <w:rsid w:val="00651E87"/>
    <w:rsid w:val="0065206E"/>
    <w:rsid w:val="00652372"/>
    <w:rsid w:val="006523DC"/>
    <w:rsid w:val="0065280C"/>
    <w:rsid w:val="00652CF9"/>
    <w:rsid w:val="00652D05"/>
    <w:rsid w:val="00652DBB"/>
    <w:rsid w:val="00653CA1"/>
    <w:rsid w:val="00653D11"/>
    <w:rsid w:val="00654B35"/>
    <w:rsid w:val="00656712"/>
    <w:rsid w:val="0065703E"/>
    <w:rsid w:val="00657160"/>
    <w:rsid w:val="00657E8B"/>
    <w:rsid w:val="00657F5D"/>
    <w:rsid w:val="00660720"/>
    <w:rsid w:val="00660D22"/>
    <w:rsid w:val="00661065"/>
    <w:rsid w:val="006610D6"/>
    <w:rsid w:val="00661CEF"/>
    <w:rsid w:val="00662234"/>
    <w:rsid w:val="0066332B"/>
    <w:rsid w:val="00663BC1"/>
    <w:rsid w:val="00663E1C"/>
    <w:rsid w:val="0066435F"/>
    <w:rsid w:val="0066495E"/>
    <w:rsid w:val="0066514F"/>
    <w:rsid w:val="0066571C"/>
    <w:rsid w:val="00665B16"/>
    <w:rsid w:val="00665D93"/>
    <w:rsid w:val="0066617C"/>
    <w:rsid w:val="00666CA2"/>
    <w:rsid w:val="00666E74"/>
    <w:rsid w:val="006673CA"/>
    <w:rsid w:val="006675CC"/>
    <w:rsid w:val="00670134"/>
    <w:rsid w:val="00671520"/>
    <w:rsid w:val="00671870"/>
    <w:rsid w:val="00671C36"/>
    <w:rsid w:val="0067247F"/>
    <w:rsid w:val="006726BD"/>
    <w:rsid w:val="00672B67"/>
    <w:rsid w:val="00672C40"/>
    <w:rsid w:val="006731B9"/>
    <w:rsid w:val="006732C7"/>
    <w:rsid w:val="00673B79"/>
    <w:rsid w:val="00673E72"/>
    <w:rsid w:val="0067461F"/>
    <w:rsid w:val="00674B18"/>
    <w:rsid w:val="00674B58"/>
    <w:rsid w:val="00674FD5"/>
    <w:rsid w:val="00675AE4"/>
    <w:rsid w:val="00676D24"/>
    <w:rsid w:val="00676E21"/>
    <w:rsid w:val="00676F62"/>
    <w:rsid w:val="006772B4"/>
    <w:rsid w:val="006778D3"/>
    <w:rsid w:val="00677B8B"/>
    <w:rsid w:val="006807A1"/>
    <w:rsid w:val="00680A93"/>
    <w:rsid w:val="00680ADC"/>
    <w:rsid w:val="0068183B"/>
    <w:rsid w:val="0068197A"/>
    <w:rsid w:val="006820A5"/>
    <w:rsid w:val="006822E4"/>
    <w:rsid w:val="00682BB8"/>
    <w:rsid w:val="00682FD2"/>
    <w:rsid w:val="0068393E"/>
    <w:rsid w:val="00683F0C"/>
    <w:rsid w:val="0068479D"/>
    <w:rsid w:val="00685297"/>
    <w:rsid w:val="00685401"/>
    <w:rsid w:val="00685519"/>
    <w:rsid w:val="00686088"/>
    <w:rsid w:val="0068672F"/>
    <w:rsid w:val="006868B0"/>
    <w:rsid w:val="00686949"/>
    <w:rsid w:val="00686AD1"/>
    <w:rsid w:val="00686E57"/>
    <w:rsid w:val="0068701C"/>
    <w:rsid w:val="00687365"/>
    <w:rsid w:val="00687392"/>
    <w:rsid w:val="00690E7F"/>
    <w:rsid w:val="00690E8B"/>
    <w:rsid w:val="006913B2"/>
    <w:rsid w:val="006922CF"/>
    <w:rsid w:val="006922F6"/>
    <w:rsid w:val="00692796"/>
    <w:rsid w:val="00692819"/>
    <w:rsid w:val="00692AEF"/>
    <w:rsid w:val="00693EF7"/>
    <w:rsid w:val="0069444F"/>
    <w:rsid w:val="00694795"/>
    <w:rsid w:val="0069523B"/>
    <w:rsid w:val="006956AA"/>
    <w:rsid w:val="00695A4D"/>
    <w:rsid w:val="00695C7B"/>
    <w:rsid w:val="00695D1B"/>
    <w:rsid w:val="0069631C"/>
    <w:rsid w:val="006965AB"/>
    <w:rsid w:val="00696F83"/>
    <w:rsid w:val="00697099"/>
    <w:rsid w:val="00697267"/>
    <w:rsid w:val="00697B03"/>
    <w:rsid w:val="00697EF5"/>
    <w:rsid w:val="006A05A4"/>
    <w:rsid w:val="006A0D38"/>
    <w:rsid w:val="006A16E8"/>
    <w:rsid w:val="006A1815"/>
    <w:rsid w:val="006A21A2"/>
    <w:rsid w:val="006A2436"/>
    <w:rsid w:val="006A2571"/>
    <w:rsid w:val="006A316C"/>
    <w:rsid w:val="006A3F7A"/>
    <w:rsid w:val="006A45BE"/>
    <w:rsid w:val="006A4E41"/>
    <w:rsid w:val="006A5FA7"/>
    <w:rsid w:val="006A69C3"/>
    <w:rsid w:val="006B05EE"/>
    <w:rsid w:val="006B0ABA"/>
    <w:rsid w:val="006B0D10"/>
    <w:rsid w:val="006B1097"/>
    <w:rsid w:val="006B11BE"/>
    <w:rsid w:val="006B1427"/>
    <w:rsid w:val="006B213F"/>
    <w:rsid w:val="006B30E6"/>
    <w:rsid w:val="006B321D"/>
    <w:rsid w:val="006B337B"/>
    <w:rsid w:val="006B33A8"/>
    <w:rsid w:val="006B3752"/>
    <w:rsid w:val="006B3B36"/>
    <w:rsid w:val="006B3C0B"/>
    <w:rsid w:val="006B3ED6"/>
    <w:rsid w:val="006B4378"/>
    <w:rsid w:val="006B49BC"/>
    <w:rsid w:val="006B5BDD"/>
    <w:rsid w:val="006B634F"/>
    <w:rsid w:val="006B7D9B"/>
    <w:rsid w:val="006C036D"/>
    <w:rsid w:val="006C04B0"/>
    <w:rsid w:val="006C0CE8"/>
    <w:rsid w:val="006C1623"/>
    <w:rsid w:val="006C2036"/>
    <w:rsid w:val="006C22BE"/>
    <w:rsid w:val="006C277A"/>
    <w:rsid w:val="006C3873"/>
    <w:rsid w:val="006C3C28"/>
    <w:rsid w:val="006C3FF2"/>
    <w:rsid w:val="006C4613"/>
    <w:rsid w:val="006C47E1"/>
    <w:rsid w:val="006C4B44"/>
    <w:rsid w:val="006C52EF"/>
    <w:rsid w:val="006C5515"/>
    <w:rsid w:val="006C557D"/>
    <w:rsid w:val="006C5780"/>
    <w:rsid w:val="006C5BF3"/>
    <w:rsid w:val="006C5FA4"/>
    <w:rsid w:val="006C697B"/>
    <w:rsid w:val="006C7415"/>
    <w:rsid w:val="006C7C15"/>
    <w:rsid w:val="006C7F71"/>
    <w:rsid w:val="006D0218"/>
    <w:rsid w:val="006D0709"/>
    <w:rsid w:val="006D12A6"/>
    <w:rsid w:val="006D14B0"/>
    <w:rsid w:val="006D1623"/>
    <w:rsid w:val="006D2B63"/>
    <w:rsid w:val="006D2EB3"/>
    <w:rsid w:val="006D3DA2"/>
    <w:rsid w:val="006D5A60"/>
    <w:rsid w:val="006D6C54"/>
    <w:rsid w:val="006D6CAE"/>
    <w:rsid w:val="006D6F57"/>
    <w:rsid w:val="006D7D59"/>
    <w:rsid w:val="006E0042"/>
    <w:rsid w:val="006E0C2B"/>
    <w:rsid w:val="006E142E"/>
    <w:rsid w:val="006E16D5"/>
    <w:rsid w:val="006E18D3"/>
    <w:rsid w:val="006E1F79"/>
    <w:rsid w:val="006E2E39"/>
    <w:rsid w:val="006E2F7B"/>
    <w:rsid w:val="006E318D"/>
    <w:rsid w:val="006E377B"/>
    <w:rsid w:val="006E385E"/>
    <w:rsid w:val="006E3C91"/>
    <w:rsid w:val="006E4179"/>
    <w:rsid w:val="006E4292"/>
    <w:rsid w:val="006E542D"/>
    <w:rsid w:val="006E55B2"/>
    <w:rsid w:val="006E5D0B"/>
    <w:rsid w:val="006E5F63"/>
    <w:rsid w:val="006E7455"/>
    <w:rsid w:val="006E76A3"/>
    <w:rsid w:val="006E79BE"/>
    <w:rsid w:val="006F041D"/>
    <w:rsid w:val="006F0E33"/>
    <w:rsid w:val="006F1B93"/>
    <w:rsid w:val="006F1DE6"/>
    <w:rsid w:val="006F2276"/>
    <w:rsid w:val="006F2A6C"/>
    <w:rsid w:val="006F2BA1"/>
    <w:rsid w:val="006F3350"/>
    <w:rsid w:val="006F3385"/>
    <w:rsid w:val="006F396B"/>
    <w:rsid w:val="006F43CF"/>
    <w:rsid w:val="006F4882"/>
    <w:rsid w:val="006F48AF"/>
    <w:rsid w:val="006F4A87"/>
    <w:rsid w:val="006F54F6"/>
    <w:rsid w:val="006F57DD"/>
    <w:rsid w:val="006F58F2"/>
    <w:rsid w:val="006F5A0D"/>
    <w:rsid w:val="006F641F"/>
    <w:rsid w:val="006F65F6"/>
    <w:rsid w:val="006F6695"/>
    <w:rsid w:val="006F68D9"/>
    <w:rsid w:val="006F7E68"/>
    <w:rsid w:val="00700361"/>
    <w:rsid w:val="00700959"/>
    <w:rsid w:val="0070118E"/>
    <w:rsid w:val="0070125B"/>
    <w:rsid w:val="00701788"/>
    <w:rsid w:val="007018C5"/>
    <w:rsid w:val="00701A5A"/>
    <w:rsid w:val="00701C3D"/>
    <w:rsid w:val="0070207A"/>
    <w:rsid w:val="00703ED0"/>
    <w:rsid w:val="00704DCA"/>
    <w:rsid w:val="0070524B"/>
    <w:rsid w:val="00705251"/>
    <w:rsid w:val="00706928"/>
    <w:rsid w:val="00706D4B"/>
    <w:rsid w:val="0070727D"/>
    <w:rsid w:val="0070746A"/>
    <w:rsid w:val="0070774A"/>
    <w:rsid w:val="0070779C"/>
    <w:rsid w:val="00707888"/>
    <w:rsid w:val="007079B0"/>
    <w:rsid w:val="00707A7C"/>
    <w:rsid w:val="00707A86"/>
    <w:rsid w:val="00707E87"/>
    <w:rsid w:val="00710687"/>
    <w:rsid w:val="00710BD4"/>
    <w:rsid w:val="00712664"/>
    <w:rsid w:val="00712800"/>
    <w:rsid w:val="007128BC"/>
    <w:rsid w:val="00712DD0"/>
    <w:rsid w:val="00713450"/>
    <w:rsid w:val="007145F7"/>
    <w:rsid w:val="007149E7"/>
    <w:rsid w:val="00714D77"/>
    <w:rsid w:val="00715334"/>
    <w:rsid w:val="007155A9"/>
    <w:rsid w:val="00715718"/>
    <w:rsid w:val="00715955"/>
    <w:rsid w:val="00715E38"/>
    <w:rsid w:val="00715EAA"/>
    <w:rsid w:val="00717191"/>
    <w:rsid w:val="0071760E"/>
    <w:rsid w:val="00717B48"/>
    <w:rsid w:val="00717D15"/>
    <w:rsid w:val="00720277"/>
    <w:rsid w:val="007204B9"/>
    <w:rsid w:val="007207BD"/>
    <w:rsid w:val="00721B39"/>
    <w:rsid w:val="00722C41"/>
    <w:rsid w:val="00723186"/>
    <w:rsid w:val="007233B8"/>
    <w:rsid w:val="007239DF"/>
    <w:rsid w:val="00723D9B"/>
    <w:rsid w:val="00723F37"/>
    <w:rsid w:val="0072422D"/>
    <w:rsid w:val="007246FE"/>
    <w:rsid w:val="00725607"/>
    <w:rsid w:val="00725A59"/>
    <w:rsid w:val="00725D42"/>
    <w:rsid w:val="00726CB4"/>
    <w:rsid w:val="00726F8A"/>
    <w:rsid w:val="00727284"/>
    <w:rsid w:val="007277EA"/>
    <w:rsid w:val="00727C42"/>
    <w:rsid w:val="00727C65"/>
    <w:rsid w:val="00727C6A"/>
    <w:rsid w:val="00730477"/>
    <w:rsid w:val="0073048D"/>
    <w:rsid w:val="007304EE"/>
    <w:rsid w:val="007312F3"/>
    <w:rsid w:val="00731464"/>
    <w:rsid w:val="0073197B"/>
    <w:rsid w:val="00731E8C"/>
    <w:rsid w:val="00732906"/>
    <w:rsid w:val="00732B65"/>
    <w:rsid w:val="00732CBC"/>
    <w:rsid w:val="00733227"/>
    <w:rsid w:val="0073437D"/>
    <w:rsid w:val="0073476F"/>
    <w:rsid w:val="00734892"/>
    <w:rsid w:val="00734D58"/>
    <w:rsid w:val="00735380"/>
    <w:rsid w:val="00735575"/>
    <w:rsid w:val="007358B5"/>
    <w:rsid w:val="00735930"/>
    <w:rsid w:val="00735C9A"/>
    <w:rsid w:val="00736395"/>
    <w:rsid w:val="00736A66"/>
    <w:rsid w:val="00736AE9"/>
    <w:rsid w:val="00736E9F"/>
    <w:rsid w:val="00737388"/>
    <w:rsid w:val="00740006"/>
    <w:rsid w:val="00740811"/>
    <w:rsid w:val="00740BC5"/>
    <w:rsid w:val="00740D2C"/>
    <w:rsid w:val="00741238"/>
    <w:rsid w:val="00741A84"/>
    <w:rsid w:val="00742418"/>
    <w:rsid w:val="00742977"/>
    <w:rsid w:val="00742C8E"/>
    <w:rsid w:val="00742E54"/>
    <w:rsid w:val="00743115"/>
    <w:rsid w:val="00743159"/>
    <w:rsid w:val="007435C9"/>
    <w:rsid w:val="00743B18"/>
    <w:rsid w:val="00743FB3"/>
    <w:rsid w:val="00744138"/>
    <w:rsid w:val="00744BD6"/>
    <w:rsid w:val="007453C9"/>
    <w:rsid w:val="00745616"/>
    <w:rsid w:val="00745800"/>
    <w:rsid w:val="00745E32"/>
    <w:rsid w:val="00746A4F"/>
    <w:rsid w:val="00747A55"/>
    <w:rsid w:val="007500B2"/>
    <w:rsid w:val="00750183"/>
    <w:rsid w:val="00750638"/>
    <w:rsid w:val="00751217"/>
    <w:rsid w:val="00751C85"/>
    <w:rsid w:val="00752D4A"/>
    <w:rsid w:val="00752ECC"/>
    <w:rsid w:val="00753333"/>
    <w:rsid w:val="00753461"/>
    <w:rsid w:val="007535C8"/>
    <w:rsid w:val="007535FA"/>
    <w:rsid w:val="00753BAA"/>
    <w:rsid w:val="00753E81"/>
    <w:rsid w:val="0075411A"/>
    <w:rsid w:val="00754A62"/>
    <w:rsid w:val="00754D61"/>
    <w:rsid w:val="00754DD2"/>
    <w:rsid w:val="0075546D"/>
    <w:rsid w:val="00755B8C"/>
    <w:rsid w:val="00755F05"/>
    <w:rsid w:val="007561E3"/>
    <w:rsid w:val="00756902"/>
    <w:rsid w:val="007569EF"/>
    <w:rsid w:val="00757746"/>
    <w:rsid w:val="00757D29"/>
    <w:rsid w:val="00760890"/>
    <w:rsid w:val="00761203"/>
    <w:rsid w:val="00761287"/>
    <w:rsid w:val="00761319"/>
    <w:rsid w:val="007613EF"/>
    <w:rsid w:val="00761E4E"/>
    <w:rsid w:val="00763C4E"/>
    <w:rsid w:val="00763CCD"/>
    <w:rsid w:val="00764577"/>
    <w:rsid w:val="00764649"/>
    <w:rsid w:val="0076483C"/>
    <w:rsid w:val="00764E6B"/>
    <w:rsid w:val="0076514C"/>
    <w:rsid w:val="00765481"/>
    <w:rsid w:val="007658B8"/>
    <w:rsid w:val="00765CE5"/>
    <w:rsid w:val="00766517"/>
    <w:rsid w:val="00766D11"/>
    <w:rsid w:val="00767D96"/>
    <w:rsid w:val="00767E13"/>
    <w:rsid w:val="0077025F"/>
    <w:rsid w:val="00770FD4"/>
    <w:rsid w:val="00771162"/>
    <w:rsid w:val="00771386"/>
    <w:rsid w:val="007717AE"/>
    <w:rsid w:val="00771922"/>
    <w:rsid w:val="00771F74"/>
    <w:rsid w:val="00772315"/>
    <w:rsid w:val="007723FD"/>
    <w:rsid w:val="00772922"/>
    <w:rsid w:val="0077335E"/>
    <w:rsid w:val="00773443"/>
    <w:rsid w:val="007736D7"/>
    <w:rsid w:val="007741CB"/>
    <w:rsid w:val="007743EA"/>
    <w:rsid w:val="00774404"/>
    <w:rsid w:val="007745C1"/>
    <w:rsid w:val="007747F1"/>
    <w:rsid w:val="00775348"/>
    <w:rsid w:val="00775EF7"/>
    <w:rsid w:val="00780AD7"/>
    <w:rsid w:val="0078188B"/>
    <w:rsid w:val="00781D1D"/>
    <w:rsid w:val="00783189"/>
    <w:rsid w:val="0078339B"/>
    <w:rsid w:val="007833F9"/>
    <w:rsid w:val="00784199"/>
    <w:rsid w:val="007849F8"/>
    <w:rsid w:val="00785362"/>
    <w:rsid w:val="00785592"/>
    <w:rsid w:val="00787988"/>
    <w:rsid w:val="00787D2C"/>
    <w:rsid w:val="0079006D"/>
    <w:rsid w:val="00790851"/>
    <w:rsid w:val="00790EB6"/>
    <w:rsid w:val="00791189"/>
    <w:rsid w:val="0079173C"/>
    <w:rsid w:val="00791BF1"/>
    <w:rsid w:val="00792428"/>
    <w:rsid w:val="007929E5"/>
    <w:rsid w:val="00792A71"/>
    <w:rsid w:val="00792BEC"/>
    <w:rsid w:val="007931D9"/>
    <w:rsid w:val="0079354B"/>
    <w:rsid w:val="00793A03"/>
    <w:rsid w:val="00793CE0"/>
    <w:rsid w:val="00794224"/>
    <w:rsid w:val="007944D7"/>
    <w:rsid w:val="00794CFE"/>
    <w:rsid w:val="00794E34"/>
    <w:rsid w:val="0079552C"/>
    <w:rsid w:val="0079584A"/>
    <w:rsid w:val="007958DA"/>
    <w:rsid w:val="0079614B"/>
    <w:rsid w:val="00796C5F"/>
    <w:rsid w:val="0079734A"/>
    <w:rsid w:val="00797934"/>
    <w:rsid w:val="00797D26"/>
    <w:rsid w:val="007A000F"/>
    <w:rsid w:val="007A0829"/>
    <w:rsid w:val="007A08CC"/>
    <w:rsid w:val="007A0D7F"/>
    <w:rsid w:val="007A15C9"/>
    <w:rsid w:val="007A1712"/>
    <w:rsid w:val="007A2165"/>
    <w:rsid w:val="007A26E3"/>
    <w:rsid w:val="007A281A"/>
    <w:rsid w:val="007A298D"/>
    <w:rsid w:val="007A29D8"/>
    <w:rsid w:val="007A3DA1"/>
    <w:rsid w:val="007A52CD"/>
    <w:rsid w:val="007A6439"/>
    <w:rsid w:val="007A6CFB"/>
    <w:rsid w:val="007A6D28"/>
    <w:rsid w:val="007A6DAD"/>
    <w:rsid w:val="007A6FDE"/>
    <w:rsid w:val="007A7A1F"/>
    <w:rsid w:val="007A7F98"/>
    <w:rsid w:val="007B093D"/>
    <w:rsid w:val="007B0C85"/>
    <w:rsid w:val="007B1938"/>
    <w:rsid w:val="007B1BBF"/>
    <w:rsid w:val="007B20C5"/>
    <w:rsid w:val="007B2775"/>
    <w:rsid w:val="007B2D4C"/>
    <w:rsid w:val="007B2DFB"/>
    <w:rsid w:val="007B315E"/>
    <w:rsid w:val="007B3984"/>
    <w:rsid w:val="007B3B1C"/>
    <w:rsid w:val="007B44F8"/>
    <w:rsid w:val="007B54E4"/>
    <w:rsid w:val="007B5632"/>
    <w:rsid w:val="007B7815"/>
    <w:rsid w:val="007B7822"/>
    <w:rsid w:val="007C06C5"/>
    <w:rsid w:val="007C0743"/>
    <w:rsid w:val="007C0C75"/>
    <w:rsid w:val="007C0DB8"/>
    <w:rsid w:val="007C1305"/>
    <w:rsid w:val="007C13E3"/>
    <w:rsid w:val="007C1B5A"/>
    <w:rsid w:val="007C1E41"/>
    <w:rsid w:val="007C203A"/>
    <w:rsid w:val="007C21BC"/>
    <w:rsid w:val="007C251E"/>
    <w:rsid w:val="007C2542"/>
    <w:rsid w:val="007C2743"/>
    <w:rsid w:val="007C32DA"/>
    <w:rsid w:val="007C332F"/>
    <w:rsid w:val="007C33AA"/>
    <w:rsid w:val="007C345D"/>
    <w:rsid w:val="007C3CB6"/>
    <w:rsid w:val="007C4787"/>
    <w:rsid w:val="007C4B41"/>
    <w:rsid w:val="007C4FC7"/>
    <w:rsid w:val="007C5FA2"/>
    <w:rsid w:val="007C648D"/>
    <w:rsid w:val="007C732B"/>
    <w:rsid w:val="007D1041"/>
    <w:rsid w:val="007D134B"/>
    <w:rsid w:val="007D1585"/>
    <w:rsid w:val="007D220A"/>
    <w:rsid w:val="007D227C"/>
    <w:rsid w:val="007D24F9"/>
    <w:rsid w:val="007D2634"/>
    <w:rsid w:val="007D3934"/>
    <w:rsid w:val="007D3DAB"/>
    <w:rsid w:val="007D3DBD"/>
    <w:rsid w:val="007D3FB8"/>
    <w:rsid w:val="007D3FB9"/>
    <w:rsid w:val="007D434C"/>
    <w:rsid w:val="007D476E"/>
    <w:rsid w:val="007D491E"/>
    <w:rsid w:val="007D55CF"/>
    <w:rsid w:val="007D578F"/>
    <w:rsid w:val="007D5850"/>
    <w:rsid w:val="007D5A78"/>
    <w:rsid w:val="007D5FEF"/>
    <w:rsid w:val="007D6301"/>
    <w:rsid w:val="007D63CD"/>
    <w:rsid w:val="007D64F6"/>
    <w:rsid w:val="007D67CA"/>
    <w:rsid w:val="007D713C"/>
    <w:rsid w:val="007D7210"/>
    <w:rsid w:val="007D72C0"/>
    <w:rsid w:val="007D74E3"/>
    <w:rsid w:val="007D798E"/>
    <w:rsid w:val="007D7AF0"/>
    <w:rsid w:val="007D7FE6"/>
    <w:rsid w:val="007E1C84"/>
    <w:rsid w:val="007E1F1E"/>
    <w:rsid w:val="007E2D42"/>
    <w:rsid w:val="007E2EB7"/>
    <w:rsid w:val="007E2F44"/>
    <w:rsid w:val="007E3103"/>
    <w:rsid w:val="007E3D7F"/>
    <w:rsid w:val="007E4345"/>
    <w:rsid w:val="007E523D"/>
    <w:rsid w:val="007E5EE7"/>
    <w:rsid w:val="007E61C3"/>
    <w:rsid w:val="007E66EB"/>
    <w:rsid w:val="007E6786"/>
    <w:rsid w:val="007E6A46"/>
    <w:rsid w:val="007E6DF7"/>
    <w:rsid w:val="007E6E50"/>
    <w:rsid w:val="007E6F73"/>
    <w:rsid w:val="007E7123"/>
    <w:rsid w:val="007E79F4"/>
    <w:rsid w:val="007E7DA3"/>
    <w:rsid w:val="007F1980"/>
    <w:rsid w:val="007F1C7D"/>
    <w:rsid w:val="007F1E5F"/>
    <w:rsid w:val="007F2D27"/>
    <w:rsid w:val="007F3797"/>
    <w:rsid w:val="007F386B"/>
    <w:rsid w:val="007F47F9"/>
    <w:rsid w:val="007F4C22"/>
    <w:rsid w:val="007F5E1C"/>
    <w:rsid w:val="007F6E04"/>
    <w:rsid w:val="007F6F0A"/>
    <w:rsid w:val="007F765F"/>
    <w:rsid w:val="007F770D"/>
    <w:rsid w:val="007F795A"/>
    <w:rsid w:val="007F79E6"/>
    <w:rsid w:val="007F7CEA"/>
    <w:rsid w:val="00800CA3"/>
    <w:rsid w:val="0080109F"/>
    <w:rsid w:val="00801382"/>
    <w:rsid w:val="00801C2D"/>
    <w:rsid w:val="00801D6A"/>
    <w:rsid w:val="00801D70"/>
    <w:rsid w:val="00801FD2"/>
    <w:rsid w:val="008024D2"/>
    <w:rsid w:val="0080295F"/>
    <w:rsid w:val="00803EB4"/>
    <w:rsid w:val="00803ED2"/>
    <w:rsid w:val="008040D7"/>
    <w:rsid w:val="00804474"/>
    <w:rsid w:val="00804983"/>
    <w:rsid w:val="008049CC"/>
    <w:rsid w:val="00804E45"/>
    <w:rsid w:val="00804EE7"/>
    <w:rsid w:val="00805155"/>
    <w:rsid w:val="00806515"/>
    <w:rsid w:val="008073FF"/>
    <w:rsid w:val="00807D2F"/>
    <w:rsid w:val="00810C23"/>
    <w:rsid w:val="008112DD"/>
    <w:rsid w:val="00811634"/>
    <w:rsid w:val="0081193F"/>
    <w:rsid w:val="00811ABD"/>
    <w:rsid w:val="00812155"/>
    <w:rsid w:val="0081229D"/>
    <w:rsid w:val="00812446"/>
    <w:rsid w:val="00812DE5"/>
    <w:rsid w:val="008134A3"/>
    <w:rsid w:val="00813A88"/>
    <w:rsid w:val="00813B29"/>
    <w:rsid w:val="00813C78"/>
    <w:rsid w:val="008144AC"/>
    <w:rsid w:val="00814DB0"/>
    <w:rsid w:val="0081538E"/>
    <w:rsid w:val="00815538"/>
    <w:rsid w:val="00815CEF"/>
    <w:rsid w:val="0081662D"/>
    <w:rsid w:val="00816A31"/>
    <w:rsid w:val="00816EA3"/>
    <w:rsid w:val="0081704E"/>
    <w:rsid w:val="00817611"/>
    <w:rsid w:val="00817A24"/>
    <w:rsid w:val="008200C0"/>
    <w:rsid w:val="008206B4"/>
    <w:rsid w:val="00820C48"/>
    <w:rsid w:val="00820D94"/>
    <w:rsid w:val="00821127"/>
    <w:rsid w:val="00821246"/>
    <w:rsid w:val="008212D4"/>
    <w:rsid w:val="0082151F"/>
    <w:rsid w:val="008219CD"/>
    <w:rsid w:val="00821BD9"/>
    <w:rsid w:val="00821C79"/>
    <w:rsid w:val="00822061"/>
    <w:rsid w:val="00822082"/>
    <w:rsid w:val="00822ABA"/>
    <w:rsid w:val="0082348D"/>
    <w:rsid w:val="00824336"/>
    <w:rsid w:val="00825754"/>
    <w:rsid w:val="008257E5"/>
    <w:rsid w:val="00825B7D"/>
    <w:rsid w:val="008262DF"/>
    <w:rsid w:val="00826680"/>
    <w:rsid w:val="008268C2"/>
    <w:rsid w:val="0082701C"/>
    <w:rsid w:val="00827229"/>
    <w:rsid w:val="008275A6"/>
    <w:rsid w:val="00827B12"/>
    <w:rsid w:val="0083004F"/>
    <w:rsid w:val="0083059A"/>
    <w:rsid w:val="008305EE"/>
    <w:rsid w:val="00830A14"/>
    <w:rsid w:val="00830FDC"/>
    <w:rsid w:val="0083120B"/>
    <w:rsid w:val="0083149F"/>
    <w:rsid w:val="008319FA"/>
    <w:rsid w:val="008325C8"/>
    <w:rsid w:val="008327CA"/>
    <w:rsid w:val="008328EE"/>
    <w:rsid w:val="00832A76"/>
    <w:rsid w:val="00832C37"/>
    <w:rsid w:val="00832E23"/>
    <w:rsid w:val="00832E63"/>
    <w:rsid w:val="00832EC7"/>
    <w:rsid w:val="0083300E"/>
    <w:rsid w:val="00833CA1"/>
    <w:rsid w:val="008345B0"/>
    <w:rsid w:val="00834EF3"/>
    <w:rsid w:val="0083561B"/>
    <w:rsid w:val="00835675"/>
    <w:rsid w:val="00835815"/>
    <w:rsid w:val="0083643F"/>
    <w:rsid w:val="00836443"/>
    <w:rsid w:val="00836546"/>
    <w:rsid w:val="00837664"/>
    <w:rsid w:val="00841888"/>
    <w:rsid w:val="008419A3"/>
    <w:rsid w:val="00841DDE"/>
    <w:rsid w:val="00842267"/>
    <w:rsid w:val="008430A6"/>
    <w:rsid w:val="008432BD"/>
    <w:rsid w:val="00844DE7"/>
    <w:rsid w:val="00845141"/>
    <w:rsid w:val="0084529A"/>
    <w:rsid w:val="00845625"/>
    <w:rsid w:val="00845DCB"/>
    <w:rsid w:val="00846435"/>
    <w:rsid w:val="00847683"/>
    <w:rsid w:val="00847CDF"/>
    <w:rsid w:val="00847DD2"/>
    <w:rsid w:val="0085026D"/>
    <w:rsid w:val="00850682"/>
    <w:rsid w:val="008506CC"/>
    <w:rsid w:val="008506EC"/>
    <w:rsid w:val="00850724"/>
    <w:rsid w:val="00850A43"/>
    <w:rsid w:val="00851F24"/>
    <w:rsid w:val="008527CF"/>
    <w:rsid w:val="00852BBB"/>
    <w:rsid w:val="00852E9C"/>
    <w:rsid w:val="008534CE"/>
    <w:rsid w:val="00853614"/>
    <w:rsid w:val="00854889"/>
    <w:rsid w:val="00854EAE"/>
    <w:rsid w:val="00855437"/>
    <w:rsid w:val="008565FB"/>
    <w:rsid w:val="00856670"/>
    <w:rsid w:val="00857305"/>
    <w:rsid w:val="008577B0"/>
    <w:rsid w:val="00860DDD"/>
    <w:rsid w:val="008610F1"/>
    <w:rsid w:val="008621BF"/>
    <w:rsid w:val="008628AF"/>
    <w:rsid w:val="00862A12"/>
    <w:rsid w:val="0086300B"/>
    <w:rsid w:val="0086377A"/>
    <w:rsid w:val="00863BE0"/>
    <w:rsid w:val="00863BF8"/>
    <w:rsid w:val="00863C63"/>
    <w:rsid w:val="0086530C"/>
    <w:rsid w:val="00865B9B"/>
    <w:rsid w:val="0086618A"/>
    <w:rsid w:val="00866DE0"/>
    <w:rsid w:val="00867237"/>
    <w:rsid w:val="00867BF3"/>
    <w:rsid w:val="00870866"/>
    <w:rsid w:val="0087109C"/>
    <w:rsid w:val="00871C53"/>
    <w:rsid w:val="0087245E"/>
    <w:rsid w:val="00872A43"/>
    <w:rsid w:val="00873CFF"/>
    <w:rsid w:val="008740DB"/>
    <w:rsid w:val="00874AFB"/>
    <w:rsid w:val="0087587E"/>
    <w:rsid w:val="00875958"/>
    <w:rsid w:val="00875E43"/>
    <w:rsid w:val="0087614E"/>
    <w:rsid w:val="00876430"/>
    <w:rsid w:val="008764D7"/>
    <w:rsid w:val="00876FA2"/>
    <w:rsid w:val="00877BC4"/>
    <w:rsid w:val="00877EC1"/>
    <w:rsid w:val="008808E5"/>
    <w:rsid w:val="00880982"/>
    <w:rsid w:val="00880E58"/>
    <w:rsid w:val="00881BAA"/>
    <w:rsid w:val="008826F0"/>
    <w:rsid w:val="00882CE3"/>
    <w:rsid w:val="00882FD9"/>
    <w:rsid w:val="00883788"/>
    <w:rsid w:val="00883F41"/>
    <w:rsid w:val="008840D2"/>
    <w:rsid w:val="008844F3"/>
    <w:rsid w:val="008848F9"/>
    <w:rsid w:val="008869BB"/>
    <w:rsid w:val="008872B7"/>
    <w:rsid w:val="008872D2"/>
    <w:rsid w:val="00887354"/>
    <w:rsid w:val="00887372"/>
    <w:rsid w:val="00887574"/>
    <w:rsid w:val="008878BB"/>
    <w:rsid w:val="008879F4"/>
    <w:rsid w:val="00887BB0"/>
    <w:rsid w:val="0089043B"/>
    <w:rsid w:val="00890FDC"/>
    <w:rsid w:val="00891DCF"/>
    <w:rsid w:val="008922F2"/>
    <w:rsid w:val="008923D7"/>
    <w:rsid w:val="0089253C"/>
    <w:rsid w:val="00892B67"/>
    <w:rsid w:val="00892D5A"/>
    <w:rsid w:val="00893604"/>
    <w:rsid w:val="00893DD5"/>
    <w:rsid w:val="00893E33"/>
    <w:rsid w:val="00893E9D"/>
    <w:rsid w:val="00893EBD"/>
    <w:rsid w:val="00893EC0"/>
    <w:rsid w:val="00894415"/>
    <w:rsid w:val="00896A7C"/>
    <w:rsid w:val="00896C4F"/>
    <w:rsid w:val="0089712C"/>
    <w:rsid w:val="00897F13"/>
    <w:rsid w:val="008A0363"/>
    <w:rsid w:val="008A0F31"/>
    <w:rsid w:val="008A19A3"/>
    <w:rsid w:val="008A1B04"/>
    <w:rsid w:val="008A1E45"/>
    <w:rsid w:val="008A2118"/>
    <w:rsid w:val="008A245C"/>
    <w:rsid w:val="008A3200"/>
    <w:rsid w:val="008A39AB"/>
    <w:rsid w:val="008A3BD4"/>
    <w:rsid w:val="008A4B29"/>
    <w:rsid w:val="008A4C50"/>
    <w:rsid w:val="008A4C61"/>
    <w:rsid w:val="008A4FF2"/>
    <w:rsid w:val="008A5143"/>
    <w:rsid w:val="008A528C"/>
    <w:rsid w:val="008A5373"/>
    <w:rsid w:val="008A57A8"/>
    <w:rsid w:val="008A62E4"/>
    <w:rsid w:val="008A7011"/>
    <w:rsid w:val="008B057C"/>
    <w:rsid w:val="008B0CEF"/>
    <w:rsid w:val="008B1E5D"/>
    <w:rsid w:val="008B3BDA"/>
    <w:rsid w:val="008B4053"/>
    <w:rsid w:val="008B4FE2"/>
    <w:rsid w:val="008B51D9"/>
    <w:rsid w:val="008B56E0"/>
    <w:rsid w:val="008B57FB"/>
    <w:rsid w:val="008B6820"/>
    <w:rsid w:val="008B6944"/>
    <w:rsid w:val="008B72B8"/>
    <w:rsid w:val="008B7649"/>
    <w:rsid w:val="008B76C6"/>
    <w:rsid w:val="008B77C4"/>
    <w:rsid w:val="008C0BA0"/>
    <w:rsid w:val="008C100C"/>
    <w:rsid w:val="008C1354"/>
    <w:rsid w:val="008C14D6"/>
    <w:rsid w:val="008C1AC7"/>
    <w:rsid w:val="008C1B63"/>
    <w:rsid w:val="008C2665"/>
    <w:rsid w:val="008C34D0"/>
    <w:rsid w:val="008C366C"/>
    <w:rsid w:val="008C3921"/>
    <w:rsid w:val="008C3AB8"/>
    <w:rsid w:val="008C4052"/>
    <w:rsid w:val="008C4D18"/>
    <w:rsid w:val="008C51C5"/>
    <w:rsid w:val="008C53D5"/>
    <w:rsid w:val="008C5787"/>
    <w:rsid w:val="008C58C8"/>
    <w:rsid w:val="008C5A84"/>
    <w:rsid w:val="008C6DEB"/>
    <w:rsid w:val="008C788B"/>
    <w:rsid w:val="008C7B81"/>
    <w:rsid w:val="008C7E9D"/>
    <w:rsid w:val="008C7F8D"/>
    <w:rsid w:val="008D02B5"/>
    <w:rsid w:val="008D0438"/>
    <w:rsid w:val="008D0A75"/>
    <w:rsid w:val="008D0F42"/>
    <w:rsid w:val="008D1175"/>
    <w:rsid w:val="008D11B6"/>
    <w:rsid w:val="008D2778"/>
    <w:rsid w:val="008D282D"/>
    <w:rsid w:val="008D2925"/>
    <w:rsid w:val="008D2E44"/>
    <w:rsid w:val="008D2EAE"/>
    <w:rsid w:val="008D3207"/>
    <w:rsid w:val="008D3534"/>
    <w:rsid w:val="008D4103"/>
    <w:rsid w:val="008D43FD"/>
    <w:rsid w:val="008D44E9"/>
    <w:rsid w:val="008D4904"/>
    <w:rsid w:val="008D4A1D"/>
    <w:rsid w:val="008D4FFA"/>
    <w:rsid w:val="008D5578"/>
    <w:rsid w:val="008D5DC6"/>
    <w:rsid w:val="008D5F5F"/>
    <w:rsid w:val="008D6878"/>
    <w:rsid w:val="008D6953"/>
    <w:rsid w:val="008D6C15"/>
    <w:rsid w:val="008D7E86"/>
    <w:rsid w:val="008E003D"/>
    <w:rsid w:val="008E0978"/>
    <w:rsid w:val="008E17BF"/>
    <w:rsid w:val="008E2189"/>
    <w:rsid w:val="008E2A2F"/>
    <w:rsid w:val="008E2B1E"/>
    <w:rsid w:val="008E3162"/>
    <w:rsid w:val="008E38D9"/>
    <w:rsid w:val="008E39E2"/>
    <w:rsid w:val="008E3C3C"/>
    <w:rsid w:val="008E3E9C"/>
    <w:rsid w:val="008E48FA"/>
    <w:rsid w:val="008E4B01"/>
    <w:rsid w:val="008E4E60"/>
    <w:rsid w:val="008E5328"/>
    <w:rsid w:val="008E6797"/>
    <w:rsid w:val="008E69FF"/>
    <w:rsid w:val="008E6C1A"/>
    <w:rsid w:val="008E732A"/>
    <w:rsid w:val="008E7432"/>
    <w:rsid w:val="008E76F6"/>
    <w:rsid w:val="008E7F1B"/>
    <w:rsid w:val="008F01A5"/>
    <w:rsid w:val="008F0659"/>
    <w:rsid w:val="008F0701"/>
    <w:rsid w:val="008F08F3"/>
    <w:rsid w:val="008F0E56"/>
    <w:rsid w:val="008F109A"/>
    <w:rsid w:val="008F15A2"/>
    <w:rsid w:val="008F1631"/>
    <w:rsid w:val="008F1F15"/>
    <w:rsid w:val="008F2339"/>
    <w:rsid w:val="008F2A3A"/>
    <w:rsid w:val="008F2D3D"/>
    <w:rsid w:val="008F33AC"/>
    <w:rsid w:val="008F383C"/>
    <w:rsid w:val="008F528E"/>
    <w:rsid w:val="008F53FD"/>
    <w:rsid w:val="008F6879"/>
    <w:rsid w:val="008F6B3D"/>
    <w:rsid w:val="008F6D00"/>
    <w:rsid w:val="008F6D51"/>
    <w:rsid w:val="008F6D61"/>
    <w:rsid w:val="008F7036"/>
    <w:rsid w:val="008F75C1"/>
    <w:rsid w:val="008F7621"/>
    <w:rsid w:val="008F77ED"/>
    <w:rsid w:val="008F7C60"/>
    <w:rsid w:val="008F7D1E"/>
    <w:rsid w:val="00900043"/>
    <w:rsid w:val="0090055A"/>
    <w:rsid w:val="009005D8"/>
    <w:rsid w:val="00901102"/>
    <w:rsid w:val="009014BE"/>
    <w:rsid w:val="009015FB"/>
    <w:rsid w:val="00901874"/>
    <w:rsid w:val="009020D1"/>
    <w:rsid w:val="009028CA"/>
    <w:rsid w:val="00902AAB"/>
    <w:rsid w:val="0090369F"/>
    <w:rsid w:val="009036C6"/>
    <w:rsid w:val="00903BE6"/>
    <w:rsid w:val="0090434D"/>
    <w:rsid w:val="00904B41"/>
    <w:rsid w:val="009055A0"/>
    <w:rsid w:val="009055DB"/>
    <w:rsid w:val="00905613"/>
    <w:rsid w:val="00906509"/>
    <w:rsid w:val="00907601"/>
    <w:rsid w:val="0091058D"/>
    <w:rsid w:val="00910C3F"/>
    <w:rsid w:val="00910D4E"/>
    <w:rsid w:val="009130B6"/>
    <w:rsid w:val="00913A44"/>
    <w:rsid w:val="0091446A"/>
    <w:rsid w:val="0091465A"/>
    <w:rsid w:val="009149AD"/>
    <w:rsid w:val="00914E22"/>
    <w:rsid w:val="0091525D"/>
    <w:rsid w:val="00916133"/>
    <w:rsid w:val="009165A4"/>
    <w:rsid w:val="009167A7"/>
    <w:rsid w:val="009169A8"/>
    <w:rsid w:val="00916CCF"/>
    <w:rsid w:val="00916FE2"/>
    <w:rsid w:val="00917694"/>
    <w:rsid w:val="0091780E"/>
    <w:rsid w:val="0091794E"/>
    <w:rsid w:val="009200BE"/>
    <w:rsid w:val="00920696"/>
    <w:rsid w:val="00920857"/>
    <w:rsid w:val="00920AD3"/>
    <w:rsid w:val="00920CFC"/>
    <w:rsid w:val="009219C5"/>
    <w:rsid w:val="00921CB3"/>
    <w:rsid w:val="00922609"/>
    <w:rsid w:val="0092275D"/>
    <w:rsid w:val="009233D4"/>
    <w:rsid w:val="00923548"/>
    <w:rsid w:val="009235E9"/>
    <w:rsid w:val="00923E58"/>
    <w:rsid w:val="0092552C"/>
    <w:rsid w:val="009259B3"/>
    <w:rsid w:val="00925D97"/>
    <w:rsid w:val="009270DC"/>
    <w:rsid w:val="009273B3"/>
    <w:rsid w:val="00927AAB"/>
    <w:rsid w:val="00927DCD"/>
    <w:rsid w:val="0093016E"/>
    <w:rsid w:val="00930197"/>
    <w:rsid w:val="0093062D"/>
    <w:rsid w:val="00930E22"/>
    <w:rsid w:val="00930F4B"/>
    <w:rsid w:val="009311E8"/>
    <w:rsid w:val="009316D1"/>
    <w:rsid w:val="00931BE9"/>
    <w:rsid w:val="00933402"/>
    <w:rsid w:val="00933CCF"/>
    <w:rsid w:val="00933D70"/>
    <w:rsid w:val="009341DB"/>
    <w:rsid w:val="00934264"/>
    <w:rsid w:val="00934513"/>
    <w:rsid w:val="00934676"/>
    <w:rsid w:val="009353FB"/>
    <w:rsid w:val="0093554B"/>
    <w:rsid w:val="00935829"/>
    <w:rsid w:val="00936CA6"/>
    <w:rsid w:val="00936F43"/>
    <w:rsid w:val="00936FEE"/>
    <w:rsid w:val="009373C9"/>
    <w:rsid w:val="00937DEF"/>
    <w:rsid w:val="00937EE2"/>
    <w:rsid w:val="0094007E"/>
    <w:rsid w:val="0094028E"/>
    <w:rsid w:val="00940B59"/>
    <w:rsid w:val="009426BC"/>
    <w:rsid w:val="0094273C"/>
    <w:rsid w:val="00942E62"/>
    <w:rsid w:val="00942F46"/>
    <w:rsid w:val="009431B4"/>
    <w:rsid w:val="00943A5C"/>
    <w:rsid w:val="00943EE1"/>
    <w:rsid w:val="00943F34"/>
    <w:rsid w:val="00943F38"/>
    <w:rsid w:val="00944023"/>
    <w:rsid w:val="00944B86"/>
    <w:rsid w:val="009458C9"/>
    <w:rsid w:val="00946B7F"/>
    <w:rsid w:val="00946E2C"/>
    <w:rsid w:val="009470C7"/>
    <w:rsid w:val="009501B5"/>
    <w:rsid w:val="0095110B"/>
    <w:rsid w:val="0095187B"/>
    <w:rsid w:val="00951A51"/>
    <w:rsid w:val="0095253F"/>
    <w:rsid w:val="0095302D"/>
    <w:rsid w:val="009545D7"/>
    <w:rsid w:val="00955CA6"/>
    <w:rsid w:val="00955F7A"/>
    <w:rsid w:val="00956837"/>
    <w:rsid w:val="00956A9E"/>
    <w:rsid w:val="00956CEA"/>
    <w:rsid w:val="009572E0"/>
    <w:rsid w:val="00957504"/>
    <w:rsid w:val="00957D12"/>
    <w:rsid w:val="00960043"/>
    <w:rsid w:val="0096012E"/>
    <w:rsid w:val="0096082E"/>
    <w:rsid w:val="009611AC"/>
    <w:rsid w:val="0096178A"/>
    <w:rsid w:val="009621A5"/>
    <w:rsid w:val="00962D6A"/>
    <w:rsid w:val="009636DC"/>
    <w:rsid w:val="00963BFC"/>
    <w:rsid w:val="0096436E"/>
    <w:rsid w:val="009652CB"/>
    <w:rsid w:val="00966345"/>
    <w:rsid w:val="0096660B"/>
    <w:rsid w:val="009667D9"/>
    <w:rsid w:val="00966821"/>
    <w:rsid w:val="00966AC5"/>
    <w:rsid w:val="00966C56"/>
    <w:rsid w:val="00966D1A"/>
    <w:rsid w:val="00967C9A"/>
    <w:rsid w:val="00967E41"/>
    <w:rsid w:val="00970007"/>
    <w:rsid w:val="00970717"/>
    <w:rsid w:val="00970776"/>
    <w:rsid w:val="009707DC"/>
    <w:rsid w:val="00970C84"/>
    <w:rsid w:val="00970F0A"/>
    <w:rsid w:val="00971217"/>
    <w:rsid w:val="00971242"/>
    <w:rsid w:val="00971B29"/>
    <w:rsid w:val="00972290"/>
    <w:rsid w:val="0097281A"/>
    <w:rsid w:val="009728E0"/>
    <w:rsid w:val="00972A50"/>
    <w:rsid w:val="009735B5"/>
    <w:rsid w:val="009739EE"/>
    <w:rsid w:val="00973A57"/>
    <w:rsid w:val="00974BC7"/>
    <w:rsid w:val="00974C4B"/>
    <w:rsid w:val="00974C9E"/>
    <w:rsid w:val="00974D81"/>
    <w:rsid w:val="00976633"/>
    <w:rsid w:val="00976A40"/>
    <w:rsid w:val="0097750D"/>
    <w:rsid w:val="00977847"/>
    <w:rsid w:val="009778B3"/>
    <w:rsid w:val="009778D0"/>
    <w:rsid w:val="0098041D"/>
    <w:rsid w:val="00980584"/>
    <w:rsid w:val="009809B1"/>
    <w:rsid w:val="00980D80"/>
    <w:rsid w:val="00980FA5"/>
    <w:rsid w:val="0098211C"/>
    <w:rsid w:val="0098233E"/>
    <w:rsid w:val="00982493"/>
    <w:rsid w:val="009826EC"/>
    <w:rsid w:val="00982872"/>
    <w:rsid w:val="00982B88"/>
    <w:rsid w:val="00983567"/>
    <w:rsid w:val="00983D00"/>
    <w:rsid w:val="00984711"/>
    <w:rsid w:val="00984E58"/>
    <w:rsid w:val="00985020"/>
    <w:rsid w:val="00985414"/>
    <w:rsid w:val="00985573"/>
    <w:rsid w:val="0098561F"/>
    <w:rsid w:val="00985AB3"/>
    <w:rsid w:val="00985C32"/>
    <w:rsid w:val="009864C4"/>
    <w:rsid w:val="00987AF3"/>
    <w:rsid w:val="00990791"/>
    <w:rsid w:val="009912B3"/>
    <w:rsid w:val="0099173F"/>
    <w:rsid w:val="0099175C"/>
    <w:rsid w:val="00994D10"/>
    <w:rsid w:val="00995B7B"/>
    <w:rsid w:val="00995D8E"/>
    <w:rsid w:val="00996FD3"/>
    <w:rsid w:val="0099739F"/>
    <w:rsid w:val="00997785"/>
    <w:rsid w:val="009A0810"/>
    <w:rsid w:val="009A0BEB"/>
    <w:rsid w:val="009A0D80"/>
    <w:rsid w:val="009A1276"/>
    <w:rsid w:val="009A2224"/>
    <w:rsid w:val="009A24A8"/>
    <w:rsid w:val="009A344D"/>
    <w:rsid w:val="009A484B"/>
    <w:rsid w:val="009A489A"/>
    <w:rsid w:val="009A4999"/>
    <w:rsid w:val="009A49BB"/>
    <w:rsid w:val="009A4E03"/>
    <w:rsid w:val="009A50E0"/>
    <w:rsid w:val="009A5A53"/>
    <w:rsid w:val="009A5AC9"/>
    <w:rsid w:val="009A5BBE"/>
    <w:rsid w:val="009A693E"/>
    <w:rsid w:val="009A77D2"/>
    <w:rsid w:val="009A7817"/>
    <w:rsid w:val="009B0CE6"/>
    <w:rsid w:val="009B0D5B"/>
    <w:rsid w:val="009B1BDE"/>
    <w:rsid w:val="009B1DFF"/>
    <w:rsid w:val="009B1F63"/>
    <w:rsid w:val="009B203A"/>
    <w:rsid w:val="009B2243"/>
    <w:rsid w:val="009B23E3"/>
    <w:rsid w:val="009B28D1"/>
    <w:rsid w:val="009B2ABF"/>
    <w:rsid w:val="009B2ADF"/>
    <w:rsid w:val="009B2B5D"/>
    <w:rsid w:val="009B3116"/>
    <w:rsid w:val="009B3174"/>
    <w:rsid w:val="009B4978"/>
    <w:rsid w:val="009B4CC8"/>
    <w:rsid w:val="009B5551"/>
    <w:rsid w:val="009B5895"/>
    <w:rsid w:val="009B5AD7"/>
    <w:rsid w:val="009B5AFE"/>
    <w:rsid w:val="009B5CA7"/>
    <w:rsid w:val="009B7AA7"/>
    <w:rsid w:val="009C0A45"/>
    <w:rsid w:val="009C1058"/>
    <w:rsid w:val="009C1245"/>
    <w:rsid w:val="009C1876"/>
    <w:rsid w:val="009C18E8"/>
    <w:rsid w:val="009C2474"/>
    <w:rsid w:val="009C2A18"/>
    <w:rsid w:val="009C2B94"/>
    <w:rsid w:val="009C2F89"/>
    <w:rsid w:val="009C322E"/>
    <w:rsid w:val="009C33D2"/>
    <w:rsid w:val="009C33E0"/>
    <w:rsid w:val="009C3893"/>
    <w:rsid w:val="009C4230"/>
    <w:rsid w:val="009C4946"/>
    <w:rsid w:val="009C4DA8"/>
    <w:rsid w:val="009C4DB7"/>
    <w:rsid w:val="009C61E6"/>
    <w:rsid w:val="009C65C2"/>
    <w:rsid w:val="009C6D76"/>
    <w:rsid w:val="009C7449"/>
    <w:rsid w:val="009C7D7C"/>
    <w:rsid w:val="009C7F17"/>
    <w:rsid w:val="009D1295"/>
    <w:rsid w:val="009D156E"/>
    <w:rsid w:val="009D2254"/>
    <w:rsid w:val="009D247F"/>
    <w:rsid w:val="009D25DD"/>
    <w:rsid w:val="009D2738"/>
    <w:rsid w:val="009D2758"/>
    <w:rsid w:val="009D3769"/>
    <w:rsid w:val="009D5CF8"/>
    <w:rsid w:val="009D5F2D"/>
    <w:rsid w:val="009D63EA"/>
    <w:rsid w:val="009D6719"/>
    <w:rsid w:val="009D7160"/>
    <w:rsid w:val="009D7701"/>
    <w:rsid w:val="009D783F"/>
    <w:rsid w:val="009D7AA7"/>
    <w:rsid w:val="009D7AEF"/>
    <w:rsid w:val="009E056E"/>
    <w:rsid w:val="009E0EA9"/>
    <w:rsid w:val="009E11E2"/>
    <w:rsid w:val="009E1D66"/>
    <w:rsid w:val="009E1E2C"/>
    <w:rsid w:val="009E2699"/>
    <w:rsid w:val="009E29E5"/>
    <w:rsid w:val="009E3ACD"/>
    <w:rsid w:val="009E3C97"/>
    <w:rsid w:val="009E4013"/>
    <w:rsid w:val="009E4204"/>
    <w:rsid w:val="009E48A0"/>
    <w:rsid w:val="009E4AF9"/>
    <w:rsid w:val="009E51BE"/>
    <w:rsid w:val="009E5494"/>
    <w:rsid w:val="009E555C"/>
    <w:rsid w:val="009E5AEA"/>
    <w:rsid w:val="009E612F"/>
    <w:rsid w:val="009E6150"/>
    <w:rsid w:val="009F21C7"/>
    <w:rsid w:val="009F30D1"/>
    <w:rsid w:val="009F45AB"/>
    <w:rsid w:val="009F4674"/>
    <w:rsid w:val="009F48EA"/>
    <w:rsid w:val="009F4932"/>
    <w:rsid w:val="009F4B22"/>
    <w:rsid w:val="009F50E5"/>
    <w:rsid w:val="009F5A1D"/>
    <w:rsid w:val="009F5B16"/>
    <w:rsid w:val="009F61DA"/>
    <w:rsid w:val="009F63FC"/>
    <w:rsid w:val="009F687B"/>
    <w:rsid w:val="009F71AD"/>
    <w:rsid w:val="009F726B"/>
    <w:rsid w:val="009F73E1"/>
    <w:rsid w:val="009F73F8"/>
    <w:rsid w:val="009F7A75"/>
    <w:rsid w:val="00A000B5"/>
    <w:rsid w:val="00A006CB"/>
    <w:rsid w:val="00A007EA"/>
    <w:rsid w:val="00A00D4D"/>
    <w:rsid w:val="00A0182F"/>
    <w:rsid w:val="00A01855"/>
    <w:rsid w:val="00A020AE"/>
    <w:rsid w:val="00A0211A"/>
    <w:rsid w:val="00A025BF"/>
    <w:rsid w:val="00A02FD1"/>
    <w:rsid w:val="00A0395D"/>
    <w:rsid w:val="00A043ED"/>
    <w:rsid w:val="00A045BC"/>
    <w:rsid w:val="00A05749"/>
    <w:rsid w:val="00A05A7E"/>
    <w:rsid w:val="00A05DBC"/>
    <w:rsid w:val="00A06018"/>
    <w:rsid w:val="00A1031D"/>
    <w:rsid w:val="00A103AE"/>
    <w:rsid w:val="00A111EF"/>
    <w:rsid w:val="00A11419"/>
    <w:rsid w:val="00A124F8"/>
    <w:rsid w:val="00A12E27"/>
    <w:rsid w:val="00A13234"/>
    <w:rsid w:val="00A137F5"/>
    <w:rsid w:val="00A13A58"/>
    <w:rsid w:val="00A13F94"/>
    <w:rsid w:val="00A151B7"/>
    <w:rsid w:val="00A1526C"/>
    <w:rsid w:val="00A152B6"/>
    <w:rsid w:val="00A153CD"/>
    <w:rsid w:val="00A1569E"/>
    <w:rsid w:val="00A157D3"/>
    <w:rsid w:val="00A15949"/>
    <w:rsid w:val="00A15E60"/>
    <w:rsid w:val="00A162A9"/>
    <w:rsid w:val="00A167C7"/>
    <w:rsid w:val="00A16C50"/>
    <w:rsid w:val="00A1735F"/>
    <w:rsid w:val="00A179A3"/>
    <w:rsid w:val="00A17D15"/>
    <w:rsid w:val="00A206C8"/>
    <w:rsid w:val="00A20942"/>
    <w:rsid w:val="00A20E61"/>
    <w:rsid w:val="00A21586"/>
    <w:rsid w:val="00A218B6"/>
    <w:rsid w:val="00A21A40"/>
    <w:rsid w:val="00A21ADC"/>
    <w:rsid w:val="00A22080"/>
    <w:rsid w:val="00A22462"/>
    <w:rsid w:val="00A22BC9"/>
    <w:rsid w:val="00A23B38"/>
    <w:rsid w:val="00A2482B"/>
    <w:rsid w:val="00A24D63"/>
    <w:rsid w:val="00A25345"/>
    <w:rsid w:val="00A2543B"/>
    <w:rsid w:val="00A25A33"/>
    <w:rsid w:val="00A25E36"/>
    <w:rsid w:val="00A261EB"/>
    <w:rsid w:val="00A26422"/>
    <w:rsid w:val="00A26A2C"/>
    <w:rsid w:val="00A30755"/>
    <w:rsid w:val="00A30A09"/>
    <w:rsid w:val="00A31036"/>
    <w:rsid w:val="00A317DF"/>
    <w:rsid w:val="00A32470"/>
    <w:rsid w:val="00A32525"/>
    <w:rsid w:val="00A327E6"/>
    <w:rsid w:val="00A33091"/>
    <w:rsid w:val="00A341D7"/>
    <w:rsid w:val="00A34879"/>
    <w:rsid w:val="00A353DD"/>
    <w:rsid w:val="00A35442"/>
    <w:rsid w:val="00A3584C"/>
    <w:rsid w:val="00A35BA1"/>
    <w:rsid w:val="00A35F96"/>
    <w:rsid w:val="00A36330"/>
    <w:rsid w:val="00A372C0"/>
    <w:rsid w:val="00A37535"/>
    <w:rsid w:val="00A405A2"/>
    <w:rsid w:val="00A40CB8"/>
    <w:rsid w:val="00A40DBF"/>
    <w:rsid w:val="00A40F00"/>
    <w:rsid w:val="00A41A6F"/>
    <w:rsid w:val="00A4236B"/>
    <w:rsid w:val="00A4263D"/>
    <w:rsid w:val="00A4274D"/>
    <w:rsid w:val="00A43ED9"/>
    <w:rsid w:val="00A43EF6"/>
    <w:rsid w:val="00A4407D"/>
    <w:rsid w:val="00A4482F"/>
    <w:rsid w:val="00A44B41"/>
    <w:rsid w:val="00A45383"/>
    <w:rsid w:val="00A45A87"/>
    <w:rsid w:val="00A46518"/>
    <w:rsid w:val="00A46BAB"/>
    <w:rsid w:val="00A475DF"/>
    <w:rsid w:val="00A47B12"/>
    <w:rsid w:val="00A5009E"/>
    <w:rsid w:val="00A50294"/>
    <w:rsid w:val="00A51585"/>
    <w:rsid w:val="00A517B9"/>
    <w:rsid w:val="00A52337"/>
    <w:rsid w:val="00A52740"/>
    <w:rsid w:val="00A52E79"/>
    <w:rsid w:val="00A52EF4"/>
    <w:rsid w:val="00A53373"/>
    <w:rsid w:val="00A5376A"/>
    <w:rsid w:val="00A53C88"/>
    <w:rsid w:val="00A543EE"/>
    <w:rsid w:val="00A54D7C"/>
    <w:rsid w:val="00A5529C"/>
    <w:rsid w:val="00A557CE"/>
    <w:rsid w:val="00A55FFE"/>
    <w:rsid w:val="00A5629E"/>
    <w:rsid w:val="00A56696"/>
    <w:rsid w:val="00A56CDC"/>
    <w:rsid w:val="00A571D3"/>
    <w:rsid w:val="00A57B4D"/>
    <w:rsid w:val="00A57CB6"/>
    <w:rsid w:val="00A57CEA"/>
    <w:rsid w:val="00A60201"/>
    <w:rsid w:val="00A606A8"/>
    <w:rsid w:val="00A60759"/>
    <w:rsid w:val="00A60A18"/>
    <w:rsid w:val="00A61B40"/>
    <w:rsid w:val="00A6234B"/>
    <w:rsid w:val="00A63F26"/>
    <w:rsid w:val="00A6408C"/>
    <w:rsid w:val="00A64677"/>
    <w:rsid w:val="00A651B0"/>
    <w:rsid w:val="00A658BE"/>
    <w:rsid w:val="00A65BE7"/>
    <w:rsid w:val="00A65DD4"/>
    <w:rsid w:val="00A65E52"/>
    <w:rsid w:val="00A663E6"/>
    <w:rsid w:val="00A6680D"/>
    <w:rsid w:val="00A671B5"/>
    <w:rsid w:val="00A674A8"/>
    <w:rsid w:val="00A675AF"/>
    <w:rsid w:val="00A67FF8"/>
    <w:rsid w:val="00A70025"/>
    <w:rsid w:val="00A7010F"/>
    <w:rsid w:val="00A70220"/>
    <w:rsid w:val="00A712E5"/>
    <w:rsid w:val="00A71703"/>
    <w:rsid w:val="00A71AAC"/>
    <w:rsid w:val="00A7253E"/>
    <w:rsid w:val="00A7260C"/>
    <w:rsid w:val="00A72A41"/>
    <w:rsid w:val="00A73622"/>
    <w:rsid w:val="00A73664"/>
    <w:rsid w:val="00A73C94"/>
    <w:rsid w:val="00A743EE"/>
    <w:rsid w:val="00A745C5"/>
    <w:rsid w:val="00A74876"/>
    <w:rsid w:val="00A75964"/>
    <w:rsid w:val="00A759F2"/>
    <w:rsid w:val="00A75B88"/>
    <w:rsid w:val="00A80618"/>
    <w:rsid w:val="00A8082C"/>
    <w:rsid w:val="00A81A80"/>
    <w:rsid w:val="00A82031"/>
    <w:rsid w:val="00A8312B"/>
    <w:rsid w:val="00A83652"/>
    <w:rsid w:val="00A840C3"/>
    <w:rsid w:val="00A84AF6"/>
    <w:rsid w:val="00A84ED6"/>
    <w:rsid w:val="00A85289"/>
    <w:rsid w:val="00A8609E"/>
    <w:rsid w:val="00A86175"/>
    <w:rsid w:val="00A86413"/>
    <w:rsid w:val="00A86597"/>
    <w:rsid w:val="00A86985"/>
    <w:rsid w:val="00A87E0B"/>
    <w:rsid w:val="00A87FDC"/>
    <w:rsid w:val="00A900EF"/>
    <w:rsid w:val="00A90147"/>
    <w:rsid w:val="00A908E3"/>
    <w:rsid w:val="00A90C7F"/>
    <w:rsid w:val="00A912B4"/>
    <w:rsid w:val="00A91361"/>
    <w:rsid w:val="00A91371"/>
    <w:rsid w:val="00A91F23"/>
    <w:rsid w:val="00A92E2F"/>
    <w:rsid w:val="00A93BC0"/>
    <w:rsid w:val="00A942CE"/>
    <w:rsid w:val="00A955CD"/>
    <w:rsid w:val="00A95F43"/>
    <w:rsid w:val="00A96689"/>
    <w:rsid w:val="00A97162"/>
    <w:rsid w:val="00A97484"/>
    <w:rsid w:val="00A97534"/>
    <w:rsid w:val="00A975C0"/>
    <w:rsid w:val="00A97821"/>
    <w:rsid w:val="00A97DF1"/>
    <w:rsid w:val="00AA04C4"/>
    <w:rsid w:val="00AA0680"/>
    <w:rsid w:val="00AA081D"/>
    <w:rsid w:val="00AA0A89"/>
    <w:rsid w:val="00AA0E93"/>
    <w:rsid w:val="00AA222C"/>
    <w:rsid w:val="00AA248B"/>
    <w:rsid w:val="00AA2D14"/>
    <w:rsid w:val="00AA2F76"/>
    <w:rsid w:val="00AA365E"/>
    <w:rsid w:val="00AA3881"/>
    <w:rsid w:val="00AA3E03"/>
    <w:rsid w:val="00AA3E1F"/>
    <w:rsid w:val="00AA4E5A"/>
    <w:rsid w:val="00AA542D"/>
    <w:rsid w:val="00AA54B1"/>
    <w:rsid w:val="00AA552A"/>
    <w:rsid w:val="00AA5B73"/>
    <w:rsid w:val="00AA5EEA"/>
    <w:rsid w:val="00AA69A8"/>
    <w:rsid w:val="00AA6BAC"/>
    <w:rsid w:val="00AA757C"/>
    <w:rsid w:val="00AA76CB"/>
    <w:rsid w:val="00AA7D22"/>
    <w:rsid w:val="00AB0003"/>
    <w:rsid w:val="00AB07C8"/>
    <w:rsid w:val="00AB0EB7"/>
    <w:rsid w:val="00AB1430"/>
    <w:rsid w:val="00AB15FC"/>
    <w:rsid w:val="00AB2107"/>
    <w:rsid w:val="00AB276D"/>
    <w:rsid w:val="00AB27E7"/>
    <w:rsid w:val="00AB332E"/>
    <w:rsid w:val="00AB34D0"/>
    <w:rsid w:val="00AB3D25"/>
    <w:rsid w:val="00AB4516"/>
    <w:rsid w:val="00AB4FB9"/>
    <w:rsid w:val="00AB5433"/>
    <w:rsid w:val="00AB6C71"/>
    <w:rsid w:val="00AB70E9"/>
    <w:rsid w:val="00AB7A99"/>
    <w:rsid w:val="00AB7E85"/>
    <w:rsid w:val="00AC08CA"/>
    <w:rsid w:val="00AC09DF"/>
    <w:rsid w:val="00AC152A"/>
    <w:rsid w:val="00AC1F2B"/>
    <w:rsid w:val="00AC21D3"/>
    <w:rsid w:val="00AC2882"/>
    <w:rsid w:val="00AC2B13"/>
    <w:rsid w:val="00AC2D11"/>
    <w:rsid w:val="00AC345A"/>
    <w:rsid w:val="00AC446D"/>
    <w:rsid w:val="00AC555F"/>
    <w:rsid w:val="00AC58E5"/>
    <w:rsid w:val="00AC6A84"/>
    <w:rsid w:val="00AC6EDE"/>
    <w:rsid w:val="00AC71BE"/>
    <w:rsid w:val="00AC76C4"/>
    <w:rsid w:val="00AC7885"/>
    <w:rsid w:val="00AD09A5"/>
    <w:rsid w:val="00AD108E"/>
    <w:rsid w:val="00AD14EE"/>
    <w:rsid w:val="00AD1648"/>
    <w:rsid w:val="00AD1B86"/>
    <w:rsid w:val="00AD1D44"/>
    <w:rsid w:val="00AD2579"/>
    <w:rsid w:val="00AD2822"/>
    <w:rsid w:val="00AD2BF5"/>
    <w:rsid w:val="00AD2FA4"/>
    <w:rsid w:val="00AD3B7E"/>
    <w:rsid w:val="00AD3C07"/>
    <w:rsid w:val="00AD3E2A"/>
    <w:rsid w:val="00AD414C"/>
    <w:rsid w:val="00AD4D04"/>
    <w:rsid w:val="00AD563A"/>
    <w:rsid w:val="00AD63A9"/>
    <w:rsid w:val="00AD6587"/>
    <w:rsid w:val="00AD66B4"/>
    <w:rsid w:val="00AD6735"/>
    <w:rsid w:val="00AD6899"/>
    <w:rsid w:val="00AD6CE0"/>
    <w:rsid w:val="00AD7676"/>
    <w:rsid w:val="00AD7BE9"/>
    <w:rsid w:val="00AD7EC7"/>
    <w:rsid w:val="00AE011F"/>
    <w:rsid w:val="00AE035A"/>
    <w:rsid w:val="00AE0689"/>
    <w:rsid w:val="00AE0722"/>
    <w:rsid w:val="00AE080D"/>
    <w:rsid w:val="00AE0B8D"/>
    <w:rsid w:val="00AE0FC0"/>
    <w:rsid w:val="00AE1DD4"/>
    <w:rsid w:val="00AE3201"/>
    <w:rsid w:val="00AE3854"/>
    <w:rsid w:val="00AE38CF"/>
    <w:rsid w:val="00AE3DBD"/>
    <w:rsid w:val="00AE4CC4"/>
    <w:rsid w:val="00AE5381"/>
    <w:rsid w:val="00AE58C8"/>
    <w:rsid w:val="00AE5A17"/>
    <w:rsid w:val="00AE63EB"/>
    <w:rsid w:val="00AE664C"/>
    <w:rsid w:val="00AE6853"/>
    <w:rsid w:val="00AE6AA2"/>
    <w:rsid w:val="00AE77A3"/>
    <w:rsid w:val="00AE7C68"/>
    <w:rsid w:val="00AF0063"/>
    <w:rsid w:val="00AF08A2"/>
    <w:rsid w:val="00AF191A"/>
    <w:rsid w:val="00AF1A59"/>
    <w:rsid w:val="00AF1DF6"/>
    <w:rsid w:val="00AF1F65"/>
    <w:rsid w:val="00AF1F8A"/>
    <w:rsid w:val="00AF25A4"/>
    <w:rsid w:val="00AF3866"/>
    <w:rsid w:val="00AF3C7C"/>
    <w:rsid w:val="00AF466B"/>
    <w:rsid w:val="00AF4838"/>
    <w:rsid w:val="00AF4D6C"/>
    <w:rsid w:val="00AF4EEE"/>
    <w:rsid w:val="00AF4F60"/>
    <w:rsid w:val="00AF504D"/>
    <w:rsid w:val="00AF55F0"/>
    <w:rsid w:val="00AF5A32"/>
    <w:rsid w:val="00AF61A9"/>
    <w:rsid w:val="00AF69CA"/>
    <w:rsid w:val="00AF6DFF"/>
    <w:rsid w:val="00AF6F10"/>
    <w:rsid w:val="00AF775C"/>
    <w:rsid w:val="00AF7E5C"/>
    <w:rsid w:val="00B000B7"/>
    <w:rsid w:val="00B00209"/>
    <w:rsid w:val="00B0059A"/>
    <w:rsid w:val="00B00B55"/>
    <w:rsid w:val="00B00EFC"/>
    <w:rsid w:val="00B010B5"/>
    <w:rsid w:val="00B0228D"/>
    <w:rsid w:val="00B0246C"/>
    <w:rsid w:val="00B03E65"/>
    <w:rsid w:val="00B0414B"/>
    <w:rsid w:val="00B04492"/>
    <w:rsid w:val="00B04D13"/>
    <w:rsid w:val="00B04E81"/>
    <w:rsid w:val="00B05790"/>
    <w:rsid w:val="00B05919"/>
    <w:rsid w:val="00B05AFF"/>
    <w:rsid w:val="00B05CBB"/>
    <w:rsid w:val="00B05E43"/>
    <w:rsid w:val="00B05F10"/>
    <w:rsid w:val="00B061C7"/>
    <w:rsid w:val="00B06500"/>
    <w:rsid w:val="00B0666B"/>
    <w:rsid w:val="00B1017E"/>
    <w:rsid w:val="00B1076E"/>
    <w:rsid w:val="00B10775"/>
    <w:rsid w:val="00B107AF"/>
    <w:rsid w:val="00B10CC4"/>
    <w:rsid w:val="00B10E48"/>
    <w:rsid w:val="00B10FE9"/>
    <w:rsid w:val="00B116AF"/>
    <w:rsid w:val="00B118EE"/>
    <w:rsid w:val="00B12677"/>
    <w:rsid w:val="00B12767"/>
    <w:rsid w:val="00B13B44"/>
    <w:rsid w:val="00B140C8"/>
    <w:rsid w:val="00B14160"/>
    <w:rsid w:val="00B146C8"/>
    <w:rsid w:val="00B15372"/>
    <w:rsid w:val="00B15637"/>
    <w:rsid w:val="00B15AEB"/>
    <w:rsid w:val="00B15C03"/>
    <w:rsid w:val="00B15FA0"/>
    <w:rsid w:val="00B16990"/>
    <w:rsid w:val="00B16A74"/>
    <w:rsid w:val="00B16CCF"/>
    <w:rsid w:val="00B16ED7"/>
    <w:rsid w:val="00B16FE3"/>
    <w:rsid w:val="00B20443"/>
    <w:rsid w:val="00B208D3"/>
    <w:rsid w:val="00B20AB3"/>
    <w:rsid w:val="00B20C39"/>
    <w:rsid w:val="00B215D3"/>
    <w:rsid w:val="00B219AB"/>
    <w:rsid w:val="00B21C1C"/>
    <w:rsid w:val="00B22086"/>
    <w:rsid w:val="00B22317"/>
    <w:rsid w:val="00B23030"/>
    <w:rsid w:val="00B2323F"/>
    <w:rsid w:val="00B23A67"/>
    <w:rsid w:val="00B23B22"/>
    <w:rsid w:val="00B23F4B"/>
    <w:rsid w:val="00B23FEF"/>
    <w:rsid w:val="00B24012"/>
    <w:rsid w:val="00B24474"/>
    <w:rsid w:val="00B2455E"/>
    <w:rsid w:val="00B24B20"/>
    <w:rsid w:val="00B258BB"/>
    <w:rsid w:val="00B2633E"/>
    <w:rsid w:val="00B26BAC"/>
    <w:rsid w:val="00B27260"/>
    <w:rsid w:val="00B27820"/>
    <w:rsid w:val="00B27960"/>
    <w:rsid w:val="00B27FD6"/>
    <w:rsid w:val="00B30BFE"/>
    <w:rsid w:val="00B30DB5"/>
    <w:rsid w:val="00B3143E"/>
    <w:rsid w:val="00B325DD"/>
    <w:rsid w:val="00B32727"/>
    <w:rsid w:val="00B32915"/>
    <w:rsid w:val="00B345F9"/>
    <w:rsid w:val="00B34659"/>
    <w:rsid w:val="00B348F8"/>
    <w:rsid w:val="00B34C27"/>
    <w:rsid w:val="00B3516A"/>
    <w:rsid w:val="00B35EE5"/>
    <w:rsid w:val="00B3603B"/>
    <w:rsid w:val="00B361ED"/>
    <w:rsid w:val="00B36241"/>
    <w:rsid w:val="00B406AF"/>
    <w:rsid w:val="00B40965"/>
    <w:rsid w:val="00B40B17"/>
    <w:rsid w:val="00B40E59"/>
    <w:rsid w:val="00B4233E"/>
    <w:rsid w:val="00B42ED4"/>
    <w:rsid w:val="00B42FB9"/>
    <w:rsid w:val="00B43219"/>
    <w:rsid w:val="00B43AE9"/>
    <w:rsid w:val="00B43EAB"/>
    <w:rsid w:val="00B4609A"/>
    <w:rsid w:val="00B462AE"/>
    <w:rsid w:val="00B462F0"/>
    <w:rsid w:val="00B465D3"/>
    <w:rsid w:val="00B469AB"/>
    <w:rsid w:val="00B47E4E"/>
    <w:rsid w:val="00B47E7A"/>
    <w:rsid w:val="00B50969"/>
    <w:rsid w:val="00B50D41"/>
    <w:rsid w:val="00B5132A"/>
    <w:rsid w:val="00B517D5"/>
    <w:rsid w:val="00B51C52"/>
    <w:rsid w:val="00B522A8"/>
    <w:rsid w:val="00B52519"/>
    <w:rsid w:val="00B52874"/>
    <w:rsid w:val="00B52ACF"/>
    <w:rsid w:val="00B530D8"/>
    <w:rsid w:val="00B53268"/>
    <w:rsid w:val="00B53DCB"/>
    <w:rsid w:val="00B53EE1"/>
    <w:rsid w:val="00B543D0"/>
    <w:rsid w:val="00B54956"/>
    <w:rsid w:val="00B55108"/>
    <w:rsid w:val="00B552D0"/>
    <w:rsid w:val="00B55702"/>
    <w:rsid w:val="00B55882"/>
    <w:rsid w:val="00B558AF"/>
    <w:rsid w:val="00B563A1"/>
    <w:rsid w:val="00B565AB"/>
    <w:rsid w:val="00B57449"/>
    <w:rsid w:val="00B57CAA"/>
    <w:rsid w:val="00B57F4B"/>
    <w:rsid w:val="00B57FA1"/>
    <w:rsid w:val="00B60E49"/>
    <w:rsid w:val="00B60EE9"/>
    <w:rsid w:val="00B61034"/>
    <w:rsid w:val="00B61359"/>
    <w:rsid w:val="00B61978"/>
    <w:rsid w:val="00B61F4E"/>
    <w:rsid w:val="00B62011"/>
    <w:rsid w:val="00B62810"/>
    <w:rsid w:val="00B64958"/>
    <w:rsid w:val="00B6511E"/>
    <w:rsid w:val="00B6540B"/>
    <w:rsid w:val="00B663A0"/>
    <w:rsid w:val="00B66B9F"/>
    <w:rsid w:val="00B67007"/>
    <w:rsid w:val="00B673F5"/>
    <w:rsid w:val="00B67635"/>
    <w:rsid w:val="00B678C1"/>
    <w:rsid w:val="00B67E13"/>
    <w:rsid w:val="00B7027D"/>
    <w:rsid w:val="00B7089A"/>
    <w:rsid w:val="00B72C7D"/>
    <w:rsid w:val="00B741BD"/>
    <w:rsid w:val="00B743B3"/>
    <w:rsid w:val="00B74927"/>
    <w:rsid w:val="00B74BFE"/>
    <w:rsid w:val="00B7570D"/>
    <w:rsid w:val="00B757B9"/>
    <w:rsid w:val="00B757DD"/>
    <w:rsid w:val="00B76785"/>
    <w:rsid w:val="00B77225"/>
    <w:rsid w:val="00B7737F"/>
    <w:rsid w:val="00B77418"/>
    <w:rsid w:val="00B779D8"/>
    <w:rsid w:val="00B77DB7"/>
    <w:rsid w:val="00B80245"/>
    <w:rsid w:val="00B8040D"/>
    <w:rsid w:val="00B8094D"/>
    <w:rsid w:val="00B8095B"/>
    <w:rsid w:val="00B80CF2"/>
    <w:rsid w:val="00B80EB5"/>
    <w:rsid w:val="00B81ED9"/>
    <w:rsid w:val="00B81FD7"/>
    <w:rsid w:val="00B822AC"/>
    <w:rsid w:val="00B824C1"/>
    <w:rsid w:val="00B82744"/>
    <w:rsid w:val="00B82A46"/>
    <w:rsid w:val="00B82E11"/>
    <w:rsid w:val="00B843DA"/>
    <w:rsid w:val="00B8480A"/>
    <w:rsid w:val="00B84B77"/>
    <w:rsid w:val="00B850AB"/>
    <w:rsid w:val="00B8540D"/>
    <w:rsid w:val="00B854AE"/>
    <w:rsid w:val="00B85764"/>
    <w:rsid w:val="00B85EA2"/>
    <w:rsid w:val="00B85EAC"/>
    <w:rsid w:val="00B87A7D"/>
    <w:rsid w:val="00B87CD7"/>
    <w:rsid w:val="00B87F6D"/>
    <w:rsid w:val="00B90197"/>
    <w:rsid w:val="00B908CA"/>
    <w:rsid w:val="00B90DF8"/>
    <w:rsid w:val="00B91A27"/>
    <w:rsid w:val="00B91D1A"/>
    <w:rsid w:val="00B920FC"/>
    <w:rsid w:val="00B92109"/>
    <w:rsid w:val="00B92130"/>
    <w:rsid w:val="00B923AC"/>
    <w:rsid w:val="00B927B5"/>
    <w:rsid w:val="00B9313E"/>
    <w:rsid w:val="00B932C4"/>
    <w:rsid w:val="00B94054"/>
    <w:rsid w:val="00B94459"/>
    <w:rsid w:val="00B94708"/>
    <w:rsid w:val="00B947CE"/>
    <w:rsid w:val="00B94872"/>
    <w:rsid w:val="00B95172"/>
    <w:rsid w:val="00B97B36"/>
    <w:rsid w:val="00BA01A6"/>
    <w:rsid w:val="00BA0B61"/>
    <w:rsid w:val="00BA0D49"/>
    <w:rsid w:val="00BA0E52"/>
    <w:rsid w:val="00BA1526"/>
    <w:rsid w:val="00BA1BD4"/>
    <w:rsid w:val="00BA253D"/>
    <w:rsid w:val="00BA2A4A"/>
    <w:rsid w:val="00BA37C2"/>
    <w:rsid w:val="00BA3CE5"/>
    <w:rsid w:val="00BA44FE"/>
    <w:rsid w:val="00BA4741"/>
    <w:rsid w:val="00BA48C0"/>
    <w:rsid w:val="00BA5E44"/>
    <w:rsid w:val="00BA6541"/>
    <w:rsid w:val="00BA69AF"/>
    <w:rsid w:val="00BA6C89"/>
    <w:rsid w:val="00BA7488"/>
    <w:rsid w:val="00BA761B"/>
    <w:rsid w:val="00BA7826"/>
    <w:rsid w:val="00BB0116"/>
    <w:rsid w:val="00BB162E"/>
    <w:rsid w:val="00BB193C"/>
    <w:rsid w:val="00BB1A69"/>
    <w:rsid w:val="00BB1DB1"/>
    <w:rsid w:val="00BB234D"/>
    <w:rsid w:val="00BB29AE"/>
    <w:rsid w:val="00BB2D05"/>
    <w:rsid w:val="00BB2F07"/>
    <w:rsid w:val="00BB2F9F"/>
    <w:rsid w:val="00BB389D"/>
    <w:rsid w:val="00BB45BA"/>
    <w:rsid w:val="00BB4C7B"/>
    <w:rsid w:val="00BB557D"/>
    <w:rsid w:val="00BB55F1"/>
    <w:rsid w:val="00BB5FFC"/>
    <w:rsid w:val="00BB61B4"/>
    <w:rsid w:val="00BB66B4"/>
    <w:rsid w:val="00BB69C0"/>
    <w:rsid w:val="00BB6B05"/>
    <w:rsid w:val="00BB7059"/>
    <w:rsid w:val="00BB75CC"/>
    <w:rsid w:val="00BB78C8"/>
    <w:rsid w:val="00BB7926"/>
    <w:rsid w:val="00BC1155"/>
    <w:rsid w:val="00BC1BCC"/>
    <w:rsid w:val="00BC1D57"/>
    <w:rsid w:val="00BC1FC2"/>
    <w:rsid w:val="00BC2432"/>
    <w:rsid w:val="00BC2765"/>
    <w:rsid w:val="00BC276B"/>
    <w:rsid w:val="00BC29CD"/>
    <w:rsid w:val="00BC2B51"/>
    <w:rsid w:val="00BC2E1C"/>
    <w:rsid w:val="00BC309D"/>
    <w:rsid w:val="00BC33BC"/>
    <w:rsid w:val="00BC3B30"/>
    <w:rsid w:val="00BC40AB"/>
    <w:rsid w:val="00BC4125"/>
    <w:rsid w:val="00BC41AB"/>
    <w:rsid w:val="00BC482F"/>
    <w:rsid w:val="00BC4D18"/>
    <w:rsid w:val="00BC5C27"/>
    <w:rsid w:val="00BC7AAC"/>
    <w:rsid w:val="00BD01C5"/>
    <w:rsid w:val="00BD082C"/>
    <w:rsid w:val="00BD0865"/>
    <w:rsid w:val="00BD0D41"/>
    <w:rsid w:val="00BD0F7E"/>
    <w:rsid w:val="00BD1733"/>
    <w:rsid w:val="00BD212A"/>
    <w:rsid w:val="00BD225C"/>
    <w:rsid w:val="00BD2616"/>
    <w:rsid w:val="00BD29F4"/>
    <w:rsid w:val="00BD35E0"/>
    <w:rsid w:val="00BD3C96"/>
    <w:rsid w:val="00BD4E4E"/>
    <w:rsid w:val="00BD4F2D"/>
    <w:rsid w:val="00BD526A"/>
    <w:rsid w:val="00BD6B74"/>
    <w:rsid w:val="00BD6FF5"/>
    <w:rsid w:val="00BD793A"/>
    <w:rsid w:val="00BE0038"/>
    <w:rsid w:val="00BE0083"/>
    <w:rsid w:val="00BE0486"/>
    <w:rsid w:val="00BE0830"/>
    <w:rsid w:val="00BE1265"/>
    <w:rsid w:val="00BE202E"/>
    <w:rsid w:val="00BE2664"/>
    <w:rsid w:val="00BE266D"/>
    <w:rsid w:val="00BE2696"/>
    <w:rsid w:val="00BE287C"/>
    <w:rsid w:val="00BE2E2C"/>
    <w:rsid w:val="00BE2FE9"/>
    <w:rsid w:val="00BE3906"/>
    <w:rsid w:val="00BE3C67"/>
    <w:rsid w:val="00BE3FA9"/>
    <w:rsid w:val="00BE419B"/>
    <w:rsid w:val="00BE425E"/>
    <w:rsid w:val="00BE427E"/>
    <w:rsid w:val="00BE49AE"/>
    <w:rsid w:val="00BE4E99"/>
    <w:rsid w:val="00BE5A24"/>
    <w:rsid w:val="00BE6902"/>
    <w:rsid w:val="00BE6A04"/>
    <w:rsid w:val="00BE6AA2"/>
    <w:rsid w:val="00BE6B13"/>
    <w:rsid w:val="00BE6BB0"/>
    <w:rsid w:val="00BE76D0"/>
    <w:rsid w:val="00BE79E7"/>
    <w:rsid w:val="00BE7D2E"/>
    <w:rsid w:val="00BF00F6"/>
    <w:rsid w:val="00BF0B9B"/>
    <w:rsid w:val="00BF0CC0"/>
    <w:rsid w:val="00BF0E75"/>
    <w:rsid w:val="00BF11EA"/>
    <w:rsid w:val="00BF1BE2"/>
    <w:rsid w:val="00BF2584"/>
    <w:rsid w:val="00BF2DB9"/>
    <w:rsid w:val="00BF2E92"/>
    <w:rsid w:val="00BF3FB6"/>
    <w:rsid w:val="00BF44F3"/>
    <w:rsid w:val="00BF4A4D"/>
    <w:rsid w:val="00BF5CFB"/>
    <w:rsid w:val="00BF65B0"/>
    <w:rsid w:val="00BF6FDF"/>
    <w:rsid w:val="00BF7060"/>
    <w:rsid w:val="00BF7C94"/>
    <w:rsid w:val="00C0089F"/>
    <w:rsid w:val="00C01080"/>
    <w:rsid w:val="00C01330"/>
    <w:rsid w:val="00C01E50"/>
    <w:rsid w:val="00C01E69"/>
    <w:rsid w:val="00C0240B"/>
    <w:rsid w:val="00C0245E"/>
    <w:rsid w:val="00C028CC"/>
    <w:rsid w:val="00C029C9"/>
    <w:rsid w:val="00C02C49"/>
    <w:rsid w:val="00C034B7"/>
    <w:rsid w:val="00C039F8"/>
    <w:rsid w:val="00C0544F"/>
    <w:rsid w:val="00C056F6"/>
    <w:rsid w:val="00C05788"/>
    <w:rsid w:val="00C06C3D"/>
    <w:rsid w:val="00C075BA"/>
    <w:rsid w:val="00C07AC8"/>
    <w:rsid w:val="00C07BB7"/>
    <w:rsid w:val="00C10178"/>
    <w:rsid w:val="00C10703"/>
    <w:rsid w:val="00C11718"/>
    <w:rsid w:val="00C119D9"/>
    <w:rsid w:val="00C11E10"/>
    <w:rsid w:val="00C11EF6"/>
    <w:rsid w:val="00C11FCB"/>
    <w:rsid w:val="00C1201C"/>
    <w:rsid w:val="00C1270D"/>
    <w:rsid w:val="00C129A2"/>
    <w:rsid w:val="00C12C32"/>
    <w:rsid w:val="00C135BF"/>
    <w:rsid w:val="00C13AF3"/>
    <w:rsid w:val="00C13E9D"/>
    <w:rsid w:val="00C14011"/>
    <w:rsid w:val="00C140D0"/>
    <w:rsid w:val="00C140E4"/>
    <w:rsid w:val="00C14100"/>
    <w:rsid w:val="00C14C75"/>
    <w:rsid w:val="00C152CD"/>
    <w:rsid w:val="00C15464"/>
    <w:rsid w:val="00C15B08"/>
    <w:rsid w:val="00C16171"/>
    <w:rsid w:val="00C167CF"/>
    <w:rsid w:val="00C16A8E"/>
    <w:rsid w:val="00C170FC"/>
    <w:rsid w:val="00C17661"/>
    <w:rsid w:val="00C179CC"/>
    <w:rsid w:val="00C17B30"/>
    <w:rsid w:val="00C17ED0"/>
    <w:rsid w:val="00C20031"/>
    <w:rsid w:val="00C201C7"/>
    <w:rsid w:val="00C20284"/>
    <w:rsid w:val="00C20427"/>
    <w:rsid w:val="00C207EF"/>
    <w:rsid w:val="00C20EB0"/>
    <w:rsid w:val="00C212A2"/>
    <w:rsid w:val="00C220FD"/>
    <w:rsid w:val="00C222BE"/>
    <w:rsid w:val="00C227FF"/>
    <w:rsid w:val="00C22891"/>
    <w:rsid w:val="00C22EC1"/>
    <w:rsid w:val="00C23F70"/>
    <w:rsid w:val="00C245A2"/>
    <w:rsid w:val="00C24A5D"/>
    <w:rsid w:val="00C254B8"/>
    <w:rsid w:val="00C256EA"/>
    <w:rsid w:val="00C259A5"/>
    <w:rsid w:val="00C25C21"/>
    <w:rsid w:val="00C266CF"/>
    <w:rsid w:val="00C269B5"/>
    <w:rsid w:val="00C27388"/>
    <w:rsid w:val="00C2738E"/>
    <w:rsid w:val="00C27521"/>
    <w:rsid w:val="00C27B52"/>
    <w:rsid w:val="00C304A2"/>
    <w:rsid w:val="00C306CF"/>
    <w:rsid w:val="00C309DA"/>
    <w:rsid w:val="00C32CD8"/>
    <w:rsid w:val="00C32F91"/>
    <w:rsid w:val="00C33557"/>
    <w:rsid w:val="00C339C5"/>
    <w:rsid w:val="00C33F0D"/>
    <w:rsid w:val="00C33F63"/>
    <w:rsid w:val="00C34084"/>
    <w:rsid w:val="00C340F4"/>
    <w:rsid w:val="00C34183"/>
    <w:rsid w:val="00C3428E"/>
    <w:rsid w:val="00C342BB"/>
    <w:rsid w:val="00C3442E"/>
    <w:rsid w:val="00C349FD"/>
    <w:rsid w:val="00C34E86"/>
    <w:rsid w:val="00C35694"/>
    <w:rsid w:val="00C3579A"/>
    <w:rsid w:val="00C362AD"/>
    <w:rsid w:val="00C368A3"/>
    <w:rsid w:val="00C3705D"/>
    <w:rsid w:val="00C37384"/>
    <w:rsid w:val="00C3776C"/>
    <w:rsid w:val="00C404E6"/>
    <w:rsid w:val="00C40A34"/>
    <w:rsid w:val="00C40A5E"/>
    <w:rsid w:val="00C40AAA"/>
    <w:rsid w:val="00C4149B"/>
    <w:rsid w:val="00C419B3"/>
    <w:rsid w:val="00C42092"/>
    <w:rsid w:val="00C42471"/>
    <w:rsid w:val="00C425EB"/>
    <w:rsid w:val="00C43429"/>
    <w:rsid w:val="00C43ECC"/>
    <w:rsid w:val="00C44165"/>
    <w:rsid w:val="00C4460E"/>
    <w:rsid w:val="00C44ABD"/>
    <w:rsid w:val="00C45321"/>
    <w:rsid w:val="00C4617A"/>
    <w:rsid w:val="00C4635C"/>
    <w:rsid w:val="00C46914"/>
    <w:rsid w:val="00C46A6E"/>
    <w:rsid w:val="00C46CE0"/>
    <w:rsid w:val="00C475C6"/>
    <w:rsid w:val="00C5018B"/>
    <w:rsid w:val="00C50C67"/>
    <w:rsid w:val="00C51EE4"/>
    <w:rsid w:val="00C52014"/>
    <w:rsid w:val="00C52A7C"/>
    <w:rsid w:val="00C52B7E"/>
    <w:rsid w:val="00C52B97"/>
    <w:rsid w:val="00C531D3"/>
    <w:rsid w:val="00C54229"/>
    <w:rsid w:val="00C54260"/>
    <w:rsid w:val="00C54268"/>
    <w:rsid w:val="00C549AF"/>
    <w:rsid w:val="00C54F8E"/>
    <w:rsid w:val="00C55654"/>
    <w:rsid w:val="00C55799"/>
    <w:rsid w:val="00C55A7D"/>
    <w:rsid w:val="00C565C0"/>
    <w:rsid w:val="00C566DE"/>
    <w:rsid w:val="00C566E8"/>
    <w:rsid w:val="00C567A5"/>
    <w:rsid w:val="00C56A5D"/>
    <w:rsid w:val="00C56E72"/>
    <w:rsid w:val="00C57281"/>
    <w:rsid w:val="00C57451"/>
    <w:rsid w:val="00C57EFC"/>
    <w:rsid w:val="00C57FCB"/>
    <w:rsid w:val="00C60047"/>
    <w:rsid w:val="00C6055D"/>
    <w:rsid w:val="00C60670"/>
    <w:rsid w:val="00C6100C"/>
    <w:rsid w:val="00C6195D"/>
    <w:rsid w:val="00C624A0"/>
    <w:rsid w:val="00C634BE"/>
    <w:rsid w:val="00C637E5"/>
    <w:rsid w:val="00C63DBE"/>
    <w:rsid w:val="00C64319"/>
    <w:rsid w:val="00C64448"/>
    <w:rsid w:val="00C64501"/>
    <w:rsid w:val="00C6479C"/>
    <w:rsid w:val="00C660FB"/>
    <w:rsid w:val="00C665C5"/>
    <w:rsid w:val="00C66856"/>
    <w:rsid w:val="00C669DC"/>
    <w:rsid w:val="00C701AF"/>
    <w:rsid w:val="00C70350"/>
    <w:rsid w:val="00C705C9"/>
    <w:rsid w:val="00C70B48"/>
    <w:rsid w:val="00C70EA0"/>
    <w:rsid w:val="00C7125F"/>
    <w:rsid w:val="00C71878"/>
    <w:rsid w:val="00C71B2C"/>
    <w:rsid w:val="00C72271"/>
    <w:rsid w:val="00C725A4"/>
    <w:rsid w:val="00C725E9"/>
    <w:rsid w:val="00C72D96"/>
    <w:rsid w:val="00C72E5D"/>
    <w:rsid w:val="00C73C82"/>
    <w:rsid w:val="00C73F1C"/>
    <w:rsid w:val="00C742D9"/>
    <w:rsid w:val="00C744F7"/>
    <w:rsid w:val="00C74691"/>
    <w:rsid w:val="00C76133"/>
    <w:rsid w:val="00C77195"/>
    <w:rsid w:val="00C77403"/>
    <w:rsid w:val="00C77AD3"/>
    <w:rsid w:val="00C77F46"/>
    <w:rsid w:val="00C81926"/>
    <w:rsid w:val="00C8204E"/>
    <w:rsid w:val="00C832C5"/>
    <w:rsid w:val="00C834EA"/>
    <w:rsid w:val="00C83596"/>
    <w:rsid w:val="00C83A1B"/>
    <w:rsid w:val="00C83D2A"/>
    <w:rsid w:val="00C84427"/>
    <w:rsid w:val="00C84DD0"/>
    <w:rsid w:val="00C85212"/>
    <w:rsid w:val="00C85A11"/>
    <w:rsid w:val="00C85F2D"/>
    <w:rsid w:val="00C86121"/>
    <w:rsid w:val="00C86425"/>
    <w:rsid w:val="00C865A8"/>
    <w:rsid w:val="00C86645"/>
    <w:rsid w:val="00C87393"/>
    <w:rsid w:val="00C87C92"/>
    <w:rsid w:val="00C9024E"/>
    <w:rsid w:val="00C90AC0"/>
    <w:rsid w:val="00C918CD"/>
    <w:rsid w:val="00C91961"/>
    <w:rsid w:val="00C92857"/>
    <w:rsid w:val="00C92DDE"/>
    <w:rsid w:val="00C931FE"/>
    <w:rsid w:val="00C9326B"/>
    <w:rsid w:val="00C93AFF"/>
    <w:rsid w:val="00C95754"/>
    <w:rsid w:val="00C9582B"/>
    <w:rsid w:val="00C95AE9"/>
    <w:rsid w:val="00C95DE4"/>
    <w:rsid w:val="00C964A6"/>
    <w:rsid w:val="00C9663E"/>
    <w:rsid w:val="00C967A7"/>
    <w:rsid w:val="00C96F5B"/>
    <w:rsid w:val="00C9700D"/>
    <w:rsid w:val="00C97660"/>
    <w:rsid w:val="00C97C1D"/>
    <w:rsid w:val="00CA027A"/>
    <w:rsid w:val="00CA24ED"/>
    <w:rsid w:val="00CA25DC"/>
    <w:rsid w:val="00CA28A1"/>
    <w:rsid w:val="00CA2AA3"/>
    <w:rsid w:val="00CA2D00"/>
    <w:rsid w:val="00CA4B8E"/>
    <w:rsid w:val="00CA5ECF"/>
    <w:rsid w:val="00CA6100"/>
    <w:rsid w:val="00CA62BA"/>
    <w:rsid w:val="00CA6A90"/>
    <w:rsid w:val="00CA73FC"/>
    <w:rsid w:val="00CA76CD"/>
    <w:rsid w:val="00CB029C"/>
    <w:rsid w:val="00CB0342"/>
    <w:rsid w:val="00CB0F2B"/>
    <w:rsid w:val="00CB15F5"/>
    <w:rsid w:val="00CB1745"/>
    <w:rsid w:val="00CB1D6C"/>
    <w:rsid w:val="00CB2D75"/>
    <w:rsid w:val="00CB32EE"/>
    <w:rsid w:val="00CB358F"/>
    <w:rsid w:val="00CB402A"/>
    <w:rsid w:val="00CB42C3"/>
    <w:rsid w:val="00CB4C68"/>
    <w:rsid w:val="00CB4E70"/>
    <w:rsid w:val="00CB4ED9"/>
    <w:rsid w:val="00CB4F8D"/>
    <w:rsid w:val="00CB5AEE"/>
    <w:rsid w:val="00CB5BEE"/>
    <w:rsid w:val="00CB5CFE"/>
    <w:rsid w:val="00CB62EA"/>
    <w:rsid w:val="00CB7257"/>
    <w:rsid w:val="00CB786B"/>
    <w:rsid w:val="00CC025E"/>
    <w:rsid w:val="00CC075F"/>
    <w:rsid w:val="00CC082E"/>
    <w:rsid w:val="00CC1052"/>
    <w:rsid w:val="00CC10E5"/>
    <w:rsid w:val="00CC1B9D"/>
    <w:rsid w:val="00CC215C"/>
    <w:rsid w:val="00CC25FE"/>
    <w:rsid w:val="00CC2635"/>
    <w:rsid w:val="00CC28D8"/>
    <w:rsid w:val="00CC2B66"/>
    <w:rsid w:val="00CC3717"/>
    <w:rsid w:val="00CC3BFE"/>
    <w:rsid w:val="00CC3F5E"/>
    <w:rsid w:val="00CC4964"/>
    <w:rsid w:val="00CC4CCC"/>
    <w:rsid w:val="00CC5869"/>
    <w:rsid w:val="00CC5F1B"/>
    <w:rsid w:val="00CC6646"/>
    <w:rsid w:val="00CC7299"/>
    <w:rsid w:val="00CC72D6"/>
    <w:rsid w:val="00CC774D"/>
    <w:rsid w:val="00CD038F"/>
    <w:rsid w:val="00CD0C57"/>
    <w:rsid w:val="00CD0EB8"/>
    <w:rsid w:val="00CD1C18"/>
    <w:rsid w:val="00CD338F"/>
    <w:rsid w:val="00CD3C27"/>
    <w:rsid w:val="00CD43CA"/>
    <w:rsid w:val="00CD4B0C"/>
    <w:rsid w:val="00CD537F"/>
    <w:rsid w:val="00CD570D"/>
    <w:rsid w:val="00CD633A"/>
    <w:rsid w:val="00CD6526"/>
    <w:rsid w:val="00CD6763"/>
    <w:rsid w:val="00CD6BDB"/>
    <w:rsid w:val="00CD6D49"/>
    <w:rsid w:val="00CD70F5"/>
    <w:rsid w:val="00CD70FB"/>
    <w:rsid w:val="00CD7E68"/>
    <w:rsid w:val="00CE0218"/>
    <w:rsid w:val="00CE043A"/>
    <w:rsid w:val="00CE0841"/>
    <w:rsid w:val="00CE125A"/>
    <w:rsid w:val="00CE16C4"/>
    <w:rsid w:val="00CE1E3C"/>
    <w:rsid w:val="00CE203C"/>
    <w:rsid w:val="00CE20DF"/>
    <w:rsid w:val="00CE2939"/>
    <w:rsid w:val="00CE2CD5"/>
    <w:rsid w:val="00CE2DBF"/>
    <w:rsid w:val="00CE31E0"/>
    <w:rsid w:val="00CE35AE"/>
    <w:rsid w:val="00CE37FC"/>
    <w:rsid w:val="00CE3C83"/>
    <w:rsid w:val="00CE3F7B"/>
    <w:rsid w:val="00CE4097"/>
    <w:rsid w:val="00CE419B"/>
    <w:rsid w:val="00CE4CE3"/>
    <w:rsid w:val="00CE4DA5"/>
    <w:rsid w:val="00CE528F"/>
    <w:rsid w:val="00CE529A"/>
    <w:rsid w:val="00CE52A0"/>
    <w:rsid w:val="00CE54A7"/>
    <w:rsid w:val="00CE5602"/>
    <w:rsid w:val="00CE6F32"/>
    <w:rsid w:val="00CE70CB"/>
    <w:rsid w:val="00CE719E"/>
    <w:rsid w:val="00CE71EF"/>
    <w:rsid w:val="00CE7B2A"/>
    <w:rsid w:val="00CF1184"/>
    <w:rsid w:val="00CF14D6"/>
    <w:rsid w:val="00CF165B"/>
    <w:rsid w:val="00CF17DE"/>
    <w:rsid w:val="00CF2B7F"/>
    <w:rsid w:val="00CF2D25"/>
    <w:rsid w:val="00CF2DFF"/>
    <w:rsid w:val="00CF30D2"/>
    <w:rsid w:val="00CF3493"/>
    <w:rsid w:val="00CF381E"/>
    <w:rsid w:val="00CF437A"/>
    <w:rsid w:val="00CF4D1F"/>
    <w:rsid w:val="00CF5AA1"/>
    <w:rsid w:val="00CF713E"/>
    <w:rsid w:val="00CF7173"/>
    <w:rsid w:val="00CF75E5"/>
    <w:rsid w:val="00CF7930"/>
    <w:rsid w:val="00CF7A0E"/>
    <w:rsid w:val="00CF7AF2"/>
    <w:rsid w:val="00CF7DA3"/>
    <w:rsid w:val="00CF7FCD"/>
    <w:rsid w:val="00D00217"/>
    <w:rsid w:val="00D002BD"/>
    <w:rsid w:val="00D00928"/>
    <w:rsid w:val="00D00BC1"/>
    <w:rsid w:val="00D01195"/>
    <w:rsid w:val="00D012C8"/>
    <w:rsid w:val="00D01AFA"/>
    <w:rsid w:val="00D01BA3"/>
    <w:rsid w:val="00D0246B"/>
    <w:rsid w:val="00D02992"/>
    <w:rsid w:val="00D02A34"/>
    <w:rsid w:val="00D02E36"/>
    <w:rsid w:val="00D02FE6"/>
    <w:rsid w:val="00D03322"/>
    <w:rsid w:val="00D0366A"/>
    <w:rsid w:val="00D0423F"/>
    <w:rsid w:val="00D043C1"/>
    <w:rsid w:val="00D0484A"/>
    <w:rsid w:val="00D04D41"/>
    <w:rsid w:val="00D0598D"/>
    <w:rsid w:val="00D065D4"/>
    <w:rsid w:val="00D06BA9"/>
    <w:rsid w:val="00D06F5D"/>
    <w:rsid w:val="00D10410"/>
    <w:rsid w:val="00D10B33"/>
    <w:rsid w:val="00D10C52"/>
    <w:rsid w:val="00D10DC1"/>
    <w:rsid w:val="00D113BE"/>
    <w:rsid w:val="00D12829"/>
    <w:rsid w:val="00D13310"/>
    <w:rsid w:val="00D137B9"/>
    <w:rsid w:val="00D137FB"/>
    <w:rsid w:val="00D139EF"/>
    <w:rsid w:val="00D14FE1"/>
    <w:rsid w:val="00D15062"/>
    <w:rsid w:val="00D15EF5"/>
    <w:rsid w:val="00D1688A"/>
    <w:rsid w:val="00D16EB6"/>
    <w:rsid w:val="00D16FD8"/>
    <w:rsid w:val="00D17D44"/>
    <w:rsid w:val="00D17F10"/>
    <w:rsid w:val="00D200A4"/>
    <w:rsid w:val="00D201FE"/>
    <w:rsid w:val="00D20220"/>
    <w:rsid w:val="00D20368"/>
    <w:rsid w:val="00D203E4"/>
    <w:rsid w:val="00D20588"/>
    <w:rsid w:val="00D20F42"/>
    <w:rsid w:val="00D20F6C"/>
    <w:rsid w:val="00D21103"/>
    <w:rsid w:val="00D2127D"/>
    <w:rsid w:val="00D21989"/>
    <w:rsid w:val="00D21B3C"/>
    <w:rsid w:val="00D22566"/>
    <w:rsid w:val="00D22D8E"/>
    <w:rsid w:val="00D230EB"/>
    <w:rsid w:val="00D233BB"/>
    <w:rsid w:val="00D23D61"/>
    <w:rsid w:val="00D2427A"/>
    <w:rsid w:val="00D25880"/>
    <w:rsid w:val="00D274CC"/>
    <w:rsid w:val="00D30078"/>
    <w:rsid w:val="00D301ED"/>
    <w:rsid w:val="00D30589"/>
    <w:rsid w:val="00D30A8E"/>
    <w:rsid w:val="00D30C1C"/>
    <w:rsid w:val="00D30D05"/>
    <w:rsid w:val="00D310B2"/>
    <w:rsid w:val="00D31397"/>
    <w:rsid w:val="00D314A2"/>
    <w:rsid w:val="00D3153F"/>
    <w:rsid w:val="00D31C44"/>
    <w:rsid w:val="00D324A0"/>
    <w:rsid w:val="00D3268C"/>
    <w:rsid w:val="00D33127"/>
    <w:rsid w:val="00D3335A"/>
    <w:rsid w:val="00D33C9E"/>
    <w:rsid w:val="00D33E28"/>
    <w:rsid w:val="00D33FD8"/>
    <w:rsid w:val="00D340E3"/>
    <w:rsid w:val="00D34347"/>
    <w:rsid w:val="00D34FC4"/>
    <w:rsid w:val="00D35410"/>
    <w:rsid w:val="00D35C39"/>
    <w:rsid w:val="00D35F7E"/>
    <w:rsid w:val="00D366BF"/>
    <w:rsid w:val="00D370F4"/>
    <w:rsid w:val="00D377EA"/>
    <w:rsid w:val="00D37C3E"/>
    <w:rsid w:val="00D403CF"/>
    <w:rsid w:val="00D40A68"/>
    <w:rsid w:val="00D40AF4"/>
    <w:rsid w:val="00D40BFE"/>
    <w:rsid w:val="00D41E9D"/>
    <w:rsid w:val="00D427E0"/>
    <w:rsid w:val="00D440B8"/>
    <w:rsid w:val="00D4414F"/>
    <w:rsid w:val="00D44F81"/>
    <w:rsid w:val="00D45778"/>
    <w:rsid w:val="00D45B26"/>
    <w:rsid w:val="00D45C93"/>
    <w:rsid w:val="00D46674"/>
    <w:rsid w:val="00D466A4"/>
    <w:rsid w:val="00D46F2E"/>
    <w:rsid w:val="00D47078"/>
    <w:rsid w:val="00D4721F"/>
    <w:rsid w:val="00D47562"/>
    <w:rsid w:val="00D47571"/>
    <w:rsid w:val="00D4761D"/>
    <w:rsid w:val="00D47889"/>
    <w:rsid w:val="00D47A65"/>
    <w:rsid w:val="00D47E66"/>
    <w:rsid w:val="00D515F8"/>
    <w:rsid w:val="00D5185F"/>
    <w:rsid w:val="00D51B18"/>
    <w:rsid w:val="00D523FD"/>
    <w:rsid w:val="00D52410"/>
    <w:rsid w:val="00D5280F"/>
    <w:rsid w:val="00D5282D"/>
    <w:rsid w:val="00D52838"/>
    <w:rsid w:val="00D52DB8"/>
    <w:rsid w:val="00D52F2C"/>
    <w:rsid w:val="00D5385C"/>
    <w:rsid w:val="00D54F90"/>
    <w:rsid w:val="00D55039"/>
    <w:rsid w:val="00D55277"/>
    <w:rsid w:val="00D553E8"/>
    <w:rsid w:val="00D55447"/>
    <w:rsid w:val="00D5602D"/>
    <w:rsid w:val="00D560D8"/>
    <w:rsid w:val="00D567DC"/>
    <w:rsid w:val="00D56A3F"/>
    <w:rsid w:val="00D56E95"/>
    <w:rsid w:val="00D571CC"/>
    <w:rsid w:val="00D5790E"/>
    <w:rsid w:val="00D57BE5"/>
    <w:rsid w:val="00D6059F"/>
    <w:rsid w:val="00D60BEB"/>
    <w:rsid w:val="00D60FFE"/>
    <w:rsid w:val="00D618BB"/>
    <w:rsid w:val="00D61DF6"/>
    <w:rsid w:val="00D620AA"/>
    <w:rsid w:val="00D625E4"/>
    <w:rsid w:val="00D627A6"/>
    <w:rsid w:val="00D62F5C"/>
    <w:rsid w:val="00D6348F"/>
    <w:rsid w:val="00D638A6"/>
    <w:rsid w:val="00D63F6E"/>
    <w:rsid w:val="00D64948"/>
    <w:rsid w:val="00D64C26"/>
    <w:rsid w:val="00D64D0E"/>
    <w:rsid w:val="00D65004"/>
    <w:rsid w:val="00D65E1D"/>
    <w:rsid w:val="00D66585"/>
    <w:rsid w:val="00D669FE"/>
    <w:rsid w:val="00D66D62"/>
    <w:rsid w:val="00D6798D"/>
    <w:rsid w:val="00D67AEE"/>
    <w:rsid w:val="00D67C76"/>
    <w:rsid w:val="00D67C84"/>
    <w:rsid w:val="00D67C86"/>
    <w:rsid w:val="00D70426"/>
    <w:rsid w:val="00D7115C"/>
    <w:rsid w:val="00D716C5"/>
    <w:rsid w:val="00D719DD"/>
    <w:rsid w:val="00D7209F"/>
    <w:rsid w:val="00D72EBE"/>
    <w:rsid w:val="00D731D5"/>
    <w:rsid w:val="00D74982"/>
    <w:rsid w:val="00D74A80"/>
    <w:rsid w:val="00D74F2D"/>
    <w:rsid w:val="00D7510A"/>
    <w:rsid w:val="00D754E2"/>
    <w:rsid w:val="00D75E7C"/>
    <w:rsid w:val="00D76052"/>
    <w:rsid w:val="00D7690D"/>
    <w:rsid w:val="00D76B4D"/>
    <w:rsid w:val="00D80866"/>
    <w:rsid w:val="00D80884"/>
    <w:rsid w:val="00D81B5A"/>
    <w:rsid w:val="00D8209F"/>
    <w:rsid w:val="00D820CD"/>
    <w:rsid w:val="00D821C6"/>
    <w:rsid w:val="00D822FD"/>
    <w:rsid w:val="00D82A9D"/>
    <w:rsid w:val="00D83370"/>
    <w:rsid w:val="00D83512"/>
    <w:rsid w:val="00D84A24"/>
    <w:rsid w:val="00D854C4"/>
    <w:rsid w:val="00D860B1"/>
    <w:rsid w:val="00D8614E"/>
    <w:rsid w:val="00D86ABD"/>
    <w:rsid w:val="00D86CB3"/>
    <w:rsid w:val="00D86D9A"/>
    <w:rsid w:val="00D8703A"/>
    <w:rsid w:val="00D87DA0"/>
    <w:rsid w:val="00D90B2D"/>
    <w:rsid w:val="00D91509"/>
    <w:rsid w:val="00D931D0"/>
    <w:rsid w:val="00D9361F"/>
    <w:rsid w:val="00D944F4"/>
    <w:rsid w:val="00D947F5"/>
    <w:rsid w:val="00D94E42"/>
    <w:rsid w:val="00D95C8A"/>
    <w:rsid w:val="00D96A55"/>
    <w:rsid w:val="00D9761B"/>
    <w:rsid w:val="00D97A22"/>
    <w:rsid w:val="00D97B16"/>
    <w:rsid w:val="00DA0212"/>
    <w:rsid w:val="00DA060F"/>
    <w:rsid w:val="00DA062D"/>
    <w:rsid w:val="00DA0F9B"/>
    <w:rsid w:val="00DA0FBC"/>
    <w:rsid w:val="00DA158E"/>
    <w:rsid w:val="00DA1BAA"/>
    <w:rsid w:val="00DA2A7E"/>
    <w:rsid w:val="00DA2C71"/>
    <w:rsid w:val="00DA2CCA"/>
    <w:rsid w:val="00DA3546"/>
    <w:rsid w:val="00DA37D3"/>
    <w:rsid w:val="00DA3D76"/>
    <w:rsid w:val="00DA44CB"/>
    <w:rsid w:val="00DA464A"/>
    <w:rsid w:val="00DA647A"/>
    <w:rsid w:val="00DA6B3E"/>
    <w:rsid w:val="00DA6DEA"/>
    <w:rsid w:val="00DA7284"/>
    <w:rsid w:val="00DB0242"/>
    <w:rsid w:val="00DB0400"/>
    <w:rsid w:val="00DB08CE"/>
    <w:rsid w:val="00DB110F"/>
    <w:rsid w:val="00DB1D1A"/>
    <w:rsid w:val="00DB2A98"/>
    <w:rsid w:val="00DB2FDB"/>
    <w:rsid w:val="00DB308F"/>
    <w:rsid w:val="00DB3D5B"/>
    <w:rsid w:val="00DB43A4"/>
    <w:rsid w:val="00DB489D"/>
    <w:rsid w:val="00DB501E"/>
    <w:rsid w:val="00DB5CE8"/>
    <w:rsid w:val="00DB619F"/>
    <w:rsid w:val="00DB61A8"/>
    <w:rsid w:val="00DB6C62"/>
    <w:rsid w:val="00DB6CEC"/>
    <w:rsid w:val="00DB6F2C"/>
    <w:rsid w:val="00DB72B0"/>
    <w:rsid w:val="00DB77BF"/>
    <w:rsid w:val="00DC04A1"/>
    <w:rsid w:val="00DC052C"/>
    <w:rsid w:val="00DC058B"/>
    <w:rsid w:val="00DC0F72"/>
    <w:rsid w:val="00DC1594"/>
    <w:rsid w:val="00DC171C"/>
    <w:rsid w:val="00DC1B06"/>
    <w:rsid w:val="00DC1FCF"/>
    <w:rsid w:val="00DC2002"/>
    <w:rsid w:val="00DC2322"/>
    <w:rsid w:val="00DC29D7"/>
    <w:rsid w:val="00DC32D4"/>
    <w:rsid w:val="00DC331A"/>
    <w:rsid w:val="00DC44FD"/>
    <w:rsid w:val="00DC4CF9"/>
    <w:rsid w:val="00DC4EDF"/>
    <w:rsid w:val="00DC5541"/>
    <w:rsid w:val="00DC59C6"/>
    <w:rsid w:val="00DC5C47"/>
    <w:rsid w:val="00DC5D57"/>
    <w:rsid w:val="00DC5F0A"/>
    <w:rsid w:val="00DC6232"/>
    <w:rsid w:val="00DC63A0"/>
    <w:rsid w:val="00DC63DE"/>
    <w:rsid w:val="00DC65E4"/>
    <w:rsid w:val="00DC6820"/>
    <w:rsid w:val="00DC6E9A"/>
    <w:rsid w:val="00DC74CB"/>
    <w:rsid w:val="00DC7BF3"/>
    <w:rsid w:val="00DC7D91"/>
    <w:rsid w:val="00DD05E5"/>
    <w:rsid w:val="00DD066C"/>
    <w:rsid w:val="00DD161A"/>
    <w:rsid w:val="00DD1716"/>
    <w:rsid w:val="00DD1B78"/>
    <w:rsid w:val="00DD20EA"/>
    <w:rsid w:val="00DD2B3F"/>
    <w:rsid w:val="00DD33F6"/>
    <w:rsid w:val="00DD3825"/>
    <w:rsid w:val="00DD399B"/>
    <w:rsid w:val="00DD39E4"/>
    <w:rsid w:val="00DD3AF1"/>
    <w:rsid w:val="00DD3B22"/>
    <w:rsid w:val="00DD4009"/>
    <w:rsid w:val="00DD4360"/>
    <w:rsid w:val="00DD46F8"/>
    <w:rsid w:val="00DD4976"/>
    <w:rsid w:val="00DD4B2D"/>
    <w:rsid w:val="00DD5162"/>
    <w:rsid w:val="00DD56F8"/>
    <w:rsid w:val="00DD5C52"/>
    <w:rsid w:val="00DD5DE7"/>
    <w:rsid w:val="00DD5E01"/>
    <w:rsid w:val="00DD66B6"/>
    <w:rsid w:val="00DD694F"/>
    <w:rsid w:val="00DD6D6C"/>
    <w:rsid w:val="00DD7046"/>
    <w:rsid w:val="00DD72FC"/>
    <w:rsid w:val="00DD74CE"/>
    <w:rsid w:val="00DD78B2"/>
    <w:rsid w:val="00DD7B59"/>
    <w:rsid w:val="00DE06FA"/>
    <w:rsid w:val="00DE1B5F"/>
    <w:rsid w:val="00DE1CDF"/>
    <w:rsid w:val="00DE1D95"/>
    <w:rsid w:val="00DE2112"/>
    <w:rsid w:val="00DE2177"/>
    <w:rsid w:val="00DE2658"/>
    <w:rsid w:val="00DE2853"/>
    <w:rsid w:val="00DE2C8A"/>
    <w:rsid w:val="00DE2D50"/>
    <w:rsid w:val="00DE2D62"/>
    <w:rsid w:val="00DE2F0E"/>
    <w:rsid w:val="00DE35B8"/>
    <w:rsid w:val="00DE3652"/>
    <w:rsid w:val="00DE3CB7"/>
    <w:rsid w:val="00DE3DC0"/>
    <w:rsid w:val="00DE41C9"/>
    <w:rsid w:val="00DE4F54"/>
    <w:rsid w:val="00DE78B8"/>
    <w:rsid w:val="00DF07BF"/>
    <w:rsid w:val="00DF07E9"/>
    <w:rsid w:val="00DF0D70"/>
    <w:rsid w:val="00DF136F"/>
    <w:rsid w:val="00DF18FC"/>
    <w:rsid w:val="00DF1942"/>
    <w:rsid w:val="00DF19E6"/>
    <w:rsid w:val="00DF3437"/>
    <w:rsid w:val="00DF35CC"/>
    <w:rsid w:val="00DF3889"/>
    <w:rsid w:val="00DF39DD"/>
    <w:rsid w:val="00DF47B1"/>
    <w:rsid w:val="00DF4BB9"/>
    <w:rsid w:val="00DF4DBF"/>
    <w:rsid w:val="00DF4DDA"/>
    <w:rsid w:val="00DF4FB1"/>
    <w:rsid w:val="00DF5072"/>
    <w:rsid w:val="00DF541C"/>
    <w:rsid w:val="00DF5936"/>
    <w:rsid w:val="00DF5D79"/>
    <w:rsid w:val="00DF5F26"/>
    <w:rsid w:val="00DF63B4"/>
    <w:rsid w:val="00DF6432"/>
    <w:rsid w:val="00DF77FC"/>
    <w:rsid w:val="00DF7D5A"/>
    <w:rsid w:val="00E008CF"/>
    <w:rsid w:val="00E00ADD"/>
    <w:rsid w:val="00E00D84"/>
    <w:rsid w:val="00E01B96"/>
    <w:rsid w:val="00E01C0B"/>
    <w:rsid w:val="00E02127"/>
    <w:rsid w:val="00E02C4C"/>
    <w:rsid w:val="00E02CD1"/>
    <w:rsid w:val="00E02FB1"/>
    <w:rsid w:val="00E030B8"/>
    <w:rsid w:val="00E031DB"/>
    <w:rsid w:val="00E032FE"/>
    <w:rsid w:val="00E0330A"/>
    <w:rsid w:val="00E036F5"/>
    <w:rsid w:val="00E04797"/>
    <w:rsid w:val="00E04883"/>
    <w:rsid w:val="00E050AD"/>
    <w:rsid w:val="00E0526A"/>
    <w:rsid w:val="00E0648E"/>
    <w:rsid w:val="00E065E8"/>
    <w:rsid w:val="00E06719"/>
    <w:rsid w:val="00E0674E"/>
    <w:rsid w:val="00E070FA"/>
    <w:rsid w:val="00E07DAC"/>
    <w:rsid w:val="00E10200"/>
    <w:rsid w:val="00E106C3"/>
    <w:rsid w:val="00E106E5"/>
    <w:rsid w:val="00E12330"/>
    <w:rsid w:val="00E127C4"/>
    <w:rsid w:val="00E131C5"/>
    <w:rsid w:val="00E13A20"/>
    <w:rsid w:val="00E13AB6"/>
    <w:rsid w:val="00E1408A"/>
    <w:rsid w:val="00E14377"/>
    <w:rsid w:val="00E152DB"/>
    <w:rsid w:val="00E15D84"/>
    <w:rsid w:val="00E15FA2"/>
    <w:rsid w:val="00E15FFC"/>
    <w:rsid w:val="00E1604D"/>
    <w:rsid w:val="00E16297"/>
    <w:rsid w:val="00E163FA"/>
    <w:rsid w:val="00E16AD6"/>
    <w:rsid w:val="00E1785B"/>
    <w:rsid w:val="00E179D8"/>
    <w:rsid w:val="00E20037"/>
    <w:rsid w:val="00E201FE"/>
    <w:rsid w:val="00E2190F"/>
    <w:rsid w:val="00E21D58"/>
    <w:rsid w:val="00E223A8"/>
    <w:rsid w:val="00E235FE"/>
    <w:rsid w:val="00E23620"/>
    <w:rsid w:val="00E24A46"/>
    <w:rsid w:val="00E25472"/>
    <w:rsid w:val="00E262C7"/>
    <w:rsid w:val="00E26625"/>
    <w:rsid w:val="00E267C4"/>
    <w:rsid w:val="00E2690D"/>
    <w:rsid w:val="00E26A88"/>
    <w:rsid w:val="00E26FC3"/>
    <w:rsid w:val="00E275FD"/>
    <w:rsid w:val="00E3053F"/>
    <w:rsid w:val="00E32146"/>
    <w:rsid w:val="00E32902"/>
    <w:rsid w:val="00E32B4E"/>
    <w:rsid w:val="00E32D54"/>
    <w:rsid w:val="00E32E6F"/>
    <w:rsid w:val="00E32F30"/>
    <w:rsid w:val="00E3335C"/>
    <w:rsid w:val="00E33764"/>
    <w:rsid w:val="00E33995"/>
    <w:rsid w:val="00E340A4"/>
    <w:rsid w:val="00E3413A"/>
    <w:rsid w:val="00E34F3B"/>
    <w:rsid w:val="00E35178"/>
    <w:rsid w:val="00E351B5"/>
    <w:rsid w:val="00E355F8"/>
    <w:rsid w:val="00E35893"/>
    <w:rsid w:val="00E35BA2"/>
    <w:rsid w:val="00E35CFB"/>
    <w:rsid w:val="00E35D22"/>
    <w:rsid w:val="00E37B56"/>
    <w:rsid w:val="00E37C9A"/>
    <w:rsid w:val="00E40180"/>
    <w:rsid w:val="00E401EC"/>
    <w:rsid w:val="00E414F9"/>
    <w:rsid w:val="00E42024"/>
    <w:rsid w:val="00E423DB"/>
    <w:rsid w:val="00E4269D"/>
    <w:rsid w:val="00E42BD1"/>
    <w:rsid w:val="00E42C5B"/>
    <w:rsid w:val="00E43494"/>
    <w:rsid w:val="00E434DE"/>
    <w:rsid w:val="00E43545"/>
    <w:rsid w:val="00E444B4"/>
    <w:rsid w:val="00E44BF1"/>
    <w:rsid w:val="00E452F1"/>
    <w:rsid w:val="00E455BE"/>
    <w:rsid w:val="00E45A58"/>
    <w:rsid w:val="00E45FBF"/>
    <w:rsid w:val="00E46169"/>
    <w:rsid w:val="00E463F7"/>
    <w:rsid w:val="00E4656A"/>
    <w:rsid w:val="00E465C5"/>
    <w:rsid w:val="00E46BCF"/>
    <w:rsid w:val="00E46E5F"/>
    <w:rsid w:val="00E47010"/>
    <w:rsid w:val="00E4702B"/>
    <w:rsid w:val="00E473DC"/>
    <w:rsid w:val="00E47754"/>
    <w:rsid w:val="00E501B4"/>
    <w:rsid w:val="00E502D1"/>
    <w:rsid w:val="00E51278"/>
    <w:rsid w:val="00E518F3"/>
    <w:rsid w:val="00E52AE0"/>
    <w:rsid w:val="00E5308A"/>
    <w:rsid w:val="00E53255"/>
    <w:rsid w:val="00E53A79"/>
    <w:rsid w:val="00E544B7"/>
    <w:rsid w:val="00E54DC6"/>
    <w:rsid w:val="00E54FBF"/>
    <w:rsid w:val="00E54FCE"/>
    <w:rsid w:val="00E567C1"/>
    <w:rsid w:val="00E56E83"/>
    <w:rsid w:val="00E56EE2"/>
    <w:rsid w:val="00E57697"/>
    <w:rsid w:val="00E6174E"/>
    <w:rsid w:val="00E618B3"/>
    <w:rsid w:val="00E61BA3"/>
    <w:rsid w:val="00E623C1"/>
    <w:rsid w:val="00E623FD"/>
    <w:rsid w:val="00E6397A"/>
    <w:rsid w:val="00E63F8F"/>
    <w:rsid w:val="00E640E2"/>
    <w:rsid w:val="00E64308"/>
    <w:rsid w:val="00E645FF"/>
    <w:rsid w:val="00E6474A"/>
    <w:rsid w:val="00E65B64"/>
    <w:rsid w:val="00E66173"/>
    <w:rsid w:val="00E66393"/>
    <w:rsid w:val="00E664F2"/>
    <w:rsid w:val="00E6743F"/>
    <w:rsid w:val="00E67D8D"/>
    <w:rsid w:val="00E7039D"/>
    <w:rsid w:val="00E707C5"/>
    <w:rsid w:val="00E70B89"/>
    <w:rsid w:val="00E7140B"/>
    <w:rsid w:val="00E71860"/>
    <w:rsid w:val="00E71E4B"/>
    <w:rsid w:val="00E72752"/>
    <w:rsid w:val="00E72A6C"/>
    <w:rsid w:val="00E731B6"/>
    <w:rsid w:val="00E7320E"/>
    <w:rsid w:val="00E73B31"/>
    <w:rsid w:val="00E73FC0"/>
    <w:rsid w:val="00E743C6"/>
    <w:rsid w:val="00E74680"/>
    <w:rsid w:val="00E74ECC"/>
    <w:rsid w:val="00E74EDE"/>
    <w:rsid w:val="00E75462"/>
    <w:rsid w:val="00E75952"/>
    <w:rsid w:val="00E75E69"/>
    <w:rsid w:val="00E760FA"/>
    <w:rsid w:val="00E762C0"/>
    <w:rsid w:val="00E76747"/>
    <w:rsid w:val="00E76981"/>
    <w:rsid w:val="00E76F16"/>
    <w:rsid w:val="00E77878"/>
    <w:rsid w:val="00E77A94"/>
    <w:rsid w:val="00E77C19"/>
    <w:rsid w:val="00E805DE"/>
    <w:rsid w:val="00E80F59"/>
    <w:rsid w:val="00E818AE"/>
    <w:rsid w:val="00E82D58"/>
    <w:rsid w:val="00E82DEA"/>
    <w:rsid w:val="00E83F8C"/>
    <w:rsid w:val="00E84337"/>
    <w:rsid w:val="00E84D1B"/>
    <w:rsid w:val="00E857DA"/>
    <w:rsid w:val="00E85823"/>
    <w:rsid w:val="00E85B71"/>
    <w:rsid w:val="00E860CF"/>
    <w:rsid w:val="00E8619B"/>
    <w:rsid w:val="00E86B09"/>
    <w:rsid w:val="00E8780D"/>
    <w:rsid w:val="00E87A8C"/>
    <w:rsid w:val="00E87DAA"/>
    <w:rsid w:val="00E87E1C"/>
    <w:rsid w:val="00E901B9"/>
    <w:rsid w:val="00E90222"/>
    <w:rsid w:val="00E9032C"/>
    <w:rsid w:val="00E908D6"/>
    <w:rsid w:val="00E90EE9"/>
    <w:rsid w:val="00E91032"/>
    <w:rsid w:val="00E915CE"/>
    <w:rsid w:val="00E91837"/>
    <w:rsid w:val="00E9183F"/>
    <w:rsid w:val="00E91EEA"/>
    <w:rsid w:val="00E9225A"/>
    <w:rsid w:val="00E9240F"/>
    <w:rsid w:val="00E928CF"/>
    <w:rsid w:val="00E94329"/>
    <w:rsid w:val="00E94FFD"/>
    <w:rsid w:val="00E950DC"/>
    <w:rsid w:val="00E955EE"/>
    <w:rsid w:val="00E96709"/>
    <w:rsid w:val="00EA0018"/>
    <w:rsid w:val="00EA0056"/>
    <w:rsid w:val="00EA0429"/>
    <w:rsid w:val="00EA150D"/>
    <w:rsid w:val="00EA18D8"/>
    <w:rsid w:val="00EA1A60"/>
    <w:rsid w:val="00EA1D7A"/>
    <w:rsid w:val="00EA1DAD"/>
    <w:rsid w:val="00EA1F87"/>
    <w:rsid w:val="00EA203B"/>
    <w:rsid w:val="00EA22B0"/>
    <w:rsid w:val="00EA250B"/>
    <w:rsid w:val="00EA26CB"/>
    <w:rsid w:val="00EA2CF0"/>
    <w:rsid w:val="00EA2E4D"/>
    <w:rsid w:val="00EA322E"/>
    <w:rsid w:val="00EA337D"/>
    <w:rsid w:val="00EA37C1"/>
    <w:rsid w:val="00EA3BF0"/>
    <w:rsid w:val="00EA4ABC"/>
    <w:rsid w:val="00EA541D"/>
    <w:rsid w:val="00EA5877"/>
    <w:rsid w:val="00EA5A3D"/>
    <w:rsid w:val="00EA5AAE"/>
    <w:rsid w:val="00EA698C"/>
    <w:rsid w:val="00EA7157"/>
    <w:rsid w:val="00EA731A"/>
    <w:rsid w:val="00EA7ADA"/>
    <w:rsid w:val="00EB05EC"/>
    <w:rsid w:val="00EB1978"/>
    <w:rsid w:val="00EB1EE0"/>
    <w:rsid w:val="00EB2423"/>
    <w:rsid w:val="00EB319C"/>
    <w:rsid w:val="00EB37DC"/>
    <w:rsid w:val="00EB4035"/>
    <w:rsid w:val="00EB407E"/>
    <w:rsid w:val="00EB47F9"/>
    <w:rsid w:val="00EB4924"/>
    <w:rsid w:val="00EB59F9"/>
    <w:rsid w:val="00EB6784"/>
    <w:rsid w:val="00EB6B4C"/>
    <w:rsid w:val="00EB6BC8"/>
    <w:rsid w:val="00EB7153"/>
    <w:rsid w:val="00EB7487"/>
    <w:rsid w:val="00EB74A3"/>
    <w:rsid w:val="00EC0744"/>
    <w:rsid w:val="00EC08B6"/>
    <w:rsid w:val="00EC10EB"/>
    <w:rsid w:val="00EC1D07"/>
    <w:rsid w:val="00EC1ED6"/>
    <w:rsid w:val="00EC2B52"/>
    <w:rsid w:val="00EC2EA0"/>
    <w:rsid w:val="00EC2F8F"/>
    <w:rsid w:val="00EC3860"/>
    <w:rsid w:val="00EC4527"/>
    <w:rsid w:val="00EC4635"/>
    <w:rsid w:val="00EC5E17"/>
    <w:rsid w:val="00EC608B"/>
    <w:rsid w:val="00EC62BB"/>
    <w:rsid w:val="00EC6966"/>
    <w:rsid w:val="00EC705B"/>
    <w:rsid w:val="00EC70A5"/>
    <w:rsid w:val="00EC7734"/>
    <w:rsid w:val="00EC7995"/>
    <w:rsid w:val="00EC7B0B"/>
    <w:rsid w:val="00ED0E4B"/>
    <w:rsid w:val="00ED10B8"/>
    <w:rsid w:val="00ED141A"/>
    <w:rsid w:val="00ED24A6"/>
    <w:rsid w:val="00ED2FC5"/>
    <w:rsid w:val="00ED3231"/>
    <w:rsid w:val="00ED3315"/>
    <w:rsid w:val="00ED39BA"/>
    <w:rsid w:val="00ED3C93"/>
    <w:rsid w:val="00ED4AF2"/>
    <w:rsid w:val="00ED5143"/>
    <w:rsid w:val="00ED5334"/>
    <w:rsid w:val="00ED5485"/>
    <w:rsid w:val="00ED5752"/>
    <w:rsid w:val="00ED58BD"/>
    <w:rsid w:val="00ED6E99"/>
    <w:rsid w:val="00ED6F9F"/>
    <w:rsid w:val="00ED70DE"/>
    <w:rsid w:val="00ED739F"/>
    <w:rsid w:val="00ED76F8"/>
    <w:rsid w:val="00ED7F44"/>
    <w:rsid w:val="00EE0C58"/>
    <w:rsid w:val="00EE163E"/>
    <w:rsid w:val="00EE1A3A"/>
    <w:rsid w:val="00EE2068"/>
    <w:rsid w:val="00EE2AA2"/>
    <w:rsid w:val="00EE3782"/>
    <w:rsid w:val="00EE39D9"/>
    <w:rsid w:val="00EE3AAC"/>
    <w:rsid w:val="00EE43B7"/>
    <w:rsid w:val="00EE4462"/>
    <w:rsid w:val="00EE4A4E"/>
    <w:rsid w:val="00EE4C43"/>
    <w:rsid w:val="00EE4D63"/>
    <w:rsid w:val="00EE572B"/>
    <w:rsid w:val="00EE5B2F"/>
    <w:rsid w:val="00EE5E11"/>
    <w:rsid w:val="00EE690F"/>
    <w:rsid w:val="00EE6C9C"/>
    <w:rsid w:val="00EE724C"/>
    <w:rsid w:val="00EF0410"/>
    <w:rsid w:val="00EF0614"/>
    <w:rsid w:val="00EF07FD"/>
    <w:rsid w:val="00EF0962"/>
    <w:rsid w:val="00EF135D"/>
    <w:rsid w:val="00EF17AF"/>
    <w:rsid w:val="00EF21FB"/>
    <w:rsid w:val="00EF25FF"/>
    <w:rsid w:val="00EF26C0"/>
    <w:rsid w:val="00EF28C3"/>
    <w:rsid w:val="00EF349A"/>
    <w:rsid w:val="00EF3A41"/>
    <w:rsid w:val="00EF41C6"/>
    <w:rsid w:val="00EF41E0"/>
    <w:rsid w:val="00EF4A31"/>
    <w:rsid w:val="00EF4D41"/>
    <w:rsid w:val="00EF4F00"/>
    <w:rsid w:val="00EF57A8"/>
    <w:rsid w:val="00EF608E"/>
    <w:rsid w:val="00EF6A95"/>
    <w:rsid w:val="00EF75D3"/>
    <w:rsid w:val="00EF784D"/>
    <w:rsid w:val="00EF7C7E"/>
    <w:rsid w:val="00F01352"/>
    <w:rsid w:val="00F01ED3"/>
    <w:rsid w:val="00F02498"/>
    <w:rsid w:val="00F0264D"/>
    <w:rsid w:val="00F027E9"/>
    <w:rsid w:val="00F0309D"/>
    <w:rsid w:val="00F03931"/>
    <w:rsid w:val="00F03B37"/>
    <w:rsid w:val="00F03E24"/>
    <w:rsid w:val="00F0404E"/>
    <w:rsid w:val="00F04160"/>
    <w:rsid w:val="00F0465B"/>
    <w:rsid w:val="00F0470B"/>
    <w:rsid w:val="00F04986"/>
    <w:rsid w:val="00F04A98"/>
    <w:rsid w:val="00F05194"/>
    <w:rsid w:val="00F05331"/>
    <w:rsid w:val="00F053E8"/>
    <w:rsid w:val="00F05902"/>
    <w:rsid w:val="00F0609C"/>
    <w:rsid w:val="00F06C3B"/>
    <w:rsid w:val="00F0765C"/>
    <w:rsid w:val="00F077F7"/>
    <w:rsid w:val="00F078BF"/>
    <w:rsid w:val="00F07BAB"/>
    <w:rsid w:val="00F07C2A"/>
    <w:rsid w:val="00F07FD6"/>
    <w:rsid w:val="00F1028F"/>
    <w:rsid w:val="00F10389"/>
    <w:rsid w:val="00F10BC1"/>
    <w:rsid w:val="00F10C28"/>
    <w:rsid w:val="00F111D1"/>
    <w:rsid w:val="00F1124C"/>
    <w:rsid w:val="00F1193B"/>
    <w:rsid w:val="00F11C0D"/>
    <w:rsid w:val="00F1217E"/>
    <w:rsid w:val="00F129CD"/>
    <w:rsid w:val="00F12C16"/>
    <w:rsid w:val="00F1491C"/>
    <w:rsid w:val="00F14C18"/>
    <w:rsid w:val="00F14DD7"/>
    <w:rsid w:val="00F1531D"/>
    <w:rsid w:val="00F15F8E"/>
    <w:rsid w:val="00F1665B"/>
    <w:rsid w:val="00F16FA1"/>
    <w:rsid w:val="00F170E1"/>
    <w:rsid w:val="00F1750D"/>
    <w:rsid w:val="00F175DB"/>
    <w:rsid w:val="00F177E7"/>
    <w:rsid w:val="00F209F0"/>
    <w:rsid w:val="00F20ADE"/>
    <w:rsid w:val="00F20C81"/>
    <w:rsid w:val="00F20D46"/>
    <w:rsid w:val="00F2102C"/>
    <w:rsid w:val="00F2118D"/>
    <w:rsid w:val="00F2168B"/>
    <w:rsid w:val="00F23021"/>
    <w:rsid w:val="00F2316D"/>
    <w:rsid w:val="00F2388B"/>
    <w:rsid w:val="00F24996"/>
    <w:rsid w:val="00F24B01"/>
    <w:rsid w:val="00F24B18"/>
    <w:rsid w:val="00F24C00"/>
    <w:rsid w:val="00F250CC"/>
    <w:rsid w:val="00F25A85"/>
    <w:rsid w:val="00F25B33"/>
    <w:rsid w:val="00F26524"/>
    <w:rsid w:val="00F272DC"/>
    <w:rsid w:val="00F30954"/>
    <w:rsid w:val="00F319EE"/>
    <w:rsid w:val="00F31DB6"/>
    <w:rsid w:val="00F326F0"/>
    <w:rsid w:val="00F329CA"/>
    <w:rsid w:val="00F33669"/>
    <w:rsid w:val="00F33728"/>
    <w:rsid w:val="00F33B4E"/>
    <w:rsid w:val="00F341B1"/>
    <w:rsid w:val="00F35F57"/>
    <w:rsid w:val="00F3682D"/>
    <w:rsid w:val="00F370E1"/>
    <w:rsid w:val="00F373A6"/>
    <w:rsid w:val="00F37750"/>
    <w:rsid w:val="00F37821"/>
    <w:rsid w:val="00F40160"/>
    <w:rsid w:val="00F4039B"/>
    <w:rsid w:val="00F40B17"/>
    <w:rsid w:val="00F40B8C"/>
    <w:rsid w:val="00F41B02"/>
    <w:rsid w:val="00F41FC7"/>
    <w:rsid w:val="00F42080"/>
    <w:rsid w:val="00F42089"/>
    <w:rsid w:val="00F42813"/>
    <w:rsid w:val="00F42F8C"/>
    <w:rsid w:val="00F4325E"/>
    <w:rsid w:val="00F43ECA"/>
    <w:rsid w:val="00F444FE"/>
    <w:rsid w:val="00F44A37"/>
    <w:rsid w:val="00F45115"/>
    <w:rsid w:val="00F45519"/>
    <w:rsid w:val="00F4580A"/>
    <w:rsid w:val="00F45B47"/>
    <w:rsid w:val="00F47D38"/>
    <w:rsid w:val="00F5021C"/>
    <w:rsid w:val="00F509EC"/>
    <w:rsid w:val="00F50F8F"/>
    <w:rsid w:val="00F51184"/>
    <w:rsid w:val="00F518AB"/>
    <w:rsid w:val="00F51DF7"/>
    <w:rsid w:val="00F51E34"/>
    <w:rsid w:val="00F51F8B"/>
    <w:rsid w:val="00F532A5"/>
    <w:rsid w:val="00F53533"/>
    <w:rsid w:val="00F5386F"/>
    <w:rsid w:val="00F53B2A"/>
    <w:rsid w:val="00F5449A"/>
    <w:rsid w:val="00F546CB"/>
    <w:rsid w:val="00F54735"/>
    <w:rsid w:val="00F54C88"/>
    <w:rsid w:val="00F553CD"/>
    <w:rsid w:val="00F55B6B"/>
    <w:rsid w:val="00F55C67"/>
    <w:rsid w:val="00F55E6A"/>
    <w:rsid w:val="00F569BE"/>
    <w:rsid w:val="00F56BE1"/>
    <w:rsid w:val="00F56E1E"/>
    <w:rsid w:val="00F57061"/>
    <w:rsid w:val="00F575C2"/>
    <w:rsid w:val="00F57D7E"/>
    <w:rsid w:val="00F605F7"/>
    <w:rsid w:val="00F60B59"/>
    <w:rsid w:val="00F60BCC"/>
    <w:rsid w:val="00F61674"/>
    <w:rsid w:val="00F61DF9"/>
    <w:rsid w:val="00F61E69"/>
    <w:rsid w:val="00F6216A"/>
    <w:rsid w:val="00F62F8D"/>
    <w:rsid w:val="00F634DC"/>
    <w:rsid w:val="00F6374D"/>
    <w:rsid w:val="00F64D65"/>
    <w:rsid w:val="00F651BA"/>
    <w:rsid w:val="00F65819"/>
    <w:rsid w:val="00F6597B"/>
    <w:rsid w:val="00F65F69"/>
    <w:rsid w:val="00F665AA"/>
    <w:rsid w:val="00F66B61"/>
    <w:rsid w:val="00F677F4"/>
    <w:rsid w:val="00F67A6A"/>
    <w:rsid w:val="00F67B34"/>
    <w:rsid w:val="00F67BFA"/>
    <w:rsid w:val="00F70BD0"/>
    <w:rsid w:val="00F70F63"/>
    <w:rsid w:val="00F713DA"/>
    <w:rsid w:val="00F718DE"/>
    <w:rsid w:val="00F71EAA"/>
    <w:rsid w:val="00F71FB3"/>
    <w:rsid w:val="00F72909"/>
    <w:rsid w:val="00F72937"/>
    <w:rsid w:val="00F73A00"/>
    <w:rsid w:val="00F75A4B"/>
    <w:rsid w:val="00F75BC9"/>
    <w:rsid w:val="00F75C73"/>
    <w:rsid w:val="00F76262"/>
    <w:rsid w:val="00F76B1D"/>
    <w:rsid w:val="00F777AC"/>
    <w:rsid w:val="00F77A5F"/>
    <w:rsid w:val="00F805C7"/>
    <w:rsid w:val="00F8067C"/>
    <w:rsid w:val="00F80A67"/>
    <w:rsid w:val="00F80ECF"/>
    <w:rsid w:val="00F8144B"/>
    <w:rsid w:val="00F817C5"/>
    <w:rsid w:val="00F81C32"/>
    <w:rsid w:val="00F831F2"/>
    <w:rsid w:val="00F833AC"/>
    <w:rsid w:val="00F837F1"/>
    <w:rsid w:val="00F83E1A"/>
    <w:rsid w:val="00F84805"/>
    <w:rsid w:val="00F84F77"/>
    <w:rsid w:val="00F85158"/>
    <w:rsid w:val="00F8600E"/>
    <w:rsid w:val="00F8603F"/>
    <w:rsid w:val="00F865FD"/>
    <w:rsid w:val="00F86E15"/>
    <w:rsid w:val="00F87483"/>
    <w:rsid w:val="00F87874"/>
    <w:rsid w:val="00F87987"/>
    <w:rsid w:val="00F87E3A"/>
    <w:rsid w:val="00F87FB2"/>
    <w:rsid w:val="00F9088E"/>
    <w:rsid w:val="00F90972"/>
    <w:rsid w:val="00F90C3A"/>
    <w:rsid w:val="00F91150"/>
    <w:rsid w:val="00F912A3"/>
    <w:rsid w:val="00F91C06"/>
    <w:rsid w:val="00F91C08"/>
    <w:rsid w:val="00F91E0A"/>
    <w:rsid w:val="00F91F32"/>
    <w:rsid w:val="00F92448"/>
    <w:rsid w:val="00F92892"/>
    <w:rsid w:val="00F92B05"/>
    <w:rsid w:val="00F93086"/>
    <w:rsid w:val="00F931FB"/>
    <w:rsid w:val="00F932F1"/>
    <w:rsid w:val="00F93463"/>
    <w:rsid w:val="00F93546"/>
    <w:rsid w:val="00F93631"/>
    <w:rsid w:val="00F93835"/>
    <w:rsid w:val="00F9398D"/>
    <w:rsid w:val="00F94BAD"/>
    <w:rsid w:val="00F94E7C"/>
    <w:rsid w:val="00F94F6A"/>
    <w:rsid w:val="00F95737"/>
    <w:rsid w:val="00F959F6"/>
    <w:rsid w:val="00F95B16"/>
    <w:rsid w:val="00F96487"/>
    <w:rsid w:val="00F96B34"/>
    <w:rsid w:val="00F96BAE"/>
    <w:rsid w:val="00F9755A"/>
    <w:rsid w:val="00F9761A"/>
    <w:rsid w:val="00F978A3"/>
    <w:rsid w:val="00F97918"/>
    <w:rsid w:val="00FA04BF"/>
    <w:rsid w:val="00FA1311"/>
    <w:rsid w:val="00FA1639"/>
    <w:rsid w:val="00FA2236"/>
    <w:rsid w:val="00FA2F08"/>
    <w:rsid w:val="00FA3DFA"/>
    <w:rsid w:val="00FA431F"/>
    <w:rsid w:val="00FA453A"/>
    <w:rsid w:val="00FA4F93"/>
    <w:rsid w:val="00FA52D8"/>
    <w:rsid w:val="00FA55A3"/>
    <w:rsid w:val="00FA58C1"/>
    <w:rsid w:val="00FA5C74"/>
    <w:rsid w:val="00FA6314"/>
    <w:rsid w:val="00FA648A"/>
    <w:rsid w:val="00FA64AF"/>
    <w:rsid w:val="00FA6775"/>
    <w:rsid w:val="00FA70EF"/>
    <w:rsid w:val="00FA7310"/>
    <w:rsid w:val="00FA7934"/>
    <w:rsid w:val="00FA7A99"/>
    <w:rsid w:val="00FA7D7C"/>
    <w:rsid w:val="00FB041E"/>
    <w:rsid w:val="00FB0FF5"/>
    <w:rsid w:val="00FB1D01"/>
    <w:rsid w:val="00FB1D1A"/>
    <w:rsid w:val="00FB24CB"/>
    <w:rsid w:val="00FB301A"/>
    <w:rsid w:val="00FB3881"/>
    <w:rsid w:val="00FB40B8"/>
    <w:rsid w:val="00FB4B02"/>
    <w:rsid w:val="00FB4F9D"/>
    <w:rsid w:val="00FB53E2"/>
    <w:rsid w:val="00FB57AD"/>
    <w:rsid w:val="00FB6042"/>
    <w:rsid w:val="00FB778F"/>
    <w:rsid w:val="00FB7895"/>
    <w:rsid w:val="00FB7E5C"/>
    <w:rsid w:val="00FC0A47"/>
    <w:rsid w:val="00FC0AD9"/>
    <w:rsid w:val="00FC1682"/>
    <w:rsid w:val="00FC1F51"/>
    <w:rsid w:val="00FC2891"/>
    <w:rsid w:val="00FC2E05"/>
    <w:rsid w:val="00FC3850"/>
    <w:rsid w:val="00FC395E"/>
    <w:rsid w:val="00FC4738"/>
    <w:rsid w:val="00FC48C0"/>
    <w:rsid w:val="00FC5456"/>
    <w:rsid w:val="00FC5BA0"/>
    <w:rsid w:val="00FC6167"/>
    <w:rsid w:val="00FC64BD"/>
    <w:rsid w:val="00FC6871"/>
    <w:rsid w:val="00FC6AAE"/>
    <w:rsid w:val="00FC6BB6"/>
    <w:rsid w:val="00FC73F8"/>
    <w:rsid w:val="00FC7458"/>
    <w:rsid w:val="00FC74AA"/>
    <w:rsid w:val="00FC79E4"/>
    <w:rsid w:val="00FC7FD4"/>
    <w:rsid w:val="00FD03FA"/>
    <w:rsid w:val="00FD1226"/>
    <w:rsid w:val="00FD14EF"/>
    <w:rsid w:val="00FD1BA5"/>
    <w:rsid w:val="00FD1C37"/>
    <w:rsid w:val="00FD23B3"/>
    <w:rsid w:val="00FD2BAC"/>
    <w:rsid w:val="00FD2C83"/>
    <w:rsid w:val="00FD3627"/>
    <w:rsid w:val="00FD4152"/>
    <w:rsid w:val="00FD41A6"/>
    <w:rsid w:val="00FD436F"/>
    <w:rsid w:val="00FD4387"/>
    <w:rsid w:val="00FD4BA5"/>
    <w:rsid w:val="00FD530B"/>
    <w:rsid w:val="00FD5C35"/>
    <w:rsid w:val="00FD5D5D"/>
    <w:rsid w:val="00FD64AE"/>
    <w:rsid w:val="00FD66A3"/>
    <w:rsid w:val="00FD673D"/>
    <w:rsid w:val="00FD6ADC"/>
    <w:rsid w:val="00FD735D"/>
    <w:rsid w:val="00FD78C9"/>
    <w:rsid w:val="00FE06EB"/>
    <w:rsid w:val="00FE0881"/>
    <w:rsid w:val="00FE0A63"/>
    <w:rsid w:val="00FE0DE9"/>
    <w:rsid w:val="00FE0E0F"/>
    <w:rsid w:val="00FE11EF"/>
    <w:rsid w:val="00FE1367"/>
    <w:rsid w:val="00FE1818"/>
    <w:rsid w:val="00FE22D1"/>
    <w:rsid w:val="00FE230F"/>
    <w:rsid w:val="00FE2410"/>
    <w:rsid w:val="00FE351D"/>
    <w:rsid w:val="00FE3D09"/>
    <w:rsid w:val="00FE43D3"/>
    <w:rsid w:val="00FE480B"/>
    <w:rsid w:val="00FE4863"/>
    <w:rsid w:val="00FE48EC"/>
    <w:rsid w:val="00FE4953"/>
    <w:rsid w:val="00FE4F20"/>
    <w:rsid w:val="00FE5094"/>
    <w:rsid w:val="00FE5203"/>
    <w:rsid w:val="00FE5C3D"/>
    <w:rsid w:val="00FE5F47"/>
    <w:rsid w:val="00FE60A4"/>
    <w:rsid w:val="00FE60EC"/>
    <w:rsid w:val="00FE6697"/>
    <w:rsid w:val="00FE6C49"/>
    <w:rsid w:val="00FE6CAC"/>
    <w:rsid w:val="00FE6D47"/>
    <w:rsid w:val="00FE6E2B"/>
    <w:rsid w:val="00FF0563"/>
    <w:rsid w:val="00FF0985"/>
    <w:rsid w:val="00FF102F"/>
    <w:rsid w:val="00FF1337"/>
    <w:rsid w:val="00FF14F7"/>
    <w:rsid w:val="00FF1B7C"/>
    <w:rsid w:val="00FF1E42"/>
    <w:rsid w:val="00FF226D"/>
    <w:rsid w:val="00FF22BE"/>
    <w:rsid w:val="00FF26FC"/>
    <w:rsid w:val="00FF3444"/>
    <w:rsid w:val="00FF3EBA"/>
    <w:rsid w:val="00FF44B9"/>
    <w:rsid w:val="00FF4AFC"/>
    <w:rsid w:val="00FF4C4A"/>
    <w:rsid w:val="00FF51BA"/>
    <w:rsid w:val="00FF548F"/>
    <w:rsid w:val="00FF5582"/>
    <w:rsid w:val="00FF5F94"/>
    <w:rsid w:val="00FF6510"/>
    <w:rsid w:val="00FF6F63"/>
    <w:rsid w:val="00FF75DF"/>
    <w:rsid w:val="00FF7D1C"/>
    <w:rsid w:val="012E92BE"/>
    <w:rsid w:val="015416FA"/>
    <w:rsid w:val="01AD5595"/>
    <w:rsid w:val="01C286FC"/>
    <w:rsid w:val="023CA1DD"/>
    <w:rsid w:val="027DDB5C"/>
    <w:rsid w:val="028296DA"/>
    <w:rsid w:val="0288CB87"/>
    <w:rsid w:val="02B3E770"/>
    <w:rsid w:val="0301D6C5"/>
    <w:rsid w:val="0409F177"/>
    <w:rsid w:val="041E6222"/>
    <w:rsid w:val="043691BA"/>
    <w:rsid w:val="0465F3FE"/>
    <w:rsid w:val="04B28C4B"/>
    <w:rsid w:val="04C059DC"/>
    <w:rsid w:val="0512EAA3"/>
    <w:rsid w:val="05817E86"/>
    <w:rsid w:val="0592A4F3"/>
    <w:rsid w:val="065DE02F"/>
    <w:rsid w:val="06C2F449"/>
    <w:rsid w:val="0735755F"/>
    <w:rsid w:val="07C397AE"/>
    <w:rsid w:val="07D9A79E"/>
    <w:rsid w:val="082D3479"/>
    <w:rsid w:val="089F77E2"/>
    <w:rsid w:val="08BC1DAB"/>
    <w:rsid w:val="09536C54"/>
    <w:rsid w:val="0A45E223"/>
    <w:rsid w:val="0A4E6530"/>
    <w:rsid w:val="0ABC4BE0"/>
    <w:rsid w:val="0AD7E39D"/>
    <w:rsid w:val="0B2DA580"/>
    <w:rsid w:val="0B527DB6"/>
    <w:rsid w:val="0B563C2F"/>
    <w:rsid w:val="0BEAADC0"/>
    <w:rsid w:val="0C9C0A45"/>
    <w:rsid w:val="0CBC0FEC"/>
    <w:rsid w:val="0CBEC345"/>
    <w:rsid w:val="0D039C8E"/>
    <w:rsid w:val="0DA4E743"/>
    <w:rsid w:val="0DC06E46"/>
    <w:rsid w:val="0DFD6D34"/>
    <w:rsid w:val="0E5BD537"/>
    <w:rsid w:val="0E7A96EF"/>
    <w:rsid w:val="0F33078B"/>
    <w:rsid w:val="104FD3B8"/>
    <w:rsid w:val="106472FC"/>
    <w:rsid w:val="10AEA20F"/>
    <w:rsid w:val="10E6BFE7"/>
    <w:rsid w:val="10F4B1D7"/>
    <w:rsid w:val="11AC7C2A"/>
    <w:rsid w:val="11B7AE77"/>
    <w:rsid w:val="126909E3"/>
    <w:rsid w:val="13246975"/>
    <w:rsid w:val="14206B5E"/>
    <w:rsid w:val="1478F0F3"/>
    <w:rsid w:val="14BE08F5"/>
    <w:rsid w:val="15E83063"/>
    <w:rsid w:val="167A4D40"/>
    <w:rsid w:val="16ABEC95"/>
    <w:rsid w:val="16B4E840"/>
    <w:rsid w:val="1716A122"/>
    <w:rsid w:val="173B84CE"/>
    <w:rsid w:val="17541ED7"/>
    <w:rsid w:val="182EA218"/>
    <w:rsid w:val="18CF7F9B"/>
    <w:rsid w:val="19959D2C"/>
    <w:rsid w:val="19FEE12D"/>
    <w:rsid w:val="1A17A580"/>
    <w:rsid w:val="1A46F7BF"/>
    <w:rsid w:val="1A7B4E2A"/>
    <w:rsid w:val="1A808779"/>
    <w:rsid w:val="1AFE31CC"/>
    <w:rsid w:val="1B2E0E08"/>
    <w:rsid w:val="1B8525AF"/>
    <w:rsid w:val="1BBBAC0D"/>
    <w:rsid w:val="1C11625C"/>
    <w:rsid w:val="1CA62912"/>
    <w:rsid w:val="1D19A67F"/>
    <w:rsid w:val="1D864D91"/>
    <w:rsid w:val="1DC78B54"/>
    <w:rsid w:val="1DD6EBCC"/>
    <w:rsid w:val="1E18FB3F"/>
    <w:rsid w:val="1F823BA9"/>
    <w:rsid w:val="1F8FD9B8"/>
    <w:rsid w:val="20A883F0"/>
    <w:rsid w:val="20C07472"/>
    <w:rsid w:val="213B520F"/>
    <w:rsid w:val="22524A34"/>
    <w:rsid w:val="23426E50"/>
    <w:rsid w:val="23FA33D7"/>
    <w:rsid w:val="246AE435"/>
    <w:rsid w:val="2473C47B"/>
    <w:rsid w:val="255D00D3"/>
    <w:rsid w:val="25E10307"/>
    <w:rsid w:val="263C6BA2"/>
    <w:rsid w:val="2652CD8C"/>
    <w:rsid w:val="26A359C4"/>
    <w:rsid w:val="271A8B6C"/>
    <w:rsid w:val="27711F53"/>
    <w:rsid w:val="278B1D12"/>
    <w:rsid w:val="2856A7ED"/>
    <w:rsid w:val="2912DF77"/>
    <w:rsid w:val="2A988ACE"/>
    <w:rsid w:val="2B06915B"/>
    <w:rsid w:val="2BEFA05B"/>
    <w:rsid w:val="2C6ABEF2"/>
    <w:rsid w:val="2D70529F"/>
    <w:rsid w:val="2DDBEC23"/>
    <w:rsid w:val="2E07F3AA"/>
    <w:rsid w:val="2E950C34"/>
    <w:rsid w:val="2EA5F8B9"/>
    <w:rsid w:val="2EE6FEBD"/>
    <w:rsid w:val="2FA9C8B8"/>
    <w:rsid w:val="305E9C0D"/>
    <w:rsid w:val="31101EE5"/>
    <w:rsid w:val="312EE22D"/>
    <w:rsid w:val="319C7F6D"/>
    <w:rsid w:val="31A51242"/>
    <w:rsid w:val="321E465C"/>
    <w:rsid w:val="327F0790"/>
    <w:rsid w:val="32D4F37A"/>
    <w:rsid w:val="332E5D69"/>
    <w:rsid w:val="3346D019"/>
    <w:rsid w:val="3384EEDB"/>
    <w:rsid w:val="33F7E50C"/>
    <w:rsid w:val="34272746"/>
    <w:rsid w:val="34273FE7"/>
    <w:rsid w:val="3430360E"/>
    <w:rsid w:val="3443295C"/>
    <w:rsid w:val="34AAF111"/>
    <w:rsid w:val="34DA846B"/>
    <w:rsid w:val="35247E6B"/>
    <w:rsid w:val="3548B778"/>
    <w:rsid w:val="356910DD"/>
    <w:rsid w:val="35AC0616"/>
    <w:rsid w:val="35D4A084"/>
    <w:rsid w:val="364140B7"/>
    <w:rsid w:val="368280D4"/>
    <w:rsid w:val="36CA7ED6"/>
    <w:rsid w:val="36F9716C"/>
    <w:rsid w:val="373195B5"/>
    <w:rsid w:val="374C77B5"/>
    <w:rsid w:val="37A4E104"/>
    <w:rsid w:val="382EB37C"/>
    <w:rsid w:val="384A6311"/>
    <w:rsid w:val="38CC670D"/>
    <w:rsid w:val="39C300D4"/>
    <w:rsid w:val="39D26047"/>
    <w:rsid w:val="3A9613FD"/>
    <w:rsid w:val="3AC6D47A"/>
    <w:rsid w:val="3B272624"/>
    <w:rsid w:val="3B30FBA5"/>
    <w:rsid w:val="3B407DA0"/>
    <w:rsid w:val="3B67F57A"/>
    <w:rsid w:val="3BB6020A"/>
    <w:rsid w:val="3BBE4DC5"/>
    <w:rsid w:val="3C3331CD"/>
    <w:rsid w:val="3D631B2E"/>
    <w:rsid w:val="3D709E1F"/>
    <w:rsid w:val="3DE47EF9"/>
    <w:rsid w:val="3E244DFF"/>
    <w:rsid w:val="3E50469A"/>
    <w:rsid w:val="3E5C52DA"/>
    <w:rsid w:val="3EA0AD85"/>
    <w:rsid w:val="3F588971"/>
    <w:rsid w:val="3FC3AD4D"/>
    <w:rsid w:val="3FDBA704"/>
    <w:rsid w:val="415B54F5"/>
    <w:rsid w:val="415F1E6C"/>
    <w:rsid w:val="41683294"/>
    <w:rsid w:val="422D80DE"/>
    <w:rsid w:val="42387AE8"/>
    <w:rsid w:val="43B00174"/>
    <w:rsid w:val="44418D05"/>
    <w:rsid w:val="44425576"/>
    <w:rsid w:val="44887B3B"/>
    <w:rsid w:val="44F34978"/>
    <w:rsid w:val="450F96FC"/>
    <w:rsid w:val="45973733"/>
    <w:rsid w:val="46505B06"/>
    <w:rsid w:val="46C15CCF"/>
    <w:rsid w:val="46E9D471"/>
    <w:rsid w:val="4730D9B7"/>
    <w:rsid w:val="4873781F"/>
    <w:rsid w:val="48B0A155"/>
    <w:rsid w:val="48B4C2EA"/>
    <w:rsid w:val="495CFE56"/>
    <w:rsid w:val="496DE5A8"/>
    <w:rsid w:val="4975449B"/>
    <w:rsid w:val="4B2F20B5"/>
    <w:rsid w:val="4B82D368"/>
    <w:rsid w:val="4BA3E159"/>
    <w:rsid w:val="4BCB85F2"/>
    <w:rsid w:val="4C665164"/>
    <w:rsid w:val="4C91D2C8"/>
    <w:rsid w:val="4D58173E"/>
    <w:rsid w:val="4D5AB4B1"/>
    <w:rsid w:val="4D8BFF92"/>
    <w:rsid w:val="4DBE3317"/>
    <w:rsid w:val="4DF9EE2D"/>
    <w:rsid w:val="4E4EFE47"/>
    <w:rsid w:val="4ED27EDB"/>
    <w:rsid w:val="4EE31BA9"/>
    <w:rsid w:val="4F2EE499"/>
    <w:rsid w:val="4F550264"/>
    <w:rsid w:val="4F9DDD75"/>
    <w:rsid w:val="504A99EB"/>
    <w:rsid w:val="504AE781"/>
    <w:rsid w:val="50771BDE"/>
    <w:rsid w:val="50D4F010"/>
    <w:rsid w:val="50F6AC8F"/>
    <w:rsid w:val="51D24AA6"/>
    <w:rsid w:val="52273CE3"/>
    <w:rsid w:val="52D64CEB"/>
    <w:rsid w:val="530C4366"/>
    <w:rsid w:val="53328EDB"/>
    <w:rsid w:val="53374C81"/>
    <w:rsid w:val="536ED2A8"/>
    <w:rsid w:val="54413622"/>
    <w:rsid w:val="5478446A"/>
    <w:rsid w:val="54846FAF"/>
    <w:rsid w:val="549C169B"/>
    <w:rsid w:val="54AC7FDF"/>
    <w:rsid w:val="550CE126"/>
    <w:rsid w:val="557D1B1D"/>
    <w:rsid w:val="55BAFFBB"/>
    <w:rsid w:val="562E03A3"/>
    <w:rsid w:val="5630BA2F"/>
    <w:rsid w:val="56BF5127"/>
    <w:rsid w:val="56FB0DFB"/>
    <w:rsid w:val="570C38D0"/>
    <w:rsid w:val="57156924"/>
    <w:rsid w:val="571E4D98"/>
    <w:rsid w:val="57240D34"/>
    <w:rsid w:val="579F62D3"/>
    <w:rsid w:val="57A66117"/>
    <w:rsid w:val="57EF4AE0"/>
    <w:rsid w:val="585C9E65"/>
    <w:rsid w:val="58A6E43B"/>
    <w:rsid w:val="5A7E04B0"/>
    <w:rsid w:val="5A8A1435"/>
    <w:rsid w:val="5A8A6216"/>
    <w:rsid w:val="5ABD24A8"/>
    <w:rsid w:val="5B103B2A"/>
    <w:rsid w:val="5B354454"/>
    <w:rsid w:val="5B78FA1B"/>
    <w:rsid w:val="5BF92643"/>
    <w:rsid w:val="5C7843BA"/>
    <w:rsid w:val="5C7F7377"/>
    <w:rsid w:val="5CB928BA"/>
    <w:rsid w:val="5CE2E3CF"/>
    <w:rsid w:val="5D064411"/>
    <w:rsid w:val="5D0CBDFA"/>
    <w:rsid w:val="5D884777"/>
    <w:rsid w:val="5D9EB1D4"/>
    <w:rsid w:val="5DE307B4"/>
    <w:rsid w:val="5E250BA9"/>
    <w:rsid w:val="5E34687F"/>
    <w:rsid w:val="5E791D14"/>
    <w:rsid w:val="5E7C44A0"/>
    <w:rsid w:val="5EDB2B44"/>
    <w:rsid w:val="60A0E87D"/>
    <w:rsid w:val="60D9590C"/>
    <w:rsid w:val="6134FC6A"/>
    <w:rsid w:val="614B0784"/>
    <w:rsid w:val="615141C7"/>
    <w:rsid w:val="616F45C3"/>
    <w:rsid w:val="619DDC80"/>
    <w:rsid w:val="61CBCCEA"/>
    <w:rsid w:val="62606159"/>
    <w:rsid w:val="6263345B"/>
    <w:rsid w:val="62D1D6C2"/>
    <w:rsid w:val="62D96B44"/>
    <w:rsid w:val="630D50CA"/>
    <w:rsid w:val="637E80B8"/>
    <w:rsid w:val="63A7745A"/>
    <w:rsid w:val="63DE160D"/>
    <w:rsid w:val="63EFD6F7"/>
    <w:rsid w:val="642EE3BE"/>
    <w:rsid w:val="64360742"/>
    <w:rsid w:val="64617D3C"/>
    <w:rsid w:val="64BBDB32"/>
    <w:rsid w:val="654E0056"/>
    <w:rsid w:val="65CA6C19"/>
    <w:rsid w:val="65ECFA83"/>
    <w:rsid w:val="66356303"/>
    <w:rsid w:val="665B5070"/>
    <w:rsid w:val="66D7298B"/>
    <w:rsid w:val="67342EC4"/>
    <w:rsid w:val="6751DCDC"/>
    <w:rsid w:val="676CC12B"/>
    <w:rsid w:val="6834AFB1"/>
    <w:rsid w:val="6843D991"/>
    <w:rsid w:val="684EFCFA"/>
    <w:rsid w:val="68B00192"/>
    <w:rsid w:val="68EA355F"/>
    <w:rsid w:val="6955413E"/>
    <w:rsid w:val="69ABDAF1"/>
    <w:rsid w:val="69E606AB"/>
    <w:rsid w:val="6AAFAB81"/>
    <w:rsid w:val="6ABE710D"/>
    <w:rsid w:val="6B28DA3D"/>
    <w:rsid w:val="6B365CC9"/>
    <w:rsid w:val="6B90C9C2"/>
    <w:rsid w:val="6C0133F9"/>
    <w:rsid w:val="6C0D80F9"/>
    <w:rsid w:val="6C775A5D"/>
    <w:rsid w:val="6D1D58D4"/>
    <w:rsid w:val="6D338EC1"/>
    <w:rsid w:val="6D9CCFEB"/>
    <w:rsid w:val="6DA7F4CF"/>
    <w:rsid w:val="6DEB5525"/>
    <w:rsid w:val="6E3EB5D9"/>
    <w:rsid w:val="6EB035EE"/>
    <w:rsid w:val="6ECCD27E"/>
    <w:rsid w:val="6EE83D9B"/>
    <w:rsid w:val="6F050237"/>
    <w:rsid w:val="6F2C892F"/>
    <w:rsid w:val="6F34E975"/>
    <w:rsid w:val="6F93ECE9"/>
    <w:rsid w:val="6FB7C997"/>
    <w:rsid w:val="7014547E"/>
    <w:rsid w:val="70C5BBCB"/>
    <w:rsid w:val="70DB0622"/>
    <w:rsid w:val="7187881D"/>
    <w:rsid w:val="71D70FC8"/>
    <w:rsid w:val="7261C5C6"/>
    <w:rsid w:val="72735F01"/>
    <w:rsid w:val="732DE36F"/>
    <w:rsid w:val="73D2BC9A"/>
    <w:rsid w:val="73DB0113"/>
    <w:rsid w:val="73DC0103"/>
    <w:rsid w:val="749ECFCB"/>
    <w:rsid w:val="755DA7AF"/>
    <w:rsid w:val="7571B666"/>
    <w:rsid w:val="761F7562"/>
    <w:rsid w:val="7750894F"/>
    <w:rsid w:val="77A2CCFA"/>
    <w:rsid w:val="77D2C7AF"/>
    <w:rsid w:val="77D4BE5F"/>
    <w:rsid w:val="77D696F2"/>
    <w:rsid w:val="77DE9EDA"/>
    <w:rsid w:val="77FE8824"/>
    <w:rsid w:val="780F0845"/>
    <w:rsid w:val="783ED75C"/>
    <w:rsid w:val="786D6714"/>
    <w:rsid w:val="78BE521E"/>
    <w:rsid w:val="78FDDA9F"/>
    <w:rsid w:val="7916E9D4"/>
    <w:rsid w:val="797B0D5B"/>
    <w:rsid w:val="7A2C6AC0"/>
    <w:rsid w:val="7A3F7C62"/>
    <w:rsid w:val="7B150D8B"/>
    <w:rsid w:val="7B908150"/>
    <w:rsid w:val="7B91B3A9"/>
    <w:rsid w:val="7BE487E3"/>
    <w:rsid w:val="7C67BA0A"/>
    <w:rsid w:val="7C701957"/>
    <w:rsid w:val="7CB45085"/>
    <w:rsid w:val="7D239AE1"/>
    <w:rsid w:val="7D42D408"/>
    <w:rsid w:val="7E4BA0C1"/>
    <w:rsid w:val="7FF0FB97"/>
    <w:rsid w:val="7FFC9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0C7BF"/>
  <w15:docId w15:val="{AC50854D-D6B0-4DE8-81CC-CEE248CAE73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C97"/>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customStyle="1" w:styleId="UnresolvedMention1">
    <w:name w:val="Unresolved Mention1"/>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character" w:customStyle="1" w:styleId="FootnoteTextChar">
    <w:name w:val="Footnote Text Char"/>
    <w:basedOn w:val="DefaultParagraphFont"/>
    <w:link w:val="FootnoteText"/>
    <w:uiPriority w:val="99"/>
    <w:rsid w:val="003D32A6"/>
    <w:rPr>
      <w:rFonts w:ascii="Palatino" w:hAnsi="Palatino"/>
      <w:sz w:val="24"/>
    </w:rPr>
  </w:style>
  <w:style w:type="character" w:styleId="CommentReference">
    <w:name w:val="annotation reference"/>
    <w:basedOn w:val="DefaultParagraphFont"/>
    <w:semiHidden/>
    <w:unhideWhenUsed/>
    <w:rsid w:val="00E26625"/>
    <w:rPr>
      <w:sz w:val="16"/>
      <w:szCs w:val="16"/>
    </w:rPr>
  </w:style>
  <w:style w:type="paragraph" w:styleId="CommentText">
    <w:name w:val="annotation text"/>
    <w:basedOn w:val="Normal"/>
    <w:link w:val="CommentTextChar"/>
    <w:unhideWhenUsed/>
    <w:rsid w:val="00E26625"/>
    <w:rPr>
      <w:sz w:val="20"/>
    </w:rPr>
  </w:style>
  <w:style w:type="character" w:customStyle="1" w:styleId="CommentTextChar">
    <w:name w:val="Comment Text Char"/>
    <w:basedOn w:val="DefaultParagraphFont"/>
    <w:link w:val="CommentText"/>
    <w:rsid w:val="00E26625"/>
    <w:rPr>
      <w:rFonts w:ascii="Palatino" w:hAnsi="Palatino"/>
    </w:rPr>
  </w:style>
  <w:style w:type="paragraph" w:styleId="CommentSubject">
    <w:name w:val="annotation subject"/>
    <w:basedOn w:val="CommentText"/>
    <w:next w:val="CommentText"/>
    <w:link w:val="CommentSubjectChar"/>
    <w:semiHidden/>
    <w:unhideWhenUsed/>
    <w:rsid w:val="00E26625"/>
    <w:rPr>
      <w:b/>
      <w:bCs/>
    </w:rPr>
  </w:style>
  <w:style w:type="character" w:customStyle="1" w:styleId="CommentSubjectChar">
    <w:name w:val="Comment Subject Char"/>
    <w:basedOn w:val="CommentTextChar"/>
    <w:link w:val="CommentSubject"/>
    <w:semiHidden/>
    <w:rsid w:val="00E26625"/>
    <w:rPr>
      <w:rFonts w:ascii="Palatino" w:hAnsi="Palatino"/>
      <w:b/>
      <w:bCs/>
    </w:rPr>
  </w:style>
  <w:style w:type="paragraph" w:styleId="Revision">
    <w:name w:val="Revision"/>
    <w:hidden/>
    <w:uiPriority w:val="99"/>
    <w:semiHidden/>
    <w:rsid w:val="00B80CF2"/>
    <w:rPr>
      <w:rFonts w:ascii="Palatino" w:hAnsi="Palatino"/>
      <w:sz w:val="26"/>
    </w:rPr>
  </w:style>
  <w:style w:type="paragraph" w:styleId="NormalWeb">
    <w:name w:val="Normal (Web)"/>
    <w:basedOn w:val="Normal"/>
    <w:uiPriority w:val="99"/>
    <w:semiHidden/>
    <w:unhideWhenUsed/>
    <w:rsid w:val="008D5578"/>
    <w:pPr>
      <w:spacing w:before="100" w:beforeAutospacing="1" w:after="100" w:afterAutospacing="1"/>
    </w:pPr>
    <w:rPr>
      <w:rFonts w:ascii="Times New Roman" w:hAnsi="Times New Roman"/>
      <w:sz w:val="20"/>
    </w:rPr>
  </w:style>
  <w:style w:type="character" w:customStyle="1" w:styleId="normaltextrun">
    <w:name w:val="normaltextrun"/>
    <w:basedOn w:val="DefaultParagraphFont"/>
    <w:rsid w:val="00EF6A95"/>
  </w:style>
  <w:style w:type="character" w:customStyle="1" w:styleId="findhit">
    <w:name w:val="findhit"/>
    <w:basedOn w:val="DefaultParagraphFont"/>
    <w:rsid w:val="00EF6A95"/>
  </w:style>
  <w:style w:type="paragraph" w:customStyle="1" w:styleId="Default">
    <w:name w:val="Default"/>
    <w:rsid w:val="00AE5381"/>
    <w:pPr>
      <w:autoSpaceDE w:val="0"/>
      <w:autoSpaceDN w:val="0"/>
      <w:adjustRightInd w:val="0"/>
    </w:pPr>
    <w:rPr>
      <w:rFonts w:ascii="Book Antiqua" w:hAnsi="Book Antiqua" w:cs="Book Antiqua"/>
      <w:color w:val="000000"/>
      <w:sz w:val="24"/>
      <w:szCs w:val="24"/>
    </w:rPr>
  </w:style>
  <w:style w:type="character" w:styleId="PlaceholderText">
    <w:name w:val="Placeholder Text"/>
    <w:basedOn w:val="DefaultParagraphFont"/>
    <w:uiPriority w:val="99"/>
    <w:semiHidden/>
    <w:rsid w:val="004E6274"/>
    <w:rPr>
      <w:color w:val="808080"/>
    </w:rPr>
  </w:style>
  <w:style w:type="character" w:styleId="Mention">
    <w:name w:val="Mention"/>
    <w:basedOn w:val="DefaultParagraphFont"/>
    <w:uiPriority w:val="99"/>
    <w:unhideWhenUsed/>
    <w:rsid w:val="00F86E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00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363291017">
      <w:bodyDiv w:val="1"/>
      <w:marLeft w:val="0"/>
      <w:marRight w:val="0"/>
      <w:marTop w:val="0"/>
      <w:marBottom w:val="0"/>
      <w:divBdr>
        <w:top w:val="none" w:sz="0" w:space="0" w:color="auto"/>
        <w:left w:val="none" w:sz="0" w:space="0" w:color="auto"/>
        <w:bottom w:val="none" w:sz="0" w:space="0" w:color="auto"/>
        <w:right w:val="none" w:sz="0" w:space="0" w:color="auto"/>
      </w:divBdr>
    </w:div>
    <w:div w:id="738600635">
      <w:bodyDiv w:val="1"/>
      <w:marLeft w:val="0"/>
      <w:marRight w:val="0"/>
      <w:marTop w:val="0"/>
      <w:marBottom w:val="0"/>
      <w:divBdr>
        <w:top w:val="none" w:sz="0" w:space="0" w:color="auto"/>
        <w:left w:val="none" w:sz="0" w:space="0" w:color="auto"/>
        <w:bottom w:val="none" w:sz="0" w:space="0" w:color="auto"/>
        <w:right w:val="none" w:sz="0" w:space="0" w:color="auto"/>
      </w:divBdr>
      <w:divsChild>
        <w:div w:id="1040011154">
          <w:marLeft w:val="0"/>
          <w:marRight w:val="0"/>
          <w:marTop w:val="0"/>
          <w:marBottom w:val="0"/>
          <w:divBdr>
            <w:top w:val="none" w:sz="0" w:space="0" w:color="auto"/>
            <w:left w:val="none" w:sz="0" w:space="0" w:color="auto"/>
            <w:bottom w:val="none" w:sz="0" w:space="0" w:color="auto"/>
            <w:right w:val="none" w:sz="0" w:space="0" w:color="auto"/>
          </w:divBdr>
          <w:divsChild>
            <w:div w:id="1518076159">
              <w:marLeft w:val="0"/>
              <w:marRight w:val="0"/>
              <w:marTop w:val="0"/>
              <w:marBottom w:val="0"/>
              <w:divBdr>
                <w:top w:val="none" w:sz="0" w:space="0" w:color="auto"/>
                <w:left w:val="none" w:sz="0" w:space="0" w:color="auto"/>
                <w:bottom w:val="none" w:sz="0" w:space="0" w:color="auto"/>
                <w:right w:val="none" w:sz="0" w:space="0" w:color="auto"/>
              </w:divBdr>
              <w:divsChild>
                <w:div w:id="15348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86090496">
      <w:bodyDiv w:val="1"/>
      <w:marLeft w:val="0"/>
      <w:marRight w:val="0"/>
      <w:marTop w:val="0"/>
      <w:marBottom w:val="0"/>
      <w:divBdr>
        <w:top w:val="none" w:sz="0" w:space="0" w:color="auto"/>
        <w:left w:val="none" w:sz="0" w:space="0" w:color="auto"/>
        <w:bottom w:val="none" w:sz="0" w:space="0" w:color="auto"/>
        <w:right w:val="none" w:sz="0" w:space="0" w:color="auto"/>
      </w:divBdr>
    </w:div>
    <w:div w:id="1308514656">
      <w:bodyDiv w:val="1"/>
      <w:marLeft w:val="0"/>
      <w:marRight w:val="0"/>
      <w:marTop w:val="0"/>
      <w:marBottom w:val="0"/>
      <w:divBdr>
        <w:top w:val="none" w:sz="0" w:space="0" w:color="auto"/>
        <w:left w:val="none" w:sz="0" w:space="0" w:color="auto"/>
        <w:bottom w:val="none" w:sz="0" w:space="0" w:color="auto"/>
        <w:right w:val="none" w:sz="0" w:space="0" w:color="auto"/>
      </w:divBdr>
    </w:div>
    <w:div w:id="1362973607">
      <w:bodyDiv w:val="1"/>
      <w:marLeft w:val="0"/>
      <w:marRight w:val="0"/>
      <w:marTop w:val="0"/>
      <w:marBottom w:val="0"/>
      <w:divBdr>
        <w:top w:val="none" w:sz="0" w:space="0" w:color="auto"/>
        <w:left w:val="none" w:sz="0" w:space="0" w:color="auto"/>
        <w:bottom w:val="none" w:sz="0" w:space="0" w:color="auto"/>
        <w:right w:val="none" w:sz="0" w:space="0" w:color="auto"/>
      </w:divBdr>
    </w:div>
    <w:div w:id="1513034787">
      <w:bodyDiv w:val="1"/>
      <w:marLeft w:val="0"/>
      <w:marRight w:val="0"/>
      <w:marTop w:val="0"/>
      <w:marBottom w:val="0"/>
      <w:divBdr>
        <w:top w:val="none" w:sz="0" w:space="0" w:color="auto"/>
        <w:left w:val="none" w:sz="0" w:space="0" w:color="auto"/>
        <w:bottom w:val="none" w:sz="0" w:space="0" w:color="auto"/>
        <w:right w:val="none" w:sz="0" w:space="0" w:color="auto"/>
      </w:divBdr>
    </w:div>
    <w:div w:id="1727803720">
      <w:bodyDiv w:val="1"/>
      <w:marLeft w:val="0"/>
      <w:marRight w:val="0"/>
      <w:marTop w:val="0"/>
      <w:marBottom w:val="0"/>
      <w:divBdr>
        <w:top w:val="none" w:sz="0" w:space="0" w:color="auto"/>
        <w:left w:val="none" w:sz="0" w:space="0" w:color="auto"/>
        <w:bottom w:val="none" w:sz="0" w:space="0" w:color="auto"/>
        <w:right w:val="none" w:sz="0" w:space="0" w:color="auto"/>
      </w:divBdr>
    </w:div>
    <w:div w:id="18552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2250cf3-b7a9-4bd5-b2fe-054899bfcf6b">
      <UserInfo>
        <DisplayName>Mackin, Dina S.</DisplayName>
        <AccountId>6</AccountId>
        <AccountType/>
      </UserInfo>
      <UserInfo>
        <DisplayName>Duda, Dorothy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800782F333A4EAFBA4B072CEFA62A" ma:contentTypeVersion="4" ma:contentTypeDescription="Create a new document." ma:contentTypeScope="" ma:versionID="0608843e0ca75f3418094d06ebb570b5">
  <xsd:schema xmlns:xsd="http://www.w3.org/2001/XMLSchema" xmlns:xs="http://www.w3.org/2001/XMLSchema" xmlns:p="http://schemas.microsoft.com/office/2006/metadata/properties" xmlns:ns2="7cb2a228-4759-4c83-a324-c804b069c66c" xmlns:ns3="a2250cf3-b7a9-4bd5-b2fe-054899bfcf6b" targetNamespace="http://schemas.microsoft.com/office/2006/metadata/properties" ma:root="true" ma:fieldsID="d7fcca2ccae15c16d5d199feab282166" ns2:_="" ns3:_="">
    <xsd:import namespace="7cb2a228-4759-4c83-a324-c804b069c66c"/>
    <xsd:import namespace="a2250cf3-b7a9-4bd5-b2fe-054899bfc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a228-4759-4c83-a324-c804b069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50cf3-b7a9-4bd5-b2fe-054899bfc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BD9F7-B5F3-4B77-8967-068BAE0E17AE}">
  <ds:schemaRefs>
    <ds:schemaRef ds:uri="http://schemas.microsoft.com/office/2006/metadata/properties"/>
    <ds:schemaRef ds:uri="http://schemas.microsoft.com/office/infopath/2007/PartnerControls"/>
    <ds:schemaRef ds:uri="a2250cf3-b7a9-4bd5-b2fe-054899bfcf6b"/>
  </ds:schemaRefs>
</ds:datastoreItem>
</file>

<file path=customXml/itemProps2.xml><?xml version="1.0" encoding="utf-8"?>
<ds:datastoreItem xmlns:ds="http://schemas.openxmlformats.org/officeDocument/2006/customXml" ds:itemID="{64BC0B2E-503A-4E93-BAD8-1B20ACE87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a228-4759-4c83-a324-c804b069c66c"/>
    <ds:schemaRef ds:uri="a2250cf3-b7a9-4bd5-b2fe-054899bf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DC220-A50B-4779-B7BB-866DC50B4AFF}">
  <ds:schemaRefs>
    <ds:schemaRef ds:uri="http://schemas.microsoft.com/sharepoint/v3/contenttype/forms"/>
  </ds:schemaRefs>
</ds:datastoreItem>
</file>

<file path=customXml/itemProps4.xml><?xml version="1.0" encoding="utf-8"?>
<ds:datastoreItem xmlns:ds="http://schemas.openxmlformats.org/officeDocument/2006/customXml" ds:itemID="{F99C326B-DA0F-4B60-8DBE-B81EACE301B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7233</ap:Words>
  <ap:Characters>41232</ap:Characters>
  <ap:Application>Microsoft Office Word</ap:Application>
  <ap:DocSecurity>0</ap:DocSecurity>
  <ap:Lines>343</ap:Lines>
  <ap:Paragraphs>96</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48369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2020-09-10T15:06:33Z</dcterms:created>
  <dcterms:modified xsi:type="dcterms:W3CDTF">2020-09-10T15:06:33Z</dcterms:modified>
</cp:coreProperties>
</file>