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0421" w:rsidP="007E0FEE" w:rsidRDefault="008B76A1" w14:paraId="0FDE89BB" w14:textId="6E533132">
      <w:pPr>
        <w:tabs>
          <w:tab w:val="center" w:pos="4680"/>
          <w:tab w:val="right" w:pos="9360"/>
        </w:tabs>
        <w:spacing w:line="240" w:lineRule="auto"/>
        <w:ind w:firstLine="0"/>
      </w:pPr>
      <w:r>
        <w:t>ALJ</w:t>
      </w:r>
      <w:r w:rsidR="00DA7B5D">
        <w:t>/</w:t>
      </w:r>
      <w:r>
        <w:t>KWZ</w:t>
      </w:r>
      <w:r w:rsidR="00DA7B5D">
        <w:t>/</w:t>
      </w:r>
      <w:r>
        <w:t>gp2</w:t>
      </w:r>
      <w:r w:rsidR="007E0FEE">
        <w:tab/>
      </w:r>
      <w:r w:rsidR="00DA7B5D">
        <w:rPr>
          <w:rFonts w:ascii="Arial" w:hAnsi="Arial" w:cs="Arial"/>
          <w:b/>
          <w:sz w:val="32"/>
          <w:szCs w:val="32"/>
        </w:rPr>
        <w:t>PROPOSED DECISION</w:t>
      </w:r>
      <w:r w:rsidR="00DA7B5D">
        <w:tab/>
      </w:r>
      <w:r w:rsidRPr="00EE4315" w:rsidR="00DA7B5D">
        <w:rPr>
          <w:b/>
        </w:rPr>
        <w:t>Agenda ID #</w:t>
      </w:r>
      <w:r w:rsidR="00872E23">
        <w:rPr>
          <w:b/>
        </w:rPr>
        <w:t>18658</w:t>
      </w:r>
    </w:p>
    <w:p w:rsidRPr="00EE4315" w:rsidR="00DA7B5D" w:rsidP="00632207" w:rsidRDefault="008B76A1" w14:paraId="67567E2F" w14:textId="2DC0F0D8">
      <w:pPr>
        <w:spacing w:line="240" w:lineRule="auto"/>
        <w:jc w:val="right"/>
        <w:rPr>
          <w:b/>
        </w:rPr>
      </w:pPr>
      <w:proofErr w:type="spellStart"/>
      <w:r>
        <w:rPr>
          <w:b/>
        </w:rPr>
        <w:t>Ratesetting</w:t>
      </w:r>
      <w:proofErr w:type="spellEnd"/>
    </w:p>
    <w:p w:rsidR="00DA7B5D" w:rsidP="008F0116" w:rsidRDefault="00DA7B5D" w14:paraId="7C33B433" w14:textId="77777777">
      <w:pPr>
        <w:ind w:firstLine="0"/>
      </w:pPr>
    </w:p>
    <w:p w:rsidRPr="008B76A1" w:rsidR="00DA7B5D" w:rsidP="008B76A1" w:rsidRDefault="00DA7B5D" w14:paraId="669514A4" w14:textId="5BEC41C8">
      <w:pPr>
        <w:spacing w:line="240" w:lineRule="auto"/>
        <w:ind w:left="1080" w:hanging="1080"/>
        <w:rPr>
          <w:b/>
          <w:bCs/>
        </w:rPr>
      </w:pPr>
      <w:r>
        <w:t xml:space="preserve">Decision </w:t>
      </w:r>
      <w:r w:rsidR="008B76A1">
        <w:rPr>
          <w:b/>
          <w:bCs/>
          <w:u w:val="single"/>
        </w:rPr>
        <w:t>PROPOSED DECISION OF ALJ WATTS-ZAGHA</w:t>
      </w:r>
      <w:r w:rsidR="008B76A1">
        <w:rPr>
          <w:b/>
          <w:bCs/>
        </w:rPr>
        <w:t xml:space="preserve"> (Mailed on </w:t>
      </w:r>
      <w:r w:rsidR="009379DE">
        <w:rPr>
          <w:b/>
          <w:bCs/>
        </w:rPr>
        <w:t>7</w:t>
      </w:r>
      <w:r w:rsidR="008B76A1">
        <w:rPr>
          <w:b/>
          <w:bCs/>
        </w:rPr>
        <w:t>/</w:t>
      </w:r>
      <w:r w:rsidR="009379DE">
        <w:rPr>
          <w:b/>
          <w:bCs/>
        </w:rPr>
        <w:t>24</w:t>
      </w:r>
      <w:r w:rsidR="008B76A1">
        <w:rPr>
          <w:b/>
          <w:bCs/>
        </w:rPr>
        <w:t>/2020)</w:t>
      </w:r>
    </w:p>
    <w:p w:rsidR="00DA7B5D" w:rsidP="00BB0243" w:rsidRDefault="00DA7B5D" w14:paraId="0045CB32" w14:textId="77777777">
      <w:pPr>
        <w:spacing w:line="240" w:lineRule="auto"/>
        <w:jc w:val="center"/>
        <w:rPr>
          <w:u w:val="single"/>
        </w:rPr>
      </w:pPr>
    </w:p>
    <w:p w:rsidR="00DA7B5D" w:rsidP="00BB0243" w:rsidRDefault="00DA7B5D" w14:paraId="1090FB0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4FC2347" w14:textId="77777777">
      <w:pPr>
        <w:spacing w:line="240" w:lineRule="auto"/>
        <w:ind w:firstLine="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8B76A1" w:rsidTr="008B76A1" w14:paraId="708E3961" w14:textId="77777777">
        <w:trPr>
          <w:trHeight w:val="2344"/>
        </w:trPr>
        <w:tc>
          <w:tcPr>
            <w:tcW w:w="4675" w:type="dxa"/>
            <w:tcBorders>
              <w:top w:val="nil"/>
              <w:left w:val="nil"/>
              <w:bottom w:val="single" w:color="auto" w:sz="4" w:space="0"/>
              <w:right w:val="single" w:color="auto" w:sz="4" w:space="0"/>
            </w:tcBorders>
          </w:tcPr>
          <w:p w:rsidR="008B76A1" w:rsidP="008B76A1" w:rsidRDefault="008B76A1" w14:paraId="10642D4B" w14:textId="77777777">
            <w:pPr>
              <w:spacing w:line="240" w:lineRule="auto"/>
              <w:ind w:firstLine="0"/>
              <w:rPr>
                <w:rFonts w:eastAsia="Times New Roman" w:cs="TimesNewRomanPSMT"/>
                <w:szCs w:val="26"/>
              </w:rPr>
            </w:pPr>
            <w:r w:rsidRPr="007C5A8A">
              <w:rPr>
                <w:rFonts w:eastAsia="Times New Roman" w:cs="TimesNewRomanPSMT"/>
                <w:szCs w:val="26"/>
              </w:rPr>
              <w:t>In the Matter of the Application of Liberty Utilities (Apple Valley Ranchos Water) Corp. (U 346 W) for Authority to Increase Rates Charged for Water Service by $985,822 or 3.96 percent in 2019, $1,314,325 or 5.06 percent in 2020, and $987,227 or 3.60 percent in 2021.</w:t>
            </w:r>
          </w:p>
          <w:p w:rsidRPr="008B76A1" w:rsidR="008B76A1" w:rsidP="008B76A1" w:rsidRDefault="008B76A1" w14:paraId="6E2A41B4" w14:textId="77777777">
            <w:pPr>
              <w:spacing w:line="240" w:lineRule="auto"/>
              <w:ind w:firstLine="0"/>
              <w:rPr>
                <w:rFonts w:eastAsia="Times New Roman" w:cs="TimesNewRomanPSMT"/>
                <w:szCs w:val="26"/>
              </w:rPr>
            </w:pPr>
          </w:p>
          <w:p w:rsidR="008B76A1" w:rsidP="008B76A1" w:rsidRDefault="008B76A1" w14:paraId="378242FE" w14:textId="77777777">
            <w:pPr>
              <w:spacing w:line="240" w:lineRule="auto"/>
              <w:ind w:firstLine="0"/>
            </w:pPr>
          </w:p>
        </w:tc>
        <w:tc>
          <w:tcPr>
            <w:tcW w:w="4675" w:type="dxa"/>
            <w:tcBorders>
              <w:top w:val="nil"/>
              <w:left w:val="nil"/>
              <w:bottom w:val="nil"/>
              <w:right w:val="single" w:color="auto" w:sz="4" w:space="0"/>
            </w:tcBorders>
          </w:tcPr>
          <w:p w:rsidR="008B76A1" w:rsidP="008B76A1" w:rsidRDefault="008B76A1" w14:paraId="6F99D21D" w14:textId="23269307">
            <w:pPr>
              <w:spacing w:line="240" w:lineRule="auto"/>
              <w:ind w:firstLine="0"/>
              <w:jc w:val="center"/>
            </w:pPr>
          </w:p>
          <w:p w:rsidR="008B76A1" w:rsidP="008B76A1" w:rsidRDefault="008B76A1" w14:paraId="19E34AE9" w14:textId="3FBD9E8B">
            <w:pPr>
              <w:spacing w:line="240" w:lineRule="auto"/>
              <w:ind w:firstLine="0"/>
              <w:jc w:val="center"/>
            </w:pPr>
          </w:p>
          <w:p w:rsidR="008B76A1" w:rsidP="008B76A1" w:rsidRDefault="008B76A1" w14:paraId="6878026D" w14:textId="5F01F7D2">
            <w:pPr>
              <w:spacing w:line="240" w:lineRule="auto"/>
              <w:ind w:firstLine="0"/>
              <w:jc w:val="center"/>
            </w:pPr>
          </w:p>
          <w:p w:rsidR="008B76A1" w:rsidP="008B76A1" w:rsidRDefault="008B76A1" w14:paraId="698D2687" w14:textId="77777777">
            <w:pPr>
              <w:spacing w:line="240" w:lineRule="auto"/>
              <w:ind w:firstLine="0"/>
              <w:jc w:val="center"/>
            </w:pPr>
          </w:p>
          <w:p w:rsidR="008B76A1" w:rsidP="008B76A1" w:rsidRDefault="008B76A1" w14:paraId="0357496C" w14:textId="409D3386">
            <w:pPr>
              <w:spacing w:line="240" w:lineRule="auto"/>
              <w:ind w:firstLine="0"/>
              <w:jc w:val="center"/>
            </w:pPr>
            <w:r>
              <w:t>Application 18-01-002</w:t>
            </w:r>
          </w:p>
          <w:p w:rsidRPr="00DA7B5D" w:rsidR="008B76A1" w:rsidP="008B76A1" w:rsidRDefault="008B76A1" w14:paraId="38C4CA36" w14:textId="3A4E2C02">
            <w:pPr>
              <w:spacing w:line="240" w:lineRule="auto"/>
              <w:ind w:firstLine="0"/>
              <w:jc w:val="center"/>
              <w:rPr>
                <w:rFonts w:cs="Arial"/>
                <w:szCs w:val="26"/>
              </w:rPr>
            </w:pPr>
          </w:p>
        </w:tc>
      </w:tr>
      <w:tr w:rsidR="008B76A1" w:rsidTr="008B76A1" w14:paraId="3DF26A7D" w14:textId="77777777">
        <w:trPr>
          <w:trHeight w:val="459"/>
        </w:trPr>
        <w:tc>
          <w:tcPr>
            <w:tcW w:w="4675" w:type="dxa"/>
            <w:tcBorders>
              <w:top w:val="single" w:color="auto" w:sz="4" w:space="0"/>
              <w:left w:val="nil"/>
              <w:bottom w:val="single" w:color="auto" w:sz="4" w:space="0"/>
              <w:right w:val="single" w:color="auto" w:sz="4" w:space="0"/>
            </w:tcBorders>
          </w:tcPr>
          <w:p w:rsidR="008B76A1" w:rsidP="008B76A1" w:rsidRDefault="008B76A1" w14:paraId="502271B8" w14:textId="77777777">
            <w:pPr>
              <w:spacing w:line="240" w:lineRule="auto"/>
              <w:ind w:firstLine="0"/>
              <w:rPr>
                <w:rFonts w:cs="TimesNewRomanPSMT"/>
                <w:szCs w:val="26"/>
              </w:rPr>
            </w:pPr>
          </w:p>
          <w:p w:rsidRPr="00192AA7" w:rsidR="008B76A1" w:rsidP="008B76A1" w:rsidRDefault="008B76A1" w14:paraId="12AA6E76" w14:textId="670BF0D1">
            <w:pPr>
              <w:spacing w:line="240" w:lineRule="auto"/>
              <w:ind w:firstLine="0"/>
              <w:rPr>
                <w:rFonts w:cs="TimesNewRomanPSMT"/>
                <w:szCs w:val="26"/>
              </w:rPr>
            </w:pPr>
            <w:r>
              <w:rPr>
                <w:rFonts w:cs="TimesNewRomanPSMT"/>
                <w:szCs w:val="26"/>
              </w:rPr>
              <w:t>And Related Matter.</w:t>
            </w:r>
          </w:p>
          <w:p w:rsidRPr="007C5A8A" w:rsidR="008B76A1" w:rsidP="008B76A1" w:rsidRDefault="008B76A1" w14:paraId="3656B59E" w14:textId="77777777">
            <w:pPr>
              <w:spacing w:line="240" w:lineRule="auto"/>
              <w:ind w:firstLine="0"/>
              <w:rPr>
                <w:rFonts w:eastAsia="Times New Roman" w:cs="TimesNewRomanPSMT"/>
                <w:szCs w:val="26"/>
              </w:rPr>
            </w:pPr>
          </w:p>
        </w:tc>
        <w:tc>
          <w:tcPr>
            <w:tcW w:w="4675" w:type="dxa"/>
            <w:tcBorders>
              <w:top w:val="nil"/>
              <w:left w:val="nil"/>
              <w:bottom w:val="single" w:color="auto" w:sz="4" w:space="0"/>
              <w:right w:val="single" w:color="auto" w:sz="4" w:space="0"/>
            </w:tcBorders>
          </w:tcPr>
          <w:p w:rsidR="008B76A1" w:rsidP="008B76A1" w:rsidRDefault="008B76A1" w14:paraId="20617FBB" w14:textId="77777777">
            <w:pPr>
              <w:spacing w:line="240" w:lineRule="auto"/>
              <w:ind w:firstLine="0"/>
              <w:jc w:val="center"/>
            </w:pPr>
          </w:p>
          <w:p w:rsidRPr="007C5A8A" w:rsidR="008B76A1" w:rsidP="008B76A1" w:rsidRDefault="008B76A1" w14:paraId="29305325" w14:textId="547179FB">
            <w:pPr>
              <w:spacing w:line="240" w:lineRule="auto"/>
              <w:ind w:firstLine="0"/>
              <w:jc w:val="center"/>
              <w:rPr>
                <w:rFonts w:eastAsia="Times New Roman" w:cs="TimesNewRomanPSMT"/>
                <w:szCs w:val="26"/>
              </w:rPr>
            </w:pPr>
            <w:r>
              <w:t>Application 18-01-003</w:t>
            </w:r>
          </w:p>
        </w:tc>
      </w:tr>
    </w:tbl>
    <w:p w:rsidR="00DA7B5D" w:rsidP="008F0116" w:rsidRDefault="00DA7B5D" w14:paraId="1B3C2E2F" w14:textId="77777777">
      <w:pPr>
        <w:spacing w:line="240" w:lineRule="auto"/>
        <w:ind w:firstLine="0"/>
        <w:rPr>
          <w:rFonts w:ascii="Arial" w:hAnsi="Arial" w:cs="Arial"/>
          <w:sz w:val="24"/>
          <w:szCs w:val="24"/>
        </w:rPr>
      </w:pPr>
    </w:p>
    <w:p w:rsidR="00DA7B5D" w:rsidP="008F0116" w:rsidRDefault="00DA7B5D" w14:paraId="6EC482EF" w14:textId="77777777">
      <w:pPr>
        <w:spacing w:line="240" w:lineRule="auto"/>
        <w:ind w:firstLine="0"/>
        <w:rPr>
          <w:rFonts w:ascii="Arial" w:hAnsi="Arial" w:cs="Arial"/>
          <w:sz w:val="24"/>
          <w:szCs w:val="24"/>
        </w:rPr>
      </w:pPr>
    </w:p>
    <w:p w:rsidRPr="00F92385" w:rsidR="00F92385" w:rsidP="00B3087D" w:rsidRDefault="001A6C1D" w14:paraId="03DFFE11" w14:textId="64E25241">
      <w:pPr>
        <w:pStyle w:val="Dummy"/>
        <w:jc w:val="center"/>
        <w:sectPr w:rsidRPr="00F92385" w:rsidR="00F92385" w:rsidSect="00DD3ACC">
          <w:headerReference w:type="first" r:id="rId8"/>
          <w:footerReference w:type="first" r:id="rId9"/>
          <w:pgSz w:w="12240" w:h="15840"/>
          <w:pgMar w:top="1440" w:right="1440" w:bottom="1440" w:left="1440" w:header="720" w:footer="720" w:gutter="0"/>
          <w:pgNumType w:start="1"/>
          <w:cols w:space="720"/>
          <w:titlePg/>
          <w:docGrid w:linePitch="360"/>
        </w:sectPr>
      </w:pPr>
      <w:bookmarkStart w:name="_Toc46478764" w:id="0"/>
      <w:r>
        <w:t xml:space="preserve">DECISION AUTHORIZING RATE </w:t>
      </w:r>
      <w:r w:rsidR="00352A75">
        <w:t>CHANGES</w:t>
      </w:r>
      <w:r>
        <w:t xml:space="preserve"> </w:t>
      </w:r>
      <w:r w:rsidR="00F10D88">
        <w:t xml:space="preserve">FOR </w:t>
      </w:r>
      <w:r>
        <w:t>LIBERTY</w:t>
      </w:r>
      <w:r w:rsidR="00A94201">
        <w:t xml:space="preserve"> UTILITIES</w:t>
      </w:r>
      <w:r>
        <w:t xml:space="preserve"> </w:t>
      </w:r>
      <w:r w:rsidR="00A94201">
        <w:t>(</w:t>
      </w:r>
      <w:r>
        <w:t>APPLE VALLEY RA</w:t>
      </w:r>
      <w:r w:rsidR="00FF7E44">
        <w:t>N</w:t>
      </w:r>
      <w:r>
        <w:t xml:space="preserve">CHOS </w:t>
      </w:r>
      <w:r w:rsidR="00A94201">
        <w:t xml:space="preserve">WATER) CORP. </w:t>
      </w:r>
      <w:r w:rsidR="00882F66">
        <w:t xml:space="preserve">AND FOR LIBERTY </w:t>
      </w:r>
      <w:r w:rsidR="00A94201">
        <w:t>UTILITIES (</w:t>
      </w:r>
      <w:r w:rsidR="00882F66">
        <w:t>PARK WATER</w:t>
      </w:r>
      <w:r w:rsidR="00A94201">
        <w:t>) CORP.</w:t>
      </w:r>
      <w:r w:rsidR="00882F66">
        <w:t xml:space="preserve"> </w:t>
      </w:r>
      <w:r>
        <w:t>FOR</w:t>
      </w:r>
      <w:r w:rsidR="00882F66">
        <w:t xml:space="preserve"> </w:t>
      </w:r>
      <w:r>
        <w:t>YEARS  2019, 2020, 2021</w:t>
      </w:r>
      <w:bookmarkEnd w:id="0"/>
    </w:p>
    <w:p w:rsidRPr="001E2A62" w:rsidR="00D50119" w:rsidP="00F76650" w:rsidRDefault="00D50119" w14:paraId="432293BD"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208A9107"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95297F" w:rsidP="009379DE" w:rsidRDefault="008C7413" w14:paraId="456E7B3D" w14:textId="2D74F51D">
          <w:pPr>
            <w:pStyle w:val="TOC1"/>
            <w:tabs>
              <w:tab w:val="right" w:leader="dot" w:pos="9350"/>
            </w:tabs>
            <w:ind w:left="-90" w:firstLine="90"/>
            <w:rPr>
              <w:rFonts w:asciiTheme="minorHAnsi" w:hAnsiTheme="minorHAnsi" w:cstheme="minorBidi"/>
              <w:noProof/>
              <w:sz w:val="22"/>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46478764">
            <w:r w:rsidRPr="007A4FA6" w:rsidR="0095297F">
              <w:rPr>
                <w:rStyle w:val="Hyperlink"/>
                <w:noProof/>
              </w:rPr>
              <w:t>DECISION AUTHORIZING RATE CHANGES FOR LIBERTY UTILITIES (APPLE VALLEY RANCHOS WATER) CORP. AND FOR LIBERTY UTILITIES (PARK WATER) CORP. FOR YEARS  2019, 2020, 2021</w:t>
            </w:r>
            <w:r w:rsidR="0095297F">
              <w:rPr>
                <w:noProof/>
                <w:webHidden/>
              </w:rPr>
              <w:tab/>
            </w:r>
            <w:r w:rsidR="0095297F">
              <w:rPr>
                <w:noProof/>
                <w:webHidden/>
              </w:rPr>
              <w:fldChar w:fldCharType="begin"/>
            </w:r>
            <w:r w:rsidR="0095297F">
              <w:rPr>
                <w:noProof/>
                <w:webHidden/>
              </w:rPr>
              <w:instrText xml:space="preserve"> PAGEREF _Toc46478764 \h </w:instrText>
            </w:r>
            <w:r w:rsidR="0095297F">
              <w:rPr>
                <w:noProof/>
                <w:webHidden/>
              </w:rPr>
            </w:r>
            <w:r w:rsidR="0095297F">
              <w:rPr>
                <w:noProof/>
                <w:webHidden/>
              </w:rPr>
              <w:fldChar w:fldCharType="separate"/>
            </w:r>
            <w:r w:rsidR="0095297F">
              <w:rPr>
                <w:noProof/>
                <w:webHidden/>
              </w:rPr>
              <w:t>1</w:t>
            </w:r>
            <w:r w:rsidR="0095297F">
              <w:rPr>
                <w:noProof/>
                <w:webHidden/>
              </w:rPr>
              <w:fldChar w:fldCharType="end"/>
            </w:r>
          </w:hyperlink>
        </w:p>
        <w:p w:rsidR="0095297F" w:rsidRDefault="00614D4E" w14:paraId="3A7AB6F8" w14:textId="494807DF">
          <w:pPr>
            <w:pStyle w:val="TOC1"/>
            <w:tabs>
              <w:tab w:val="right" w:leader="dot" w:pos="9350"/>
            </w:tabs>
            <w:rPr>
              <w:rFonts w:asciiTheme="minorHAnsi" w:hAnsiTheme="minorHAnsi" w:cstheme="minorBidi"/>
              <w:noProof/>
              <w:sz w:val="22"/>
            </w:rPr>
          </w:pPr>
          <w:hyperlink w:history="1" w:anchor="_Toc46478765">
            <w:r w:rsidRPr="007A4FA6" w:rsidR="0095297F">
              <w:rPr>
                <w:rStyle w:val="Hyperlink"/>
                <w:noProof/>
              </w:rPr>
              <w:t>Summary</w:t>
            </w:r>
            <w:r w:rsidR="0095297F">
              <w:rPr>
                <w:noProof/>
                <w:webHidden/>
              </w:rPr>
              <w:tab/>
            </w:r>
            <w:r w:rsidR="0095297F">
              <w:rPr>
                <w:noProof/>
                <w:webHidden/>
              </w:rPr>
              <w:fldChar w:fldCharType="begin"/>
            </w:r>
            <w:r w:rsidR="0095297F">
              <w:rPr>
                <w:noProof/>
                <w:webHidden/>
              </w:rPr>
              <w:instrText xml:space="preserve"> PAGEREF _Toc46478765 \h </w:instrText>
            </w:r>
            <w:r w:rsidR="0095297F">
              <w:rPr>
                <w:noProof/>
                <w:webHidden/>
              </w:rPr>
            </w:r>
            <w:r w:rsidR="0095297F">
              <w:rPr>
                <w:noProof/>
                <w:webHidden/>
              </w:rPr>
              <w:fldChar w:fldCharType="separate"/>
            </w:r>
            <w:r w:rsidR="0095297F">
              <w:rPr>
                <w:noProof/>
                <w:webHidden/>
              </w:rPr>
              <w:t>2</w:t>
            </w:r>
            <w:r w:rsidR="0095297F">
              <w:rPr>
                <w:noProof/>
                <w:webHidden/>
              </w:rPr>
              <w:fldChar w:fldCharType="end"/>
            </w:r>
          </w:hyperlink>
        </w:p>
        <w:p w:rsidR="0095297F" w:rsidRDefault="00614D4E" w14:paraId="10CA107A" w14:textId="02FDCEB4">
          <w:pPr>
            <w:pStyle w:val="TOC1"/>
            <w:tabs>
              <w:tab w:val="right" w:leader="dot" w:pos="9350"/>
            </w:tabs>
            <w:rPr>
              <w:rFonts w:asciiTheme="minorHAnsi" w:hAnsiTheme="minorHAnsi" w:cstheme="minorBidi"/>
              <w:noProof/>
              <w:sz w:val="22"/>
            </w:rPr>
          </w:pPr>
          <w:hyperlink w:history="1" w:anchor="_Toc46478766">
            <w:r w:rsidRPr="007A4FA6" w:rsidR="0095297F">
              <w:rPr>
                <w:rStyle w:val="Hyperlink"/>
                <w:noProof/>
              </w:rPr>
              <w:t>1.</w:t>
            </w:r>
            <w:r w:rsidR="0095297F">
              <w:rPr>
                <w:rFonts w:asciiTheme="minorHAnsi" w:hAnsiTheme="minorHAnsi" w:cstheme="minorBidi"/>
                <w:noProof/>
                <w:sz w:val="22"/>
              </w:rPr>
              <w:tab/>
            </w:r>
            <w:r w:rsidRPr="007A4FA6" w:rsidR="0095297F">
              <w:rPr>
                <w:rStyle w:val="Hyperlink"/>
                <w:noProof/>
              </w:rPr>
              <w:t>Background</w:t>
            </w:r>
            <w:r w:rsidR="0095297F">
              <w:rPr>
                <w:noProof/>
                <w:webHidden/>
              </w:rPr>
              <w:tab/>
            </w:r>
            <w:r w:rsidR="0095297F">
              <w:rPr>
                <w:noProof/>
                <w:webHidden/>
              </w:rPr>
              <w:fldChar w:fldCharType="begin"/>
            </w:r>
            <w:r w:rsidR="0095297F">
              <w:rPr>
                <w:noProof/>
                <w:webHidden/>
              </w:rPr>
              <w:instrText xml:space="preserve"> PAGEREF _Toc46478766 \h </w:instrText>
            </w:r>
            <w:r w:rsidR="0095297F">
              <w:rPr>
                <w:noProof/>
                <w:webHidden/>
              </w:rPr>
            </w:r>
            <w:r w:rsidR="0095297F">
              <w:rPr>
                <w:noProof/>
                <w:webHidden/>
              </w:rPr>
              <w:fldChar w:fldCharType="separate"/>
            </w:r>
            <w:r w:rsidR="0095297F">
              <w:rPr>
                <w:noProof/>
                <w:webHidden/>
              </w:rPr>
              <w:t>4</w:t>
            </w:r>
            <w:r w:rsidR="0095297F">
              <w:rPr>
                <w:noProof/>
                <w:webHidden/>
              </w:rPr>
              <w:fldChar w:fldCharType="end"/>
            </w:r>
          </w:hyperlink>
        </w:p>
        <w:p w:rsidR="0095297F" w:rsidRDefault="00614D4E" w14:paraId="32E6DDA1" w14:textId="4E44AF65">
          <w:pPr>
            <w:pStyle w:val="TOC2"/>
            <w:tabs>
              <w:tab w:val="right" w:leader="dot" w:pos="9350"/>
            </w:tabs>
            <w:rPr>
              <w:rFonts w:asciiTheme="minorHAnsi" w:hAnsiTheme="minorHAnsi" w:cstheme="minorBidi"/>
              <w:noProof/>
              <w:sz w:val="22"/>
            </w:rPr>
          </w:pPr>
          <w:hyperlink w:history="1" w:anchor="_Toc46478767">
            <w:r w:rsidRPr="007A4FA6" w:rsidR="0095297F">
              <w:rPr>
                <w:rStyle w:val="Hyperlink"/>
                <w:noProof/>
              </w:rPr>
              <w:t>1.1.</w:t>
            </w:r>
            <w:r w:rsidR="0095297F">
              <w:rPr>
                <w:rFonts w:asciiTheme="minorHAnsi" w:hAnsiTheme="minorHAnsi" w:cstheme="minorBidi"/>
                <w:noProof/>
                <w:sz w:val="22"/>
              </w:rPr>
              <w:tab/>
            </w:r>
            <w:r w:rsidRPr="007A4FA6" w:rsidR="0095297F">
              <w:rPr>
                <w:rStyle w:val="Hyperlink"/>
                <w:noProof/>
              </w:rPr>
              <w:t>Procedural Background</w:t>
            </w:r>
            <w:r w:rsidR="0095297F">
              <w:rPr>
                <w:noProof/>
                <w:webHidden/>
              </w:rPr>
              <w:tab/>
            </w:r>
            <w:r w:rsidR="0095297F">
              <w:rPr>
                <w:noProof/>
                <w:webHidden/>
              </w:rPr>
              <w:fldChar w:fldCharType="begin"/>
            </w:r>
            <w:r w:rsidR="0095297F">
              <w:rPr>
                <w:noProof/>
                <w:webHidden/>
              </w:rPr>
              <w:instrText xml:space="preserve"> PAGEREF _Toc46478767 \h </w:instrText>
            </w:r>
            <w:r w:rsidR="0095297F">
              <w:rPr>
                <w:noProof/>
                <w:webHidden/>
              </w:rPr>
            </w:r>
            <w:r w:rsidR="0095297F">
              <w:rPr>
                <w:noProof/>
                <w:webHidden/>
              </w:rPr>
              <w:fldChar w:fldCharType="separate"/>
            </w:r>
            <w:r w:rsidR="0095297F">
              <w:rPr>
                <w:noProof/>
                <w:webHidden/>
              </w:rPr>
              <w:t>4</w:t>
            </w:r>
            <w:r w:rsidR="0095297F">
              <w:rPr>
                <w:noProof/>
                <w:webHidden/>
              </w:rPr>
              <w:fldChar w:fldCharType="end"/>
            </w:r>
          </w:hyperlink>
        </w:p>
        <w:p w:rsidR="0095297F" w:rsidRDefault="00614D4E" w14:paraId="5DD14400" w14:textId="1808085C">
          <w:pPr>
            <w:pStyle w:val="TOC2"/>
            <w:tabs>
              <w:tab w:val="right" w:leader="dot" w:pos="9350"/>
            </w:tabs>
            <w:rPr>
              <w:rFonts w:asciiTheme="minorHAnsi" w:hAnsiTheme="minorHAnsi" w:cstheme="minorBidi"/>
              <w:noProof/>
              <w:sz w:val="22"/>
            </w:rPr>
          </w:pPr>
          <w:hyperlink w:history="1" w:anchor="_Toc46478768">
            <w:r w:rsidRPr="007A4FA6" w:rsidR="0095297F">
              <w:rPr>
                <w:rStyle w:val="Hyperlink"/>
                <w:noProof/>
              </w:rPr>
              <w:t>1.2.</w:t>
            </w:r>
            <w:r w:rsidR="0095297F">
              <w:rPr>
                <w:rFonts w:asciiTheme="minorHAnsi" w:hAnsiTheme="minorHAnsi" w:cstheme="minorBidi"/>
                <w:noProof/>
                <w:sz w:val="22"/>
              </w:rPr>
              <w:tab/>
            </w:r>
            <w:r w:rsidRPr="007A4FA6" w:rsidR="0095297F">
              <w:rPr>
                <w:rStyle w:val="Hyperlink"/>
                <w:noProof/>
              </w:rPr>
              <w:t>Utility Background</w:t>
            </w:r>
            <w:r w:rsidR="0095297F">
              <w:rPr>
                <w:noProof/>
                <w:webHidden/>
              </w:rPr>
              <w:tab/>
            </w:r>
            <w:r w:rsidR="0095297F">
              <w:rPr>
                <w:noProof/>
                <w:webHidden/>
              </w:rPr>
              <w:fldChar w:fldCharType="begin"/>
            </w:r>
            <w:r w:rsidR="0095297F">
              <w:rPr>
                <w:noProof/>
                <w:webHidden/>
              </w:rPr>
              <w:instrText xml:space="preserve"> PAGEREF _Toc46478768 \h </w:instrText>
            </w:r>
            <w:r w:rsidR="0095297F">
              <w:rPr>
                <w:noProof/>
                <w:webHidden/>
              </w:rPr>
            </w:r>
            <w:r w:rsidR="0095297F">
              <w:rPr>
                <w:noProof/>
                <w:webHidden/>
              </w:rPr>
              <w:fldChar w:fldCharType="separate"/>
            </w:r>
            <w:r w:rsidR="0095297F">
              <w:rPr>
                <w:noProof/>
                <w:webHidden/>
              </w:rPr>
              <w:t>5</w:t>
            </w:r>
            <w:r w:rsidR="0095297F">
              <w:rPr>
                <w:noProof/>
                <w:webHidden/>
              </w:rPr>
              <w:fldChar w:fldCharType="end"/>
            </w:r>
          </w:hyperlink>
        </w:p>
        <w:p w:rsidR="0095297F" w:rsidRDefault="00614D4E" w14:paraId="402A9E06" w14:textId="651D758A">
          <w:pPr>
            <w:pStyle w:val="TOC2"/>
            <w:tabs>
              <w:tab w:val="right" w:leader="dot" w:pos="9350"/>
            </w:tabs>
            <w:rPr>
              <w:rFonts w:asciiTheme="minorHAnsi" w:hAnsiTheme="minorHAnsi" w:cstheme="minorBidi"/>
              <w:noProof/>
              <w:sz w:val="22"/>
            </w:rPr>
          </w:pPr>
          <w:hyperlink w:history="1" w:anchor="_Toc46478769">
            <w:r w:rsidRPr="007A4FA6" w:rsidR="0095297F">
              <w:rPr>
                <w:rStyle w:val="Hyperlink"/>
                <w:noProof/>
              </w:rPr>
              <w:t>1.3.</w:t>
            </w:r>
            <w:r w:rsidR="0095297F">
              <w:rPr>
                <w:rFonts w:asciiTheme="minorHAnsi" w:hAnsiTheme="minorHAnsi" w:cstheme="minorBidi"/>
                <w:noProof/>
                <w:sz w:val="22"/>
              </w:rPr>
              <w:tab/>
            </w:r>
            <w:r w:rsidRPr="007A4FA6" w:rsidR="0095297F">
              <w:rPr>
                <w:rStyle w:val="Hyperlink"/>
                <w:noProof/>
              </w:rPr>
              <w:t>Public Input</w:t>
            </w:r>
            <w:r w:rsidR="0095297F">
              <w:rPr>
                <w:noProof/>
                <w:webHidden/>
              </w:rPr>
              <w:tab/>
            </w:r>
            <w:r w:rsidR="0095297F">
              <w:rPr>
                <w:noProof/>
                <w:webHidden/>
              </w:rPr>
              <w:fldChar w:fldCharType="begin"/>
            </w:r>
            <w:r w:rsidR="0095297F">
              <w:rPr>
                <w:noProof/>
                <w:webHidden/>
              </w:rPr>
              <w:instrText xml:space="preserve"> PAGEREF _Toc46478769 \h </w:instrText>
            </w:r>
            <w:r w:rsidR="0095297F">
              <w:rPr>
                <w:noProof/>
                <w:webHidden/>
              </w:rPr>
            </w:r>
            <w:r w:rsidR="0095297F">
              <w:rPr>
                <w:noProof/>
                <w:webHidden/>
              </w:rPr>
              <w:fldChar w:fldCharType="separate"/>
            </w:r>
            <w:r w:rsidR="0095297F">
              <w:rPr>
                <w:noProof/>
                <w:webHidden/>
              </w:rPr>
              <w:t>8</w:t>
            </w:r>
            <w:r w:rsidR="0095297F">
              <w:rPr>
                <w:noProof/>
                <w:webHidden/>
              </w:rPr>
              <w:fldChar w:fldCharType="end"/>
            </w:r>
          </w:hyperlink>
        </w:p>
        <w:p w:rsidR="0095297F" w:rsidRDefault="00614D4E" w14:paraId="3DFD26D8" w14:textId="533D1F3E">
          <w:pPr>
            <w:pStyle w:val="TOC1"/>
            <w:tabs>
              <w:tab w:val="right" w:leader="dot" w:pos="9350"/>
            </w:tabs>
            <w:rPr>
              <w:rFonts w:asciiTheme="minorHAnsi" w:hAnsiTheme="minorHAnsi" w:cstheme="minorBidi"/>
              <w:noProof/>
              <w:sz w:val="22"/>
            </w:rPr>
          </w:pPr>
          <w:hyperlink w:history="1" w:anchor="_Toc46478770">
            <w:r w:rsidRPr="007A4FA6" w:rsidR="0095297F">
              <w:rPr>
                <w:rStyle w:val="Hyperlink"/>
                <w:noProof/>
              </w:rPr>
              <w:t>2.</w:t>
            </w:r>
            <w:r w:rsidR="0095297F">
              <w:rPr>
                <w:rFonts w:asciiTheme="minorHAnsi" w:hAnsiTheme="minorHAnsi" w:cstheme="minorBidi"/>
                <w:noProof/>
                <w:sz w:val="22"/>
              </w:rPr>
              <w:tab/>
            </w:r>
            <w:r w:rsidRPr="007A4FA6" w:rsidR="0095297F">
              <w:rPr>
                <w:rStyle w:val="Hyperlink"/>
                <w:noProof/>
              </w:rPr>
              <w:t>Settled and Uncontested Matters</w:t>
            </w:r>
            <w:r w:rsidR="0095297F">
              <w:rPr>
                <w:noProof/>
                <w:webHidden/>
              </w:rPr>
              <w:tab/>
            </w:r>
            <w:r w:rsidR="0095297F">
              <w:rPr>
                <w:noProof/>
                <w:webHidden/>
              </w:rPr>
              <w:fldChar w:fldCharType="begin"/>
            </w:r>
            <w:r w:rsidR="0095297F">
              <w:rPr>
                <w:noProof/>
                <w:webHidden/>
              </w:rPr>
              <w:instrText xml:space="preserve"> PAGEREF _Toc46478770 \h </w:instrText>
            </w:r>
            <w:r w:rsidR="0095297F">
              <w:rPr>
                <w:noProof/>
                <w:webHidden/>
              </w:rPr>
            </w:r>
            <w:r w:rsidR="0095297F">
              <w:rPr>
                <w:noProof/>
                <w:webHidden/>
              </w:rPr>
              <w:fldChar w:fldCharType="separate"/>
            </w:r>
            <w:r w:rsidR="0095297F">
              <w:rPr>
                <w:noProof/>
                <w:webHidden/>
              </w:rPr>
              <w:t>9</w:t>
            </w:r>
            <w:r w:rsidR="0095297F">
              <w:rPr>
                <w:noProof/>
                <w:webHidden/>
              </w:rPr>
              <w:fldChar w:fldCharType="end"/>
            </w:r>
          </w:hyperlink>
        </w:p>
        <w:p w:rsidR="0095297F" w:rsidRDefault="00614D4E" w14:paraId="33C7FE11" w14:textId="03F4C4ED">
          <w:pPr>
            <w:pStyle w:val="TOC1"/>
            <w:tabs>
              <w:tab w:val="right" w:leader="dot" w:pos="9350"/>
            </w:tabs>
            <w:rPr>
              <w:rFonts w:asciiTheme="minorHAnsi" w:hAnsiTheme="minorHAnsi" w:cstheme="minorBidi"/>
              <w:noProof/>
              <w:sz w:val="22"/>
            </w:rPr>
          </w:pPr>
          <w:hyperlink w:history="1" w:anchor="_Toc46478771">
            <w:r w:rsidRPr="007A4FA6" w:rsidR="0095297F">
              <w:rPr>
                <w:rStyle w:val="Hyperlink"/>
                <w:noProof/>
              </w:rPr>
              <w:t>3.</w:t>
            </w:r>
            <w:r w:rsidR="0095297F">
              <w:rPr>
                <w:rFonts w:asciiTheme="minorHAnsi" w:hAnsiTheme="minorHAnsi" w:cstheme="minorBidi"/>
                <w:noProof/>
                <w:sz w:val="22"/>
              </w:rPr>
              <w:tab/>
            </w:r>
            <w:r w:rsidRPr="007A4FA6" w:rsidR="0095297F">
              <w:rPr>
                <w:rStyle w:val="Hyperlink"/>
                <w:noProof/>
              </w:rPr>
              <w:t>Customers, Water Sales, Revenues</w:t>
            </w:r>
            <w:r w:rsidR="0095297F">
              <w:rPr>
                <w:noProof/>
                <w:webHidden/>
              </w:rPr>
              <w:tab/>
            </w:r>
            <w:r w:rsidR="0095297F">
              <w:rPr>
                <w:noProof/>
                <w:webHidden/>
              </w:rPr>
              <w:fldChar w:fldCharType="begin"/>
            </w:r>
            <w:r w:rsidR="0095297F">
              <w:rPr>
                <w:noProof/>
                <w:webHidden/>
              </w:rPr>
              <w:instrText xml:space="preserve"> PAGEREF _Toc46478771 \h </w:instrText>
            </w:r>
            <w:r w:rsidR="0095297F">
              <w:rPr>
                <w:noProof/>
                <w:webHidden/>
              </w:rPr>
            </w:r>
            <w:r w:rsidR="0095297F">
              <w:rPr>
                <w:noProof/>
                <w:webHidden/>
              </w:rPr>
              <w:fldChar w:fldCharType="separate"/>
            </w:r>
            <w:r w:rsidR="0095297F">
              <w:rPr>
                <w:noProof/>
                <w:webHidden/>
              </w:rPr>
              <w:t>11</w:t>
            </w:r>
            <w:r w:rsidR="0095297F">
              <w:rPr>
                <w:noProof/>
                <w:webHidden/>
              </w:rPr>
              <w:fldChar w:fldCharType="end"/>
            </w:r>
          </w:hyperlink>
        </w:p>
        <w:p w:rsidR="0095297F" w:rsidRDefault="00614D4E" w14:paraId="1A6AA499" w14:textId="6FD8FD6C">
          <w:pPr>
            <w:pStyle w:val="TOC2"/>
            <w:tabs>
              <w:tab w:val="right" w:leader="dot" w:pos="9350"/>
            </w:tabs>
            <w:rPr>
              <w:rFonts w:asciiTheme="minorHAnsi" w:hAnsiTheme="minorHAnsi" w:cstheme="minorBidi"/>
              <w:noProof/>
              <w:sz w:val="22"/>
            </w:rPr>
          </w:pPr>
          <w:hyperlink w:history="1" w:anchor="_Toc46478772">
            <w:r w:rsidRPr="007A4FA6" w:rsidR="0095297F">
              <w:rPr>
                <w:rStyle w:val="Hyperlink"/>
                <w:noProof/>
              </w:rPr>
              <w:t>3.1.</w:t>
            </w:r>
            <w:r w:rsidR="0095297F">
              <w:rPr>
                <w:rFonts w:asciiTheme="minorHAnsi" w:hAnsiTheme="minorHAnsi" w:cstheme="minorBidi"/>
                <w:noProof/>
                <w:sz w:val="22"/>
              </w:rPr>
              <w:tab/>
            </w:r>
            <w:r w:rsidRPr="007A4FA6" w:rsidR="0095297F">
              <w:rPr>
                <w:rStyle w:val="Hyperlink"/>
                <w:noProof/>
              </w:rPr>
              <w:t>Balancing and Memorandum Accounts Related to Customers and Sales</w:t>
            </w:r>
            <w:r w:rsidR="0095297F">
              <w:rPr>
                <w:noProof/>
                <w:webHidden/>
              </w:rPr>
              <w:tab/>
            </w:r>
            <w:r w:rsidR="0095297F">
              <w:rPr>
                <w:noProof/>
                <w:webHidden/>
              </w:rPr>
              <w:fldChar w:fldCharType="begin"/>
            </w:r>
            <w:r w:rsidR="0095297F">
              <w:rPr>
                <w:noProof/>
                <w:webHidden/>
              </w:rPr>
              <w:instrText xml:space="preserve"> PAGEREF _Toc46478772 \h </w:instrText>
            </w:r>
            <w:r w:rsidR="0095297F">
              <w:rPr>
                <w:noProof/>
                <w:webHidden/>
              </w:rPr>
            </w:r>
            <w:r w:rsidR="0095297F">
              <w:rPr>
                <w:noProof/>
                <w:webHidden/>
              </w:rPr>
              <w:fldChar w:fldCharType="separate"/>
            </w:r>
            <w:r w:rsidR="0095297F">
              <w:rPr>
                <w:noProof/>
                <w:webHidden/>
              </w:rPr>
              <w:t>12</w:t>
            </w:r>
            <w:r w:rsidR="0095297F">
              <w:rPr>
                <w:noProof/>
                <w:webHidden/>
              </w:rPr>
              <w:fldChar w:fldCharType="end"/>
            </w:r>
          </w:hyperlink>
        </w:p>
        <w:p w:rsidR="0095297F" w:rsidRDefault="00614D4E" w14:paraId="083953EF" w14:textId="24F4F3CE">
          <w:pPr>
            <w:pStyle w:val="TOC3"/>
            <w:tabs>
              <w:tab w:val="left" w:pos="1296"/>
              <w:tab w:val="right" w:leader="dot" w:pos="9350"/>
            </w:tabs>
            <w:rPr>
              <w:rFonts w:asciiTheme="minorHAnsi" w:hAnsiTheme="minorHAnsi" w:cstheme="minorBidi"/>
              <w:noProof/>
              <w:sz w:val="22"/>
            </w:rPr>
          </w:pPr>
          <w:hyperlink w:history="1" w:anchor="_Toc46478773">
            <w:r w:rsidRPr="007A4FA6" w:rsidR="0095297F">
              <w:rPr>
                <w:rStyle w:val="Hyperlink"/>
                <w:noProof/>
              </w:rPr>
              <w:t>3.1.1.</w:t>
            </w:r>
            <w:r w:rsidR="0095297F">
              <w:rPr>
                <w:rFonts w:asciiTheme="minorHAnsi" w:hAnsiTheme="minorHAnsi" w:cstheme="minorBidi"/>
                <w:noProof/>
                <w:sz w:val="22"/>
              </w:rPr>
              <w:tab/>
            </w:r>
            <w:r w:rsidRPr="007A4FA6" w:rsidR="0095297F">
              <w:rPr>
                <w:rStyle w:val="Hyperlink"/>
                <w:noProof/>
              </w:rPr>
              <w:t>Water Revenue Adjustment Mechanism, Modified Cost Balancing Account, and Request for Sales Reconciliation Mechanism</w:t>
            </w:r>
            <w:r w:rsidR="0095297F">
              <w:rPr>
                <w:noProof/>
                <w:webHidden/>
              </w:rPr>
              <w:tab/>
            </w:r>
            <w:r w:rsidR="0095297F">
              <w:rPr>
                <w:noProof/>
                <w:webHidden/>
              </w:rPr>
              <w:fldChar w:fldCharType="begin"/>
            </w:r>
            <w:r w:rsidR="0095297F">
              <w:rPr>
                <w:noProof/>
                <w:webHidden/>
              </w:rPr>
              <w:instrText xml:space="preserve"> PAGEREF _Toc46478773 \h </w:instrText>
            </w:r>
            <w:r w:rsidR="0095297F">
              <w:rPr>
                <w:noProof/>
                <w:webHidden/>
              </w:rPr>
            </w:r>
            <w:r w:rsidR="0095297F">
              <w:rPr>
                <w:noProof/>
                <w:webHidden/>
              </w:rPr>
              <w:fldChar w:fldCharType="separate"/>
            </w:r>
            <w:r w:rsidR="0095297F">
              <w:rPr>
                <w:noProof/>
                <w:webHidden/>
              </w:rPr>
              <w:t>12</w:t>
            </w:r>
            <w:r w:rsidR="0095297F">
              <w:rPr>
                <w:noProof/>
                <w:webHidden/>
              </w:rPr>
              <w:fldChar w:fldCharType="end"/>
            </w:r>
          </w:hyperlink>
        </w:p>
        <w:p w:rsidR="0095297F" w:rsidRDefault="00614D4E" w14:paraId="1A559CD7" w14:textId="129EC062">
          <w:pPr>
            <w:pStyle w:val="TOC3"/>
            <w:tabs>
              <w:tab w:val="left" w:pos="1296"/>
              <w:tab w:val="right" w:leader="dot" w:pos="9350"/>
            </w:tabs>
            <w:rPr>
              <w:rFonts w:asciiTheme="minorHAnsi" w:hAnsiTheme="minorHAnsi" w:cstheme="minorBidi"/>
              <w:noProof/>
              <w:sz w:val="22"/>
            </w:rPr>
          </w:pPr>
          <w:hyperlink w:history="1" w:anchor="_Toc46478774">
            <w:r w:rsidRPr="007A4FA6" w:rsidR="0095297F">
              <w:rPr>
                <w:rStyle w:val="Hyperlink"/>
                <w:noProof/>
              </w:rPr>
              <w:t>3.1.2.</w:t>
            </w:r>
            <w:r w:rsidR="0095297F">
              <w:rPr>
                <w:rFonts w:asciiTheme="minorHAnsi" w:hAnsiTheme="minorHAnsi" w:cstheme="minorBidi"/>
                <w:noProof/>
                <w:sz w:val="22"/>
              </w:rPr>
              <w:tab/>
            </w:r>
            <w:r w:rsidRPr="007A4FA6" w:rsidR="0095297F">
              <w:rPr>
                <w:rStyle w:val="Hyperlink"/>
                <w:noProof/>
              </w:rPr>
              <w:t>California Alternative Rates for Water Balancing Account</w:t>
            </w:r>
            <w:r w:rsidR="0095297F">
              <w:rPr>
                <w:noProof/>
                <w:webHidden/>
              </w:rPr>
              <w:tab/>
            </w:r>
            <w:r w:rsidR="0095297F">
              <w:rPr>
                <w:noProof/>
                <w:webHidden/>
              </w:rPr>
              <w:fldChar w:fldCharType="begin"/>
            </w:r>
            <w:r w:rsidR="0095297F">
              <w:rPr>
                <w:noProof/>
                <w:webHidden/>
              </w:rPr>
              <w:instrText xml:space="preserve"> PAGEREF _Toc46478774 \h </w:instrText>
            </w:r>
            <w:r w:rsidR="0095297F">
              <w:rPr>
                <w:noProof/>
                <w:webHidden/>
              </w:rPr>
            </w:r>
            <w:r w:rsidR="0095297F">
              <w:rPr>
                <w:noProof/>
                <w:webHidden/>
              </w:rPr>
              <w:fldChar w:fldCharType="separate"/>
            </w:r>
            <w:r w:rsidR="0095297F">
              <w:rPr>
                <w:noProof/>
                <w:webHidden/>
              </w:rPr>
              <w:t>17</w:t>
            </w:r>
            <w:r w:rsidR="0095297F">
              <w:rPr>
                <w:noProof/>
                <w:webHidden/>
              </w:rPr>
              <w:fldChar w:fldCharType="end"/>
            </w:r>
          </w:hyperlink>
        </w:p>
        <w:p w:rsidR="0095297F" w:rsidRDefault="00614D4E" w14:paraId="616EB39A" w14:textId="1A3D90FF">
          <w:pPr>
            <w:pStyle w:val="TOC1"/>
            <w:tabs>
              <w:tab w:val="right" w:leader="dot" w:pos="9350"/>
            </w:tabs>
            <w:rPr>
              <w:rFonts w:asciiTheme="minorHAnsi" w:hAnsiTheme="minorHAnsi" w:cstheme="minorBidi"/>
              <w:noProof/>
              <w:sz w:val="22"/>
            </w:rPr>
          </w:pPr>
          <w:hyperlink w:history="1" w:anchor="_Toc46478775">
            <w:r w:rsidRPr="007A4FA6" w:rsidR="0095297F">
              <w:rPr>
                <w:rStyle w:val="Hyperlink"/>
                <w:noProof/>
              </w:rPr>
              <w:t>4.</w:t>
            </w:r>
            <w:r w:rsidR="0095297F">
              <w:rPr>
                <w:rFonts w:asciiTheme="minorHAnsi" w:hAnsiTheme="minorHAnsi" w:cstheme="minorBidi"/>
                <w:noProof/>
                <w:sz w:val="22"/>
              </w:rPr>
              <w:tab/>
            </w:r>
            <w:r w:rsidRPr="007A4FA6" w:rsidR="0095297F">
              <w:rPr>
                <w:rStyle w:val="Hyperlink"/>
                <w:noProof/>
              </w:rPr>
              <w:t>Expenses</w:t>
            </w:r>
            <w:r w:rsidR="0095297F">
              <w:rPr>
                <w:noProof/>
                <w:webHidden/>
              </w:rPr>
              <w:tab/>
            </w:r>
            <w:r w:rsidR="0095297F">
              <w:rPr>
                <w:noProof/>
                <w:webHidden/>
              </w:rPr>
              <w:fldChar w:fldCharType="begin"/>
            </w:r>
            <w:r w:rsidR="0095297F">
              <w:rPr>
                <w:noProof/>
                <w:webHidden/>
              </w:rPr>
              <w:instrText xml:space="preserve"> PAGEREF _Toc46478775 \h </w:instrText>
            </w:r>
            <w:r w:rsidR="0095297F">
              <w:rPr>
                <w:noProof/>
                <w:webHidden/>
              </w:rPr>
            </w:r>
            <w:r w:rsidR="0095297F">
              <w:rPr>
                <w:noProof/>
                <w:webHidden/>
              </w:rPr>
              <w:fldChar w:fldCharType="separate"/>
            </w:r>
            <w:r w:rsidR="0095297F">
              <w:rPr>
                <w:noProof/>
                <w:webHidden/>
              </w:rPr>
              <w:t>19</w:t>
            </w:r>
            <w:r w:rsidR="0095297F">
              <w:rPr>
                <w:noProof/>
                <w:webHidden/>
              </w:rPr>
              <w:fldChar w:fldCharType="end"/>
            </w:r>
          </w:hyperlink>
        </w:p>
        <w:p w:rsidR="0095297F" w:rsidRDefault="00614D4E" w14:paraId="6EED106E" w14:textId="644F3815">
          <w:pPr>
            <w:pStyle w:val="TOC2"/>
            <w:tabs>
              <w:tab w:val="right" w:leader="dot" w:pos="9350"/>
            </w:tabs>
            <w:rPr>
              <w:rFonts w:asciiTheme="minorHAnsi" w:hAnsiTheme="minorHAnsi" w:cstheme="minorBidi"/>
              <w:noProof/>
              <w:sz w:val="22"/>
            </w:rPr>
          </w:pPr>
          <w:hyperlink w:history="1" w:anchor="_Toc46478776">
            <w:r w:rsidRPr="007A4FA6" w:rsidR="0095297F">
              <w:rPr>
                <w:rStyle w:val="Hyperlink"/>
                <w:noProof/>
              </w:rPr>
              <w:t>4.1.</w:t>
            </w:r>
            <w:r w:rsidR="0095297F">
              <w:rPr>
                <w:rFonts w:asciiTheme="minorHAnsi" w:hAnsiTheme="minorHAnsi" w:cstheme="minorBidi"/>
                <w:noProof/>
                <w:sz w:val="22"/>
              </w:rPr>
              <w:tab/>
            </w:r>
            <w:r w:rsidRPr="007A4FA6" w:rsidR="0095297F">
              <w:rPr>
                <w:rStyle w:val="Hyperlink"/>
                <w:noProof/>
              </w:rPr>
              <w:t>Operations and Maintenance Expenses</w:t>
            </w:r>
            <w:r w:rsidR="0095297F">
              <w:rPr>
                <w:noProof/>
                <w:webHidden/>
              </w:rPr>
              <w:tab/>
            </w:r>
            <w:r w:rsidR="0095297F">
              <w:rPr>
                <w:noProof/>
                <w:webHidden/>
              </w:rPr>
              <w:fldChar w:fldCharType="begin"/>
            </w:r>
            <w:r w:rsidR="0095297F">
              <w:rPr>
                <w:noProof/>
                <w:webHidden/>
              </w:rPr>
              <w:instrText xml:space="preserve"> PAGEREF _Toc46478776 \h </w:instrText>
            </w:r>
            <w:r w:rsidR="0095297F">
              <w:rPr>
                <w:noProof/>
                <w:webHidden/>
              </w:rPr>
            </w:r>
            <w:r w:rsidR="0095297F">
              <w:rPr>
                <w:noProof/>
                <w:webHidden/>
              </w:rPr>
              <w:fldChar w:fldCharType="separate"/>
            </w:r>
            <w:r w:rsidR="0095297F">
              <w:rPr>
                <w:noProof/>
                <w:webHidden/>
              </w:rPr>
              <w:t>19</w:t>
            </w:r>
            <w:r w:rsidR="0095297F">
              <w:rPr>
                <w:noProof/>
                <w:webHidden/>
              </w:rPr>
              <w:fldChar w:fldCharType="end"/>
            </w:r>
          </w:hyperlink>
        </w:p>
        <w:p w:rsidR="0095297F" w:rsidRDefault="00614D4E" w14:paraId="179C44F9" w14:textId="0C32F471">
          <w:pPr>
            <w:pStyle w:val="TOC3"/>
            <w:tabs>
              <w:tab w:val="left" w:pos="1296"/>
              <w:tab w:val="right" w:leader="dot" w:pos="9350"/>
            </w:tabs>
            <w:rPr>
              <w:rFonts w:asciiTheme="minorHAnsi" w:hAnsiTheme="minorHAnsi" w:cstheme="minorBidi"/>
              <w:noProof/>
              <w:sz w:val="22"/>
            </w:rPr>
          </w:pPr>
          <w:hyperlink w:history="1" w:anchor="_Toc46478777">
            <w:r w:rsidRPr="007A4FA6" w:rsidR="0095297F">
              <w:rPr>
                <w:rStyle w:val="Hyperlink"/>
                <w:noProof/>
              </w:rPr>
              <w:t>4.1.1.</w:t>
            </w:r>
            <w:r w:rsidR="0095297F">
              <w:rPr>
                <w:rFonts w:asciiTheme="minorHAnsi" w:hAnsiTheme="minorHAnsi" w:cstheme="minorBidi"/>
                <w:noProof/>
                <w:sz w:val="22"/>
              </w:rPr>
              <w:tab/>
            </w:r>
            <w:r w:rsidRPr="007A4FA6" w:rsidR="0095297F">
              <w:rPr>
                <w:rStyle w:val="Hyperlink"/>
                <w:noProof/>
              </w:rPr>
              <w:t>Liberty Park, Conservation</w:t>
            </w:r>
            <w:r w:rsidR="0095297F">
              <w:rPr>
                <w:noProof/>
                <w:webHidden/>
              </w:rPr>
              <w:tab/>
            </w:r>
            <w:r w:rsidR="0095297F">
              <w:rPr>
                <w:noProof/>
                <w:webHidden/>
              </w:rPr>
              <w:fldChar w:fldCharType="begin"/>
            </w:r>
            <w:r w:rsidR="0095297F">
              <w:rPr>
                <w:noProof/>
                <w:webHidden/>
              </w:rPr>
              <w:instrText xml:space="preserve"> PAGEREF _Toc46478777 \h </w:instrText>
            </w:r>
            <w:r w:rsidR="0095297F">
              <w:rPr>
                <w:noProof/>
                <w:webHidden/>
              </w:rPr>
            </w:r>
            <w:r w:rsidR="0095297F">
              <w:rPr>
                <w:noProof/>
                <w:webHidden/>
              </w:rPr>
              <w:fldChar w:fldCharType="separate"/>
            </w:r>
            <w:r w:rsidR="0095297F">
              <w:rPr>
                <w:noProof/>
                <w:webHidden/>
              </w:rPr>
              <w:t>19</w:t>
            </w:r>
            <w:r w:rsidR="0095297F">
              <w:rPr>
                <w:noProof/>
                <w:webHidden/>
              </w:rPr>
              <w:fldChar w:fldCharType="end"/>
            </w:r>
          </w:hyperlink>
        </w:p>
        <w:p w:rsidR="0095297F" w:rsidRDefault="00614D4E" w14:paraId="610EC56B" w14:textId="43429E97">
          <w:pPr>
            <w:pStyle w:val="TOC3"/>
            <w:tabs>
              <w:tab w:val="left" w:pos="1296"/>
              <w:tab w:val="right" w:leader="dot" w:pos="9350"/>
            </w:tabs>
            <w:rPr>
              <w:rFonts w:asciiTheme="minorHAnsi" w:hAnsiTheme="minorHAnsi" w:cstheme="minorBidi"/>
              <w:noProof/>
              <w:sz w:val="22"/>
            </w:rPr>
          </w:pPr>
          <w:hyperlink w:history="1" w:anchor="_Toc46478778">
            <w:r w:rsidRPr="007A4FA6" w:rsidR="0095297F">
              <w:rPr>
                <w:rStyle w:val="Hyperlink"/>
                <w:noProof/>
              </w:rPr>
              <w:t>4.1.2.</w:t>
            </w:r>
            <w:r w:rsidR="0095297F">
              <w:rPr>
                <w:rFonts w:asciiTheme="minorHAnsi" w:hAnsiTheme="minorHAnsi" w:cstheme="minorBidi"/>
                <w:noProof/>
                <w:sz w:val="22"/>
              </w:rPr>
              <w:tab/>
            </w:r>
            <w:r w:rsidRPr="007A4FA6" w:rsidR="0095297F">
              <w:rPr>
                <w:rStyle w:val="Hyperlink"/>
                <w:noProof/>
              </w:rPr>
              <w:t>Liberty Park, Miscellaneous Drought</w:t>
            </w:r>
            <w:r w:rsidR="0095297F">
              <w:rPr>
                <w:noProof/>
                <w:webHidden/>
              </w:rPr>
              <w:tab/>
            </w:r>
            <w:r w:rsidR="0095297F">
              <w:rPr>
                <w:noProof/>
                <w:webHidden/>
              </w:rPr>
              <w:fldChar w:fldCharType="begin"/>
            </w:r>
            <w:r w:rsidR="0095297F">
              <w:rPr>
                <w:noProof/>
                <w:webHidden/>
              </w:rPr>
              <w:instrText xml:space="preserve"> PAGEREF _Toc46478778 \h </w:instrText>
            </w:r>
            <w:r w:rsidR="0095297F">
              <w:rPr>
                <w:noProof/>
                <w:webHidden/>
              </w:rPr>
            </w:r>
            <w:r w:rsidR="0095297F">
              <w:rPr>
                <w:noProof/>
                <w:webHidden/>
              </w:rPr>
              <w:fldChar w:fldCharType="separate"/>
            </w:r>
            <w:r w:rsidR="0095297F">
              <w:rPr>
                <w:noProof/>
                <w:webHidden/>
              </w:rPr>
              <w:t>20</w:t>
            </w:r>
            <w:r w:rsidR="0095297F">
              <w:rPr>
                <w:noProof/>
                <w:webHidden/>
              </w:rPr>
              <w:fldChar w:fldCharType="end"/>
            </w:r>
          </w:hyperlink>
        </w:p>
        <w:p w:rsidR="0095297F" w:rsidRDefault="00614D4E" w14:paraId="0EB88639" w14:textId="53DF9B31">
          <w:pPr>
            <w:pStyle w:val="TOC3"/>
            <w:tabs>
              <w:tab w:val="left" w:pos="1296"/>
              <w:tab w:val="right" w:leader="dot" w:pos="9350"/>
            </w:tabs>
            <w:rPr>
              <w:rFonts w:asciiTheme="minorHAnsi" w:hAnsiTheme="minorHAnsi" w:cstheme="minorBidi"/>
              <w:noProof/>
              <w:sz w:val="22"/>
            </w:rPr>
          </w:pPr>
          <w:hyperlink w:history="1" w:anchor="_Toc46478779">
            <w:r w:rsidRPr="007A4FA6" w:rsidR="0095297F">
              <w:rPr>
                <w:rStyle w:val="Hyperlink"/>
                <w:noProof/>
              </w:rPr>
              <w:t>4.1.3.</w:t>
            </w:r>
            <w:r w:rsidR="0095297F">
              <w:rPr>
                <w:rFonts w:asciiTheme="minorHAnsi" w:hAnsiTheme="minorHAnsi" w:cstheme="minorBidi"/>
                <w:noProof/>
                <w:sz w:val="22"/>
              </w:rPr>
              <w:tab/>
            </w:r>
            <w:r w:rsidRPr="007A4FA6" w:rsidR="0095297F">
              <w:rPr>
                <w:rStyle w:val="Hyperlink"/>
                <w:noProof/>
              </w:rPr>
              <w:t>Liberty Apple Valley and Liberty Park, Insurance (Uninsured Property Damage + Business Policy + Umbrella)</w:t>
            </w:r>
            <w:r w:rsidR="0095297F">
              <w:rPr>
                <w:noProof/>
                <w:webHidden/>
              </w:rPr>
              <w:tab/>
            </w:r>
            <w:r w:rsidR="0095297F">
              <w:rPr>
                <w:noProof/>
                <w:webHidden/>
              </w:rPr>
              <w:fldChar w:fldCharType="begin"/>
            </w:r>
            <w:r w:rsidR="0095297F">
              <w:rPr>
                <w:noProof/>
                <w:webHidden/>
              </w:rPr>
              <w:instrText xml:space="preserve"> PAGEREF _Toc46478779 \h </w:instrText>
            </w:r>
            <w:r w:rsidR="0095297F">
              <w:rPr>
                <w:noProof/>
                <w:webHidden/>
              </w:rPr>
            </w:r>
            <w:r w:rsidR="0095297F">
              <w:rPr>
                <w:noProof/>
                <w:webHidden/>
              </w:rPr>
              <w:fldChar w:fldCharType="separate"/>
            </w:r>
            <w:r w:rsidR="0095297F">
              <w:rPr>
                <w:noProof/>
                <w:webHidden/>
              </w:rPr>
              <w:t>21</w:t>
            </w:r>
            <w:r w:rsidR="0095297F">
              <w:rPr>
                <w:noProof/>
                <w:webHidden/>
              </w:rPr>
              <w:fldChar w:fldCharType="end"/>
            </w:r>
          </w:hyperlink>
        </w:p>
        <w:p w:rsidR="0095297F" w:rsidRDefault="00614D4E" w14:paraId="5801DED8" w14:textId="6B4F6D40">
          <w:pPr>
            <w:pStyle w:val="TOC3"/>
            <w:tabs>
              <w:tab w:val="left" w:pos="1296"/>
              <w:tab w:val="right" w:leader="dot" w:pos="9350"/>
            </w:tabs>
            <w:rPr>
              <w:rFonts w:asciiTheme="minorHAnsi" w:hAnsiTheme="minorHAnsi" w:cstheme="minorBidi"/>
              <w:noProof/>
              <w:sz w:val="22"/>
            </w:rPr>
          </w:pPr>
          <w:hyperlink w:history="1" w:anchor="_Toc46478780">
            <w:r w:rsidRPr="007A4FA6" w:rsidR="0095297F">
              <w:rPr>
                <w:rStyle w:val="Hyperlink"/>
                <w:noProof/>
              </w:rPr>
              <w:t>4.1.4.</w:t>
            </w:r>
            <w:r w:rsidR="0095297F">
              <w:rPr>
                <w:rFonts w:asciiTheme="minorHAnsi" w:hAnsiTheme="minorHAnsi" w:cstheme="minorBidi"/>
                <w:noProof/>
                <w:sz w:val="22"/>
              </w:rPr>
              <w:tab/>
            </w:r>
            <w:r w:rsidRPr="007A4FA6" w:rsidR="0095297F">
              <w:rPr>
                <w:rStyle w:val="Hyperlink"/>
                <w:noProof/>
              </w:rPr>
              <w:t>Liberty Apple Valley, Temporary Labor</w:t>
            </w:r>
            <w:r w:rsidR="0095297F">
              <w:rPr>
                <w:noProof/>
                <w:webHidden/>
              </w:rPr>
              <w:tab/>
            </w:r>
            <w:r w:rsidR="0095297F">
              <w:rPr>
                <w:noProof/>
                <w:webHidden/>
              </w:rPr>
              <w:fldChar w:fldCharType="begin"/>
            </w:r>
            <w:r w:rsidR="0095297F">
              <w:rPr>
                <w:noProof/>
                <w:webHidden/>
              </w:rPr>
              <w:instrText xml:space="preserve"> PAGEREF _Toc46478780 \h </w:instrText>
            </w:r>
            <w:r w:rsidR="0095297F">
              <w:rPr>
                <w:noProof/>
                <w:webHidden/>
              </w:rPr>
            </w:r>
            <w:r w:rsidR="0095297F">
              <w:rPr>
                <w:noProof/>
                <w:webHidden/>
              </w:rPr>
              <w:fldChar w:fldCharType="separate"/>
            </w:r>
            <w:r w:rsidR="0095297F">
              <w:rPr>
                <w:noProof/>
                <w:webHidden/>
              </w:rPr>
              <w:t>23</w:t>
            </w:r>
            <w:r w:rsidR="0095297F">
              <w:rPr>
                <w:noProof/>
                <w:webHidden/>
              </w:rPr>
              <w:fldChar w:fldCharType="end"/>
            </w:r>
          </w:hyperlink>
        </w:p>
        <w:p w:rsidR="0095297F" w:rsidRDefault="00614D4E" w14:paraId="5ACEEFC4" w14:textId="5304F6C9">
          <w:pPr>
            <w:pStyle w:val="TOC2"/>
            <w:tabs>
              <w:tab w:val="right" w:leader="dot" w:pos="9350"/>
            </w:tabs>
            <w:rPr>
              <w:rFonts w:asciiTheme="minorHAnsi" w:hAnsiTheme="minorHAnsi" w:cstheme="minorBidi"/>
              <w:noProof/>
              <w:sz w:val="22"/>
            </w:rPr>
          </w:pPr>
          <w:hyperlink w:history="1" w:anchor="_Toc46478781">
            <w:r w:rsidRPr="007A4FA6" w:rsidR="0095297F">
              <w:rPr>
                <w:rStyle w:val="Hyperlink"/>
                <w:noProof/>
              </w:rPr>
              <w:t>4.2.</w:t>
            </w:r>
            <w:r w:rsidR="0095297F">
              <w:rPr>
                <w:rFonts w:asciiTheme="minorHAnsi" w:hAnsiTheme="minorHAnsi" w:cstheme="minorBidi"/>
                <w:noProof/>
                <w:sz w:val="22"/>
              </w:rPr>
              <w:tab/>
            </w:r>
            <w:r w:rsidRPr="007A4FA6" w:rsidR="0095297F">
              <w:rPr>
                <w:rStyle w:val="Hyperlink"/>
                <w:noProof/>
              </w:rPr>
              <w:t>Administrative and General Expenses</w:t>
            </w:r>
            <w:r w:rsidR="0095297F">
              <w:rPr>
                <w:noProof/>
                <w:webHidden/>
              </w:rPr>
              <w:tab/>
            </w:r>
            <w:r w:rsidR="0095297F">
              <w:rPr>
                <w:noProof/>
                <w:webHidden/>
              </w:rPr>
              <w:fldChar w:fldCharType="begin"/>
            </w:r>
            <w:r w:rsidR="0095297F">
              <w:rPr>
                <w:noProof/>
                <w:webHidden/>
              </w:rPr>
              <w:instrText xml:space="preserve"> PAGEREF _Toc46478781 \h </w:instrText>
            </w:r>
            <w:r w:rsidR="0095297F">
              <w:rPr>
                <w:noProof/>
                <w:webHidden/>
              </w:rPr>
            </w:r>
            <w:r w:rsidR="0095297F">
              <w:rPr>
                <w:noProof/>
                <w:webHidden/>
              </w:rPr>
              <w:fldChar w:fldCharType="separate"/>
            </w:r>
            <w:r w:rsidR="0095297F">
              <w:rPr>
                <w:noProof/>
                <w:webHidden/>
              </w:rPr>
              <w:t>23</w:t>
            </w:r>
            <w:r w:rsidR="0095297F">
              <w:rPr>
                <w:noProof/>
                <w:webHidden/>
              </w:rPr>
              <w:fldChar w:fldCharType="end"/>
            </w:r>
          </w:hyperlink>
        </w:p>
        <w:p w:rsidR="0095297F" w:rsidRDefault="00614D4E" w14:paraId="4FD1103D" w14:textId="669FD1CD">
          <w:pPr>
            <w:pStyle w:val="TOC3"/>
            <w:tabs>
              <w:tab w:val="left" w:pos="1296"/>
              <w:tab w:val="right" w:leader="dot" w:pos="9350"/>
            </w:tabs>
            <w:rPr>
              <w:rFonts w:asciiTheme="minorHAnsi" w:hAnsiTheme="minorHAnsi" w:cstheme="minorBidi"/>
              <w:noProof/>
              <w:sz w:val="22"/>
            </w:rPr>
          </w:pPr>
          <w:hyperlink w:history="1" w:anchor="_Toc46478782">
            <w:r w:rsidRPr="007A4FA6" w:rsidR="0095297F">
              <w:rPr>
                <w:rStyle w:val="Hyperlink"/>
                <w:noProof/>
              </w:rPr>
              <w:t>4.2.1.</w:t>
            </w:r>
            <w:r w:rsidR="0095297F">
              <w:rPr>
                <w:rFonts w:asciiTheme="minorHAnsi" w:hAnsiTheme="minorHAnsi" w:cstheme="minorBidi"/>
                <w:noProof/>
                <w:sz w:val="22"/>
              </w:rPr>
              <w:tab/>
            </w:r>
            <w:r w:rsidRPr="007A4FA6" w:rsidR="0095297F">
              <w:rPr>
                <w:rStyle w:val="Hyperlink"/>
                <w:noProof/>
              </w:rPr>
              <w:t>The Connection Between Higher Overhead and Operational Savings</w:t>
            </w:r>
            <w:r w:rsidR="0095297F">
              <w:rPr>
                <w:noProof/>
                <w:webHidden/>
              </w:rPr>
              <w:tab/>
            </w:r>
            <w:r w:rsidR="0095297F">
              <w:rPr>
                <w:noProof/>
                <w:webHidden/>
              </w:rPr>
              <w:fldChar w:fldCharType="begin"/>
            </w:r>
            <w:r w:rsidR="0095297F">
              <w:rPr>
                <w:noProof/>
                <w:webHidden/>
              </w:rPr>
              <w:instrText xml:space="preserve"> PAGEREF _Toc46478782 \h </w:instrText>
            </w:r>
            <w:r w:rsidR="0095297F">
              <w:rPr>
                <w:noProof/>
                <w:webHidden/>
              </w:rPr>
            </w:r>
            <w:r w:rsidR="0095297F">
              <w:rPr>
                <w:noProof/>
                <w:webHidden/>
              </w:rPr>
              <w:fldChar w:fldCharType="separate"/>
            </w:r>
            <w:r w:rsidR="0095297F">
              <w:rPr>
                <w:noProof/>
                <w:webHidden/>
              </w:rPr>
              <w:t>26</w:t>
            </w:r>
            <w:r w:rsidR="0095297F">
              <w:rPr>
                <w:noProof/>
                <w:webHidden/>
              </w:rPr>
              <w:fldChar w:fldCharType="end"/>
            </w:r>
          </w:hyperlink>
        </w:p>
        <w:p w:rsidR="0095297F" w:rsidRDefault="00614D4E" w14:paraId="2268CC6E" w14:textId="352DD6CA">
          <w:pPr>
            <w:pStyle w:val="TOC3"/>
            <w:tabs>
              <w:tab w:val="left" w:pos="1296"/>
              <w:tab w:val="right" w:leader="dot" w:pos="9350"/>
            </w:tabs>
            <w:rPr>
              <w:rFonts w:asciiTheme="minorHAnsi" w:hAnsiTheme="minorHAnsi" w:cstheme="minorBidi"/>
              <w:noProof/>
              <w:sz w:val="22"/>
            </w:rPr>
          </w:pPr>
          <w:hyperlink w:history="1" w:anchor="_Toc46478783">
            <w:r w:rsidRPr="007A4FA6" w:rsidR="0095297F">
              <w:rPr>
                <w:rStyle w:val="Hyperlink"/>
                <w:noProof/>
              </w:rPr>
              <w:t>4.2.2.</w:t>
            </w:r>
            <w:r w:rsidR="0095297F">
              <w:rPr>
                <w:rFonts w:asciiTheme="minorHAnsi" w:hAnsiTheme="minorHAnsi" w:cstheme="minorBidi"/>
                <w:noProof/>
                <w:sz w:val="22"/>
              </w:rPr>
              <w:tab/>
            </w:r>
            <w:r w:rsidRPr="007A4FA6" w:rsidR="0095297F">
              <w:rPr>
                <w:rStyle w:val="Hyperlink"/>
                <w:noProof/>
              </w:rPr>
              <w:t>Allocated Costs from Algonquin, LUC  and LUSC to the General Office/Downey</w:t>
            </w:r>
            <w:r w:rsidR="0095297F">
              <w:rPr>
                <w:noProof/>
                <w:webHidden/>
              </w:rPr>
              <w:tab/>
            </w:r>
            <w:r w:rsidR="0095297F">
              <w:rPr>
                <w:noProof/>
                <w:webHidden/>
              </w:rPr>
              <w:fldChar w:fldCharType="begin"/>
            </w:r>
            <w:r w:rsidR="0095297F">
              <w:rPr>
                <w:noProof/>
                <w:webHidden/>
              </w:rPr>
              <w:instrText xml:space="preserve"> PAGEREF _Toc46478783 \h </w:instrText>
            </w:r>
            <w:r w:rsidR="0095297F">
              <w:rPr>
                <w:noProof/>
                <w:webHidden/>
              </w:rPr>
            </w:r>
            <w:r w:rsidR="0095297F">
              <w:rPr>
                <w:noProof/>
                <w:webHidden/>
              </w:rPr>
              <w:fldChar w:fldCharType="separate"/>
            </w:r>
            <w:r w:rsidR="0095297F">
              <w:rPr>
                <w:noProof/>
                <w:webHidden/>
              </w:rPr>
              <w:t>29</w:t>
            </w:r>
            <w:r w:rsidR="0095297F">
              <w:rPr>
                <w:noProof/>
                <w:webHidden/>
              </w:rPr>
              <w:fldChar w:fldCharType="end"/>
            </w:r>
          </w:hyperlink>
        </w:p>
        <w:p w:rsidR="0095297F" w:rsidRDefault="00614D4E" w14:paraId="29774A64" w14:textId="7E55A4E1">
          <w:pPr>
            <w:pStyle w:val="TOC3"/>
            <w:tabs>
              <w:tab w:val="left" w:pos="1296"/>
              <w:tab w:val="right" w:leader="dot" w:pos="9350"/>
            </w:tabs>
            <w:rPr>
              <w:rFonts w:asciiTheme="minorHAnsi" w:hAnsiTheme="minorHAnsi" w:cstheme="minorBidi"/>
              <w:noProof/>
              <w:sz w:val="22"/>
            </w:rPr>
          </w:pPr>
          <w:hyperlink w:history="1" w:anchor="_Toc46478784">
            <w:r w:rsidRPr="007A4FA6" w:rsidR="0095297F">
              <w:rPr>
                <w:rStyle w:val="Hyperlink"/>
                <w:noProof/>
              </w:rPr>
              <w:t>4.2.3.</w:t>
            </w:r>
            <w:r w:rsidR="0095297F">
              <w:rPr>
                <w:rFonts w:asciiTheme="minorHAnsi" w:hAnsiTheme="minorHAnsi" w:cstheme="minorBidi"/>
                <w:noProof/>
                <w:sz w:val="22"/>
              </w:rPr>
              <w:tab/>
            </w:r>
            <w:r w:rsidRPr="007A4FA6" w:rsidR="0095297F">
              <w:rPr>
                <w:rStyle w:val="Hyperlink"/>
                <w:noProof/>
              </w:rPr>
              <w:t>Direct Costs from Algonquin, LUC and LUSC to the General Office</w:t>
            </w:r>
            <w:r w:rsidR="0095297F">
              <w:rPr>
                <w:noProof/>
                <w:webHidden/>
              </w:rPr>
              <w:tab/>
            </w:r>
            <w:r w:rsidR="0095297F">
              <w:rPr>
                <w:noProof/>
                <w:webHidden/>
              </w:rPr>
              <w:fldChar w:fldCharType="begin"/>
            </w:r>
            <w:r w:rsidR="0095297F">
              <w:rPr>
                <w:noProof/>
                <w:webHidden/>
              </w:rPr>
              <w:instrText xml:space="preserve"> PAGEREF _Toc46478784 \h </w:instrText>
            </w:r>
            <w:r w:rsidR="0095297F">
              <w:rPr>
                <w:noProof/>
                <w:webHidden/>
              </w:rPr>
            </w:r>
            <w:r w:rsidR="0095297F">
              <w:rPr>
                <w:noProof/>
                <w:webHidden/>
              </w:rPr>
              <w:fldChar w:fldCharType="separate"/>
            </w:r>
            <w:r w:rsidR="0095297F">
              <w:rPr>
                <w:noProof/>
                <w:webHidden/>
              </w:rPr>
              <w:t>35</w:t>
            </w:r>
            <w:r w:rsidR="0095297F">
              <w:rPr>
                <w:noProof/>
                <w:webHidden/>
              </w:rPr>
              <w:fldChar w:fldCharType="end"/>
            </w:r>
          </w:hyperlink>
        </w:p>
        <w:p w:rsidR="0095297F" w:rsidRDefault="00614D4E" w14:paraId="606D9B2B" w14:textId="5808273C">
          <w:pPr>
            <w:pStyle w:val="TOC3"/>
            <w:tabs>
              <w:tab w:val="left" w:pos="1296"/>
              <w:tab w:val="right" w:leader="dot" w:pos="9350"/>
            </w:tabs>
            <w:rPr>
              <w:rFonts w:asciiTheme="minorHAnsi" w:hAnsiTheme="minorHAnsi" w:cstheme="minorBidi"/>
              <w:noProof/>
              <w:sz w:val="22"/>
            </w:rPr>
          </w:pPr>
          <w:hyperlink w:history="1" w:anchor="_Toc46478785">
            <w:r w:rsidRPr="007A4FA6" w:rsidR="0095297F">
              <w:rPr>
                <w:rStyle w:val="Hyperlink"/>
                <w:noProof/>
              </w:rPr>
              <w:t>4.2.4.</w:t>
            </w:r>
            <w:r w:rsidR="0095297F">
              <w:rPr>
                <w:rFonts w:asciiTheme="minorHAnsi" w:hAnsiTheme="minorHAnsi" w:cstheme="minorBidi"/>
                <w:noProof/>
                <w:sz w:val="22"/>
              </w:rPr>
              <w:tab/>
            </w:r>
            <w:r w:rsidRPr="007A4FA6" w:rsidR="0095297F">
              <w:rPr>
                <w:rStyle w:val="Hyperlink"/>
                <w:noProof/>
              </w:rPr>
              <w:t>New General Office Position Requests</w:t>
            </w:r>
            <w:r w:rsidR="0095297F">
              <w:rPr>
                <w:noProof/>
                <w:webHidden/>
              </w:rPr>
              <w:tab/>
            </w:r>
            <w:r w:rsidR="0095297F">
              <w:rPr>
                <w:noProof/>
                <w:webHidden/>
              </w:rPr>
              <w:fldChar w:fldCharType="begin"/>
            </w:r>
            <w:r w:rsidR="0095297F">
              <w:rPr>
                <w:noProof/>
                <w:webHidden/>
              </w:rPr>
              <w:instrText xml:space="preserve"> PAGEREF _Toc46478785 \h </w:instrText>
            </w:r>
            <w:r w:rsidR="0095297F">
              <w:rPr>
                <w:noProof/>
                <w:webHidden/>
              </w:rPr>
            </w:r>
            <w:r w:rsidR="0095297F">
              <w:rPr>
                <w:noProof/>
                <w:webHidden/>
              </w:rPr>
              <w:fldChar w:fldCharType="separate"/>
            </w:r>
            <w:r w:rsidR="0095297F">
              <w:rPr>
                <w:noProof/>
                <w:webHidden/>
              </w:rPr>
              <w:t>35</w:t>
            </w:r>
            <w:r w:rsidR="0095297F">
              <w:rPr>
                <w:noProof/>
                <w:webHidden/>
              </w:rPr>
              <w:fldChar w:fldCharType="end"/>
            </w:r>
          </w:hyperlink>
        </w:p>
        <w:p w:rsidR="0095297F" w:rsidRDefault="00614D4E" w14:paraId="67E6AD57" w14:textId="13E08186">
          <w:pPr>
            <w:pStyle w:val="TOC3"/>
            <w:tabs>
              <w:tab w:val="left" w:pos="1296"/>
              <w:tab w:val="right" w:leader="dot" w:pos="9350"/>
            </w:tabs>
            <w:rPr>
              <w:rFonts w:asciiTheme="minorHAnsi" w:hAnsiTheme="minorHAnsi" w:cstheme="minorBidi"/>
              <w:noProof/>
              <w:sz w:val="22"/>
            </w:rPr>
          </w:pPr>
          <w:hyperlink w:history="1" w:anchor="_Toc46478786">
            <w:r w:rsidRPr="007A4FA6" w:rsidR="0095297F">
              <w:rPr>
                <w:rStyle w:val="Hyperlink"/>
                <w:noProof/>
              </w:rPr>
              <w:t>4.2.5.</w:t>
            </w:r>
            <w:r w:rsidR="0095297F">
              <w:rPr>
                <w:rFonts w:asciiTheme="minorHAnsi" w:hAnsiTheme="minorHAnsi" w:cstheme="minorBidi"/>
                <w:noProof/>
                <w:sz w:val="22"/>
              </w:rPr>
              <w:tab/>
            </w:r>
            <w:r w:rsidRPr="007A4FA6" w:rsidR="0095297F">
              <w:rPr>
                <w:rStyle w:val="Hyperlink"/>
                <w:noProof/>
              </w:rPr>
              <w:t>Vacancy Savings</w:t>
            </w:r>
            <w:r w:rsidR="0095297F">
              <w:rPr>
                <w:noProof/>
                <w:webHidden/>
              </w:rPr>
              <w:tab/>
            </w:r>
            <w:r w:rsidR="0095297F">
              <w:rPr>
                <w:noProof/>
                <w:webHidden/>
              </w:rPr>
              <w:fldChar w:fldCharType="begin"/>
            </w:r>
            <w:r w:rsidR="0095297F">
              <w:rPr>
                <w:noProof/>
                <w:webHidden/>
              </w:rPr>
              <w:instrText xml:space="preserve"> PAGEREF _Toc46478786 \h </w:instrText>
            </w:r>
            <w:r w:rsidR="0095297F">
              <w:rPr>
                <w:noProof/>
                <w:webHidden/>
              </w:rPr>
            </w:r>
            <w:r w:rsidR="0095297F">
              <w:rPr>
                <w:noProof/>
                <w:webHidden/>
              </w:rPr>
              <w:fldChar w:fldCharType="separate"/>
            </w:r>
            <w:r w:rsidR="0095297F">
              <w:rPr>
                <w:noProof/>
                <w:webHidden/>
              </w:rPr>
              <w:t>37</w:t>
            </w:r>
            <w:r w:rsidR="0095297F">
              <w:rPr>
                <w:noProof/>
                <w:webHidden/>
              </w:rPr>
              <w:fldChar w:fldCharType="end"/>
            </w:r>
          </w:hyperlink>
        </w:p>
        <w:p w:rsidR="0095297F" w:rsidRDefault="00614D4E" w14:paraId="1794D1F4" w14:textId="2C88D038">
          <w:pPr>
            <w:pStyle w:val="TOC3"/>
            <w:tabs>
              <w:tab w:val="left" w:pos="1296"/>
              <w:tab w:val="right" w:leader="dot" w:pos="9350"/>
            </w:tabs>
            <w:rPr>
              <w:rFonts w:asciiTheme="minorHAnsi" w:hAnsiTheme="minorHAnsi" w:cstheme="minorBidi"/>
              <w:noProof/>
              <w:sz w:val="22"/>
            </w:rPr>
          </w:pPr>
          <w:hyperlink w:history="1" w:anchor="_Toc46478787">
            <w:r w:rsidRPr="007A4FA6" w:rsidR="0095297F">
              <w:rPr>
                <w:rStyle w:val="Hyperlink"/>
                <w:noProof/>
              </w:rPr>
              <w:t>4.2.6.</w:t>
            </w:r>
            <w:r w:rsidR="0095297F">
              <w:rPr>
                <w:rFonts w:asciiTheme="minorHAnsi" w:hAnsiTheme="minorHAnsi" w:cstheme="minorBidi"/>
                <w:noProof/>
                <w:sz w:val="22"/>
              </w:rPr>
              <w:tab/>
            </w:r>
            <w:r w:rsidRPr="007A4FA6" w:rsidR="0095297F">
              <w:rPr>
                <w:rStyle w:val="Hyperlink"/>
                <w:noProof/>
              </w:rPr>
              <w:t>Employee Bonus/Incentives</w:t>
            </w:r>
            <w:r w:rsidR="0095297F">
              <w:rPr>
                <w:noProof/>
                <w:webHidden/>
              </w:rPr>
              <w:tab/>
            </w:r>
            <w:r w:rsidR="0095297F">
              <w:rPr>
                <w:noProof/>
                <w:webHidden/>
              </w:rPr>
              <w:fldChar w:fldCharType="begin"/>
            </w:r>
            <w:r w:rsidR="0095297F">
              <w:rPr>
                <w:noProof/>
                <w:webHidden/>
              </w:rPr>
              <w:instrText xml:space="preserve"> PAGEREF _Toc46478787 \h </w:instrText>
            </w:r>
            <w:r w:rsidR="0095297F">
              <w:rPr>
                <w:noProof/>
                <w:webHidden/>
              </w:rPr>
            </w:r>
            <w:r w:rsidR="0095297F">
              <w:rPr>
                <w:noProof/>
                <w:webHidden/>
              </w:rPr>
              <w:fldChar w:fldCharType="separate"/>
            </w:r>
            <w:r w:rsidR="0095297F">
              <w:rPr>
                <w:noProof/>
                <w:webHidden/>
              </w:rPr>
              <w:t>38</w:t>
            </w:r>
            <w:r w:rsidR="0095297F">
              <w:rPr>
                <w:noProof/>
                <w:webHidden/>
              </w:rPr>
              <w:fldChar w:fldCharType="end"/>
            </w:r>
          </w:hyperlink>
        </w:p>
        <w:p w:rsidR="0095297F" w:rsidRDefault="00614D4E" w14:paraId="43472DF8" w14:textId="19D328E1">
          <w:pPr>
            <w:pStyle w:val="TOC3"/>
            <w:tabs>
              <w:tab w:val="left" w:pos="1296"/>
              <w:tab w:val="right" w:leader="dot" w:pos="9350"/>
            </w:tabs>
            <w:rPr>
              <w:rFonts w:asciiTheme="minorHAnsi" w:hAnsiTheme="minorHAnsi" w:cstheme="minorBidi"/>
              <w:noProof/>
              <w:sz w:val="22"/>
            </w:rPr>
          </w:pPr>
          <w:hyperlink w:history="1" w:anchor="_Toc46478788">
            <w:r w:rsidRPr="007A4FA6" w:rsidR="0095297F">
              <w:rPr>
                <w:rStyle w:val="Hyperlink"/>
                <w:noProof/>
              </w:rPr>
              <w:t>4.2.7.</w:t>
            </w:r>
            <w:r w:rsidR="0095297F">
              <w:rPr>
                <w:rFonts w:asciiTheme="minorHAnsi" w:hAnsiTheme="minorHAnsi" w:cstheme="minorBidi"/>
                <w:noProof/>
                <w:sz w:val="22"/>
              </w:rPr>
              <w:tab/>
            </w:r>
            <w:r w:rsidRPr="007A4FA6" w:rsidR="0095297F">
              <w:rPr>
                <w:rStyle w:val="Hyperlink"/>
                <w:noProof/>
              </w:rPr>
              <w:t>Medical, Dental, Vision and Worker’s Compensation Insurance</w:t>
            </w:r>
            <w:r w:rsidR="0095297F">
              <w:rPr>
                <w:noProof/>
                <w:webHidden/>
              </w:rPr>
              <w:tab/>
            </w:r>
            <w:r w:rsidR="0095297F">
              <w:rPr>
                <w:noProof/>
                <w:webHidden/>
              </w:rPr>
              <w:fldChar w:fldCharType="begin"/>
            </w:r>
            <w:r w:rsidR="0095297F">
              <w:rPr>
                <w:noProof/>
                <w:webHidden/>
              </w:rPr>
              <w:instrText xml:space="preserve"> PAGEREF _Toc46478788 \h </w:instrText>
            </w:r>
            <w:r w:rsidR="0095297F">
              <w:rPr>
                <w:noProof/>
                <w:webHidden/>
              </w:rPr>
            </w:r>
            <w:r w:rsidR="0095297F">
              <w:rPr>
                <w:noProof/>
                <w:webHidden/>
              </w:rPr>
              <w:fldChar w:fldCharType="separate"/>
            </w:r>
            <w:r w:rsidR="0095297F">
              <w:rPr>
                <w:noProof/>
                <w:webHidden/>
              </w:rPr>
              <w:t>39</w:t>
            </w:r>
            <w:r w:rsidR="0095297F">
              <w:rPr>
                <w:noProof/>
                <w:webHidden/>
              </w:rPr>
              <w:fldChar w:fldCharType="end"/>
            </w:r>
          </w:hyperlink>
        </w:p>
        <w:p w:rsidR="0095297F" w:rsidRDefault="00614D4E" w14:paraId="1CBB6301" w14:textId="4079A71A">
          <w:pPr>
            <w:pStyle w:val="TOC3"/>
            <w:tabs>
              <w:tab w:val="left" w:pos="1296"/>
              <w:tab w:val="right" w:leader="dot" w:pos="9350"/>
            </w:tabs>
            <w:rPr>
              <w:rFonts w:asciiTheme="minorHAnsi" w:hAnsiTheme="minorHAnsi" w:cstheme="minorBidi"/>
              <w:noProof/>
              <w:sz w:val="22"/>
            </w:rPr>
          </w:pPr>
          <w:hyperlink w:history="1" w:anchor="_Toc46478789">
            <w:r w:rsidRPr="007A4FA6" w:rsidR="0095297F">
              <w:rPr>
                <w:rStyle w:val="Hyperlink"/>
                <w:noProof/>
              </w:rPr>
              <w:t>4.2.8.</w:t>
            </w:r>
            <w:r w:rsidR="0095297F">
              <w:rPr>
                <w:rFonts w:asciiTheme="minorHAnsi" w:hAnsiTheme="minorHAnsi" w:cstheme="minorBidi"/>
                <w:noProof/>
                <w:sz w:val="22"/>
              </w:rPr>
              <w:tab/>
            </w:r>
            <w:r w:rsidRPr="007A4FA6" w:rsidR="0095297F">
              <w:rPr>
                <w:rStyle w:val="Hyperlink"/>
                <w:noProof/>
              </w:rPr>
              <w:t>Liberty Apple Valley, Group Pension</w:t>
            </w:r>
            <w:r w:rsidR="0095297F">
              <w:rPr>
                <w:noProof/>
                <w:webHidden/>
              </w:rPr>
              <w:tab/>
            </w:r>
            <w:r w:rsidR="0095297F">
              <w:rPr>
                <w:noProof/>
                <w:webHidden/>
              </w:rPr>
              <w:fldChar w:fldCharType="begin"/>
            </w:r>
            <w:r w:rsidR="0095297F">
              <w:rPr>
                <w:noProof/>
                <w:webHidden/>
              </w:rPr>
              <w:instrText xml:space="preserve"> PAGEREF _Toc46478789 \h </w:instrText>
            </w:r>
            <w:r w:rsidR="0095297F">
              <w:rPr>
                <w:noProof/>
                <w:webHidden/>
              </w:rPr>
            </w:r>
            <w:r w:rsidR="0095297F">
              <w:rPr>
                <w:noProof/>
                <w:webHidden/>
              </w:rPr>
              <w:fldChar w:fldCharType="separate"/>
            </w:r>
            <w:r w:rsidR="0095297F">
              <w:rPr>
                <w:noProof/>
                <w:webHidden/>
              </w:rPr>
              <w:t>40</w:t>
            </w:r>
            <w:r w:rsidR="0095297F">
              <w:rPr>
                <w:noProof/>
                <w:webHidden/>
              </w:rPr>
              <w:fldChar w:fldCharType="end"/>
            </w:r>
          </w:hyperlink>
        </w:p>
        <w:p w:rsidR="0095297F" w:rsidRDefault="00614D4E" w14:paraId="5BD1E405" w14:textId="21428746">
          <w:pPr>
            <w:pStyle w:val="TOC2"/>
            <w:tabs>
              <w:tab w:val="right" w:leader="dot" w:pos="9350"/>
            </w:tabs>
            <w:rPr>
              <w:rFonts w:asciiTheme="minorHAnsi" w:hAnsiTheme="minorHAnsi" w:cstheme="minorBidi"/>
              <w:noProof/>
              <w:sz w:val="22"/>
            </w:rPr>
          </w:pPr>
          <w:hyperlink w:history="1" w:anchor="_Toc46478790">
            <w:r w:rsidRPr="007A4FA6" w:rsidR="0095297F">
              <w:rPr>
                <w:rStyle w:val="Hyperlink"/>
                <w:noProof/>
              </w:rPr>
              <w:t>4.3.</w:t>
            </w:r>
            <w:r w:rsidR="0095297F">
              <w:rPr>
                <w:rFonts w:asciiTheme="minorHAnsi" w:hAnsiTheme="minorHAnsi" w:cstheme="minorBidi"/>
                <w:noProof/>
                <w:sz w:val="22"/>
              </w:rPr>
              <w:tab/>
            </w:r>
            <w:r w:rsidRPr="007A4FA6" w:rsidR="0095297F">
              <w:rPr>
                <w:rStyle w:val="Hyperlink"/>
                <w:noProof/>
              </w:rPr>
              <w:t>Balancing and Memorandum Accounts Related to Expenses</w:t>
            </w:r>
            <w:r w:rsidR="0095297F">
              <w:rPr>
                <w:noProof/>
                <w:webHidden/>
              </w:rPr>
              <w:tab/>
            </w:r>
            <w:r w:rsidR="0095297F">
              <w:rPr>
                <w:noProof/>
                <w:webHidden/>
              </w:rPr>
              <w:fldChar w:fldCharType="begin"/>
            </w:r>
            <w:r w:rsidR="0095297F">
              <w:rPr>
                <w:noProof/>
                <w:webHidden/>
              </w:rPr>
              <w:instrText xml:space="preserve"> PAGEREF _Toc46478790 \h </w:instrText>
            </w:r>
            <w:r w:rsidR="0095297F">
              <w:rPr>
                <w:noProof/>
                <w:webHidden/>
              </w:rPr>
            </w:r>
            <w:r w:rsidR="0095297F">
              <w:rPr>
                <w:noProof/>
                <w:webHidden/>
              </w:rPr>
              <w:fldChar w:fldCharType="separate"/>
            </w:r>
            <w:r w:rsidR="0095297F">
              <w:rPr>
                <w:noProof/>
                <w:webHidden/>
              </w:rPr>
              <w:t>40</w:t>
            </w:r>
            <w:r w:rsidR="0095297F">
              <w:rPr>
                <w:noProof/>
                <w:webHidden/>
              </w:rPr>
              <w:fldChar w:fldCharType="end"/>
            </w:r>
          </w:hyperlink>
        </w:p>
        <w:p w:rsidR="0095297F" w:rsidRDefault="00614D4E" w14:paraId="1E2578AC" w14:textId="0F465B01">
          <w:pPr>
            <w:pStyle w:val="TOC3"/>
            <w:tabs>
              <w:tab w:val="left" w:pos="1296"/>
              <w:tab w:val="right" w:leader="dot" w:pos="9350"/>
            </w:tabs>
            <w:rPr>
              <w:rFonts w:asciiTheme="minorHAnsi" w:hAnsiTheme="minorHAnsi" w:cstheme="minorBidi"/>
              <w:noProof/>
              <w:sz w:val="22"/>
            </w:rPr>
          </w:pPr>
          <w:hyperlink w:history="1" w:anchor="_Toc46478791">
            <w:r w:rsidRPr="007A4FA6" w:rsidR="0095297F">
              <w:rPr>
                <w:rStyle w:val="Hyperlink"/>
                <w:noProof/>
              </w:rPr>
              <w:t>4.3.1.</w:t>
            </w:r>
            <w:r w:rsidR="0095297F">
              <w:rPr>
                <w:rFonts w:asciiTheme="minorHAnsi" w:hAnsiTheme="minorHAnsi" w:cstheme="minorBidi"/>
                <w:noProof/>
                <w:sz w:val="22"/>
              </w:rPr>
              <w:tab/>
            </w:r>
            <w:r w:rsidRPr="007A4FA6" w:rsidR="0095297F">
              <w:rPr>
                <w:rStyle w:val="Hyperlink"/>
                <w:noProof/>
              </w:rPr>
              <w:t>Conservation Expense One-Way Balancing Account</w:t>
            </w:r>
            <w:r w:rsidR="0095297F">
              <w:rPr>
                <w:noProof/>
                <w:webHidden/>
              </w:rPr>
              <w:tab/>
            </w:r>
            <w:r w:rsidR="0095297F">
              <w:rPr>
                <w:noProof/>
                <w:webHidden/>
              </w:rPr>
              <w:fldChar w:fldCharType="begin"/>
            </w:r>
            <w:r w:rsidR="0095297F">
              <w:rPr>
                <w:noProof/>
                <w:webHidden/>
              </w:rPr>
              <w:instrText xml:space="preserve"> PAGEREF _Toc46478791 \h </w:instrText>
            </w:r>
            <w:r w:rsidR="0095297F">
              <w:rPr>
                <w:noProof/>
                <w:webHidden/>
              </w:rPr>
            </w:r>
            <w:r w:rsidR="0095297F">
              <w:rPr>
                <w:noProof/>
                <w:webHidden/>
              </w:rPr>
              <w:fldChar w:fldCharType="separate"/>
            </w:r>
            <w:r w:rsidR="0095297F">
              <w:rPr>
                <w:noProof/>
                <w:webHidden/>
              </w:rPr>
              <w:t>40</w:t>
            </w:r>
            <w:r w:rsidR="0095297F">
              <w:rPr>
                <w:noProof/>
                <w:webHidden/>
              </w:rPr>
              <w:fldChar w:fldCharType="end"/>
            </w:r>
          </w:hyperlink>
        </w:p>
        <w:p w:rsidR="0095297F" w:rsidRDefault="00614D4E" w14:paraId="1E9324B2" w14:textId="55DC4C6E">
          <w:pPr>
            <w:pStyle w:val="TOC3"/>
            <w:tabs>
              <w:tab w:val="left" w:pos="1296"/>
              <w:tab w:val="right" w:leader="dot" w:pos="9350"/>
            </w:tabs>
            <w:rPr>
              <w:rFonts w:asciiTheme="minorHAnsi" w:hAnsiTheme="minorHAnsi" w:cstheme="minorBidi"/>
              <w:noProof/>
              <w:sz w:val="22"/>
            </w:rPr>
          </w:pPr>
          <w:hyperlink w:history="1" w:anchor="_Toc46478792">
            <w:r w:rsidRPr="007A4FA6" w:rsidR="0095297F">
              <w:rPr>
                <w:rStyle w:val="Hyperlink"/>
                <w:noProof/>
              </w:rPr>
              <w:t>4.3.2.</w:t>
            </w:r>
            <w:r w:rsidR="0095297F">
              <w:rPr>
                <w:rFonts w:asciiTheme="minorHAnsi" w:hAnsiTheme="minorHAnsi" w:cstheme="minorBidi"/>
                <w:noProof/>
                <w:sz w:val="22"/>
              </w:rPr>
              <w:tab/>
            </w:r>
            <w:r w:rsidRPr="007A4FA6" w:rsidR="0095297F">
              <w:rPr>
                <w:rStyle w:val="Hyperlink"/>
                <w:noProof/>
              </w:rPr>
              <w:t>2014 Water Conservation Memorandum Account</w:t>
            </w:r>
            <w:r w:rsidR="0095297F">
              <w:rPr>
                <w:noProof/>
                <w:webHidden/>
              </w:rPr>
              <w:tab/>
            </w:r>
            <w:r w:rsidR="0095297F">
              <w:rPr>
                <w:noProof/>
                <w:webHidden/>
              </w:rPr>
              <w:fldChar w:fldCharType="begin"/>
            </w:r>
            <w:r w:rsidR="0095297F">
              <w:rPr>
                <w:noProof/>
                <w:webHidden/>
              </w:rPr>
              <w:instrText xml:space="preserve"> PAGEREF _Toc46478792 \h </w:instrText>
            </w:r>
            <w:r w:rsidR="0095297F">
              <w:rPr>
                <w:noProof/>
                <w:webHidden/>
              </w:rPr>
            </w:r>
            <w:r w:rsidR="0095297F">
              <w:rPr>
                <w:noProof/>
                <w:webHidden/>
              </w:rPr>
              <w:fldChar w:fldCharType="separate"/>
            </w:r>
            <w:r w:rsidR="0095297F">
              <w:rPr>
                <w:noProof/>
                <w:webHidden/>
              </w:rPr>
              <w:t>42</w:t>
            </w:r>
            <w:r w:rsidR="0095297F">
              <w:rPr>
                <w:noProof/>
                <w:webHidden/>
              </w:rPr>
              <w:fldChar w:fldCharType="end"/>
            </w:r>
          </w:hyperlink>
        </w:p>
        <w:p w:rsidR="0095297F" w:rsidRDefault="00614D4E" w14:paraId="0DF37BB6" w14:textId="08FBB611">
          <w:pPr>
            <w:pStyle w:val="TOC3"/>
            <w:tabs>
              <w:tab w:val="left" w:pos="1296"/>
              <w:tab w:val="right" w:leader="dot" w:pos="9350"/>
            </w:tabs>
            <w:rPr>
              <w:rFonts w:asciiTheme="minorHAnsi" w:hAnsiTheme="minorHAnsi" w:cstheme="minorBidi"/>
              <w:noProof/>
              <w:sz w:val="22"/>
            </w:rPr>
          </w:pPr>
          <w:hyperlink w:history="1" w:anchor="_Toc46478793">
            <w:r w:rsidRPr="007A4FA6" w:rsidR="0095297F">
              <w:rPr>
                <w:rStyle w:val="Hyperlink"/>
                <w:noProof/>
              </w:rPr>
              <w:t>4.3.3.</w:t>
            </w:r>
            <w:r w:rsidR="0095297F">
              <w:rPr>
                <w:rFonts w:asciiTheme="minorHAnsi" w:hAnsiTheme="minorHAnsi" w:cstheme="minorBidi"/>
                <w:noProof/>
                <w:sz w:val="22"/>
              </w:rPr>
              <w:tab/>
            </w:r>
            <w:r w:rsidRPr="007A4FA6" w:rsidR="0095297F">
              <w:rPr>
                <w:rStyle w:val="Hyperlink"/>
                <w:noProof/>
              </w:rPr>
              <w:t>Heath Care Balancing Accounts</w:t>
            </w:r>
            <w:r w:rsidR="0095297F">
              <w:rPr>
                <w:noProof/>
                <w:webHidden/>
              </w:rPr>
              <w:tab/>
            </w:r>
            <w:r w:rsidR="0095297F">
              <w:rPr>
                <w:noProof/>
                <w:webHidden/>
              </w:rPr>
              <w:fldChar w:fldCharType="begin"/>
            </w:r>
            <w:r w:rsidR="0095297F">
              <w:rPr>
                <w:noProof/>
                <w:webHidden/>
              </w:rPr>
              <w:instrText xml:space="preserve"> PAGEREF _Toc46478793 \h </w:instrText>
            </w:r>
            <w:r w:rsidR="0095297F">
              <w:rPr>
                <w:noProof/>
                <w:webHidden/>
              </w:rPr>
            </w:r>
            <w:r w:rsidR="0095297F">
              <w:rPr>
                <w:noProof/>
                <w:webHidden/>
              </w:rPr>
              <w:fldChar w:fldCharType="separate"/>
            </w:r>
            <w:r w:rsidR="0095297F">
              <w:rPr>
                <w:noProof/>
                <w:webHidden/>
              </w:rPr>
              <w:t>42</w:t>
            </w:r>
            <w:r w:rsidR="0095297F">
              <w:rPr>
                <w:noProof/>
                <w:webHidden/>
              </w:rPr>
              <w:fldChar w:fldCharType="end"/>
            </w:r>
          </w:hyperlink>
        </w:p>
        <w:p w:rsidR="0095297F" w:rsidRDefault="00614D4E" w14:paraId="50DDADB0" w14:textId="48D3FC47">
          <w:pPr>
            <w:pStyle w:val="TOC1"/>
            <w:tabs>
              <w:tab w:val="right" w:leader="dot" w:pos="9350"/>
            </w:tabs>
            <w:rPr>
              <w:rFonts w:asciiTheme="minorHAnsi" w:hAnsiTheme="minorHAnsi" w:cstheme="minorBidi"/>
              <w:noProof/>
              <w:sz w:val="22"/>
            </w:rPr>
          </w:pPr>
          <w:hyperlink w:history="1" w:anchor="_Toc46478794">
            <w:r w:rsidRPr="007A4FA6" w:rsidR="0095297F">
              <w:rPr>
                <w:rStyle w:val="Hyperlink"/>
                <w:noProof/>
              </w:rPr>
              <w:t>5.</w:t>
            </w:r>
            <w:r w:rsidR="0095297F">
              <w:rPr>
                <w:rFonts w:asciiTheme="minorHAnsi" w:hAnsiTheme="minorHAnsi" w:cstheme="minorBidi"/>
                <w:noProof/>
                <w:sz w:val="22"/>
              </w:rPr>
              <w:tab/>
            </w:r>
            <w:r w:rsidRPr="007A4FA6" w:rsidR="0095297F">
              <w:rPr>
                <w:rStyle w:val="Hyperlink"/>
                <w:noProof/>
              </w:rPr>
              <w:t>Rate Base</w:t>
            </w:r>
            <w:r w:rsidR="0095297F">
              <w:rPr>
                <w:noProof/>
                <w:webHidden/>
              </w:rPr>
              <w:tab/>
            </w:r>
            <w:r w:rsidR="0095297F">
              <w:rPr>
                <w:noProof/>
                <w:webHidden/>
              </w:rPr>
              <w:fldChar w:fldCharType="begin"/>
            </w:r>
            <w:r w:rsidR="0095297F">
              <w:rPr>
                <w:noProof/>
                <w:webHidden/>
              </w:rPr>
              <w:instrText xml:space="preserve"> PAGEREF _Toc46478794 \h </w:instrText>
            </w:r>
            <w:r w:rsidR="0095297F">
              <w:rPr>
                <w:noProof/>
                <w:webHidden/>
              </w:rPr>
            </w:r>
            <w:r w:rsidR="0095297F">
              <w:rPr>
                <w:noProof/>
                <w:webHidden/>
              </w:rPr>
              <w:fldChar w:fldCharType="separate"/>
            </w:r>
            <w:r w:rsidR="0095297F">
              <w:rPr>
                <w:noProof/>
                <w:webHidden/>
              </w:rPr>
              <w:t>43</w:t>
            </w:r>
            <w:r w:rsidR="0095297F">
              <w:rPr>
                <w:noProof/>
                <w:webHidden/>
              </w:rPr>
              <w:fldChar w:fldCharType="end"/>
            </w:r>
          </w:hyperlink>
        </w:p>
        <w:p w:rsidR="0095297F" w:rsidRDefault="00614D4E" w14:paraId="635D1818" w14:textId="747DD652">
          <w:pPr>
            <w:pStyle w:val="TOC2"/>
            <w:tabs>
              <w:tab w:val="right" w:leader="dot" w:pos="9350"/>
            </w:tabs>
            <w:rPr>
              <w:rFonts w:asciiTheme="minorHAnsi" w:hAnsiTheme="minorHAnsi" w:cstheme="minorBidi"/>
              <w:noProof/>
              <w:sz w:val="22"/>
            </w:rPr>
          </w:pPr>
          <w:hyperlink w:history="1" w:anchor="_Toc46478795">
            <w:r w:rsidRPr="007A4FA6" w:rsidR="0095297F">
              <w:rPr>
                <w:rStyle w:val="Hyperlink"/>
                <w:noProof/>
              </w:rPr>
              <w:t>5.1.</w:t>
            </w:r>
            <w:r w:rsidR="0095297F">
              <w:rPr>
                <w:rFonts w:asciiTheme="minorHAnsi" w:hAnsiTheme="minorHAnsi" w:cstheme="minorBidi"/>
                <w:noProof/>
                <w:sz w:val="22"/>
              </w:rPr>
              <w:tab/>
            </w:r>
            <w:r w:rsidRPr="007A4FA6" w:rsidR="0095297F">
              <w:rPr>
                <w:rStyle w:val="Hyperlink"/>
                <w:noProof/>
              </w:rPr>
              <w:t>Advanced Metering Infrastructure (AMI) and Advanced Meter Reading (AMR)</w:t>
            </w:r>
            <w:r w:rsidR="0095297F">
              <w:rPr>
                <w:noProof/>
                <w:webHidden/>
              </w:rPr>
              <w:tab/>
            </w:r>
            <w:r w:rsidR="0095297F">
              <w:rPr>
                <w:noProof/>
                <w:webHidden/>
              </w:rPr>
              <w:fldChar w:fldCharType="begin"/>
            </w:r>
            <w:r w:rsidR="0095297F">
              <w:rPr>
                <w:noProof/>
                <w:webHidden/>
              </w:rPr>
              <w:instrText xml:space="preserve"> PAGEREF _Toc46478795 \h </w:instrText>
            </w:r>
            <w:r w:rsidR="0095297F">
              <w:rPr>
                <w:noProof/>
                <w:webHidden/>
              </w:rPr>
            </w:r>
            <w:r w:rsidR="0095297F">
              <w:rPr>
                <w:noProof/>
                <w:webHidden/>
              </w:rPr>
              <w:fldChar w:fldCharType="separate"/>
            </w:r>
            <w:r w:rsidR="0095297F">
              <w:rPr>
                <w:noProof/>
                <w:webHidden/>
              </w:rPr>
              <w:t>44</w:t>
            </w:r>
            <w:r w:rsidR="0095297F">
              <w:rPr>
                <w:noProof/>
                <w:webHidden/>
              </w:rPr>
              <w:fldChar w:fldCharType="end"/>
            </w:r>
          </w:hyperlink>
        </w:p>
        <w:p w:rsidR="0095297F" w:rsidRDefault="00614D4E" w14:paraId="057244C9" w14:textId="7649F58E">
          <w:pPr>
            <w:pStyle w:val="TOC3"/>
            <w:tabs>
              <w:tab w:val="left" w:pos="1296"/>
              <w:tab w:val="right" w:leader="dot" w:pos="9350"/>
            </w:tabs>
            <w:rPr>
              <w:rFonts w:asciiTheme="minorHAnsi" w:hAnsiTheme="minorHAnsi" w:cstheme="minorBidi"/>
              <w:noProof/>
              <w:sz w:val="22"/>
            </w:rPr>
          </w:pPr>
          <w:hyperlink w:history="1" w:anchor="_Toc46478796">
            <w:r w:rsidRPr="007A4FA6" w:rsidR="0095297F">
              <w:rPr>
                <w:rStyle w:val="Hyperlink"/>
                <w:noProof/>
              </w:rPr>
              <w:t>5.1.1.</w:t>
            </w:r>
            <w:r w:rsidR="0095297F">
              <w:rPr>
                <w:rFonts w:asciiTheme="minorHAnsi" w:hAnsiTheme="minorHAnsi" w:cstheme="minorBidi"/>
                <w:noProof/>
                <w:sz w:val="22"/>
              </w:rPr>
              <w:tab/>
            </w:r>
            <w:r w:rsidRPr="007A4FA6" w:rsidR="0095297F">
              <w:rPr>
                <w:rStyle w:val="Hyperlink"/>
                <w:noProof/>
              </w:rPr>
              <w:t>AMR Maintenance and Repair</w:t>
            </w:r>
            <w:r w:rsidR="0095297F">
              <w:rPr>
                <w:noProof/>
                <w:webHidden/>
              </w:rPr>
              <w:tab/>
            </w:r>
            <w:r w:rsidR="0095297F">
              <w:rPr>
                <w:noProof/>
                <w:webHidden/>
              </w:rPr>
              <w:fldChar w:fldCharType="begin"/>
            </w:r>
            <w:r w:rsidR="0095297F">
              <w:rPr>
                <w:noProof/>
                <w:webHidden/>
              </w:rPr>
              <w:instrText xml:space="preserve"> PAGEREF _Toc46478796 \h </w:instrText>
            </w:r>
            <w:r w:rsidR="0095297F">
              <w:rPr>
                <w:noProof/>
                <w:webHidden/>
              </w:rPr>
            </w:r>
            <w:r w:rsidR="0095297F">
              <w:rPr>
                <w:noProof/>
                <w:webHidden/>
              </w:rPr>
              <w:fldChar w:fldCharType="separate"/>
            </w:r>
            <w:r w:rsidR="0095297F">
              <w:rPr>
                <w:noProof/>
                <w:webHidden/>
              </w:rPr>
              <w:t>48</w:t>
            </w:r>
            <w:r w:rsidR="0095297F">
              <w:rPr>
                <w:noProof/>
                <w:webHidden/>
              </w:rPr>
              <w:fldChar w:fldCharType="end"/>
            </w:r>
          </w:hyperlink>
        </w:p>
        <w:p w:rsidR="0095297F" w:rsidRDefault="00614D4E" w14:paraId="0BC5945C" w14:textId="5401EAE1">
          <w:pPr>
            <w:pStyle w:val="TOC2"/>
            <w:tabs>
              <w:tab w:val="right" w:leader="dot" w:pos="9350"/>
            </w:tabs>
            <w:rPr>
              <w:rFonts w:asciiTheme="minorHAnsi" w:hAnsiTheme="minorHAnsi" w:cstheme="minorBidi"/>
              <w:noProof/>
              <w:sz w:val="22"/>
            </w:rPr>
          </w:pPr>
          <w:hyperlink w:history="1" w:anchor="_Toc46478797">
            <w:r w:rsidRPr="007A4FA6" w:rsidR="0095297F">
              <w:rPr>
                <w:rStyle w:val="Hyperlink"/>
                <w:noProof/>
              </w:rPr>
              <w:t>5.2.</w:t>
            </w:r>
            <w:r w:rsidR="0095297F">
              <w:rPr>
                <w:rFonts w:asciiTheme="minorHAnsi" w:hAnsiTheme="minorHAnsi" w:cstheme="minorBidi"/>
                <w:noProof/>
                <w:sz w:val="22"/>
              </w:rPr>
              <w:tab/>
            </w:r>
            <w:r w:rsidRPr="007A4FA6" w:rsidR="0095297F">
              <w:rPr>
                <w:rStyle w:val="Hyperlink"/>
                <w:noProof/>
              </w:rPr>
              <w:t>Liberty Park New Plant Additions</w:t>
            </w:r>
            <w:r w:rsidR="0095297F">
              <w:rPr>
                <w:noProof/>
                <w:webHidden/>
              </w:rPr>
              <w:tab/>
            </w:r>
            <w:r w:rsidR="0095297F">
              <w:rPr>
                <w:noProof/>
                <w:webHidden/>
              </w:rPr>
              <w:fldChar w:fldCharType="begin"/>
            </w:r>
            <w:r w:rsidR="0095297F">
              <w:rPr>
                <w:noProof/>
                <w:webHidden/>
              </w:rPr>
              <w:instrText xml:space="preserve"> PAGEREF _Toc46478797 \h </w:instrText>
            </w:r>
            <w:r w:rsidR="0095297F">
              <w:rPr>
                <w:noProof/>
                <w:webHidden/>
              </w:rPr>
            </w:r>
            <w:r w:rsidR="0095297F">
              <w:rPr>
                <w:noProof/>
                <w:webHidden/>
              </w:rPr>
              <w:fldChar w:fldCharType="separate"/>
            </w:r>
            <w:r w:rsidR="0095297F">
              <w:rPr>
                <w:noProof/>
                <w:webHidden/>
              </w:rPr>
              <w:t>52</w:t>
            </w:r>
            <w:r w:rsidR="0095297F">
              <w:rPr>
                <w:noProof/>
                <w:webHidden/>
              </w:rPr>
              <w:fldChar w:fldCharType="end"/>
            </w:r>
          </w:hyperlink>
        </w:p>
        <w:p w:rsidR="0095297F" w:rsidRDefault="00614D4E" w14:paraId="35D94FE2" w14:textId="488FF191">
          <w:pPr>
            <w:pStyle w:val="TOC3"/>
            <w:tabs>
              <w:tab w:val="left" w:pos="1296"/>
              <w:tab w:val="right" w:leader="dot" w:pos="9350"/>
            </w:tabs>
            <w:rPr>
              <w:rFonts w:asciiTheme="minorHAnsi" w:hAnsiTheme="minorHAnsi" w:cstheme="minorBidi"/>
              <w:noProof/>
              <w:sz w:val="22"/>
            </w:rPr>
          </w:pPr>
          <w:hyperlink w:history="1" w:anchor="_Toc46478798">
            <w:r w:rsidRPr="007A4FA6" w:rsidR="0095297F">
              <w:rPr>
                <w:rStyle w:val="Hyperlink"/>
                <w:noProof/>
              </w:rPr>
              <w:t>5.2.1.</w:t>
            </w:r>
            <w:r w:rsidR="0095297F">
              <w:rPr>
                <w:rFonts w:asciiTheme="minorHAnsi" w:hAnsiTheme="minorHAnsi" w:cstheme="minorBidi"/>
                <w:noProof/>
                <w:sz w:val="22"/>
              </w:rPr>
              <w:tab/>
            </w:r>
            <w:r w:rsidRPr="007A4FA6" w:rsidR="0095297F">
              <w:rPr>
                <w:rStyle w:val="Hyperlink"/>
                <w:noProof/>
              </w:rPr>
              <w:t>Liberty Park Main Replacements</w:t>
            </w:r>
            <w:r w:rsidR="0095297F">
              <w:rPr>
                <w:noProof/>
                <w:webHidden/>
              </w:rPr>
              <w:tab/>
            </w:r>
            <w:r w:rsidR="0095297F">
              <w:rPr>
                <w:noProof/>
                <w:webHidden/>
              </w:rPr>
              <w:fldChar w:fldCharType="begin"/>
            </w:r>
            <w:r w:rsidR="0095297F">
              <w:rPr>
                <w:noProof/>
                <w:webHidden/>
              </w:rPr>
              <w:instrText xml:space="preserve"> PAGEREF _Toc46478798 \h </w:instrText>
            </w:r>
            <w:r w:rsidR="0095297F">
              <w:rPr>
                <w:noProof/>
                <w:webHidden/>
              </w:rPr>
            </w:r>
            <w:r w:rsidR="0095297F">
              <w:rPr>
                <w:noProof/>
                <w:webHidden/>
              </w:rPr>
              <w:fldChar w:fldCharType="separate"/>
            </w:r>
            <w:r w:rsidR="0095297F">
              <w:rPr>
                <w:noProof/>
                <w:webHidden/>
              </w:rPr>
              <w:t>52</w:t>
            </w:r>
            <w:r w:rsidR="0095297F">
              <w:rPr>
                <w:noProof/>
                <w:webHidden/>
              </w:rPr>
              <w:fldChar w:fldCharType="end"/>
            </w:r>
          </w:hyperlink>
        </w:p>
        <w:p w:rsidR="0095297F" w:rsidRDefault="00614D4E" w14:paraId="6CDA6F5C" w14:textId="1DEE1002">
          <w:pPr>
            <w:pStyle w:val="TOC3"/>
            <w:tabs>
              <w:tab w:val="left" w:pos="1296"/>
              <w:tab w:val="right" w:leader="dot" w:pos="9350"/>
            </w:tabs>
            <w:rPr>
              <w:rFonts w:asciiTheme="minorHAnsi" w:hAnsiTheme="minorHAnsi" w:cstheme="minorBidi"/>
              <w:noProof/>
              <w:sz w:val="22"/>
            </w:rPr>
          </w:pPr>
          <w:hyperlink w:history="1" w:anchor="_Toc46478799">
            <w:r w:rsidRPr="007A4FA6" w:rsidR="0095297F">
              <w:rPr>
                <w:rStyle w:val="Hyperlink"/>
                <w:noProof/>
              </w:rPr>
              <w:t>5.2.2.</w:t>
            </w:r>
            <w:r w:rsidR="0095297F">
              <w:rPr>
                <w:rFonts w:asciiTheme="minorHAnsi" w:hAnsiTheme="minorHAnsi" w:cstheme="minorBidi"/>
                <w:noProof/>
                <w:sz w:val="22"/>
              </w:rPr>
              <w:tab/>
            </w:r>
            <w:r w:rsidRPr="007A4FA6" w:rsidR="0095297F">
              <w:rPr>
                <w:rStyle w:val="Hyperlink"/>
                <w:noProof/>
              </w:rPr>
              <w:t>Liberty Park Valve Replacements</w:t>
            </w:r>
            <w:r w:rsidR="0095297F">
              <w:rPr>
                <w:noProof/>
                <w:webHidden/>
              </w:rPr>
              <w:tab/>
            </w:r>
            <w:r w:rsidR="0095297F">
              <w:rPr>
                <w:noProof/>
                <w:webHidden/>
              </w:rPr>
              <w:fldChar w:fldCharType="begin"/>
            </w:r>
            <w:r w:rsidR="0095297F">
              <w:rPr>
                <w:noProof/>
                <w:webHidden/>
              </w:rPr>
              <w:instrText xml:space="preserve"> PAGEREF _Toc46478799 \h </w:instrText>
            </w:r>
            <w:r w:rsidR="0095297F">
              <w:rPr>
                <w:noProof/>
                <w:webHidden/>
              </w:rPr>
            </w:r>
            <w:r w:rsidR="0095297F">
              <w:rPr>
                <w:noProof/>
                <w:webHidden/>
              </w:rPr>
              <w:fldChar w:fldCharType="separate"/>
            </w:r>
            <w:r w:rsidR="0095297F">
              <w:rPr>
                <w:noProof/>
                <w:webHidden/>
              </w:rPr>
              <w:t>52</w:t>
            </w:r>
            <w:r w:rsidR="0095297F">
              <w:rPr>
                <w:noProof/>
                <w:webHidden/>
              </w:rPr>
              <w:fldChar w:fldCharType="end"/>
            </w:r>
          </w:hyperlink>
        </w:p>
        <w:p w:rsidR="0095297F" w:rsidRDefault="00614D4E" w14:paraId="12EF0998" w14:textId="2D4ADD65">
          <w:pPr>
            <w:pStyle w:val="TOC3"/>
            <w:tabs>
              <w:tab w:val="left" w:pos="1296"/>
              <w:tab w:val="right" w:leader="dot" w:pos="9350"/>
            </w:tabs>
            <w:rPr>
              <w:rFonts w:asciiTheme="minorHAnsi" w:hAnsiTheme="minorHAnsi" w:cstheme="minorBidi"/>
              <w:noProof/>
              <w:sz w:val="22"/>
            </w:rPr>
          </w:pPr>
          <w:hyperlink w:history="1" w:anchor="_Toc46478800">
            <w:r w:rsidRPr="007A4FA6" w:rsidR="0095297F">
              <w:rPr>
                <w:rStyle w:val="Hyperlink"/>
                <w:noProof/>
              </w:rPr>
              <w:t>5.2.3.</w:t>
            </w:r>
            <w:r w:rsidR="0095297F">
              <w:rPr>
                <w:rFonts w:asciiTheme="minorHAnsi" w:hAnsiTheme="minorHAnsi" w:cstheme="minorBidi"/>
                <w:noProof/>
                <w:sz w:val="22"/>
              </w:rPr>
              <w:tab/>
            </w:r>
            <w:r w:rsidRPr="007A4FA6" w:rsidR="0095297F">
              <w:rPr>
                <w:rStyle w:val="Hyperlink"/>
                <w:noProof/>
              </w:rPr>
              <w:t>Liberty Park Land Purchase for New Well</w:t>
            </w:r>
            <w:r w:rsidR="0095297F">
              <w:rPr>
                <w:noProof/>
                <w:webHidden/>
              </w:rPr>
              <w:tab/>
            </w:r>
            <w:r w:rsidR="0095297F">
              <w:rPr>
                <w:noProof/>
                <w:webHidden/>
              </w:rPr>
              <w:fldChar w:fldCharType="begin"/>
            </w:r>
            <w:r w:rsidR="0095297F">
              <w:rPr>
                <w:noProof/>
                <w:webHidden/>
              </w:rPr>
              <w:instrText xml:space="preserve"> PAGEREF _Toc46478800 \h </w:instrText>
            </w:r>
            <w:r w:rsidR="0095297F">
              <w:rPr>
                <w:noProof/>
                <w:webHidden/>
              </w:rPr>
            </w:r>
            <w:r w:rsidR="0095297F">
              <w:rPr>
                <w:noProof/>
                <w:webHidden/>
              </w:rPr>
              <w:fldChar w:fldCharType="separate"/>
            </w:r>
            <w:r w:rsidR="0095297F">
              <w:rPr>
                <w:noProof/>
                <w:webHidden/>
              </w:rPr>
              <w:t>53</w:t>
            </w:r>
            <w:r w:rsidR="0095297F">
              <w:rPr>
                <w:noProof/>
                <w:webHidden/>
              </w:rPr>
              <w:fldChar w:fldCharType="end"/>
            </w:r>
          </w:hyperlink>
        </w:p>
        <w:p w:rsidR="0095297F" w:rsidRDefault="00614D4E" w14:paraId="774FD8B8" w14:textId="258ABCCA">
          <w:pPr>
            <w:pStyle w:val="TOC2"/>
            <w:tabs>
              <w:tab w:val="right" w:leader="dot" w:pos="9350"/>
            </w:tabs>
            <w:rPr>
              <w:rFonts w:asciiTheme="minorHAnsi" w:hAnsiTheme="minorHAnsi" w:cstheme="minorBidi"/>
              <w:noProof/>
              <w:sz w:val="22"/>
            </w:rPr>
          </w:pPr>
          <w:hyperlink w:history="1" w:anchor="_Toc46478801">
            <w:r w:rsidRPr="007A4FA6" w:rsidR="0095297F">
              <w:rPr>
                <w:rStyle w:val="Hyperlink"/>
                <w:noProof/>
              </w:rPr>
              <w:t>5.3.</w:t>
            </w:r>
            <w:r w:rsidR="0095297F">
              <w:rPr>
                <w:rFonts w:asciiTheme="minorHAnsi" w:hAnsiTheme="minorHAnsi" w:cstheme="minorBidi"/>
                <w:noProof/>
                <w:sz w:val="22"/>
              </w:rPr>
              <w:tab/>
            </w:r>
            <w:r w:rsidRPr="007A4FA6" w:rsidR="0095297F">
              <w:rPr>
                <w:rStyle w:val="Hyperlink"/>
                <w:noProof/>
              </w:rPr>
              <w:t>Liberty Apple Valley New Plant Additions</w:t>
            </w:r>
            <w:r w:rsidR="0095297F">
              <w:rPr>
                <w:noProof/>
                <w:webHidden/>
              </w:rPr>
              <w:tab/>
            </w:r>
            <w:r w:rsidR="0095297F">
              <w:rPr>
                <w:noProof/>
                <w:webHidden/>
              </w:rPr>
              <w:fldChar w:fldCharType="begin"/>
            </w:r>
            <w:r w:rsidR="0095297F">
              <w:rPr>
                <w:noProof/>
                <w:webHidden/>
              </w:rPr>
              <w:instrText xml:space="preserve"> PAGEREF _Toc46478801 \h </w:instrText>
            </w:r>
            <w:r w:rsidR="0095297F">
              <w:rPr>
                <w:noProof/>
                <w:webHidden/>
              </w:rPr>
            </w:r>
            <w:r w:rsidR="0095297F">
              <w:rPr>
                <w:noProof/>
                <w:webHidden/>
              </w:rPr>
              <w:fldChar w:fldCharType="separate"/>
            </w:r>
            <w:r w:rsidR="0095297F">
              <w:rPr>
                <w:noProof/>
                <w:webHidden/>
              </w:rPr>
              <w:t>54</w:t>
            </w:r>
            <w:r w:rsidR="0095297F">
              <w:rPr>
                <w:noProof/>
                <w:webHidden/>
              </w:rPr>
              <w:fldChar w:fldCharType="end"/>
            </w:r>
          </w:hyperlink>
        </w:p>
        <w:p w:rsidR="0095297F" w:rsidRDefault="00614D4E" w14:paraId="4D39F624" w14:textId="4F42FF93">
          <w:pPr>
            <w:pStyle w:val="TOC3"/>
            <w:tabs>
              <w:tab w:val="left" w:pos="1296"/>
              <w:tab w:val="right" w:leader="dot" w:pos="9350"/>
            </w:tabs>
            <w:rPr>
              <w:rFonts w:asciiTheme="minorHAnsi" w:hAnsiTheme="minorHAnsi" w:cstheme="minorBidi"/>
              <w:noProof/>
              <w:sz w:val="22"/>
            </w:rPr>
          </w:pPr>
          <w:hyperlink w:history="1" w:anchor="_Toc46478802">
            <w:r w:rsidRPr="007A4FA6" w:rsidR="0095297F">
              <w:rPr>
                <w:rStyle w:val="Hyperlink"/>
                <w:noProof/>
              </w:rPr>
              <w:t>5.3.1.</w:t>
            </w:r>
            <w:r w:rsidR="0095297F">
              <w:rPr>
                <w:rFonts w:asciiTheme="minorHAnsi" w:hAnsiTheme="minorHAnsi" w:cstheme="minorBidi"/>
                <w:noProof/>
                <w:sz w:val="22"/>
              </w:rPr>
              <w:tab/>
            </w:r>
            <w:r w:rsidRPr="007A4FA6" w:rsidR="0095297F">
              <w:rPr>
                <w:rStyle w:val="Hyperlink"/>
                <w:noProof/>
              </w:rPr>
              <w:t>Liberty Apple Valley Bell Mountain and Hilltop 5-MG Storage Tanks</w:t>
            </w:r>
            <w:r w:rsidR="0095297F">
              <w:rPr>
                <w:noProof/>
                <w:webHidden/>
              </w:rPr>
              <w:tab/>
            </w:r>
            <w:r w:rsidR="0095297F">
              <w:rPr>
                <w:noProof/>
                <w:webHidden/>
              </w:rPr>
              <w:fldChar w:fldCharType="begin"/>
            </w:r>
            <w:r w:rsidR="0095297F">
              <w:rPr>
                <w:noProof/>
                <w:webHidden/>
              </w:rPr>
              <w:instrText xml:space="preserve"> PAGEREF _Toc46478802 \h </w:instrText>
            </w:r>
            <w:r w:rsidR="0095297F">
              <w:rPr>
                <w:noProof/>
                <w:webHidden/>
              </w:rPr>
            </w:r>
            <w:r w:rsidR="0095297F">
              <w:rPr>
                <w:noProof/>
                <w:webHidden/>
              </w:rPr>
              <w:fldChar w:fldCharType="separate"/>
            </w:r>
            <w:r w:rsidR="0095297F">
              <w:rPr>
                <w:noProof/>
                <w:webHidden/>
              </w:rPr>
              <w:t>54</w:t>
            </w:r>
            <w:r w:rsidR="0095297F">
              <w:rPr>
                <w:noProof/>
                <w:webHidden/>
              </w:rPr>
              <w:fldChar w:fldCharType="end"/>
            </w:r>
          </w:hyperlink>
        </w:p>
        <w:p w:rsidR="0095297F" w:rsidRDefault="00614D4E" w14:paraId="43A4A11D" w14:textId="1A10B4F4">
          <w:pPr>
            <w:pStyle w:val="TOC3"/>
            <w:tabs>
              <w:tab w:val="left" w:pos="1296"/>
              <w:tab w:val="right" w:leader="dot" w:pos="9350"/>
            </w:tabs>
            <w:rPr>
              <w:rFonts w:asciiTheme="minorHAnsi" w:hAnsiTheme="minorHAnsi" w:cstheme="minorBidi"/>
              <w:noProof/>
              <w:sz w:val="22"/>
            </w:rPr>
          </w:pPr>
          <w:hyperlink w:history="1" w:anchor="_Toc46478803">
            <w:r w:rsidRPr="007A4FA6" w:rsidR="0095297F">
              <w:rPr>
                <w:rStyle w:val="Hyperlink"/>
                <w:noProof/>
              </w:rPr>
              <w:t>5.3.2.</w:t>
            </w:r>
            <w:r w:rsidR="0095297F">
              <w:rPr>
                <w:rFonts w:asciiTheme="minorHAnsi" w:hAnsiTheme="minorHAnsi" w:cstheme="minorBidi"/>
                <w:noProof/>
                <w:sz w:val="22"/>
              </w:rPr>
              <w:tab/>
            </w:r>
            <w:r w:rsidRPr="007A4FA6" w:rsidR="0095297F">
              <w:rPr>
                <w:rStyle w:val="Hyperlink"/>
                <w:noProof/>
              </w:rPr>
              <w:t>Liberty Apple Valley Pumping Equipment</w:t>
            </w:r>
            <w:r w:rsidR="0095297F">
              <w:rPr>
                <w:noProof/>
                <w:webHidden/>
              </w:rPr>
              <w:tab/>
            </w:r>
            <w:r w:rsidR="0095297F">
              <w:rPr>
                <w:noProof/>
                <w:webHidden/>
              </w:rPr>
              <w:fldChar w:fldCharType="begin"/>
            </w:r>
            <w:r w:rsidR="0095297F">
              <w:rPr>
                <w:noProof/>
                <w:webHidden/>
              </w:rPr>
              <w:instrText xml:space="preserve"> PAGEREF _Toc46478803 \h </w:instrText>
            </w:r>
            <w:r w:rsidR="0095297F">
              <w:rPr>
                <w:noProof/>
                <w:webHidden/>
              </w:rPr>
            </w:r>
            <w:r w:rsidR="0095297F">
              <w:rPr>
                <w:noProof/>
                <w:webHidden/>
              </w:rPr>
              <w:fldChar w:fldCharType="separate"/>
            </w:r>
            <w:r w:rsidR="0095297F">
              <w:rPr>
                <w:noProof/>
                <w:webHidden/>
              </w:rPr>
              <w:t>55</w:t>
            </w:r>
            <w:r w:rsidR="0095297F">
              <w:rPr>
                <w:noProof/>
                <w:webHidden/>
              </w:rPr>
              <w:fldChar w:fldCharType="end"/>
            </w:r>
          </w:hyperlink>
        </w:p>
        <w:p w:rsidR="0095297F" w:rsidRDefault="00614D4E" w14:paraId="1DC5ADCE" w14:textId="2899D2B1">
          <w:pPr>
            <w:pStyle w:val="TOC3"/>
            <w:tabs>
              <w:tab w:val="left" w:pos="1296"/>
              <w:tab w:val="right" w:leader="dot" w:pos="9350"/>
            </w:tabs>
            <w:rPr>
              <w:rFonts w:asciiTheme="minorHAnsi" w:hAnsiTheme="minorHAnsi" w:cstheme="minorBidi"/>
              <w:noProof/>
              <w:sz w:val="22"/>
            </w:rPr>
          </w:pPr>
          <w:hyperlink w:history="1" w:anchor="_Toc46478804">
            <w:r w:rsidRPr="007A4FA6" w:rsidR="0095297F">
              <w:rPr>
                <w:rStyle w:val="Hyperlink"/>
                <w:noProof/>
              </w:rPr>
              <w:t>5.3.3.</w:t>
            </w:r>
            <w:r w:rsidR="0095297F">
              <w:rPr>
                <w:rFonts w:asciiTheme="minorHAnsi" w:hAnsiTheme="minorHAnsi" w:cstheme="minorBidi"/>
                <w:noProof/>
                <w:sz w:val="22"/>
              </w:rPr>
              <w:tab/>
            </w:r>
            <w:r w:rsidRPr="007A4FA6" w:rsidR="0095297F">
              <w:rPr>
                <w:rStyle w:val="Hyperlink"/>
                <w:noProof/>
              </w:rPr>
              <w:t>Liberty Apple Valley Air Vacuum Stations, Hydrants and Valves</w:t>
            </w:r>
            <w:r w:rsidR="0095297F">
              <w:rPr>
                <w:noProof/>
                <w:webHidden/>
              </w:rPr>
              <w:tab/>
            </w:r>
            <w:r w:rsidR="0095297F">
              <w:rPr>
                <w:noProof/>
                <w:webHidden/>
              </w:rPr>
              <w:fldChar w:fldCharType="begin"/>
            </w:r>
            <w:r w:rsidR="0095297F">
              <w:rPr>
                <w:noProof/>
                <w:webHidden/>
              </w:rPr>
              <w:instrText xml:space="preserve"> PAGEREF _Toc46478804 \h </w:instrText>
            </w:r>
            <w:r w:rsidR="0095297F">
              <w:rPr>
                <w:noProof/>
                <w:webHidden/>
              </w:rPr>
            </w:r>
            <w:r w:rsidR="0095297F">
              <w:rPr>
                <w:noProof/>
                <w:webHidden/>
              </w:rPr>
              <w:fldChar w:fldCharType="separate"/>
            </w:r>
            <w:r w:rsidR="0095297F">
              <w:rPr>
                <w:noProof/>
                <w:webHidden/>
              </w:rPr>
              <w:t>55</w:t>
            </w:r>
            <w:r w:rsidR="0095297F">
              <w:rPr>
                <w:noProof/>
                <w:webHidden/>
              </w:rPr>
              <w:fldChar w:fldCharType="end"/>
            </w:r>
          </w:hyperlink>
        </w:p>
        <w:p w:rsidR="0095297F" w:rsidRDefault="00614D4E" w14:paraId="43A96A43" w14:textId="66B49072">
          <w:pPr>
            <w:pStyle w:val="TOC3"/>
            <w:tabs>
              <w:tab w:val="left" w:pos="1296"/>
              <w:tab w:val="right" w:leader="dot" w:pos="9350"/>
            </w:tabs>
            <w:rPr>
              <w:rFonts w:asciiTheme="minorHAnsi" w:hAnsiTheme="minorHAnsi" w:cstheme="minorBidi"/>
              <w:noProof/>
              <w:sz w:val="22"/>
            </w:rPr>
          </w:pPr>
          <w:hyperlink w:history="1" w:anchor="_Toc46478805">
            <w:r w:rsidRPr="007A4FA6" w:rsidR="0095297F">
              <w:rPr>
                <w:rStyle w:val="Hyperlink"/>
                <w:noProof/>
              </w:rPr>
              <w:t>5.3.4.</w:t>
            </w:r>
            <w:r w:rsidR="0095297F">
              <w:rPr>
                <w:rFonts w:asciiTheme="minorHAnsi" w:hAnsiTheme="minorHAnsi" w:cstheme="minorBidi"/>
                <w:noProof/>
                <w:sz w:val="22"/>
              </w:rPr>
              <w:tab/>
            </w:r>
            <w:r w:rsidRPr="007A4FA6" w:rsidR="0095297F">
              <w:rPr>
                <w:rStyle w:val="Hyperlink"/>
                <w:noProof/>
              </w:rPr>
              <w:t>Liberty Apple Valley General Plant</w:t>
            </w:r>
            <w:r w:rsidR="0095297F">
              <w:rPr>
                <w:noProof/>
                <w:webHidden/>
              </w:rPr>
              <w:tab/>
            </w:r>
            <w:r w:rsidR="0095297F">
              <w:rPr>
                <w:noProof/>
                <w:webHidden/>
              </w:rPr>
              <w:fldChar w:fldCharType="begin"/>
            </w:r>
            <w:r w:rsidR="0095297F">
              <w:rPr>
                <w:noProof/>
                <w:webHidden/>
              </w:rPr>
              <w:instrText xml:space="preserve"> PAGEREF _Toc46478805 \h </w:instrText>
            </w:r>
            <w:r w:rsidR="0095297F">
              <w:rPr>
                <w:noProof/>
                <w:webHidden/>
              </w:rPr>
            </w:r>
            <w:r w:rsidR="0095297F">
              <w:rPr>
                <w:noProof/>
                <w:webHidden/>
              </w:rPr>
              <w:fldChar w:fldCharType="separate"/>
            </w:r>
            <w:r w:rsidR="0095297F">
              <w:rPr>
                <w:noProof/>
                <w:webHidden/>
              </w:rPr>
              <w:t>56</w:t>
            </w:r>
            <w:r w:rsidR="0095297F">
              <w:rPr>
                <w:noProof/>
                <w:webHidden/>
              </w:rPr>
              <w:fldChar w:fldCharType="end"/>
            </w:r>
          </w:hyperlink>
        </w:p>
        <w:p w:rsidR="0095297F" w:rsidRDefault="00614D4E" w14:paraId="555E6F8B" w14:textId="7044F2DC">
          <w:pPr>
            <w:pStyle w:val="TOC4"/>
            <w:tabs>
              <w:tab w:val="left" w:pos="1728"/>
              <w:tab w:val="right" w:leader="dot" w:pos="9350"/>
            </w:tabs>
            <w:rPr>
              <w:rFonts w:asciiTheme="minorHAnsi" w:hAnsiTheme="minorHAnsi" w:eastAsiaTheme="minorEastAsia"/>
              <w:noProof/>
              <w:sz w:val="22"/>
            </w:rPr>
          </w:pPr>
          <w:hyperlink w:history="1" w:anchor="_Toc46478806">
            <w:r w:rsidRPr="007A4FA6" w:rsidR="0095297F">
              <w:rPr>
                <w:rStyle w:val="Hyperlink"/>
                <w:noProof/>
              </w:rPr>
              <w:t>5.3.4.1.</w:t>
            </w:r>
            <w:r w:rsidR="0095297F">
              <w:rPr>
                <w:rFonts w:asciiTheme="minorHAnsi" w:hAnsiTheme="minorHAnsi" w:eastAsiaTheme="minorEastAsia"/>
                <w:noProof/>
                <w:sz w:val="22"/>
              </w:rPr>
              <w:tab/>
            </w:r>
            <w:r w:rsidRPr="007A4FA6" w:rsidR="0095297F">
              <w:rPr>
                <w:rStyle w:val="Hyperlink"/>
                <w:noProof/>
              </w:rPr>
              <w:t>Vehicles</w:t>
            </w:r>
            <w:r w:rsidR="0095297F">
              <w:rPr>
                <w:noProof/>
                <w:webHidden/>
              </w:rPr>
              <w:tab/>
            </w:r>
            <w:r w:rsidR="0095297F">
              <w:rPr>
                <w:noProof/>
                <w:webHidden/>
              </w:rPr>
              <w:fldChar w:fldCharType="begin"/>
            </w:r>
            <w:r w:rsidR="0095297F">
              <w:rPr>
                <w:noProof/>
                <w:webHidden/>
              </w:rPr>
              <w:instrText xml:space="preserve"> PAGEREF _Toc46478806 \h </w:instrText>
            </w:r>
            <w:r w:rsidR="0095297F">
              <w:rPr>
                <w:noProof/>
                <w:webHidden/>
              </w:rPr>
            </w:r>
            <w:r w:rsidR="0095297F">
              <w:rPr>
                <w:noProof/>
                <w:webHidden/>
              </w:rPr>
              <w:fldChar w:fldCharType="separate"/>
            </w:r>
            <w:r w:rsidR="0095297F">
              <w:rPr>
                <w:noProof/>
                <w:webHidden/>
              </w:rPr>
              <w:t>56</w:t>
            </w:r>
            <w:r w:rsidR="0095297F">
              <w:rPr>
                <w:noProof/>
                <w:webHidden/>
              </w:rPr>
              <w:fldChar w:fldCharType="end"/>
            </w:r>
          </w:hyperlink>
        </w:p>
        <w:p w:rsidR="0095297F" w:rsidRDefault="00614D4E" w14:paraId="22EA1438" w14:textId="5193D99F">
          <w:pPr>
            <w:pStyle w:val="TOC4"/>
            <w:tabs>
              <w:tab w:val="left" w:pos="1728"/>
              <w:tab w:val="right" w:leader="dot" w:pos="9350"/>
            </w:tabs>
            <w:rPr>
              <w:rFonts w:asciiTheme="minorHAnsi" w:hAnsiTheme="minorHAnsi" w:eastAsiaTheme="minorEastAsia"/>
              <w:noProof/>
              <w:sz w:val="22"/>
            </w:rPr>
          </w:pPr>
          <w:hyperlink w:history="1" w:anchor="_Toc46478807">
            <w:r w:rsidRPr="007A4FA6" w:rsidR="0095297F">
              <w:rPr>
                <w:rStyle w:val="Hyperlink"/>
                <w:noProof/>
              </w:rPr>
              <w:t>5.3.4.2.</w:t>
            </w:r>
            <w:r w:rsidR="0095297F">
              <w:rPr>
                <w:rFonts w:asciiTheme="minorHAnsi" w:hAnsiTheme="minorHAnsi" w:eastAsiaTheme="minorEastAsia"/>
                <w:noProof/>
                <w:sz w:val="22"/>
              </w:rPr>
              <w:tab/>
            </w:r>
            <w:r w:rsidRPr="007A4FA6" w:rsidR="0095297F">
              <w:rPr>
                <w:rStyle w:val="Hyperlink"/>
                <w:noProof/>
              </w:rPr>
              <w:t>Solar Panels, Warehouse, Furniture and Equipment Costs</w:t>
            </w:r>
            <w:r w:rsidR="0095297F">
              <w:rPr>
                <w:noProof/>
                <w:webHidden/>
              </w:rPr>
              <w:tab/>
            </w:r>
            <w:r w:rsidR="0095297F">
              <w:rPr>
                <w:noProof/>
                <w:webHidden/>
              </w:rPr>
              <w:fldChar w:fldCharType="begin"/>
            </w:r>
            <w:r w:rsidR="0095297F">
              <w:rPr>
                <w:noProof/>
                <w:webHidden/>
              </w:rPr>
              <w:instrText xml:space="preserve"> PAGEREF _Toc46478807 \h </w:instrText>
            </w:r>
            <w:r w:rsidR="0095297F">
              <w:rPr>
                <w:noProof/>
                <w:webHidden/>
              </w:rPr>
            </w:r>
            <w:r w:rsidR="0095297F">
              <w:rPr>
                <w:noProof/>
                <w:webHidden/>
              </w:rPr>
              <w:fldChar w:fldCharType="separate"/>
            </w:r>
            <w:r w:rsidR="0095297F">
              <w:rPr>
                <w:noProof/>
                <w:webHidden/>
              </w:rPr>
              <w:t>56</w:t>
            </w:r>
            <w:r w:rsidR="0095297F">
              <w:rPr>
                <w:noProof/>
                <w:webHidden/>
              </w:rPr>
              <w:fldChar w:fldCharType="end"/>
            </w:r>
          </w:hyperlink>
        </w:p>
        <w:p w:rsidR="0095297F" w:rsidRDefault="00614D4E" w14:paraId="09167154" w14:textId="51F1B352">
          <w:pPr>
            <w:pStyle w:val="TOC2"/>
            <w:tabs>
              <w:tab w:val="right" w:leader="dot" w:pos="9350"/>
            </w:tabs>
            <w:rPr>
              <w:rFonts w:asciiTheme="minorHAnsi" w:hAnsiTheme="minorHAnsi" w:cstheme="minorBidi"/>
              <w:noProof/>
              <w:sz w:val="22"/>
            </w:rPr>
          </w:pPr>
          <w:hyperlink w:history="1" w:anchor="_Toc46478808">
            <w:r w:rsidRPr="007A4FA6" w:rsidR="0095297F">
              <w:rPr>
                <w:rStyle w:val="Hyperlink"/>
                <w:noProof/>
              </w:rPr>
              <w:t>5.4.</w:t>
            </w:r>
            <w:r w:rsidR="0095297F">
              <w:rPr>
                <w:rFonts w:asciiTheme="minorHAnsi" w:hAnsiTheme="minorHAnsi" w:cstheme="minorBidi"/>
                <w:noProof/>
                <w:sz w:val="22"/>
              </w:rPr>
              <w:tab/>
            </w:r>
            <w:r w:rsidRPr="007A4FA6" w:rsidR="0095297F">
              <w:rPr>
                <w:rStyle w:val="Hyperlink"/>
                <w:noProof/>
              </w:rPr>
              <w:t>Rate of Return</w:t>
            </w:r>
            <w:r w:rsidR="0095297F">
              <w:rPr>
                <w:noProof/>
                <w:webHidden/>
              </w:rPr>
              <w:tab/>
            </w:r>
            <w:r w:rsidR="0095297F">
              <w:rPr>
                <w:noProof/>
                <w:webHidden/>
              </w:rPr>
              <w:fldChar w:fldCharType="begin"/>
            </w:r>
            <w:r w:rsidR="0095297F">
              <w:rPr>
                <w:noProof/>
                <w:webHidden/>
              </w:rPr>
              <w:instrText xml:space="preserve"> PAGEREF _Toc46478808 \h </w:instrText>
            </w:r>
            <w:r w:rsidR="0095297F">
              <w:rPr>
                <w:noProof/>
                <w:webHidden/>
              </w:rPr>
            </w:r>
            <w:r w:rsidR="0095297F">
              <w:rPr>
                <w:noProof/>
                <w:webHidden/>
              </w:rPr>
              <w:fldChar w:fldCharType="separate"/>
            </w:r>
            <w:r w:rsidR="0095297F">
              <w:rPr>
                <w:noProof/>
                <w:webHidden/>
              </w:rPr>
              <w:t>57</w:t>
            </w:r>
            <w:r w:rsidR="0095297F">
              <w:rPr>
                <w:noProof/>
                <w:webHidden/>
              </w:rPr>
              <w:fldChar w:fldCharType="end"/>
            </w:r>
          </w:hyperlink>
        </w:p>
        <w:p w:rsidR="0095297F" w:rsidRDefault="00614D4E" w14:paraId="3D0653D8" w14:textId="1E250C83">
          <w:pPr>
            <w:pStyle w:val="TOC1"/>
            <w:tabs>
              <w:tab w:val="right" w:leader="dot" w:pos="9350"/>
            </w:tabs>
            <w:rPr>
              <w:rFonts w:asciiTheme="minorHAnsi" w:hAnsiTheme="minorHAnsi" w:cstheme="minorBidi"/>
              <w:noProof/>
              <w:sz w:val="22"/>
            </w:rPr>
          </w:pPr>
          <w:hyperlink w:history="1" w:anchor="_Toc46478809">
            <w:r w:rsidRPr="007A4FA6" w:rsidR="0095297F">
              <w:rPr>
                <w:rStyle w:val="Hyperlink"/>
                <w:noProof/>
              </w:rPr>
              <w:t>6.</w:t>
            </w:r>
            <w:r w:rsidR="0095297F">
              <w:rPr>
                <w:rFonts w:asciiTheme="minorHAnsi" w:hAnsiTheme="minorHAnsi" w:cstheme="minorBidi"/>
                <w:noProof/>
                <w:sz w:val="22"/>
              </w:rPr>
              <w:tab/>
            </w:r>
            <w:r w:rsidRPr="007A4FA6" w:rsidR="0095297F">
              <w:rPr>
                <w:rStyle w:val="Hyperlink"/>
                <w:noProof/>
              </w:rPr>
              <w:t>Carrying Costs: Taxes and Depreciation</w:t>
            </w:r>
            <w:r w:rsidR="0095297F">
              <w:rPr>
                <w:noProof/>
                <w:webHidden/>
              </w:rPr>
              <w:tab/>
            </w:r>
            <w:r w:rsidR="0095297F">
              <w:rPr>
                <w:noProof/>
                <w:webHidden/>
              </w:rPr>
              <w:fldChar w:fldCharType="begin"/>
            </w:r>
            <w:r w:rsidR="0095297F">
              <w:rPr>
                <w:noProof/>
                <w:webHidden/>
              </w:rPr>
              <w:instrText xml:space="preserve"> PAGEREF _Toc46478809 \h </w:instrText>
            </w:r>
            <w:r w:rsidR="0095297F">
              <w:rPr>
                <w:noProof/>
                <w:webHidden/>
              </w:rPr>
            </w:r>
            <w:r w:rsidR="0095297F">
              <w:rPr>
                <w:noProof/>
                <w:webHidden/>
              </w:rPr>
              <w:fldChar w:fldCharType="separate"/>
            </w:r>
            <w:r w:rsidR="0095297F">
              <w:rPr>
                <w:noProof/>
                <w:webHidden/>
              </w:rPr>
              <w:t>57</w:t>
            </w:r>
            <w:r w:rsidR="0095297F">
              <w:rPr>
                <w:noProof/>
                <w:webHidden/>
              </w:rPr>
              <w:fldChar w:fldCharType="end"/>
            </w:r>
          </w:hyperlink>
        </w:p>
        <w:p w:rsidR="0095297F" w:rsidRDefault="00614D4E" w14:paraId="36CB6561" w14:textId="16ACE6AB">
          <w:pPr>
            <w:pStyle w:val="TOC2"/>
            <w:tabs>
              <w:tab w:val="right" w:leader="dot" w:pos="9350"/>
            </w:tabs>
            <w:rPr>
              <w:rFonts w:asciiTheme="minorHAnsi" w:hAnsiTheme="minorHAnsi" w:cstheme="minorBidi"/>
              <w:noProof/>
              <w:sz w:val="22"/>
            </w:rPr>
          </w:pPr>
          <w:hyperlink w:history="1" w:anchor="_Toc46478810">
            <w:r w:rsidRPr="007A4FA6" w:rsidR="0095297F">
              <w:rPr>
                <w:rStyle w:val="Hyperlink"/>
                <w:noProof/>
              </w:rPr>
              <w:t>6.1.</w:t>
            </w:r>
            <w:r w:rsidR="0095297F">
              <w:rPr>
                <w:rFonts w:asciiTheme="minorHAnsi" w:hAnsiTheme="minorHAnsi" w:cstheme="minorBidi"/>
                <w:noProof/>
                <w:sz w:val="22"/>
              </w:rPr>
              <w:tab/>
            </w:r>
            <w:r w:rsidRPr="007A4FA6" w:rsidR="0095297F">
              <w:rPr>
                <w:rStyle w:val="Hyperlink"/>
                <w:noProof/>
              </w:rPr>
              <w:t>Capturing the Tax Impacts From the 2017 Tax Cuts and Jobs Act</w:t>
            </w:r>
            <w:r w:rsidR="0095297F">
              <w:rPr>
                <w:noProof/>
                <w:webHidden/>
              </w:rPr>
              <w:tab/>
            </w:r>
            <w:r w:rsidR="0095297F">
              <w:rPr>
                <w:noProof/>
                <w:webHidden/>
              </w:rPr>
              <w:fldChar w:fldCharType="begin"/>
            </w:r>
            <w:r w:rsidR="0095297F">
              <w:rPr>
                <w:noProof/>
                <w:webHidden/>
              </w:rPr>
              <w:instrText xml:space="preserve"> PAGEREF _Toc46478810 \h </w:instrText>
            </w:r>
            <w:r w:rsidR="0095297F">
              <w:rPr>
                <w:noProof/>
                <w:webHidden/>
              </w:rPr>
            </w:r>
            <w:r w:rsidR="0095297F">
              <w:rPr>
                <w:noProof/>
                <w:webHidden/>
              </w:rPr>
              <w:fldChar w:fldCharType="separate"/>
            </w:r>
            <w:r w:rsidR="0095297F">
              <w:rPr>
                <w:noProof/>
                <w:webHidden/>
              </w:rPr>
              <w:t>58</w:t>
            </w:r>
            <w:r w:rsidR="0095297F">
              <w:rPr>
                <w:noProof/>
                <w:webHidden/>
              </w:rPr>
              <w:fldChar w:fldCharType="end"/>
            </w:r>
          </w:hyperlink>
        </w:p>
        <w:p w:rsidR="0095297F" w:rsidRDefault="00614D4E" w14:paraId="33FD00E6" w14:textId="113ECE41">
          <w:pPr>
            <w:pStyle w:val="TOC2"/>
            <w:tabs>
              <w:tab w:val="right" w:leader="dot" w:pos="9350"/>
            </w:tabs>
            <w:rPr>
              <w:rFonts w:asciiTheme="minorHAnsi" w:hAnsiTheme="minorHAnsi" w:cstheme="minorBidi"/>
              <w:noProof/>
              <w:sz w:val="22"/>
            </w:rPr>
          </w:pPr>
          <w:hyperlink w:history="1" w:anchor="_Toc46478811">
            <w:r w:rsidRPr="007A4FA6" w:rsidR="0095297F">
              <w:rPr>
                <w:rStyle w:val="Hyperlink"/>
                <w:noProof/>
              </w:rPr>
              <w:t>6.2.</w:t>
            </w:r>
            <w:r w:rsidR="0095297F">
              <w:rPr>
                <w:rFonts w:asciiTheme="minorHAnsi" w:hAnsiTheme="minorHAnsi" w:cstheme="minorBidi"/>
                <w:noProof/>
                <w:sz w:val="22"/>
              </w:rPr>
              <w:tab/>
            </w:r>
            <w:r w:rsidRPr="007A4FA6" w:rsidR="0095297F">
              <w:rPr>
                <w:rStyle w:val="Hyperlink"/>
                <w:noProof/>
              </w:rPr>
              <w:t>Deduction of State Income Tax from Federal Tax</w:t>
            </w:r>
            <w:r w:rsidR="0095297F">
              <w:rPr>
                <w:noProof/>
                <w:webHidden/>
              </w:rPr>
              <w:tab/>
            </w:r>
            <w:r w:rsidR="0095297F">
              <w:rPr>
                <w:noProof/>
                <w:webHidden/>
              </w:rPr>
              <w:fldChar w:fldCharType="begin"/>
            </w:r>
            <w:r w:rsidR="0095297F">
              <w:rPr>
                <w:noProof/>
                <w:webHidden/>
              </w:rPr>
              <w:instrText xml:space="preserve"> PAGEREF _Toc46478811 \h </w:instrText>
            </w:r>
            <w:r w:rsidR="0095297F">
              <w:rPr>
                <w:noProof/>
                <w:webHidden/>
              </w:rPr>
            </w:r>
            <w:r w:rsidR="0095297F">
              <w:rPr>
                <w:noProof/>
                <w:webHidden/>
              </w:rPr>
              <w:fldChar w:fldCharType="separate"/>
            </w:r>
            <w:r w:rsidR="0095297F">
              <w:rPr>
                <w:noProof/>
                <w:webHidden/>
              </w:rPr>
              <w:t>59</w:t>
            </w:r>
            <w:r w:rsidR="0095297F">
              <w:rPr>
                <w:noProof/>
                <w:webHidden/>
              </w:rPr>
              <w:fldChar w:fldCharType="end"/>
            </w:r>
          </w:hyperlink>
        </w:p>
        <w:p w:rsidR="0095297F" w:rsidRDefault="00614D4E" w14:paraId="0C18360C" w14:textId="4836E6FF">
          <w:pPr>
            <w:pStyle w:val="TOC1"/>
            <w:tabs>
              <w:tab w:val="right" w:leader="dot" w:pos="9350"/>
            </w:tabs>
            <w:rPr>
              <w:rFonts w:asciiTheme="minorHAnsi" w:hAnsiTheme="minorHAnsi" w:cstheme="minorBidi"/>
              <w:noProof/>
              <w:sz w:val="22"/>
            </w:rPr>
          </w:pPr>
          <w:hyperlink w:history="1" w:anchor="_Toc46478812">
            <w:r w:rsidRPr="007A4FA6" w:rsidR="0095297F">
              <w:rPr>
                <w:rStyle w:val="Hyperlink"/>
                <w:noProof/>
              </w:rPr>
              <w:t>7.</w:t>
            </w:r>
            <w:r w:rsidR="0095297F">
              <w:rPr>
                <w:rFonts w:asciiTheme="minorHAnsi" w:hAnsiTheme="minorHAnsi" w:cstheme="minorBidi"/>
                <w:noProof/>
                <w:sz w:val="22"/>
              </w:rPr>
              <w:tab/>
            </w:r>
            <w:r w:rsidRPr="007A4FA6" w:rsidR="0095297F">
              <w:rPr>
                <w:rStyle w:val="Hyperlink"/>
                <w:noProof/>
              </w:rPr>
              <w:t>Rate Design</w:t>
            </w:r>
            <w:r w:rsidR="0095297F">
              <w:rPr>
                <w:noProof/>
                <w:webHidden/>
              </w:rPr>
              <w:tab/>
            </w:r>
            <w:r w:rsidR="0095297F">
              <w:rPr>
                <w:noProof/>
                <w:webHidden/>
              </w:rPr>
              <w:fldChar w:fldCharType="begin"/>
            </w:r>
            <w:r w:rsidR="0095297F">
              <w:rPr>
                <w:noProof/>
                <w:webHidden/>
              </w:rPr>
              <w:instrText xml:space="preserve"> PAGEREF _Toc46478812 \h </w:instrText>
            </w:r>
            <w:r w:rsidR="0095297F">
              <w:rPr>
                <w:noProof/>
                <w:webHidden/>
              </w:rPr>
            </w:r>
            <w:r w:rsidR="0095297F">
              <w:rPr>
                <w:noProof/>
                <w:webHidden/>
              </w:rPr>
              <w:fldChar w:fldCharType="separate"/>
            </w:r>
            <w:r w:rsidR="0095297F">
              <w:rPr>
                <w:noProof/>
                <w:webHidden/>
              </w:rPr>
              <w:t>60</w:t>
            </w:r>
            <w:r w:rsidR="0095297F">
              <w:rPr>
                <w:noProof/>
                <w:webHidden/>
              </w:rPr>
              <w:fldChar w:fldCharType="end"/>
            </w:r>
          </w:hyperlink>
        </w:p>
        <w:p w:rsidR="0095297F" w:rsidRDefault="00614D4E" w14:paraId="17DE3092" w14:textId="2AB902D5">
          <w:pPr>
            <w:pStyle w:val="TOC2"/>
            <w:tabs>
              <w:tab w:val="right" w:leader="dot" w:pos="9350"/>
            </w:tabs>
            <w:rPr>
              <w:rFonts w:asciiTheme="minorHAnsi" w:hAnsiTheme="minorHAnsi" w:cstheme="minorBidi"/>
              <w:noProof/>
              <w:sz w:val="22"/>
            </w:rPr>
          </w:pPr>
          <w:hyperlink w:history="1" w:anchor="_Toc46478813">
            <w:r w:rsidRPr="007A4FA6" w:rsidR="0095297F">
              <w:rPr>
                <w:rStyle w:val="Hyperlink"/>
                <w:noProof/>
              </w:rPr>
              <w:t>7.1.</w:t>
            </w:r>
            <w:r w:rsidR="0095297F">
              <w:rPr>
                <w:rFonts w:asciiTheme="minorHAnsi" w:hAnsiTheme="minorHAnsi" w:cstheme="minorBidi"/>
                <w:noProof/>
                <w:sz w:val="22"/>
              </w:rPr>
              <w:tab/>
            </w:r>
            <w:r w:rsidRPr="007A4FA6" w:rsidR="0095297F">
              <w:rPr>
                <w:rStyle w:val="Hyperlink"/>
                <w:noProof/>
              </w:rPr>
              <w:t>Liberty Apple Valley-Yermo, Rate Design</w:t>
            </w:r>
            <w:r w:rsidR="0095297F">
              <w:rPr>
                <w:noProof/>
                <w:webHidden/>
              </w:rPr>
              <w:tab/>
            </w:r>
            <w:r w:rsidR="0095297F">
              <w:rPr>
                <w:noProof/>
                <w:webHidden/>
              </w:rPr>
              <w:fldChar w:fldCharType="begin"/>
            </w:r>
            <w:r w:rsidR="0095297F">
              <w:rPr>
                <w:noProof/>
                <w:webHidden/>
              </w:rPr>
              <w:instrText xml:space="preserve"> PAGEREF _Toc46478813 \h </w:instrText>
            </w:r>
            <w:r w:rsidR="0095297F">
              <w:rPr>
                <w:noProof/>
                <w:webHidden/>
              </w:rPr>
            </w:r>
            <w:r w:rsidR="0095297F">
              <w:rPr>
                <w:noProof/>
                <w:webHidden/>
              </w:rPr>
              <w:fldChar w:fldCharType="separate"/>
            </w:r>
            <w:r w:rsidR="0095297F">
              <w:rPr>
                <w:noProof/>
                <w:webHidden/>
              </w:rPr>
              <w:t>63</w:t>
            </w:r>
            <w:r w:rsidR="0095297F">
              <w:rPr>
                <w:noProof/>
                <w:webHidden/>
              </w:rPr>
              <w:fldChar w:fldCharType="end"/>
            </w:r>
          </w:hyperlink>
        </w:p>
        <w:p w:rsidR="0095297F" w:rsidRDefault="00614D4E" w14:paraId="41FA0C15" w14:textId="6C5FD6D3">
          <w:pPr>
            <w:pStyle w:val="TOC1"/>
            <w:tabs>
              <w:tab w:val="right" w:leader="dot" w:pos="9350"/>
            </w:tabs>
            <w:rPr>
              <w:rFonts w:asciiTheme="minorHAnsi" w:hAnsiTheme="minorHAnsi" w:cstheme="minorBidi"/>
              <w:noProof/>
              <w:sz w:val="22"/>
            </w:rPr>
          </w:pPr>
          <w:hyperlink w:history="1" w:anchor="_Toc46478814">
            <w:r w:rsidRPr="007A4FA6" w:rsidR="0095297F">
              <w:rPr>
                <w:rStyle w:val="Hyperlink"/>
                <w:noProof/>
              </w:rPr>
              <w:t>8.</w:t>
            </w:r>
            <w:r w:rsidR="0095297F">
              <w:rPr>
                <w:rFonts w:asciiTheme="minorHAnsi" w:hAnsiTheme="minorHAnsi" w:cstheme="minorBidi"/>
                <w:noProof/>
                <w:sz w:val="22"/>
              </w:rPr>
              <w:tab/>
            </w:r>
            <w:r w:rsidRPr="007A4FA6" w:rsidR="0095297F">
              <w:rPr>
                <w:rStyle w:val="Hyperlink"/>
                <w:noProof/>
              </w:rPr>
              <w:t>Balancing and Memorandum Accounts</w:t>
            </w:r>
            <w:r w:rsidR="0095297F">
              <w:rPr>
                <w:noProof/>
                <w:webHidden/>
              </w:rPr>
              <w:tab/>
            </w:r>
            <w:r w:rsidR="0095297F">
              <w:rPr>
                <w:noProof/>
                <w:webHidden/>
              </w:rPr>
              <w:fldChar w:fldCharType="begin"/>
            </w:r>
            <w:r w:rsidR="0095297F">
              <w:rPr>
                <w:noProof/>
                <w:webHidden/>
              </w:rPr>
              <w:instrText xml:space="preserve"> PAGEREF _Toc46478814 \h </w:instrText>
            </w:r>
            <w:r w:rsidR="0095297F">
              <w:rPr>
                <w:noProof/>
                <w:webHidden/>
              </w:rPr>
            </w:r>
            <w:r w:rsidR="0095297F">
              <w:rPr>
                <w:noProof/>
                <w:webHidden/>
              </w:rPr>
              <w:fldChar w:fldCharType="separate"/>
            </w:r>
            <w:r w:rsidR="0095297F">
              <w:rPr>
                <w:noProof/>
                <w:webHidden/>
              </w:rPr>
              <w:t>63</w:t>
            </w:r>
            <w:r w:rsidR="0095297F">
              <w:rPr>
                <w:noProof/>
                <w:webHidden/>
              </w:rPr>
              <w:fldChar w:fldCharType="end"/>
            </w:r>
          </w:hyperlink>
        </w:p>
        <w:p w:rsidR="0095297F" w:rsidRDefault="00614D4E" w14:paraId="30AE6090" w14:textId="1F8FCA07">
          <w:pPr>
            <w:pStyle w:val="TOC2"/>
            <w:tabs>
              <w:tab w:val="right" w:leader="dot" w:pos="9350"/>
            </w:tabs>
            <w:rPr>
              <w:rFonts w:asciiTheme="minorHAnsi" w:hAnsiTheme="minorHAnsi" w:cstheme="minorBidi"/>
              <w:noProof/>
              <w:sz w:val="22"/>
            </w:rPr>
          </w:pPr>
          <w:hyperlink w:history="1" w:anchor="_Toc46478815">
            <w:r w:rsidRPr="007A4FA6" w:rsidR="0095297F">
              <w:rPr>
                <w:rStyle w:val="Hyperlink"/>
                <w:noProof/>
              </w:rPr>
              <w:t>8.1.</w:t>
            </w:r>
            <w:r w:rsidR="0095297F">
              <w:rPr>
                <w:rFonts w:asciiTheme="minorHAnsi" w:hAnsiTheme="minorHAnsi" w:cstheme="minorBidi"/>
                <w:noProof/>
                <w:sz w:val="22"/>
              </w:rPr>
              <w:tab/>
            </w:r>
            <w:r w:rsidRPr="007A4FA6" w:rsidR="0095297F">
              <w:rPr>
                <w:rStyle w:val="Hyperlink"/>
                <w:noProof/>
              </w:rPr>
              <w:t>Accounting Practices Regarding Memorandum Accounts</w:t>
            </w:r>
            <w:r w:rsidR="0095297F">
              <w:rPr>
                <w:noProof/>
                <w:webHidden/>
              </w:rPr>
              <w:tab/>
            </w:r>
            <w:r w:rsidR="0095297F">
              <w:rPr>
                <w:noProof/>
                <w:webHidden/>
              </w:rPr>
              <w:fldChar w:fldCharType="begin"/>
            </w:r>
            <w:r w:rsidR="0095297F">
              <w:rPr>
                <w:noProof/>
                <w:webHidden/>
              </w:rPr>
              <w:instrText xml:space="preserve"> PAGEREF _Toc46478815 \h </w:instrText>
            </w:r>
            <w:r w:rsidR="0095297F">
              <w:rPr>
                <w:noProof/>
                <w:webHidden/>
              </w:rPr>
            </w:r>
            <w:r w:rsidR="0095297F">
              <w:rPr>
                <w:noProof/>
                <w:webHidden/>
              </w:rPr>
              <w:fldChar w:fldCharType="separate"/>
            </w:r>
            <w:r w:rsidR="0095297F">
              <w:rPr>
                <w:noProof/>
                <w:webHidden/>
              </w:rPr>
              <w:t>64</w:t>
            </w:r>
            <w:r w:rsidR="0095297F">
              <w:rPr>
                <w:noProof/>
                <w:webHidden/>
              </w:rPr>
              <w:fldChar w:fldCharType="end"/>
            </w:r>
          </w:hyperlink>
        </w:p>
        <w:p w:rsidR="0095297F" w:rsidRDefault="00614D4E" w14:paraId="2CBB5379" w14:textId="047F24FC">
          <w:pPr>
            <w:pStyle w:val="TOC2"/>
            <w:tabs>
              <w:tab w:val="right" w:leader="dot" w:pos="9350"/>
            </w:tabs>
            <w:rPr>
              <w:rFonts w:asciiTheme="minorHAnsi" w:hAnsiTheme="minorHAnsi" w:cstheme="minorBidi"/>
              <w:noProof/>
              <w:sz w:val="22"/>
            </w:rPr>
          </w:pPr>
          <w:hyperlink w:history="1" w:anchor="_Toc46478816">
            <w:r w:rsidRPr="007A4FA6" w:rsidR="0095297F">
              <w:rPr>
                <w:rStyle w:val="Hyperlink"/>
                <w:noProof/>
              </w:rPr>
              <w:t>8.2.</w:t>
            </w:r>
            <w:r w:rsidR="0095297F">
              <w:rPr>
                <w:rFonts w:asciiTheme="minorHAnsi" w:hAnsiTheme="minorHAnsi" w:cstheme="minorBidi"/>
                <w:noProof/>
                <w:sz w:val="22"/>
              </w:rPr>
              <w:tab/>
            </w:r>
            <w:r w:rsidRPr="007A4FA6" w:rsidR="0095297F">
              <w:rPr>
                <w:rStyle w:val="Hyperlink"/>
                <w:noProof/>
              </w:rPr>
              <w:t>Interim Rates Memorandum Accounts Should Be Recovered Through Consolidated Expense Balancing Accounts</w:t>
            </w:r>
            <w:r w:rsidR="0095297F">
              <w:rPr>
                <w:noProof/>
                <w:webHidden/>
              </w:rPr>
              <w:tab/>
            </w:r>
            <w:r w:rsidR="0095297F">
              <w:rPr>
                <w:noProof/>
                <w:webHidden/>
              </w:rPr>
              <w:fldChar w:fldCharType="begin"/>
            </w:r>
            <w:r w:rsidR="0095297F">
              <w:rPr>
                <w:noProof/>
                <w:webHidden/>
              </w:rPr>
              <w:instrText xml:space="preserve"> PAGEREF _Toc46478816 \h </w:instrText>
            </w:r>
            <w:r w:rsidR="0095297F">
              <w:rPr>
                <w:noProof/>
                <w:webHidden/>
              </w:rPr>
            </w:r>
            <w:r w:rsidR="0095297F">
              <w:rPr>
                <w:noProof/>
                <w:webHidden/>
              </w:rPr>
              <w:fldChar w:fldCharType="separate"/>
            </w:r>
            <w:r w:rsidR="0095297F">
              <w:rPr>
                <w:noProof/>
                <w:webHidden/>
              </w:rPr>
              <w:t>66</w:t>
            </w:r>
            <w:r w:rsidR="0095297F">
              <w:rPr>
                <w:noProof/>
                <w:webHidden/>
              </w:rPr>
              <w:fldChar w:fldCharType="end"/>
            </w:r>
          </w:hyperlink>
        </w:p>
        <w:p w:rsidR="0095297F" w:rsidRDefault="00614D4E" w14:paraId="297E16A9" w14:textId="710AFBC5">
          <w:pPr>
            <w:pStyle w:val="TOC2"/>
            <w:tabs>
              <w:tab w:val="right" w:leader="dot" w:pos="9350"/>
            </w:tabs>
            <w:rPr>
              <w:rFonts w:asciiTheme="minorHAnsi" w:hAnsiTheme="minorHAnsi" w:cstheme="minorBidi"/>
              <w:noProof/>
              <w:sz w:val="22"/>
            </w:rPr>
          </w:pPr>
          <w:hyperlink w:history="1" w:anchor="_Toc46478817">
            <w:r w:rsidRPr="007A4FA6" w:rsidR="0095297F">
              <w:rPr>
                <w:rStyle w:val="Hyperlink"/>
                <w:noProof/>
              </w:rPr>
              <w:t>8.3.</w:t>
            </w:r>
            <w:r w:rsidR="0095297F">
              <w:rPr>
                <w:rFonts w:asciiTheme="minorHAnsi" w:hAnsiTheme="minorHAnsi" w:cstheme="minorBidi"/>
                <w:noProof/>
                <w:sz w:val="22"/>
              </w:rPr>
              <w:tab/>
            </w:r>
            <w:r w:rsidRPr="007A4FA6" w:rsidR="0095297F">
              <w:rPr>
                <w:rStyle w:val="Hyperlink"/>
                <w:noProof/>
              </w:rPr>
              <w:t>Disposition of Existing Balancing Accounts</w:t>
            </w:r>
            <w:r w:rsidR="0095297F">
              <w:rPr>
                <w:noProof/>
                <w:webHidden/>
              </w:rPr>
              <w:tab/>
            </w:r>
            <w:r w:rsidR="0095297F">
              <w:rPr>
                <w:noProof/>
                <w:webHidden/>
              </w:rPr>
              <w:fldChar w:fldCharType="begin"/>
            </w:r>
            <w:r w:rsidR="0095297F">
              <w:rPr>
                <w:noProof/>
                <w:webHidden/>
              </w:rPr>
              <w:instrText xml:space="preserve"> PAGEREF _Toc46478817 \h </w:instrText>
            </w:r>
            <w:r w:rsidR="0095297F">
              <w:rPr>
                <w:noProof/>
                <w:webHidden/>
              </w:rPr>
            </w:r>
            <w:r w:rsidR="0095297F">
              <w:rPr>
                <w:noProof/>
                <w:webHidden/>
              </w:rPr>
              <w:fldChar w:fldCharType="separate"/>
            </w:r>
            <w:r w:rsidR="0095297F">
              <w:rPr>
                <w:noProof/>
                <w:webHidden/>
              </w:rPr>
              <w:t>67</w:t>
            </w:r>
            <w:r w:rsidR="0095297F">
              <w:rPr>
                <w:noProof/>
                <w:webHidden/>
              </w:rPr>
              <w:fldChar w:fldCharType="end"/>
            </w:r>
          </w:hyperlink>
        </w:p>
        <w:p w:rsidR="0095297F" w:rsidRDefault="00614D4E" w14:paraId="653812BB" w14:textId="2E293251">
          <w:pPr>
            <w:pStyle w:val="TOC2"/>
            <w:tabs>
              <w:tab w:val="right" w:leader="dot" w:pos="9350"/>
            </w:tabs>
            <w:rPr>
              <w:rFonts w:asciiTheme="minorHAnsi" w:hAnsiTheme="minorHAnsi" w:cstheme="minorBidi"/>
              <w:noProof/>
              <w:sz w:val="22"/>
            </w:rPr>
          </w:pPr>
          <w:hyperlink w:history="1" w:anchor="_Toc46478818">
            <w:r w:rsidRPr="007A4FA6" w:rsidR="0095297F">
              <w:rPr>
                <w:rStyle w:val="Hyperlink"/>
                <w:noProof/>
              </w:rPr>
              <w:t>8.4.</w:t>
            </w:r>
            <w:r w:rsidR="0095297F">
              <w:rPr>
                <w:rFonts w:asciiTheme="minorHAnsi" w:hAnsiTheme="minorHAnsi" w:cstheme="minorBidi"/>
                <w:noProof/>
                <w:sz w:val="22"/>
              </w:rPr>
              <w:tab/>
            </w:r>
            <w:r w:rsidRPr="007A4FA6" w:rsidR="0095297F">
              <w:rPr>
                <w:rStyle w:val="Hyperlink"/>
                <w:noProof/>
              </w:rPr>
              <w:t>Expense Offsets Requested Prior to Implementation of the Test Year Incorporated into Revenue Requirement</w:t>
            </w:r>
            <w:r w:rsidR="0095297F">
              <w:rPr>
                <w:noProof/>
                <w:webHidden/>
              </w:rPr>
              <w:tab/>
            </w:r>
            <w:r w:rsidR="0095297F">
              <w:rPr>
                <w:noProof/>
                <w:webHidden/>
              </w:rPr>
              <w:fldChar w:fldCharType="begin"/>
            </w:r>
            <w:r w:rsidR="0095297F">
              <w:rPr>
                <w:noProof/>
                <w:webHidden/>
              </w:rPr>
              <w:instrText xml:space="preserve"> PAGEREF _Toc46478818 \h </w:instrText>
            </w:r>
            <w:r w:rsidR="0095297F">
              <w:rPr>
                <w:noProof/>
                <w:webHidden/>
              </w:rPr>
            </w:r>
            <w:r w:rsidR="0095297F">
              <w:rPr>
                <w:noProof/>
                <w:webHidden/>
              </w:rPr>
              <w:fldChar w:fldCharType="separate"/>
            </w:r>
            <w:r w:rsidR="0095297F">
              <w:rPr>
                <w:noProof/>
                <w:webHidden/>
              </w:rPr>
              <w:t>67</w:t>
            </w:r>
            <w:r w:rsidR="0095297F">
              <w:rPr>
                <w:noProof/>
                <w:webHidden/>
              </w:rPr>
              <w:fldChar w:fldCharType="end"/>
            </w:r>
          </w:hyperlink>
        </w:p>
        <w:p w:rsidR="0095297F" w:rsidRDefault="00614D4E" w14:paraId="333378C2" w14:textId="0EB37EDB">
          <w:pPr>
            <w:pStyle w:val="TOC1"/>
            <w:tabs>
              <w:tab w:val="right" w:leader="dot" w:pos="9350"/>
            </w:tabs>
            <w:rPr>
              <w:rFonts w:asciiTheme="minorHAnsi" w:hAnsiTheme="minorHAnsi" w:cstheme="minorBidi"/>
              <w:noProof/>
              <w:sz w:val="22"/>
            </w:rPr>
          </w:pPr>
          <w:hyperlink w:history="1" w:anchor="_Toc46478819">
            <w:r w:rsidRPr="007A4FA6" w:rsidR="0095297F">
              <w:rPr>
                <w:rStyle w:val="Hyperlink"/>
                <w:noProof/>
              </w:rPr>
              <w:t>9.</w:t>
            </w:r>
            <w:r w:rsidR="0095297F">
              <w:rPr>
                <w:rFonts w:asciiTheme="minorHAnsi" w:hAnsiTheme="minorHAnsi" w:cstheme="minorBidi"/>
                <w:noProof/>
                <w:sz w:val="22"/>
              </w:rPr>
              <w:tab/>
            </w:r>
            <w:r w:rsidRPr="007A4FA6" w:rsidR="0095297F">
              <w:rPr>
                <w:rStyle w:val="Hyperlink"/>
                <w:noProof/>
              </w:rPr>
              <w:t>Escalation Year Increases</w:t>
            </w:r>
            <w:r w:rsidR="0095297F">
              <w:rPr>
                <w:noProof/>
                <w:webHidden/>
              </w:rPr>
              <w:tab/>
            </w:r>
            <w:r w:rsidR="0095297F">
              <w:rPr>
                <w:noProof/>
                <w:webHidden/>
              </w:rPr>
              <w:fldChar w:fldCharType="begin"/>
            </w:r>
            <w:r w:rsidR="0095297F">
              <w:rPr>
                <w:noProof/>
                <w:webHidden/>
              </w:rPr>
              <w:instrText xml:space="preserve"> PAGEREF _Toc46478819 \h </w:instrText>
            </w:r>
            <w:r w:rsidR="0095297F">
              <w:rPr>
                <w:noProof/>
                <w:webHidden/>
              </w:rPr>
            </w:r>
            <w:r w:rsidR="0095297F">
              <w:rPr>
                <w:noProof/>
                <w:webHidden/>
              </w:rPr>
              <w:fldChar w:fldCharType="separate"/>
            </w:r>
            <w:r w:rsidR="0095297F">
              <w:rPr>
                <w:noProof/>
                <w:webHidden/>
              </w:rPr>
              <w:t>68</w:t>
            </w:r>
            <w:r w:rsidR="0095297F">
              <w:rPr>
                <w:noProof/>
                <w:webHidden/>
              </w:rPr>
              <w:fldChar w:fldCharType="end"/>
            </w:r>
          </w:hyperlink>
        </w:p>
        <w:p w:rsidR="0095297F" w:rsidRDefault="00614D4E" w14:paraId="58AC88BC" w14:textId="06D5820D">
          <w:pPr>
            <w:pStyle w:val="TOC1"/>
            <w:tabs>
              <w:tab w:val="right" w:leader="dot" w:pos="9350"/>
            </w:tabs>
            <w:rPr>
              <w:rFonts w:asciiTheme="minorHAnsi" w:hAnsiTheme="minorHAnsi" w:cstheme="minorBidi"/>
              <w:noProof/>
              <w:sz w:val="22"/>
            </w:rPr>
          </w:pPr>
          <w:hyperlink w:history="1" w:anchor="_Toc46478820">
            <w:r w:rsidRPr="007A4FA6" w:rsidR="0095297F">
              <w:rPr>
                <w:rStyle w:val="Hyperlink"/>
                <w:noProof/>
              </w:rPr>
              <w:t>10.</w:t>
            </w:r>
            <w:r w:rsidR="0095297F">
              <w:rPr>
                <w:rFonts w:asciiTheme="minorHAnsi" w:hAnsiTheme="minorHAnsi" w:cstheme="minorBidi"/>
                <w:noProof/>
                <w:sz w:val="22"/>
              </w:rPr>
              <w:tab/>
            </w:r>
            <w:r w:rsidRPr="007A4FA6" w:rsidR="0095297F">
              <w:rPr>
                <w:rStyle w:val="Hyperlink"/>
                <w:noProof/>
              </w:rPr>
              <w:t>Interim Rate Relief</w:t>
            </w:r>
            <w:r w:rsidR="0095297F">
              <w:rPr>
                <w:noProof/>
                <w:webHidden/>
              </w:rPr>
              <w:tab/>
            </w:r>
            <w:r w:rsidR="0095297F">
              <w:rPr>
                <w:noProof/>
                <w:webHidden/>
              </w:rPr>
              <w:fldChar w:fldCharType="begin"/>
            </w:r>
            <w:r w:rsidR="0095297F">
              <w:rPr>
                <w:noProof/>
                <w:webHidden/>
              </w:rPr>
              <w:instrText xml:space="preserve"> PAGEREF _Toc46478820 \h </w:instrText>
            </w:r>
            <w:r w:rsidR="0095297F">
              <w:rPr>
                <w:noProof/>
                <w:webHidden/>
              </w:rPr>
            </w:r>
            <w:r w:rsidR="0095297F">
              <w:rPr>
                <w:noProof/>
                <w:webHidden/>
              </w:rPr>
              <w:fldChar w:fldCharType="separate"/>
            </w:r>
            <w:r w:rsidR="0095297F">
              <w:rPr>
                <w:noProof/>
                <w:webHidden/>
              </w:rPr>
              <w:t>69</w:t>
            </w:r>
            <w:r w:rsidR="0095297F">
              <w:rPr>
                <w:noProof/>
                <w:webHidden/>
              </w:rPr>
              <w:fldChar w:fldCharType="end"/>
            </w:r>
          </w:hyperlink>
        </w:p>
        <w:p w:rsidR="0095297F" w:rsidRDefault="00614D4E" w14:paraId="6E068177" w14:textId="633FACF8">
          <w:pPr>
            <w:pStyle w:val="TOC1"/>
            <w:tabs>
              <w:tab w:val="right" w:leader="dot" w:pos="9350"/>
            </w:tabs>
            <w:rPr>
              <w:rFonts w:asciiTheme="minorHAnsi" w:hAnsiTheme="minorHAnsi" w:cstheme="minorBidi"/>
              <w:noProof/>
              <w:sz w:val="22"/>
            </w:rPr>
          </w:pPr>
          <w:hyperlink w:history="1" w:anchor="_Toc46478821">
            <w:r w:rsidRPr="007A4FA6" w:rsidR="0095297F">
              <w:rPr>
                <w:rStyle w:val="Hyperlink"/>
                <w:noProof/>
              </w:rPr>
              <w:t>11.</w:t>
            </w:r>
            <w:r w:rsidR="0095297F">
              <w:rPr>
                <w:rFonts w:asciiTheme="minorHAnsi" w:hAnsiTheme="minorHAnsi" w:cstheme="minorBidi"/>
                <w:noProof/>
                <w:sz w:val="22"/>
              </w:rPr>
              <w:tab/>
            </w:r>
            <w:r w:rsidRPr="007A4FA6" w:rsidR="0095297F">
              <w:rPr>
                <w:rStyle w:val="Hyperlink"/>
                <w:noProof/>
              </w:rPr>
              <w:t>Conclusion</w:t>
            </w:r>
            <w:r w:rsidR="0095297F">
              <w:rPr>
                <w:noProof/>
                <w:webHidden/>
              </w:rPr>
              <w:tab/>
            </w:r>
            <w:r w:rsidR="0095297F">
              <w:rPr>
                <w:noProof/>
                <w:webHidden/>
              </w:rPr>
              <w:fldChar w:fldCharType="begin"/>
            </w:r>
            <w:r w:rsidR="0095297F">
              <w:rPr>
                <w:noProof/>
                <w:webHidden/>
              </w:rPr>
              <w:instrText xml:space="preserve"> PAGEREF _Toc46478821 \h </w:instrText>
            </w:r>
            <w:r w:rsidR="0095297F">
              <w:rPr>
                <w:noProof/>
                <w:webHidden/>
              </w:rPr>
            </w:r>
            <w:r w:rsidR="0095297F">
              <w:rPr>
                <w:noProof/>
                <w:webHidden/>
              </w:rPr>
              <w:fldChar w:fldCharType="separate"/>
            </w:r>
            <w:r w:rsidR="0095297F">
              <w:rPr>
                <w:noProof/>
                <w:webHidden/>
              </w:rPr>
              <w:t>70</w:t>
            </w:r>
            <w:r w:rsidR="0095297F">
              <w:rPr>
                <w:noProof/>
                <w:webHidden/>
              </w:rPr>
              <w:fldChar w:fldCharType="end"/>
            </w:r>
          </w:hyperlink>
        </w:p>
        <w:p w:rsidR="0095297F" w:rsidRDefault="00614D4E" w14:paraId="0AA1A506" w14:textId="2DF08E12">
          <w:pPr>
            <w:pStyle w:val="TOC1"/>
            <w:tabs>
              <w:tab w:val="right" w:leader="dot" w:pos="9350"/>
            </w:tabs>
            <w:rPr>
              <w:rFonts w:asciiTheme="minorHAnsi" w:hAnsiTheme="minorHAnsi" w:cstheme="minorBidi"/>
              <w:noProof/>
              <w:sz w:val="22"/>
            </w:rPr>
          </w:pPr>
          <w:hyperlink w:history="1" w:anchor="_Toc46478822">
            <w:r w:rsidRPr="007A4FA6" w:rsidR="0095297F">
              <w:rPr>
                <w:rStyle w:val="Hyperlink"/>
                <w:noProof/>
              </w:rPr>
              <w:t>12.</w:t>
            </w:r>
            <w:r w:rsidR="0095297F">
              <w:rPr>
                <w:rFonts w:asciiTheme="minorHAnsi" w:hAnsiTheme="minorHAnsi" w:cstheme="minorBidi"/>
                <w:noProof/>
                <w:sz w:val="22"/>
              </w:rPr>
              <w:tab/>
            </w:r>
            <w:r w:rsidRPr="007A4FA6" w:rsidR="0095297F">
              <w:rPr>
                <w:rStyle w:val="Hyperlink"/>
                <w:noProof/>
              </w:rPr>
              <w:t>Comments on Proposed Decision</w:t>
            </w:r>
            <w:r w:rsidR="0095297F">
              <w:rPr>
                <w:noProof/>
                <w:webHidden/>
              </w:rPr>
              <w:tab/>
            </w:r>
            <w:r w:rsidR="0095297F">
              <w:rPr>
                <w:noProof/>
                <w:webHidden/>
              </w:rPr>
              <w:fldChar w:fldCharType="begin"/>
            </w:r>
            <w:r w:rsidR="0095297F">
              <w:rPr>
                <w:noProof/>
                <w:webHidden/>
              </w:rPr>
              <w:instrText xml:space="preserve"> PAGEREF _Toc46478822 \h </w:instrText>
            </w:r>
            <w:r w:rsidR="0095297F">
              <w:rPr>
                <w:noProof/>
                <w:webHidden/>
              </w:rPr>
            </w:r>
            <w:r w:rsidR="0095297F">
              <w:rPr>
                <w:noProof/>
                <w:webHidden/>
              </w:rPr>
              <w:fldChar w:fldCharType="separate"/>
            </w:r>
            <w:r w:rsidR="0095297F">
              <w:rPr>
                <w:noProof/>
                <w:webHidden/>
              </w:rPr>
              <w:t>71</w:t>
            </w:r>
            <w:r w:rsidR="0095297F">
              <w:rPr>
                <w:noProof/>
                <w:webHidden/>
              </w:rPr>
              <w:fldChar w:fldCharType="end"/>
            </w:r>
          </w:hyperlink>
        </w:p>
        <w:p w:rsidR="0095297F" w:rsidRDefault="00614D4E" w14:paraId="76449524" w14:textId="7AB28C57">
          <w:pPr>
            <w:pStyle w:val="TOC1"/>
            <w:tabs>
              <w:tab w:val="right" w:leader="dot" w:pos="9350"/>
            </w:tabs>
            <w:rPr>
              <w:rFonts w:asciiTheme="minorHAnsi" w:hAnsiTheme="minorHAnsi" w:cstheme="minorBidi"/>
              <w:noProof/>
              <w:sz w:val="22"/>
            </w:rPr>
          </w:pPr>
          <w:hyperlink w:history="1" w:anchor="_Toc46478823">
            <w:r w:rsidRPr="007A4FA6" w:rsidR="0095297F">
              <w:rPr>
                <w:rStyle w:val="Hyperlink"/>
                <w:noProof/>
              </w:rPr>
              <w:t>13.</w:t>
            </w:r>
            <w:r w:rsidR="0095297F">
              <w:rPr>
                <w:rFonts w:asciiTheme="minorHAnsi" w:hAnsiTheme="minorHAnsi" w:cstheme="minorBidi"/>
                <w:noProof/>
                <w:sz w:val="22"/>
              </w:rPr>
              <w:tab/>
            </w:r>
            <w:r w:rsidRPr="007A4FA6" w:rsidR="0095297F">
              <w:rPr>
                <w:rStyle w:val="Hyperlink"/>
                <w:noProof/>
              </w:rPr>
              <w:t>Assignment of Proceeding</w:t>
            </w:r>
            <w:r w:rsidR="0095297F">
              <w:rPr>
                <w:noProof/>
                <w:webHidden/>
              </w:rPr>
              <w:tab/>
            </w:r>
            <w:r w:rsidR="0095297F">
              <w:rPr>
                <w:noProof/>
                <w:webHidden/>
              </w:rPr>
              <w:fldChar w:fldCharType="begin"/>
            </w:r>
            <w:r w:rsidR="0095297F">
              <w:rPr>
                <w:noProof/>
                <w:webHidden/>
              </w:rPr>
              <w:instrText xml:space="preserve"> PAGEREF _Toc46478823 \h </w:instrText>
            </w:r>
            <w:r w:rsidR="0095297F">
              <w:rPr>
                <w:noProof/>
                <w:webHidden/>
              </w:rPr>
            </w:r>
            <w:r w:rsidR="0095297F">
              <w:rPr>
                <w:noProof/>
                <w:webHidden/>
              </w:rPr>
              <w:fldChar w:fldCharType="separate"/>
            </w:r>
            <w:r w:rsidR="0095297F">
              <w:rPr>
                <w:noProof/>
                <w:webHidden/>
              </w:rPr>
              <w:t>71</w:t>
            </w:r>
            <w:r w:rsidR="0095297F">
              <w:rPr>
                <w:noProof/>
                <w:webHidden/>
              </w:rPr>
              <w:fldChar w:fldCharType="end"/>
            </w:r>
          </w:hyperlink>
        </w:p>
        <w:p w:rsidR="0095297F" w:rsidRDefault="00614D4E" w14:paraId="401A8E99" w14:textId="00C9EADD">
          <w:pPr>
            <w:pStyle w:val="TOC1"/>
            <w:tabs>
              <w:tab w:val="right" w:leader="dot" w:pos="9350"/>
            </w:tabs>
            <w:rPr>
              <w:rFonts w:asciiTheme="minorHAnsi" w:hAnsiTheme="minorHAnsi" w:cstheme="minorBidi"/>
              <w:noProof/>
              <w:sz w:val="22"/>
            </w:rPr>
          </w:pPr>
          <w:hyperlink w:history="1" w:anchor="_Toc46478824">
            <w:r w:rsidRPr="007A4FA6" w:rsidR="0095297F">
              <w:rPr>
                <w:rStyle w:val="Hyperlink"/>
                <w:noProof/>
              </w:rPr>
              <w:t>Findings of Fact</w:t>
            </w:r>
            <w:r w:rsidR="0095297F">
              <w:rPr>
                <w:noProof/>
                <w:webHidden/>
              </w:rPr>
              <w:tab/>
            </w:r>
            <w:r w:rsidR="0095297F">
              <w:rPr>
                <w:noProof/>
                <w:webHidden/>
              </w:rPr>
              <w:fldChar w:fldCharType="begin"/>
            </w:r>
            <w:r w:rsidR="0095297F">
              <w:rPr>
                <w:noProof/>
                <w:webHidden/>
              </w:rPr>
              <w:instrText xml:space="preserve"> PAGEREF _Toc46478824 \h </w:instrText>
            </w:r>
            <w:r w:rsidR="0095297F">
              <w:rPr>
                <w:noProof/>
                <w:webHidden/>
              </w:rPr>
            </w:r>
            <w:r w:rsidR="0095297F">
              <w:rPr>
                <w:noProof/>
                <w:webHidden/>
              </w:rPr>
              <w:fldChar w:fldCharType="separate"/>
            </w:r>
            <w:r w:rsidR="0095297F">
              <w:rPr>
                <w:noProof/>
                <w:webHidden/>
              </w:rPr>
              <w:t>72</w:t>
            </w:r>
            <w:r w:rsidR="0095297F">
              <w:rPr>
                <w:noProof/>
                <w:webHidden/>
              </w:rPr>
              <w:fldChar w:fldCharType="end"/>
            </w:r>
          </w:hyperlink>
        </w:p>
        <w:p w:rsidR="0095297F" w:rsidRDefault="00614D4E" w14:paraId="55DD5B9F" w14:textId="42FED5C1">
          <w:pPr>
            <w:pStyle w:val="TOC1"/>
            <w:tabs>
              <w:tab w:val="right" w:leader="dot" w:pos="9350"/>
            </w:tabs>
            <w:rPr>
              <w:rFonts w:asciiTheme="minorHAnsi" w:hAnsiTheme="minorHAnsi" w:cstheme="minorBidi"/>
              <w:noProof/>
              <w:sz w:val="22"/>
            </w:rPr>
          </w:pPr>
          <w:hyperlink w:history="1" w:anchor="_Toc46478825">
            <w:r w:rsidRPr="007A4FA6" w:rsidR="0095297F">
              <w:rPr>
                <w:rStyle w:val="Hyperlink"/>
                <w:noProof/>
              </w:rPr>
              <w:t>Conclusions of Law</w:t>
            </w:r>
            <w:r w:rsidR="0095297F">
              <w:rPr>
                <w:noProof/>
                <w:webHidden/>
              </w:rPr>
              <w:tab/>
            </w:r>
            <w:r w:rsidR="0095297F">
              <w:rPr>
                <w:noProof/>
                <w:webHidden/>
              </w:rPr>
              <w:fldChar w:fldCharType="begin"/>
            </w:r>
            <w:r w:rsidR="0095297F">
              <w:rPr>
                <w:noProof/>
                <w:webHidden/>
              </w:rPr>
              <w:instrText xml:space="preserve"> PAGEREF _Toc46478825 \h </w:instrText>
            </w:r>
            <w:r w:rsidR="0095297F">
              <w:rPr>
                <w:noProof/>
                <w:webHidden/>
              </w:rPr>
            </w:r>
            <w:r w:rsidR="0095297F">
              <w:rPr>
                <w:noProof/>
                <w:webHidden/>
              </w:rPr>
              <w:fldChar w:fldCharType="separate"/>
            </w:r>
            <w:r w:rsidR="0095297F">
              <w:rPr>
                <w:noProof/>
                <w:webHidden/>
              </w:rPr>
              <w:t>77</w:t>
            </w:r>
            <w:r w:rsidR="0095297F">
              <w:rPr>
                <w:noProof/>
                <w:webHidden/>
              </w:rPr>
              <w:fldChar w:fldCharType="end"/>
            </w:r>
          </w:hyperlink>
        </w:p>
        <w:p w:rsidR="0095297F" w:rsidRDefault="00614D4E" w14:paraId="2810CD03" w14:textId="364CFE9E">
          <w:pPr>
            <w:pStyle w:val="TOC1"/>
            <w:tabs>
              <w:tab w:val="right" w:leader="dot" w:pos="9350"/>
            </w:tabs>
            <w:rPr>
              <w:rFonts w:asciiTheme="minorHAnsi" w:hAnsiTheme="minorHAnsi" w:cstheme="minorBidi"/>
              <w:noProof/>
              <w:sz w:val="22"/>
            </w:rPr>
          </w:pPr>
          <w:hyperlink w:history="1" w:anchor="_Toc46478826">
            <w:r w:rsidRPr="007A4FA6" w:rsidR="0095297F">
              <w:rPr>
                <w:rStyle w:val="Hyperlink"/>
                <w:noProof/>
              </w:rPr>
              <w:t>ORDER</w:t>
            </w:r>
            <w:r w:rsidR="0095297F">
              <w:rPr>
                <w:noProof/>
                <w:webHidden/>
              </w:rPr>
              <w:tab/>
            </w:r>
            <w:r w:rsidR="0095297F">
              <w:rPr>
                <w:noProof/>
                <w:webHidden/>
              </w:rPr>
              <w:fldChar w:fldCharType="begin"/>
            </w:r>
            <w:r w:rsidR="0095297F">
              <w:rPr>
                <w:noProof/>
                <w:webHidden/>
              </w:rPr>
              <w:instrText xml:space="preserve"> PAGEREF _Toc46478826 \h </w:instrText>
            </w:r>
            <w:r w:rsidR="0095297F">
              <w:rPr>
                <w:noProof/>
                <w:webHidden/>
              </w:rPr>
            </w:r>
            <w:r w:rsidR="0095297F">
              <w:rPr>
                <w:noProof/>
                <w:webHidden/>
              </w:rPr>
              <w:fldChar w:fldCharType="separate"/>
            </w:r>
            <w:r w:rsidR="0095297F">
              <w:rPr>
                <w:noProof/>
                <w:webHidden/>
              </w:rPr>
              <w:t>80</w:t>
            </w:r>
            <w:r w:rsidR="0095297F">
              <w:rPr>
                <w:noProof/>
                <w:webHidden/>
              </w:rPr>
              <w:fldChar w:fldCharType="end"/>
            </w:r>
          </w:hyperlink>
        </w:p>
        <w:p w:rsidR="00D82A43" w:rsidP="008C7413" w:rsidRDefault="008C7413" w14:paraId="250CBE21" w14:textId="2795B54C">
          <w:pPr>
            <w:pStyle w:val="TOC1"/>
            <w:tabs>
              <w:tab w:val="right" w:leader="dot" w:pos="9350"/>
            </w:tabs>
          </w:pPr>
          <w:r>
            <w:rPr>
              <w:rFonts w:asciiTheme="minorHAnsi" w:hAnsiTheme="minorHAnsi"/>
              <w:sz w:val="22"/>
            </w:rPr>
            <w:fldChar w:fldCharType="end"/>
          </w:r>
        </w:p>
      </w:sdtContent>
    </w:sdt>
    <w:p w:rsidRPr="0098655A" w:rsidR="0098655A" w:rsidP="00D50119" w:rsidRDefault="0098655A" w14:paraId="74E6C516" w14:textId="5B6B9238">
      <w:pPr>
        <w:spacing w:line="240" w:lineRule="auto"/>
        <w:ind w:firstLine="0"/>
        <w:rPr>
          <w:rFonts w:cs="Arial"/>
          <w:szCs w:val="26"/>
        </w:rPr>
      </w:pPr>
      <w:r w:rsidRPr="0098655A">
        <w:rPr>
          <w:rFonts w:cs="Arial"/>
          <w:b/>
          <w:szCs w:val="26"/>
        </w:rPr>
        <w:t>Appendix A</w:t>
      </w:r>
      <w:r w:rsidRPr="0098655A">
        <w:rPr>
          <w:rFonts w:cs="Arial"/>
          <w:szCs w:val="26"/>
        </w:rPr>
        <w:t xml:space="preserve"> –</w:t>
      </w:r>
      <w:r w:rsidR="00E23CBB">
        <w:rPr>
          <w:rFonts w:cs="Arial"/>
          <w:szCs w:val="26"/>
        </w:rPr>
        <w:t xml:space="preserve"> </w:t>
      </w:r>
      <w:bookmarkStart w:name="_Hlk45286733" w:id="1"/>
      <w:r w:rsidR="006070B6">
        <w:rPr>
          <w:rFonts w:cs="Arial"/>
          <w:szCs w:val="26"/>
        </w:rPr>
        <w:t>Liberty Apple Valley Summary of Earnings</w:t>
      </w:r>
      <w:bookmarkEnd w:id="1"/>
    </w:p>
    <w:p w:rsidRPr="0098655A" w:rsidR="0098655A" w:rsidP="00D50119" w:rsidRDefault="0098655A" w14:paraId="5423D9AC" w14:textId="48D54513">
      <w:pPr>
        <w:spacing w:line="240" w:lineRule="auto"/>
        <w:ind w:firstLine="0"/>
        <w:rPr>
          <w:rFonts w:cs="Arial"/>
          <w:szCs w:val="26"/>
        </w:rPr>
      </w:pPr>
      <w:r w:rsidRPr="0098655A">
        <w:rPr>
          <w:rFonts w:cs="Arial"/>
          <w:b/>
          <w:szCs w:val="26"/>
        </w:rPr>
        <w:lastRenderedPageBreak/>
        <w:t>Appendix B</w:t>
      </w:r>
      <w:r w:rsidRPr="0098655A">
        <w:rPr>
          <w:rFonts w:cs="Arial"/>
          <w:szCs w:val="26"/>
        </w:rPr>
        <w:t xml:space="preserve"> – </w:t>
      </w:r>
      <w:r w:rsidR="006070B6">
        <w:rPr>
          <w:rFonts w:cs="Arial"/>
          <w:szCs w:val="26"/>
        </w:rPr>
        <w:t>Liberty Apple Valley Rates</w:t>
      </w:r>
    </w:p>
    <w:p w:rsidR="00F76650" w:rsidP="00D44DB6" w:rsidRDefault="0098655A" w14:paraId="7E627EE9" w14:textId="17261428">
      <w:pPr>
        <w:spacing w:line="240" w:lineRule="auto"/>
        <w:ind w:firstLine="0"/>
        <w:rPr>
          <w:rFonts w:cs="Arial"/>
          <w:szCs w:val="26"/>
        </w:rPr>
      </w:pPr>
      <w:r w:rsidRPr="0098655A">
        <w:rPr>
          <w:rFonts w:cs="Arial"/>
          <w:b/>
          <w:szCs w:val="26"/>
        </w:rPr>
        <w:t>Appendix C</w:t>
      </w:r>
      <w:r w:rsidRPr="0098655A">
        <w:rPr>
          <w:rFonts w:cs="Arial"/>
          <w:szCs w:val="26"/>
        </w:rPr>
        <w:t xml:space="preserve"> – </w:t>
      </w:r>
      <w:r w:rsidR="006070B6">
        <w:rPr>
          <w:rFonts w:cs="Arial"/>
          <w:szCs w:val="26"/>
        </w:rPr>
        <w:t>Liberty Apple Valley Quantities of Customers and Sales</w:t>
      </w:r>
    </w:p>
    <w:p w:rsidRPr="0098655A" w:rsidR="006070B6" w:rsidP="006070B6" w:rsidRDefault="006070B6" w14:paraId="41D76E55" w14:textId="0101C71C">
      <w:pPr>
        <w:spacing w:line="240" w:lineRule="auto"/>
        <w:ind w:firstLine="0"/>
        <w:rPr>
          <w:rFonts w:cs="Arial"/>
          <w:szCs w:val="26"/>
        </w:rPr>
      </w:pPr>
      <w:r w:rsidRPr="0098655A">
        <w:rPr>
          <w:rFonts w:cs="Arial"/>
          <w:b/>
          <w:szCs w:val="26"/>
        </w:rPr>
        <w:t xml:space="preserve">Appendix </w:t>
      </w:r>
      <w:r>
        <w:rPr>
          <w:rFonts w:cs="Arial"/>
          <w:b/>
          <w:szCs w:val="26"/>
        </w:rPr>
        <w:t>D</w:t>
      </w:r>
      <w:r w:rsidRPr="0098655A">
        <w:rPr>
          <w:rFonts w:cs="Arial"/>
          <w:szCs w:val="26"/>
        </w:rPr>
        <w:t xml:space="preserve"> –</w:t>
      </w:r>
      <w:r>
        <w:rPr>
          <w:rFonts w:cs="Arial"/>
          <w:szCs w:val="26"/>
        </w:rPr>
        <w:t xml:space="preserve"> Liberty Apple Valley Approved Settled and Uncontested Issues</w:t>
      </w:r>
    </w:p>
    <w:p w:rsidRPr="0098655A" w:rsidR="006070B6" w:rsidP="006070B6" w:rsidRDefault="006070B6" w14:paraId="00B08C1F" w14:textId="55C1A765">
      <w:pPr>
        <w:spacing w:line="240" w:lineRule="auto"/>
        <w:ind w:firstLine="0"/>
        <w:rPr>
          <w:rFonts w:cs="Arial"/>
          <w:szCs w:val="26"/>
        </w:rPr>
      </w:pPr>
      <w:r w:rsidRPr="0098655A">
        <w:rPr>
          <w:rFonts w:cs="Arial"/>
          <w:b/>
          <w:szCs w:val="26"/>
        </w:rPr>
        <w:t xml:space="preserve">Appendix </w:t>
      </w:r>
      <w:r>
        <w:rPr>
          <w:rFonts w:cs="Arial"/>
          <w:b/>
          <w:szCs w:val="26"/>
        </w:rPr>
        <w:t>E</w:t>
      </w:r>
      <w:r w:rsidRPr="0098655A">
        <w:rPr>
          <w:rFonts w:cs="Arial"/>
          <w:szCs w:val="26"/>
        </w:rPr>
        <w:t xml:space="preserve"> – </w:t>
      </w:r>
      <w:r>
        <w:rPr>
          <w:rFonts w:cs="Arial"/>
          <w:szCs w:val="26"/>
        </w:rPr>
        <w:t>Liberty Apple Valley Approved Balancing and Memorandum Accounts</w:t>
      </w:r>
    </w:p>
    <w:p w:rsidRPr="0098655A" w:rsidR="006070B6" w:rsidP="006070B6" w:rsidRDefault="006070B6" w14:paraId="26DB0538" w14:textId="66655EE4">
      <w:pPr>
        <w:spacing w:line="240" w:lineRule="auto"/>
        <w:ind w:firstLine="0"/>
        <w:rPr>
          <w:rFonts w:cs="Arial"/>
          <w:szCs w:val="26"/>
        </w:rPr>
      </w:pPr>
      <w:r w:rsidRPr="0098655A">
        <w:rPr>
          <w:rFonts w:cs="Arial"/>
          <w:b/>
          <w:szCs w:val="26"/>
        </w:rPr>
        <w:t xml:space="preserve">Appendix </w:t>
      </w:r>
      <w:r>
        <w:rPr>
          <w:rFonts w:cs="Arial"/>
          <w:b/>
          <w:szCs w:val="26"/>
        </w:rPr>
        <w:t>F</w:t>
      </w:r>
      <w:r w:rsidRPr="0098655A">
        <w:rPr>
          <w:rFonts w:cs="Arial"/>
          <w:szCs w:val="26"/>
        </w:rPr>
        <w:t xml:space="preserve"> –</w:t>
      </w:r>
      <w:r>
        <w:rPr>
          <w:rFonts w:cs="Arial"/>
          <w:szCs w:val="26"/>
        </w:rPr>
        <w:t xml:space="preserve"> Liberty Park Summary of Earnings</w:t>
      </w:r>
    </w:p>
    <w:p w:rsidRPr="0098655A" w:rsidR="006070B6" w:rsidP="006070B6" w:rsidRDefault="006070B6" w14:paraId="3B63ED64" w14:textId="57A8A5CE">
      <w:pPr>
        <w:spacing w:line="240" w:lineRule="auto"/>
        <w:ind w:firstLine="0"/>
        <w:rPr>
          <w:rFonts w:cs="Arial"/>
          <w:szCs w:val="26"/>
        </w:rPr>
      </w:pPr>
      <w:r w:rsidRPr="0098655A">
        <w:rPr>
          <w:rFonts w:cs="Arial"/>
          <w:b/>
          <w:szCs w:val="26"/>
        </w:rPr>
        <w:t xml:space="preserve">Appendix </w:t>
      </w:r>
      <w:r>
        <w:rPr>
          <w:rFonts w:cs="Arial"/>
          <w:b/>
          <w:szCs w:val="26"/>
        </w:rPr>
        <w:t>G</w:t>
      </w:r>
      <w:r w:rsidRPr="0098655A">
        <w:rPr>
          <w:rFonts w:cs="Arial"/>
          <w:szCs w:val="26"/>
        </w:rPr>
        <w:t xml:space="preserve"> – </w:t>
      </w:r>
      <w:r>
        <w:rPr>
          <w:rFonts w:cs="Arial"/>
          <w:szCs w:val="26"/>
        </w:rPr>
        <w:t>Liberty Park Rates</w:t>
      </w:r>
    </w:p>
    <w:p w:rsidR="006070B6" w:rsidP="006070B6" w:rsidRDefault="006070B6" w14:paraId="0396EA13" w14:textId="48C4DD2A">
      <w:pPr>
        <w:spacing w:line="240" w:lineRule="auto"/>
        <w:ind w:firstLine="0"/>
        <w:rPr>
          <w:rFonts w:cs="Arial"/>
          <w:szCs w:val="26"/>
        </w:rPr>
      </w:pPr>
      <w:r w:rsidRPr="0098655A">
        <w:rPr>
          <w:rFonts w:cs="Arial"/>
          <w:b/>
          <w:szCs w:val="26"/>
        </w:rPr>
        <w:t xml:space="preserve">Appendix </w:t>
      </w:r>
      <w:r>
        <w:rPr>
          <w:rFonts w:cs="Arial"/>
          <w:b/>
          <w:szCs w:val="26"/>
        </w:rPr>
        <w:t>H</w:t>
      </w:r>
      <w:r w:rsidRPr="0098655A">
        <w:rPr>
          <w:rFonts w:cs="Arial"/>
          <w:szCs w:val="26"/>
        </w:rPr>
        <w:t xml:space="preserve"> – </w:t>
      </w:r>
      <w:r>
        <w:rPr>
          <w:rFonts w:cs="Arial"/>
          <w:szCs w:val="26"/>
        </w:rPr>
        <w:t>Liberty Park Quantities of Customers and Sales</w:t>
      </w:r>
    </w:p>
    <w:p w:rsidRPr="0098655A" w:rsidR="006070B6" w:rsidP="006070B6" w:rsidRDefault="006070B6" w14:paraId="4F9E9F16" w14:textId="4E9F4BA4">
      <w:pPr>
        <w:spacing w:line="240" w:lineRule="auto"/>
        <w:ind w:firstLine="0"/>
        <w:rPr>
          <w:rFonts w:cs="Arial"/>
          <w:szCs w:val="26"/>
        </w:rPr>
      </w:pPr>
      <w:r w:rsidRPr="0098655A">
        <w:rPr>
          <w:rFonts w:cs="Arial"/>
          <w:b/>
          <w:szCs w:val="26"/>
        </w:rPr>
        <w:t xml:space="preserve">Appendix </w:t>
      </w:r>
      <w:r>
        <w:rPr>
          <w:rFonts w:cs="Arial"/>
          <w:b/>
          <w:szCs w:val="26"/>
        </w:rPr>
        <w:t>I</w:t>
      </w:r>
      <w:r w:rsidRPr="0098655A">
        <w:rPr>
          <w:rFonts w:cs="Arial"/>
          <w:szCs w:val="26"/>
        </w:rPr>
        <w:t xml:space="preserve"> –</w:t>
      </w:r>
      <w:r>
        <w:rPr>
          <w:rFonts w:cs="Arial"/>
          <w:szCs w:val="26"/>
        </w:rPr>
        <w:t xml:space="preserve"> Liberty Park Approved Settled and Uncontested Issues</w:t>
      </w:r>
    </w:p>
    <w:p w:rsidR="007A659B" w:rsidP="00D44DB6" w:rsidRDefault="006070B6" w14:paraId="7E8CF5A0" w14:textId="77777777">
      <w:pPr>
        <w:spacing w:line="240" w:lineRule="auto"/>
        <w:ind w:firstLine="0"/>
        <w:rPr>
          <w:rFonts w:cs="Arial"/>
          <w:i/>
          <w:szCs w:val="26"/>
        </w:rPr>
      </w:pPr>
      <w:r w:rsidRPr="0098655A">
        <w:rPr>
          <w:rFonts w:cs="Arial"/>
          <w:b/>
          <w:szCs w:val="26"/>
        </w:rPr>
        <w:t xml:space="preserve">Appendix </w:t>
      </w:r>
      <w:r>
        <w:rPr>
          <w:rFonts w:cs="Arial"/>
          <w:b/>
          <w:szCs w:val="26"/>
        </w:rPr>
        <w:t>J</w:t>
      </w:r>
      <w:r w:rsidRPr="0098655A">
        <w:rPr>
          <w:rFonts w:cs="Arial"/>
          <w:szCs w:val="26"/>
        </w:rPr>
        <w:t xml:space="preserve"> – </w:t>
      </w:r>
      <w:r>
        <w:rPr>
          <w:rFonts w:cs="Arial"/>
          <w:szCs w:val="26"/>
        </w:rPr>
        <w:t>Liberty Park Approved Balancing and Memorandum Accounts</w:t>
      </w:r>
    </w:p>
    <w:p w:rsidRPr="0098655A" w:rsidR="007A659B" w:rsidP="007A659B" w:rsidRDefault="007A659B" w14:paraId="237837BC" w14:textId="3658EB0F">
      <w:pPr>
        <w:spacing w:line="240" w:lineRule="auto"/>
        <w:ind w:firstLine="0"/>
        <w:rPr>
          <w:rFonts w:cs="Arial"/>
          <w:szCs w:val="26"/>
        </w:rPr>
      </w:pPr>
      <w:r w:rsidRPr="0098655A">
        <w:rPr>
          <w:rFonts w:cs="Arial"/>
          <w:b/>
          <w:szCs w:val="26"/>
        </w:rPr>
        <w:t>Appendix</w:t>
      </w:r>
      <w:r>
        <w:rPr>
          <w:rFonts w:cs="Arial"/>
          <w:b/>
          <w:szCs w:val="26"/>
        </w:rPr>
        <w:t xml:space="preserve"> K</w:t>
      </w:r>
      <w:r w:rsidRPr="0098655A">
        <w:rPr>
          <w:rFonts w:cs="Arial"/>
          <w:szCs w:val="26"/>
        </w:rPr>
        <w:t xml:space="preserve"> –</w:t>
      </w:r>
      <w:r>
        <w:rPr>
          <w:rFonts w:cs="Arial"/>
          <w:szCs w:val="26"/>
        </w:rPr>
        <w:t xml:space="preserve"> Liberty General Office/Downey Revenue Requirement</w:t>
      </w:r>
    </w:p>
    <w:p w:rsidRPr="00D44DB6" w:rsidR="00D44DB6" w:rsidP="007A659B" w:rsidRDefault="007A659B" w14:paraId="0CE2E433" w14:textId="350ED56C">
      <w:pPr>
        <w:spacing w:line="240" w:lineRule="auto"/>
        <w:ind w:firstLine="0"/>
        <w:rPr>
          <w:rFonts w:cs="Arial"/>
          <w:i/>
          <w:szCs w:val="26"/>
        </w:rPr>
        <w:sectPr w:rsidRPr="00D44DB6" w:rsidR="00D44DB6" w:rsidSect="00D44DB6">
          <w:headerReference w:type="even" r:id="rId10"/>
          <w:headerReference w:type="default" r:id="rId11"/>
          <w:footerReference w:type="default" r:id="rId12"/>
          <w:headerReference w:type="first" r:id="rId13"/>
          <w:pgSz w:w="12240" w:h="15840"/>
          <w:pgMar w:top="1728" w:right="1440" w:bottom="1440" w:left="1440" w:header="720" w:footer="720" w:gutter="0"/>
          <w:pgNumType w:fmt="lowerRoman" w:start="1"/>
          <w:cols w:space="720"/>
          <w:docGrid w:linePitch="360"/>
        </w:sectPr>
      </w:pPr>
      <w:r w:rsidRPr="0098655A">
        <w:rPr>
          <w:rFonts w:cs="Arial"/>
          <w:b/>
          <w:szCs w:val="26"/>
        </w:rPr>
        <w:t xml:space="preserve">Appendix </w:t>
      </w:r>
      <w:r>
        <w:rPr>
          <w:rFonts w:cs="Arial"/>
          <w:b/>
          <w:szCs w:val="26"/>
        </w:rPr>
        <w:t>J</w:t>
      </w:r>
      <w:r w:rsidRPr="0098655A">
        <w:rPr>
          <w:rFonts w:cs="Arial"/>
          <w:szCs w:val="26"/>
        </w:rPr>
        <w:t xml:space="preserve"> – </w:t>
      </w:r>
      <w:r>
        <w:rPr>
          <w:rFonts w:cs="Arial"/>
          <w:szCs w:val="26"/>
        </w:rPr>
        <w:t>Liberty Corporate Allocation Factors</w:t>
      </w:r>
    </w:p>
    <w:p w:rsidR="0098655A" w:rsidP="00D82A43" w:rsidRDefault="00163498" w14:paraId="775937EA" w14:textId="124EC00B">
      <w:pPr>
        <w:pStyle w:val="Main"/>
        <w:spacing w:after="240"/>
      </w:pPr>
      <w:r>
        <w:lastRenderedPageBreak/>
        <w:t>DECISION AUTHORIZING RATE CHANGES FOR LIBERTY UTILITIES (APPLE VALLEY RA</w:t>
      </w:r>
      <w:r w:rsidR="009379DE">
        <w:t>n</w:t>
      </w:r>
      <w:r>
        <w:t>CHOS WATER) CORP. AND FOR LIBERTY UTILITIES (PARK WATER) CORP. FOR YEARS  2019, 2020, 2021</w:t>
      </w:r>
    </w:p>
    <w:p w:rsidR="005A148C" w:rsidP="005A148C" w:rsidRDefault="005A148C" w14:paraId="34C2FF79" w14:textId="77777777">
      <w:pPr>
        <w:pStyle w:val="Dummy"/>
      </w:pPr>
      <w:bookmarkStart w:name="_Toc8123714" w:id="2"/>
      <w:bookmarkStart w:name="_Toc46478765" w:id="3"/>
      <w:r>
        <w:t>Summary</w:t>
      </w:r>
      <w:bookmarkEnd w:id="2"/>
      <w:bookmarkEnd w:id="3"/>
    </w:p>
    <w:p w:rsidR="00CB0ADC" w:rsidP="00B878B7" w:rsidRDefault="002F4863" w14:paraId="35D292D0" w14:textId="75522959">
      <w:pPr>
        <w:pStyle w:val="Standard"/>
      </w:pPr>
      <w:r w:rsidRPr="0077454E">
        <w:t xml:space="preserve">This decision resolves the </w:t>
      </w:r>
      <w:r w:rsidR="00A94201">
        <w:t>Liberty Utilities (</w:t>
      </w:r>
      <w:r w:rsidR="00770734">
        <w:t>Apple Valley Ranchos</w:t>
      </w:r>
      <w:r w:rsidR="00C93200">
        <w:t xml:space="preserve"> </w:t>
      </w:r>
      <w:r w:rsidR="00C81F6A">
        <w:t>Water</w:t>
      </w:r>
      <w:r w:rsidR="00A94201">
        <w:t>) Corp.</w:t>
      </w:r>
      <w:r w:rsidR="00C81F6A">
        <w:t xml:space="preserve"> </w:t>
      </w:r>
      <w:r w:rsidR="00C93200">
        <w:t>(Liberty Apple Valley)</w:t>
      </w:r>
      <w:r w:rsidRPr="0077454E">
        <w:t xml:space="preserve"> </w:t>
      </w:r>
      <w:r w:rsidR="00B078DA">
        <w:t>and</w:t>
      </w:r>
      <w:r w:rsidR="00A94201">
        <w:t xml:space="preserve"> </w:t>
      </w:r>
      <w:bookmarkStart w:name="_Hlk38973087" w:id="4"/>
      <w:r w:rsidR="00A94201">
        <w:t>Liberty Utilities</w:t>
      </w:r>
      <w:r w:rsidR="00B078DA">
        <w:t xml:space="preserve"> </w:t>
      </w:r>
      <w:r w:rsidR="00A94201">
        <w:t>(</w:t>
      </w:r>
      <w:r w:rsidR="00B078DA">
        <w:t>Park Water</w:t>
      </w:r>
      <w:r w:rsidR="00A94201">
        <w:t>) Corp.</w:t>
      </w:r>
      <w:r w:rsidR="00B078DA">
        <w:t xml:space="preserve"> </w:t>
      </w:r>
      <w:r w:rsidR="00C93200">
        <w:t>(Liberty Park)</w:t>
      </w:r>
      <w:bookmarkEnd w:id="4"/>
      <w:r w:rsidR="00C93200">
        <w:t xml:space="preserve"> </w:t>
      </w:r>
      <w:r w:rsidRPr="0077454E">
        <w:t>general rate case</w:t>
      </w:r>
      <w:r w:rsidR="00B078DA">
        <w:t>s</w:t>
      </w:r>
      <w:r w:rsidR="002F30A0">
        <w:t xml:space="preserve"> for Test Year </w:t>
      </w:r>
      <w:r w:rsidR="00D25F31">
        <w:t xml:space="preserve">(TY) </w:t>
      </w:r>
      <w:r w:rsidR="002F30A0">
        <w:t>2019.</w:t>
      </w:r>
      <w:r w:rsidRPr="001A4D54" w:rsidR="001A4D54">
        <w:t xml:space="preserve"> </w:t>
      </w:r>
      <w:r w:rsidR="00546B4A">
        <w:t xml:space="preserve">For Liberty Apple Valley, we adopt </w:t>
      </w:r>
      <w:r w:rsidR="00F61288">
        <w:t xml:space="preserve">a </w:t>
      </w:r>
      <w:r w:rsidR="0030109B">
        <w:t>revenue</w:t>
      </w:r>
      <w:r w:rsidR="00F61288">
        <w:t xml:space="preserve"> requirement</w:t>
      </w:r>
      <w:r w:rsidRPr="0077454E">
        <w:t xml:space="preserve"> of </w:t>
      </w:r>
      <w:r w:rsidRPr="001150B7" w:rsidR="00665A6F">
        <w:t>$</w:t>
      </w:r>
      <w:r w:rsidR="00665A6F">
        <w:t>2</w:t>
      </w:r>
      <w:r w:rsidR="00C94044">
        <w:t>3</w:t>
      </w:r>
      <w:r w:rsidR="00CA1BCA">
        <w:t>.6</w:t>
      </w:r>
      <w:r w:rsidRPr="001150B7" w:rsidR="00665A6F">
        <w:t xml:space="preserve"> million in </w:t>
      </w:r>
      <w:r w:rsidR="009B395C">
        <w:t xml:space="preserve">TY </w:t>
      </w:r>
      <w:r w:rsidRPr="001150B7" w:rsidR="00665A6F">
        <w:t>2019, a</w:t>
      </w:r>
      <w:r w:rsidR="00665A6F">
        <w:t xml:space="preserve"> decrease</w:t>
      </w:r>
      <w:r w:rsidRPr="001150B7" w:rsidR="00665A6F">
        <w:t xml:space="preserve"> of $</w:t>
      </w:r>
      <w:r w:rsidR="009B381B">
        <w:t>329,605</w:t>
      </w:r>
      <w:r w:rsidRPr="001150B7" w:rsidR="00665A6F">
        <w:t xml:space="preserve"> or </w:t>
      </w:r>
      <w:r w:rsidR="00665A6F">
        <w:t>-</w:t>
      </w:r>
      <w:r w:rsidR="009B381B">
        <w:t>1</w:t>
      </w:r>
      <w:r w:rsidR="00665A6F">
        <w:t>.</w:t>
      </w:r>
      <w:r w:rsidR="00E0104F">
        <w:t>4</w:t>
      </w:r>
      <w:r w:rsidRPr="001150B7" w:rsidR="00665A6F">
        <w:t xml:space="preserve"> percent</w:t>
      </w:r>
      <w:r w:rsidR="00E0104F">
        <w:t xml:space="preserve"> </w:t>
      </w:r>
      <w:r w:rsidRPr="001150B7" w:rsidR="00665A6F">
        <w:t xml:space="preserve">over </w:t>
      </w:r>
      <w:r w:rsidR="0030109B">
        <w:t xml:space="preserve">revenues collected at </w:t>
      </w:r>
      <w:r w:rsidR="00CB0ADC">
        <w:t>estimated</w:t>
      </w:r>
      <w:r w:rsidR="00CB114E">
        <w:t xml:space="preserve"> </w:t>
      </w:r>
      <w:r w:rsidR="00AC4AA6">
        <w:t xml:space="preserve">present </w:t>
      </w:r>
      <w:r w:rsidR="00CB114E">
        <w:t>rates</w:t>
      </w:r>
      <w:r w:rsidRPr="001150B7" w:rsidR="00665A6F">
        <w:t>.</w:t>
      </w:r>
      <w:r w:rsidR="008B76A1">
        <w:t xml:space="preserve"> </w:t>
      </w:r>
      <w:r w:rsidR="00E0104F">
        <w:t>O</w:t>
      </w:r>
      <w:r w:rsidRPr="001150B7" w:rsidR="00665A6F">
        <w:t>ver the three-year rate cycle</w:t>
      </w:r>
      <w:r w:rsidR="00E0104F">
        <w:t xml:space="preserve">, </w:t>
      </w:r>
      <w:r w:rsidR="002F42A3">
        <w:t>the a</w:t>
      </w:r>
      <w:r w:rsidR="00A862A5">
        <w:t>dopted</w:t>
      </w:r>
      <w:r w:rsidRPr="001150B7" w:rsidR="00665A6F">
        <w:t xml:space="preserve"> </w:t>
      </w:r>
      <w:r w:rsidR="00465340">
        <w:t>change</w:t>
      </w:r>
      <w:r w:rsidR="00CB0ADC">
        <w:t xml:space="preserve"> would have </w:t>
      </w:r>
      <w:r w:rsidR="007536C1">
        <w:t>amounted to</w:t>
      </w:r>
      <w:r w:rsidR="00465340">
        <w:t xml:space="preserve"> an increase of</w:t>
      </w:r>
      <w:r w:rsidR="00E0104F">
        <w:t xml:space="preserve"> </w:t>
      </w:r>
      <w:r w:rsidR="00240C10">
        <w:t>2.2</w:t>
      </w:r>
      <w:r w:rsidR="00E0104F">
        <w:t xml:space="preserve"> </w:t>
      </w:r>
      <w:r w:rsidRPr="001150B7" w:rsidR="00665A6F">
        <w:t>percent.</w:t>
      </w:r>
      <w:r w:rsidR="008B76A1">
        <w:t xml:space="preserve"> </w:t>
      </w:r>
      <w:r w:rsidR="004350F6">
        <w:t>Compared to t</w:t>
      </w:r>
      <w:r w:rsidR="00991AF6">
        <w:t xml:space="preserve">he </w:t>
      </w:r>
      <w:r w:rsidR="00561112">
        <w:t xml:space="preserve">interim </w:t>
      </w:r>
      <w:r w:rsidR="00991AF6">
        <w:t>r</w:t>
      </w:r>
      <w:r w:rsidR="00501935">
        <w:t>evenue requirement</w:t>
      </w:r>
      <w:r w:rsidR="00991AF6">
        <w:t xml:space="preserve"> in effect today, our </w:t>
      </w:r>
      <w:r w:rsidR="00CD0344">
        <w:t xml:space="preserve">TY 2019 </w:t>
      </w:r>
      <w:r w:rsidR="00991AF6">
        <w:t xml:space="preserve">adopted </w:t>
      </w:r>
      <w:r w:rsidR="004979D6">
        <w:t>revenue requirement is an increase of 3.3 percent</w:t>
      </w:r>
      <w:r w:rsidR="00462F7F">
        <w:t>.</w:t>
      </w:r>
    </w:p>
    <w:p w:rsidR="002F4863" w:rsidP="00B878B7" w:rsidRDefault="007E43B0" w14:paraId="7C4F819B" w14:textId="0348A215">
      <w:pPr>
        <w:pStyle w:val="Standard"/>
      </w:pPr>
      <w:r>
        <w:t xml:space="preserve">For Liberty </w:t>
      </w:r>
      <w:r w:rsidR="00BB6289">
        <w:t>Park</w:t>
      </w:r>
      <w:r>
        <w:t xml:space="preserve">, we adopt </w:t>
      </w:r>
      <w:r w:rsidR="002F42A3">
        <w:t xml:space="preserve">a </w:t>
      </w:r>
      <w:r w:rsidR="00B65304">
        <w:t>revenue</w:t>
      </w:r>
      <w:r w:rsidR="002F42A3">
        <w:t xml:space="preserve"> requirement</w:t>
      </w:r>
      <w:r w:rsidRPr="0077454E">
        <w:t xml:space="preserve"> of </w:t>
      </w:r>
      <w:r w:rsidR="00643DB6">
        <w:t>$33</w:t>
      </w:r>
      <w:r w:rsidR="00974A97">
        <w:t>.0</w:t>
      </w:r>
      <w:r w:rsidR="00643DB6">
        <w:t xml:space="preserve"> million</w:t>
      </w:r>
      <w:r w:rsidRPr="0077454E" w:rsidR="00643DB6">
        <w:t xml:space="preserve"> for T</w:t>
      </w:r>
      <w:r w:rsidR="00643DB6">
        <w:t xml:space="preserve">Y </w:t>
      </w:r>
      <w:r w:rsidRPr="0077454E" w:rsidR="00643DB6">
        <w:t>201</w:t>
      </w:r>
      <w:r w:rsidR="00643DB6">
        <w:t xml:space="preserve">9, a </w:t>
      </w:r>
      <w:r w:rsidR="003F6DBB">
        <w:t>decrease</w:t>
      </w:r>
      <w:r w:rsidR="00643DB6">
        <w:t xml:space="preserve"> of $</w:t>
      </w:r>
      <w:r w:rsidR="003F6DBB">
        <w:t>55</w:t>
      </w:r>
      <w:r w:rsidR="00643DB6">
        <w:t xml:space="preserve">0,000 or </w:t>
      </w:r>
      <w:r w:rsidR="003F6DBB">
        <w:t>-1</w:t>
      </w:r>
      <w:r w:rsidR="00643DB6">
        <w:t>.</w:t>
      </w:r>
      <w:r w:rsidR="003F6DBB">
        <w:t>6</w:t>
      </w:r>
      <w:r w:rsidR="00643DB6">
        <w:t xml:space="preserve"> percent over </w:t>
      </w:r>
      <w:r w:rsidR="00B65304">
        <w:t xml:space="preserve">revenues collected at </w:t>
      </w:r>
      <w:r w:rsidR="003F6DBB">
        <w:t>estimated</w:t>
      </w:r>
      <w:r w:rsidR="0030109B">
        <w:t xml:space="preserve"> </w:t>
      </w:r>
      <w:r w:rsidR="00AC4AA6">
        <w:t xml:space="preserve">present </w:t>
      </w:r>
      <w:r w:rsidR="0030109B">
        <w:t>rates</w:t>
      </w:r>
      <w:r w:rsidRPr="001150B7" w:rsidR="00DB0523">
        <w:t>.</w:t>
      </w:r>
      <w:r w:rsidR="008B76A1">
        <w:t xml:space="preserve"> </w:t>
      </w:r>
      <w:r w:rsidR="00952817">
        <w:t>O</w:t>
      </w:r>
      <w:r w:rsidRPr="001150B7" w:rsidR="00DB0523">
        <w:t>ver the three-year rate cycle</w:t>
      </w:r>
      <w:r w:rsidR="00952817">
        <w:t>, the adopted change</w:t>
      </w:r>
      <w:r w:rsidRPr="001150B7" w:rsidR="00DB0523">
        <w:t xml:space="preserve"> w</w:t>
      </w:r>
      <w:r w:rsidR="003F6DBB">
        <w:t>ould have</w:t>
      </w:r>
      <w:r w:rsidRPr="001150B7" w:rsidR="00DB0523">
        <w:t xml:space="preserve"> </w:t>
      </w:r>
      <w:r w:rsidR="00952817">
        <w:t xml:space="preserve">amounted to an increase of </w:t>
      </w:r>
      <w:r w:rsidR="0094134B">
        <w:t>0.</w:t>
      </w:r>
      <w:r w:rsidR="003E5071">
        <w:t>3</w:t>
      </w:r>
      <w:r w:rsidRPr="001150B7" w:rsidR="00DB0523">
        <w:t xml:space="preserve"> percent.</w:t>
      </w:r>
      <w:r w:rsidR="00DB0523">
        <w:t xml:space="preserve"> </w:t>
      </w:r>
      <w:r w:rsidR="0094134B">
        <w:t xml:space="preserve">Compared to the </w:t>
      </w:r>
      <w:r w:rsidR="00262CEC">
        <w:t xml:space="preserve">interim </w:t>
      </w:r>
      <w:r w:rsidR="0094134B">
        <w:t xml:space="preserve">revenue requirement in effect today, our TY 2019 adopted revenue requirement is a </w:t>
      </w:r>
      <w:r w:rsidR="00232BFF">
        <w:t>de</w:t>
      </w:r>
      <w:r w:rsidR="0094134B">
        <w:t xml:space="preserve">crease of </w:t>
      </w:r>
      <w:r w:rsidR="00FC062B">
        <w:t>9</w:t>
      </w:r>
      <w:r w:rsidR="00232BFF">
        <w:t>.5</w:t>
      </w:r>
      <w:r w:rsidR="0094134B">
        <w:t xml:space="preserve"> percent</w:t>
      </w:r>
      <w:r w:rsidR="004B6DD2">
        <w:t>.</w:t>
      </w:r>
      <w:r w:rsidR="0094134B">
        <w:t xml:space="preserve"> </w:t>
      </w:r>
    </w:p>
    <w:p w:rsidR="003223B6" w:rsidP="00B878B7" w:rsidRDefault="00AC7F94" w14:paraId="36776F1A" w14:textId="5403FF1F">
      <w:pPr>
        <w:pStyle w:val="Standard"/>
      </w:pPr>
      <w:r w:rsidRPr="00700FEE">
        <w:t xml:space="preserve">Due to the passage of time, the </w:t>
      </w:r>
      <w:r w:rsidRPr="00700FEE" w:rsidR="00E3587E">
        <w:t xml:space="preserve">estimates on which rates are developed </w:t>
      </w:r>
      <w:r w:rsidRPr="00AF7A79" w:rsidR="00E3587E">
        <w:t>have become stale</w:t>
      </w:r>
      <w:r w:rsidRPr="00AF7A79">
        <w:t xml:space="preserve">. We address this </w:t>
      </w:r>
      <w:r w:rsidRPr="003B4BA5" w:rsidR="009B34DB">
        <w:t>concern</w:t>
      </w:r>
      <w:r w:rsidRPr="000362C9">
        <w:t xml:space="preserve"> by </w:t>
      </w:r>
      <w:r w:rsidRPr="003B4BA5" w:rsidR="009B34DB">
        <w:t>setting forth</w:t>
      </w:r>
      <w:r w:rsidRPr="000362C9" w:rsidR="00424B57">
        <w:t xml:space="preserve"> bill</w:t>
      </w:r>
      <w:r w:rsidRPr="000362C9" w:rsidR="00277BB2">
        <w:t xml:space="preserve"> impacts </w:t>
      </w:r>
      <w:r w:rsidRPr="003B4BA5" w:rsidR="003223B6">
        <w:t xml:space="preserve">as </w:t>
      </w:r>
      <w:r w:rsidRPr="00700FEE" w:rsidR="00A03441">
        <w:t>compared to</w:t>
      </w:r>
      <w:r w:rsidRPr="00AF7A79" w:rsidR="00424B57">
        <w:t xml:space="preserve"> the</w:t>
      </w:r>
      <w:r w:rsidRPr="000362C9" w:rsidR="00277BB2">
        <w:t xml:space="preserve"> interim rates in effect, and by requiring parties to verify authorized numbers at a technical workshop prior to implementing any changes</w:t>
      </w:r>
      <w:r w:rsidRPr="000362C9">
        <w:t>.</w:t>
      </w:r>
      <w:r>
        <w:t xml:space="preserve"> </w:t>
      </w:r>
    </w:p>
    <w:p w:rsidR="00826618" w:rsidP="00B878B7" w:rsidRDefault="008C4F19" w14:paraId="5784D50C" w14:textId="6FD8C138">
      <w:pPr>
        <w:pStyle w:val="Standard"/>
      </w:pPr>
      <w:r>
        <w:t xml:space="preserve">For TY 2019, the average Liberty Apple Valley residential customer with a 5/8 x 3/4" meter </w:t>
      </w:r>
      <w:r w:rsidR="007557DF">
        <w:t>can expect</w:t>
      </w:r>
      <w:r>
        <w:t xml:space="preserve"> a bill increase of 2.9 percent. In 2020, the bill </w:t>
      </w:r>
      <w:r w:rsidR="00EA42F4">
        <w:t>increase</w:t>
      </w:r>
      <w:r>
        <w:t xml:space="preserve"> over the prior year will be 1.4 percent</w:t>
      </w:r>
      <w:r w:rsidR="00F85AB7">
        <w:t>,</w:t>
      </w:r>
      <w:r>
        <w:t xml:space="preserve"> and in 2021, 5.9 percent. These rate impacts represent Liberty Apple Valley’s main district, known as Liberty Apple Valley</w:t>
      </w:r>
      <w:r w:rsidR="00EA329B">
        <w:t>-</w:t>
      </w:r>
      <w:r>
        <w:t>Domestic. The rates for the single customer in the Liberty Apple Valley-</w:t>
      </w:r>
      <w:r>
        <w:lastRenderedPageBreak/>
        <w:t xml:space="preserve">Irrigation district and for approximately 260 </w:t>
      </w:r>
      <w:r w:rsidR="00B30788">
        <w:t xml:space="preserve">residential </w:t>
      </w:r>
      <w:r>
        <w:t xml:space="preserve">customers in Liberty Apple Valley’s </w:t>
      </w:r>
      <w:proofErr w:type="spellStart"/>
      <w:r>
        <w:t>Yermo</w:t>
      </w:r>
      <w:proofErr w:type="spellEnd"/>
      <w:r>
        <w:t xml:space="preserve"> district are developed separately</w:t>
      </w:r>
      <w:r w:rsidR="0086311D">
        <w:t xml:space="preserve">, and these </w:t>
      </w:r>
      <w:r>
        <w:t xml:space="preserve">impacts are shown </w:t>
      </w:r>
      <w:r w:rsidR="003223B6">
        <w:t xml:space="preserve">below </w:t>
      </w:r>
      <w:r>
        <w:t>in Table 1.</w:t>
      </w:r>
      <w:r w:rsidR="00561573">
        <w:t xml:space="preserve"> Because the Liberty Apple Valley </w:t>
      </w:r>
      <w:proofErr w:type="spellStart"/>
      <w:r w:rsidR="00561573">
        <w:t>Yermo</w:t>
      </w:r>
      <w:proofErr w:type="spellEnd"/>
      <w:r w:rsidR="00561573">
        <w:t xml:space="preserve"> increase is significant, </w:t>
      </w:r>
      <w:r w:rsidR="003223B6">
        <w:t xml:space="preserve">we </w:t>
      </w:r>
      <w:r w:rsidR="00561573">
        <w:t xml:space="preserve">cap </w:t>
      </w:r>
      <w:r w:rsidR="003223B6">
        <w:t xml:space="preserve">the increase </w:t>
      </w:r>
      <w:r w:rsidR="00561573">
        <w:t xml:space="preserve">at 15 percent. </w:t>
      </w:r>
    </w:p>
    <w:p w:rsidR="002F4863" w:rsidP="00B878B7" w:rsidRDefault="008C4F19" w14:paraId="112C1005" w14:textId="77BFF0AE">
      <w:pPr>
        <w:pStyle w:val="Standard"/>
      </w:pPr>
      <w:r>
        <w:t xml:space="preserve">For TY 2019, the average Liberty Park residential customer with a 5/8 x 3/4" meter </w:t>
      </w:r>
      <w:r w:rsidR="008100FC">
        <w:t>can expect</w:t>
      </w:r>
      <w:r>
        <w:t xml:space="preserve"> a bill increase of 0.4 percent. In 2020, the bill </w:t>
      </w:r>
      <w:r w:rsidR="00FA3092">
        <w:t>increase</w:t>
      </w:r>
      <w:r>
        <w:t xml:space="preserve"> over the prior year will be 3.8 percent</w:t>
      </w:r>
      <w:r w:rsidR="003223B6">
        <w:t>,</w:t>
      </w:r>
      <w:r>
        <w:t xml:space="preserve"> and in 2021, 3.0 percent. </w:t>
      </w:r>
      <w:r w:rsidR="002F4863">
        <w:t xml:space="preserve">Table 1 </w:t>
      </w:r>
      <w:r w:rsidR="000B7149">
        <w:t>exclude</w:t>
      </w:r>
      <w:r w:rsidR="00424B57">
        <w:t>s</w:t>
      </w:r>
      <w:r w:rsidR="000B7149">
        <w:t xml:space="preserve"> surcharges</w:t>
      </w:r>
      <w:r w:rsidR="0095297F">
        <w:t xml:space="preserve"> and </w:t>
      </w:r>
      <w:proofErr w:type="spellStart"/>
      <w:r w:rsidR="0095297F">
        <w:t>surcredits</w:t>
      </w:r>
      <w:proofErr w:type="spellEnd"/>
      <w:r w:rsidR="000B7149">
        <w:t xml:space="preserve">, which will </w:t>
      </w:r>
      <w:r w:rsidR="007E3AB9">
        <w:t>reduce each Liberty Apple Valley bill by</w:t>
      </w:r>
      <w:r w:rsidR="000B7149">
        <w:t xml:space="preserve"> approximately </w:t>
      </w:r>
      <w:r w:rsidR="007E3AB9">
        <w:t>2</w:t>
      </w:r>
      <w:r w:rsidR="000B7149">
        <w:t xml:space="preserve"> percent</w:t>
      </w:r>
      <w:r w:rsidR="009F044B">
        <w:t xml:space="preserve"> and </w:t>
      </w:r>
      <w:r w:rsidR="007E3AB9">
        <w:t>increase</w:t>
      </w:r>
      <w:r w:rsidR="009F044B">
        <w:t xml:space="preserve"> each Liberty Park bill</w:t>
      </w:r>
      <w:r w:rsidR="007E3AB9">
        <w:t xml:space="preserve"> by approximately 4 percent</w:t>
      </w:r>
      <w:r w:rsidR="000B7149">
        <w:t>.</w:t>
      </w:r>
    </w:p>
    <w:p w:rsidRPr="00CC1F5E" w:rsidR="00972E2C" w:rsidP="00972E2C" w:rsidRDefault="00972E2C" w14:paraId="4650575C" w14:textId="77777777">
      <w:pPr>
        <w:keepNext/>
        <w:keepLines/>
        <w:jc w:val="center"/>
        <w:rPr>
          <w:rFonts w:ascii="Palatino Linotype" w:hAnsi="Palatino Linotype"/>
          <w:color w:val="000000"/>
        </w:rPr>
      </w:pPr>
      <w:r w:rsidRPr="00CC1F5E">
        <w:rPr>
          <w:rFonts w:ascii="Palatino Linotype" w:hAnsi="Palatino Linotype"/>
          <w:b/>
          <w:color w:val="000000"/>
        </w:rPr>
        <w:t>Table 1</w:t>
      </w:r>
    </w:p>
    <w:p w:rsidRPr="00972E2C" w:rsidR="00972E2C" w:rsidP="008B76A1" w:rsidRDefault="00C9757D" w14:paraId="71B84C34" w14:textId="0F8DB75C">
      <w:pPr>
        <w:keepNext/>
        <w:keepLines/>
        <w:spacing w:line="240" w:lineRule="auto"/>
        <w:jc w:val="center"/>
        <w:rPr>
          <w:rFonts w:ascii="Palatino Linotype" w:hAnsi="Palatino Linotype"/>
          <w:color w:val="000000"/>
        </w:rPr>
      </w:pPr>
      <w:r>
        <w:rPr>
          <w:rFonts w:ascii="Palatino Linotype" w:hAnsi="Palatino Linotype"/>
          <w:color w:val="000000"/>
        </w:rPr>
        <w:t>M</w:t>
      </w:r>
      <w:r w:rsidR="00972E2C">
        <w:rPr>
          <w:rFonts w:ascii="Palatino Linotype" w:hAnsi="Palatino Linotype"/>
          <w:color w:val="000000"/>
        </w:rPr>
        <w:t xml:space="preserve">onthly bill comparison for residential customer </w:t>
      </w:r>
      <w:r>
        <w:rPr>
          <w:rFonts w:ascii="Palatino Linotype" w:hAnsi="Palatino Linotype"/>
          <w:color w:val="000000"/>
        </w:rPr>
        <w:t xml:space="preserve">average use, </w:t>
      </w:r>
      <w:r w:rsidR="00972E2C">
        <w:rPr>
          <w:rFonts w:ascii="Palatino Linotype" w:hAnsi="Palatino Linotype"/>
          <w:color w:val="000000"/>
        </w:rPr>
        <w:t>with a 5/8 x 3/4” meter (excluding any applicable surcharges)</w:t>
      </w:r>
    </w:p>
    <w:tbl>
      <w:tblPr>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5"/>
        <w:gridCol w:w="1170"/>
        <w:gridCol w:w="1170"/>
        <w:gridCol w:w="1170"/>
        <w:gridCol w:w="1170"/>
        <w:gridCol w:w="1395"/>
        <w:gridCol w:w="1395"/>
      </w:tblGrid>
      <w:tr w:rsidRPr="00D07E84" w:rsidR="002F4863" w:rsidTr="00A04B63" w14:paraId="25007DC5" w14:textId="77777777">
        <w:trPr>
          <w:trHeight w:val="300"/>
          <w:jc w:val="center"/>
        </w:trPr>
        <w:tc>
          <w:tcPr>
            <w:tcW w:w="2155" w:type="dxa"/>
            <w:vMerge w:val="restart"/>
            <w:shd w:val="clear" w:color="auto" w:fill="auto"/>
            <w:noWrap/>
            <w:vAlign w:val="center"/>
            <w:hideMark/>
          </w:tcPr>
          <w:p w:rsidRPr="00D07E84" w:rsidR="002F4863" w:rsidP="008B76A1" w:rsidRDefault="002F4863" w14:paraId="212AA202" w14:textId="77777777">
            <w:pPr>
              <w:spacing w:line="240" w:lineRule="auto"/>
              <w:ind w:firstLine="0"/>
              <w:jc w:val="center"/>
              <w:rPr>
                <w:rFonts w:ascii="Palatino Linotype" w:hAnsi="Palatino Linotype"/>
                <w:sz w:val="24"/>
                <w:szCs w:val="24"/>
              </w:rPr>
            </w:pPr>
            <w:r>
              <w:rPr>
                <w:rFonts w:ascii="Palatino Linotype" w:hAnsi="Palatino Linotype"/>
                <w:b/>
                <w:color w:val="000000"/>
              </w:rPr>
              <w:t>Customer Service Area</w:t>
            </w:r>
          </w:p>
        </w:tc>
        <w:tc>
          <w:tcPr>
            <w:tcW w:w="2340" w:type="dxa"/>
            <w:gridSpan w:val="2"/>
            <w:shd w:val="clear" w:color="auto" w:fill="auto"/>
            <w:noWrap/>
            <w:vAlign w:val="center"/>
            <w:hideMark/>
          </w:tcPr>
          <w:p w:rsidRPr="00D07E84" w:rsidR="002F4863" w:rsidP="008B76A1" w:rsidRDefault="004E06A1" w14:paraId="7B95F77F" w14:textId="41B5A2CE">
            <w:pPr>
              <w:spacing w:line="240" w:lineRule="auto"/>
              <w:ind w:firstLine="0"/>
              <w:jc w:val="center"/>
              <w:rPr>
                <w:rFonts w:ascii="Palatino Linotype" w:hAnsi="Palatino Linotype"/>
                <w:b/>
                <w:color w:val="000000"/>
              </w:rPr>
            </w:pPr>
            <w:r>
              <w:rPr>
                <w:rFonts w:ascii="Palatino Linotype" w:hAnsi="Palatino Linotype"/>
                <w:b/>
                <w:color w:val="000000"/>
              </w:rPr>
              <w:t>Interim</w:t>
            </w:r>
            <w:r w:rsidR="0072658D">
              <w:rPr>
                <w:rFonts w:ascii="Palatino Linotype" w:hAnsi="Palatino Linotype"/>
                <w:b/>
                <w:color w:val="000000"/>
              </w:rPr>
              <w:t xml:space="preserve"> </w:t>
            </w:r>
            <w:r w:rsidR="009728CB">
              <w:rPr>
                <w:rFonts w:ascii="Palatino Linotype" w:hAnsi="Palatino Linotype"/>
                <w:b/>
                <w:color w:val="000000"/>
              </w:rPr>
              <w:t xml:space="preserve">Rates </w:t>
            </w:r>
            <w:r w:rsidR="0072658D">
              <w:rPr>
                <w:rFonts w:ascii="Palatino Linotype" w:hAnsi="Palatino Linotype"/>
                <w:b/>
                <w:color w:val="000000"/>
              </w:rPr>
              <w:t xml:space="preserve">2019 </w:t>
            </w:r>
          </w:p>
        </w:tc>
        <w:tc>
          <w:tcPr>
            <w:tcW w:w="2340" w:type="dxa"/>
            <w:gridSpan w:val="2"/>
            <w:shd w:val="clear" w:color="auto" w:fill="auto"/>
            <w:noWrap/>
            <w:vAlign w:val="center"/>
            <w:hideMark/>
          </w:tcPr>
          <w:p w:rsidRPr="00D07E84" w:rsidR="002F4863" w:rsidP="008B76A1" w:rsidRDefault="0072658D" w14:paraId="4344BBFF" w14:textId="6286855F">
            <w:pPr>
              <w:spacing w:line="240" w:lineRule="auto"/>
              <w:ind w:firstLine="0"/>
              <w:jc w:val="center"/>
              <w:rPr>
                <w:rFonts w:ascii="Palatino Linotype" w:hAnsi="Palatino Linotype"/>
                <w:b/>
                <w:color w:val="000000"/>
              </w:rPr>
            </w:pPr>
            <w:r>
              <w:rPr>
                <w:rFonts w:ascii="Palatino Linotype" w:hAnsi="Palatino Linotype"/>
                <w:b/>
                <w:color w:val="000000"/>
              </w:rPr>
              <w:t xml:space="preserve">Authorized </w:t>
            </w:r>
            <w:r w:rsidR="009728CB">
              <w:rPr>
                <w:rFonts w:ascii="Palatino Linotype" w:hAnsi="Palatino Linotype"/>
                <w:b/>
                <w:color w:val="000000"/>
              </w:rPr>
              <w:t xml:space="preserve">Rates </w:t>
            </w:r>
            <w:r w:rsidRPr="00D07E84" w:rsidR="002F4863">
              <w:rPr>
                <w:rFonts w:ascii="Palatino Linotype" w:hAnsi="Palatino Linotype"/>
                <w:b/>
                <w:color w:val="000000"/>
              </w:rPr>
              <w:t>2019</w:t>
            </w:r>
          </w:p>
        </w:tc>
        <w:tc>
          <w:tcPr>
            <w:tcW w:w="2790" w:type="dxa"/>
            <w:gridSpan w:val="2"/>
            <w:shd w:val="clear" w:color="auto" w:fill="auto"/>
            <w:noWrap/>
            <w:vAlign w:val="center"/>
            <w:hideMark/>
          </w:tcPr>
          <w:p w:rsidRPr="00D07E84" w:rsidR="002F4863" w:rsidP="008B76A1" w:rsidRDefault="002F4863" w14:paraId="3EECFF07" w14:textId="77777777">
            <w:pPr>
              <w:spacing w:line="240" w:lineRule="auto"/>
              <w:ind w:firstLine="0"/>
              <w:jc w:val="center"/>
              <w:rPr>
                <w:rFonts w:ascii="Palatino Linotype" w:hAnsi="Palatino Linotype"/>
                <w:b/>
                <w:color w:val="000000"/>
              </w:rPr>
            </w:pPr>
            <w:r w:rsidRPr="00D07E84">
              <w:rPr>
                <w:rFonts w:ascii="Palatino Linotype" w:hAnsi="Palatino Linotype"/>
                <w:b/>
                <w:color w:val="000000"/>
              </w:rPr>
              <w:t>Change</w:t>
            </w:r>
          </w:p>
        </w:tc>
      </w:tr>
      <w:tr w:rsidRPr="00D07E84" w:rsidR="002F4863" w:rsidTr="008B76A1" w14:paraId="0EC26FA3" w14:textId="77777777">
        <w:trPr>
          <w:trHeight w:val="485"/>
          <w:jc w:val="center"/>
        </w:trPr>
        <w:tc>
          <w:tcPr>
            <w:tcW w:w="2155" w:type="dxa"/>
            <w:vMerge/>
            <w:shd w:val="clear" w:color="auto" w:fill="auto"/>
            <w:noWrap/>
            <w:vAlign w:val="center"/>
            <w:hideMark/>
          </w:tcPr>
          <w:p w:rsidRPr="00D07E84" w:rsidR="002F4863" w:rsidP="008B76A1" w:rsidRDefault="002F4863" w14:paraId="1EE5BA52" w14:textId="77777777">
            <w:pPr>
              <w:spacing w:line="240" w:lineRule="auto"/>
              <w:ind w:firstLine="0"/>
              <w:jc w:val="center"/>
              <w:rPr>
                <w:rFonts w:ascii="Palatino Linotype" w:hAnsi="Palatino Linotype"/>
                <w:b/>
                <w:color w:val="000000"/>
              </w:rPr>
            </w:pPr>
          </w:p>
        </w:tc>
        <w:tc>
          <w:tcPr>
            <w:tcW w:w="1170" w:type="dxa"/>
            <w:shd w:val="clear" w:color="auto" w:fill="auto"/>
            <w:noWrap/>
            <w:vAlign w:val="center"/>
            <w:hideMark/>
          </w:tcPr>
          <w:p w:rsidRPr="00D07E84" w:rsidR="002F4863" w:rsidP="008B76A1" w:rsidRDefault="002F4863" w14:paraId="6E29A7C4" w14:textId="77777777">
            <w:pPr>
              <w:spacing w:line="240" w:lineRule="auto"/>
              <w:ind w:firstLine="0"/>
              <w:jc w:val="center"/>
              <w:rPr>
                <w:rFonts w:ascii="Palatino Linotype" w:hAnsi="Palatino Linotype"/>
                <w:b/>
                <w:color w:val="000000"/>
              </w:rPr>
            </w:pPr>
            <w:r w:rsidRPr="00CC1F5E">
              <w:rPr>
                <w:rFonts w:ascii="Palatino Linotype" w:hAnsi="Palatino Linotype"/>
                <w:b/>
                <w:color w:val="000000"/>
              </w:rPr>
              <w:t>Usage</w:t>
            </w:r>
          </w:p>
        </w:tc>
        <w:tc>
          <w:tcPr>
            <w:tcW w:w="1170" w:type="dxa"/>
            <w:shd w:val="clear" w:color="auto" w:fill="auto"/>
            <w:noWrap/>
            <w:vAlign w:val="center"/>
            <w:hideMark/>
          </w:tcPr>
          <w:p w:rsidRPr="00D07E84" w:rsidR="002F4863" w:rsidP="008B76A1" w:rsidRDefault="002F4863" w14:paraId="4F15EB16" w14:textId="77777777">
            <w:pPr>
              <w:spacing w:line="240" w:lineRule="auto"/>
              <w:ind w:firstLine="0"/>
              <w:jc w:val="center"/>
              <w:rPr>
                <w:rFonts w:ascii="Palatino Linotype" w:hAnsi="Palatino Linotype"/>
                <w:b/>
                <w:color w:val="000000"/>
              </w:rPr>
            </w:pPr>
            <w:r w:rsidRPr="00D07E84">
              <w:rPr>
                <w:rFonts w:ascii="Palatino Linotype" w:hAnsi="Palatino Linotype"/>
                <w:b/>
                <w:color w:val="000000"/>
              </w:rPr>
              <w:t>Bill</w:t>
            </w:r>
          </w:p>
        </w:tc>
        <w:tc>
          <w:tcPr>
            <w:tcW w:w="1170" w:type="dxa"/>
            <w:shd w:val="clear" w:color="auto" w:fill="auto"/>
            <w:noWrap/>
            <w:vAlign w:val="center"/>
            <w:hideMark/>
          </w:tcPr>
          <w:p w:rsidRPr="00D07E84" w:rsidR="002F4863" w:rsidP="008B76A1" w:rsidRDefault="002F4863" w14:paraId="16E87F97" w14:textId="77777777">
            <w:pPr>
              <w:spacing w:line="240" w:lineRule="auto"/>
              <w:ind w:firstLine="0"/>
              <w:jc w:val="center"/>
              <w:rPr>
                <w:rFonts w:ascii="Palatino Linotype" w:hAnsi="Palatino Linotype"/>
                <w:b/>
                <w:color w:val="000000"/>
              </w:rPr>
            </w:pPr>
            <w:r w:rsidRPr="00CC1F5E">
              <w:rPr>
                <w:rFonts w:ascii="Palatino Linotype" w:hAnsi="Palatino Linotype"/>
                <w:b/>
                <w:color w:val="000000"/>
              </w:rPr>
              <w:t>Usage</w:t>
            </w:r>
          </w:p>
        </w:tc>
        <w:tc>
          <w:tcPr>
            <w:tcW w:w="1170" w:type="dxa"/>
            <w:shd w:val="clear" w:color="auto" w:fill="auto"/>
            <w:noWrap/>
            <w:vAlign w:val="center"/>
            <w:hideMark/>
          </w:tcPr>
          <w:p w:rsidRPr="00D07E84" w:rsidR="002F4863" w:rsidP="008B76A1" w:rsidRDefault="002F4863" w14:paraId="70737A1A" w14:textId="77777777">
            <w:pPr>
              <w:spacing w:line="240" w:lineRule="auto"/>
              <w:ind w:firstLine="0"/>
              <w:jc w:val="center"/>
              <w:rPr>
                <w:rFonts w:ascii="Palatino Linotype" w:hAnsi="Palatino Linotype"/>
                <w:b/>
                <w:color w:val="000000"/>
              </w:rPr>
            </w:pPr>
            <w:r w:rsidRPr="00D07E84">
              <w:rPr>
                <w:rFonts w:ascii="Palatino Linotype" w:hAnsi="Palatino Linotype"/>
                <w:b/>
                <w:color w:val="000000"/>
              </w:rPr>
              <w:t>Bill</w:t>
            </w:r>
          </w:p>
        </w:tc>
        <w:tc>
          <w:tcPr>
            <w:tcW w:w="1395" w:type="dxa"/>
            <w:shd w:val="clear" w:color="auto" w:fill="auto"/>
            <w:noWrap/>
            <w:vAlign w:val="center"/>
            <w:hideMark/>
          </w:tcPr>
          <w:p w:rsidRPr="00D07E84" w:rsidR="002F4863" w:rsidP="008B76A1" w:rsidRDefault="002F4863" w14:paraId="192024C5" w14:textId="77777777">
            <w:pPr>
              <w:spacing w:line="240" w:lineRule="auto"/>
              <w:ind w:firstLine="0"/>
              <w:jc w:val="center"/>
              <w:rPr>
                <w:rFonts w:ascii="Palatino Linotype" w:hAnsi="Palatino Linotype"/>
                <w:b/>
                <w:color w:val="000000"/>
              </w:rPr>
            </w:pPr>
            <w:r w:rsidRPr="00D07E84">
              <w:rPr>
                <w:rFonts w:ascii="Palatino Linotype" w:hAnsi="Palatino Linotype"/>
                <w:b/>
                <w:color w:val="000000"/>
              </w:rPr>
              <w:t>Amount</w:t>
            </w:r>
          </w:p>
        </w:tc>
        <w:tc>
          <w:tcPr>
            <w:tcW w:w="1395" w:type="dxa"/>
            <w:shd w:val="clear" w:color="auto" w:fill="auto"/>
            <w:noWrap/>
            <w:vAlign w:val="center"/>
            <w:hideMark/>
          </w:tcPr>
          <w:p w:rsidRPr="00D07E84" w:rsidR="002F4863" w:rsidP="008B76A1" w:rsidRDefault="002F4863" w14:paraId="012F4DA5" w14:textId="77777777">
            <w:pPr>
              <w:spacing w:line="240" w:lineRule="auto"/>
              <w:ind w:firstLine="0"/>
              <w:jc w:val="center"/>
              <w:rPr>
                <w:rFonts w:ascii="Palatino Linotype" w:hAnsi="Palatino Linotype"/>
                <w:b/>
                <w:color w:val="000000"/>
              </w:rPr>
            </w:pPr>
            <w:r w:rsidRPr="00D07E84">
              <w:rPr>
                <w:rFonts w:ascii="Palatino Linotype" w:hAnsi="Palatino Linotype"/>
                <w:b/>
                <w:color w:val="000000"/>
              </w:rPr>
              <w:t>Percent</w:t>
            </w:r>
          </w:p>
        </w:tc>
      </w:tr>
      <w:tr w:rsidRPr="00D07E84" w:rsidR="002F4863" w:rsidTr="00437103" w14:paraId="378CA3D8" w14:textId="77777777">
        <w:trPr>
          <w:trHeight w:val="300"/>
          <w:jc w:val="center"/>
        </w:trPr>
        <w:tc>
          <w:tcPr>
            <w:tcW w:w="2155" w:type="dxa"/>
            <w:shd w:val="clear" w:color="auto" w:fill="auto"/>
            <w:noWrap/>
            <w:vAlign w:val="center"/>
            <w:hideMark/>
          </w:tcPr>
          <w:p w:rsidRPr="00D07E84" w:rsidR="002F4863" w:rsidP="008B76A1" w:rsidRDefault="0057553D" w14:paraId="544178A3" w14:textId="6B263E69">
            <w:pPr>
              <w:spacing w:line="240" w:lineRule="auto"/>
              <w:ind w:firstLine="0"/>
              <w:jc w:val="center"/>
              <w:rPr>
                <w:rFonts w:ascii="Palatino Linotype" w:hAnsi="Palatino Linotype"/>
                <w:color w:val="000000"/>
              </w:rPr>
            </w:pPr>
            <w:r>
              <w:rPr>
                <w:rFonts w:ascii="Palatino Linotype" w:hAnsi="Palatino Linotype"/>
                <w:color w:val="000000"/>
              </w:rPr>
              <w:t>Liberty Park</w:t>
            </w:r>
          </w:p>
        </w:tc>
        <w:tc>
          <w:tcPr>
            <w:tcW w:w="1170" w:type="dxa"/>
            <w:shd w:val="clear" w:color="auto" w:fill="auto"/>
            <w:noWrap/>
            <w:vAlign w:val="center"/>
            <w:hideMark/>
          </w:tcPr>
          <w:p w:rsidRPr="003B4BA5" w:rsidR="002F4863" w:rsidP="00437103" w:rsidRDefault="00734920" w14:paraId="6EBDE1F0" w14:textId="04723554">
            <w:pPr>
              <w:spacing w:line="240" w:lineRule="auto"/>
              <w:ind w:firstLine="0"/>
              <w:jc w:val="center"/>
              <w:rPr>
                <w:rFonts w:ascii="Palatino Linotype" w:hAnsi="Palatino Linotype"/>
                <w:color w:val="000000"/>
              </w:rPr>
            </w:pPr>
            <w:r w:rsidRPr="003B4BA5">
              <w:rPr>
                <w:rFonts w:ascii="Palatino Linotype" w:hAnsi="Palatino Linotype"/>
                <w:color w:val="000000"/>
              </w:rPr>
              <w:t>9</w:t>
            </w:r>
            <w:r w:rsidRPr="003B4BA5" w:rsidR="002F4863">
              <w:rPr>
                <w:rFonts w:ascii="Palatino Linotype" w:hAnsi="Palatino Linotype"/>
                <w:color w:val="000000"/>
              </w:rPr>
              <w:t xml:space="preserve"> </w:t>
            </w:r>
            <w:r w:rsidR="000362C9">
              <w:rPr>
                <w:rFonts w:ascii="Palatino Linotype" w:hAnsi="Palatino Linotype"/>
                <w:color w:val="000000"/>
              </w:rPr>
              <w:t>centum cubic feet (</w:t>
            </w:r>
            <w:proofErr w:type="spellStart"/>
            <w:r w:rsidR="000362C9">
              <w:rPr>
                <w:rFonts w:ascii="Palatino Linotype" w:hAnsi="Palatino Linotype"/>
                <w:color w:val="000000"/>
              </w:rPr>
              <w:t>C</w:t>
            </w:r>
            <w:r w:rsidRPr="003B4BA5" w:rsidR="00902E8D">
              <w:rPr>
                <w:rFonts w:ascii="Palatino Linotype" w:hAnsi="Palatino Linotype"/>
                <w:color w:val="000000"/>
              </w:rPr>
              <w:t>cf</w:t>
            </w:r>
            <w:proofErr w:type="spellEnd"/>
            <w:r w:rsidR="000362C9">
              <w:rPr>
                <w:rFonts w:ascii="Palatino Linotype" w:hAnsi="Palatino Linotype"/>
                <w:color w:val="000000"/>
              </w:rPr>
              <w:t>)</w:t>
            </w:r>
          </w:p>
        </w:tc>
        <w:tc>
          <w:tcPr>
            <w:tcW w:w="1170" w:type="dxa"/>
            <w:shd w:val="clear" w:color="auto" w:fill="auto"/>
            <w:noWrap/>
            <w:vAlign w:val="center"/>
            <w:hideMark/>
          </w:tcPr>
          <w:p w:rsidRPr="003B4BA5" w:rsidR="002F4863" w:rsidP="00437103" w:rsidRDefault="002F4863" w14:paraId="059198BF" w14:textId="2C747C9B">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w:t>
            </w:r>
            <w:r w:rsidRPr="003B4BA5" w:rsidR="006B5476">
              <w:rPr>
                <w:rFonts w:ascii="Palatino Linotype" w:hAnsi="Palatino Linotype"/>
                <w:color w:val="000000"/>
                <w:szCs w:val="26"/>
              </w:rPr>
              <w:t>7</w:t>
            </w:r>
            <w:r w:rsidRPr="003B4BA5" w:rsidR="004E06A1">
              <w:rPr>
                <w:rFonts w:ascii="Palatino Linotype" w:hAnsi="Palatino Linotype"/>
                <w:color w:val="000000"/>
                <w:szCs w:val="26"/>
              </w:rPr>
              <w:t>5.5</w:t>
            </w:r>
          </w:p>
        </w:tc>
        <w:tc>
          <w:tcPr>
            <w:tcW w:w="1170" w:type="dxa"/>
            <w:shd w:val="clear" w:color="auto" w:fill="auto"/>
            <w:noWrap/>
            <w:vAlign w:val="center"/>
            <w:hideMark/>
          </w:tcPr>
          <w:p w:rsidRPr="003B4BA5" w:rsidR="002F4863" w:rsidP="00437103" w:rsidRDefault="00734920" w14:paraId="3D9D81DF" w14:textId="3CA5C94C">
            <w:pPr>
              <w:spacing w:line="240" w:lineRule="auto"/>
              <w:ind w:firstLine="0"/>
              <w:jc w:val="center"/>
              <w:rPr>
                <w:rFonts w:ascii="Palatino Linotype" w:hAnsi="Palatino Linotype"/>
                <w:color w:val="000000"/>
              </w:rPr>
            </w:pPr>
            <w:r w:rsidRPr="003B4BA5">
              <w:rPr>
                <w:rFonts w:ascii="Palatino Linotype" w:hAnsi="Palatino Linotype"/>
                <w:color w:val="000000"/>
              </w:rPr>
              <w:t>9</w:t>
            </w:r>
            <w:r w:rsidRPr="003B4BA5" w:rsidR="002F4863">
              <w:rPr>
                <w:rFonts w:ascii="Palatino Linotype" w:hAnsi="Palatino Linotype"/>
                <w:color w:val="000000"/>
              </w:rPr>
              <w:t xml:space="preserve"> </w:t>
            </w:r>
            <w:proofErr w:type="spellStart"/>
            <w:r w:rsidRPr="003B4BA5" w:rsidR="002F4863">
              <w:rPr>
                <w:rFonts w:ascii="Palatino Linotype" w:hAnsi="Palatino Linotype"/>
                <w:color w:val="000000"/>
              </w:rPr>
              <w:t>C</w:t>
            </w:r>
            <w:r w:rsidRPr="003B4BA5" w:rsidR="00902E8D">
              <w:rPr>
                <w:rFonts w:ascii="Palatino Linotype" w:hAnsi="Palatino Linotype"/>
                <w:color w:val="000000"/>
              </w:rPr>
              <w:t>cf</w:t>
            </w:r>
            <w:proofErr w:type="spellEnd"/>
          </w:p>
        </w:tc>
        <w:tc>
          <w:tcPr>
            <w:tcW w:w="1170" w:type="dxa"/>
            <w:shd w:val="clear" w:color="auto" w:fill="auto"/>
            <w:noWrap/>
            <w:vAlign w:val="center"/>
            <w:hideMark/>
          </w:tcPr>
          <w:p w:rsidRPr="003B4BA5" w:rsidR="002F4863" w:rsidP="00437103" w:rsidRDefault="002F4863" w14:paraId="5E8C2179" w14:textId="3F283BA1">
            <w:pPr>
              <w:spacing w:line="240" w:lineRule="auto"/>
              <w:ind w:firstLine="0"/>
              <w:jc w:val="center"/>
              <w:rPr>
                <w:rFonts w:ascii="Palatino Linotype" w:hAnsi="Palatino Linotype"/>
                <w:color w:val="000000"/>
              </w:rPr>
            </w:pPr>
            <w:r w:rsidRPr="003B4BA5">
              <w:rPr>
                <w:rFonts w:ascii="Palatino Linotype" w:hAnsi="Palatino Linotype"/>
                <w:color w:val="000000"/>
              </w:rPr>
              <w:t>$</w:t>
            </w:r>
            <w:r w:rsidRPr="003B4BA5" w:rsidR="006B5476">
              <w:rPr>
                <w:rFonts w:ascii="Palatino Linotype" w:hAnsi="Palatino Linotype"/>
                <w:color w:val="000000"/>
              </w:rPr>
              <w:t>7</w:t>
            </w:r>
            <w:r w:rsidRPr="003B4BA5" w:rsidR="004E06A1">
              <w:rPr>
                <w:rFonts w:ascii="Palatino Linotype" w:hAnsi="Palatino Linotype"/>
                <w:color w:val="000000"/>
              </w:rPr>
              <w:t>5.7</w:t>
            </w:r>
          </w:p>
        </w:tc>
        <w:tc>
          <w:tcPr>
            <w:tcW w:w="1395" w:type="dxa"/>
            <w:shd w:val="clear" w:color="auto" w:fill="auto"/>
            <w:noWrap/>
            <w:vAlign w:val="center"/>
            <w:hideMark/>
          </w:tcPr>
          <w:p w:rsidRPr="003B4BA5" w:rsidR="002F4863" w:rsidP="00437103" w:rsidRDefault="002F4863" w14:paraId="40ED1A84" w14:textId="05847339">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w:t>
            </w:r>
            <w:r w:rsidRPr="003B4BA5" w:rsidR="0072658D">
              <w:rPr>
                <w:rFonts w:ascii="Palatino Linotype" w:hAnsi="Palatino Linotype"/>
                <w:color w:val="000000"/>
                <w:szCs w:val="26"/>
              </w:rPr>
              <w:t>0.28</w:t>
            </w:r>
          </w:p>
        </w:tc>
        <w:tc>
          <w:tcPr>
            <w:tcW w:w="1395" w:type="dxa"/>
            <w:shd w:val="clear" w:color="auto" w:fill="auto"/>
            <w:noWrap/>
            <w:vAlign w:val="center"/>
            <w:hideMark/>
          </w:tcPr>
          <w:p w:rsidRPr="003B4BA5" w:rsidR="002F4863" w:rsidP="00437103" w:rsidRDefault="0072658D" w14:paraId="631F0195" w14:textId="0288DD66">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0.</w:t>
            </w:r>
            <w:r w:rsidRPr="003B4BA5" w:rsidR="001D7301">
              <w:rPr>
                <w:rFonts w:ascii="Palatino Linotype" w:hAnsi="Palatino Linotype"/>
                <w:color w:val="000000"/>
                <w:szCs w:val="26"/>
              </w:rPr>
              <w:t>4</w:t>
            </w:r>
          </w:p>
        </w:tc>
      </w:tr>
      <w:tr w:rsidRPr="00D07E84" w:rsidR="002F4863" w:rsidTr="00437103" w14:paraId="63616F45" w14:textId="77777777">
        <w:trPr>
          <w:trHeight w:val="300"/>
          <w:jc w:val="center"/>
        </w:trPr>
        <w:tc>
          <w:tcPr>
            <w:tcW w:w="2155" w:type="dxa"/>
            <w:shd w:val="clear" w:color="auto" w:fill="auto"/>
            <w:noWrap/>
            <w:vAlign w:val="center"/>
            <w:hideMark/>
          </w:tcPr>
          <w:p w:rsidRPr="00D07E84" w:rsidR="002F4863" w:rsidP="008B76A1" w:rsidRDefault="0057553D" w14:paraId="297672D5" w14:textId="14246BF1">
            <w:pPr>
              <w:spacing w:line="240" w:lineRule="auto"/>
              <w:ind w:firstLine="0"/>
              <w:jc w:val="center"/>
              <w:rPr>
                <w:rFonts w:ascii="Palatino Linotype" w:hAnsi="Palatino Linotype"/>
                <w:color w:val="000000"/>
              </w:rPr>
            </w:pPr>
            <w:r>
              <w:rPr>
                <w:rFonts w:ascii="Palatino Linotype" w:hAnsi="Palatino Linotype"/>
                <w:color w:val="000000"/>
              </w:rPr>
              <w:t>Liberty Apple Valley</w:t>
            </w:r>
            <w:r w:rsidR="00E827F2">
              <w:rPr>
                <w:rFonts w:ascii="Palatino Linotype" w:hAnsi="Palatino Linotype"/>
                <w:color w:val="000000"/>
              </w:rPr>
              <w:t>-Domestic</w:t>
            </w:r>
          </w:p>
        </w:tc>
        <w:tc>
          <w:tcPr>
            <w:tcW w:w="1170" w:type="dxa"/>
            <w:shd w:val="clear" w:color="auto" w:fill="auto"/>
            <w:noWrap/>
            <w:vAlign w:val="center"/>
            <w:hideMark/>
          </w:tcPr>
          <w:p w:rsidRPr="003B4BA5" w:rsidR="002F4863" w:rsidP="00437103" w:rsidRDefault="00026C5B" w14:paraId="4020154B" w14:textId="57A24501">
            <w:pPr>
              <w:spacing w:line="240" w:lineRule="auto"/>
              <w:ind w:firstLine="0"/>
              <w:jc w:val="center"/>
              <w:rPr>
                <w:rFonts w:ascii="Palatino Linotype" w:hAnsi="Palatino Linotype"/>
                <w:color w:val="000000"/>
              </w:rPr>
            </w:pPr>
            <w:r w:rsidRPr="003B4BA5">
              <w:rPr>
                <w:rFonts w:ascii="Palatino Linotype" w:hAnsi="Palatino Linotype"/>
                <w:color w:val="000000"/>
              </w:rPr>
              <w:t>12</w:t>
            </w:r>
            <w:r w:rsidRPr="003B4BA5" w:rsidR="002F4863">
              <w:rPr>
                <w:rFonts w:ascii="Palatino Linotype" w:hAnsi="Palatino Linotype"/>
                <w:color w:val="000000"/>
              </w:rPr>
              <w:t xml:space="preserve"> </w:t>
            </w:r>
            <w:proofErr w:type="spellStart"/>
            <w:r w:rsidRPr="003B4BA5" w:rsidR="002F4863">
              <w:rPr>
                <w:rFonts w:ascii="Palatino Linotype" w:hAnsi="Palatino Linotype"/>
                <w:color w:val="000000"/>
              </w:rPr>
              <w:t>C</w:t>
            </w:r>
            <w:r w:rsidRPr="003B4BA5" w:rsidR="00902E8D">
              <w:rPr>
                <w:rFonts w:ascii="Palatino Linotype" w:hAnsi="Palatino Linotype"/>
                <w:color w:val="000000"/>
              </w:rPr>
              <w:t>cf</w:t>
            </w:r>
            <w:proofErr w:type="spellEnd"/>
          </w:p>
        </w:tc>
        <w:tc>
          <w:tcPr>
            <w:tcW w:w="1170" w:type="dxa"/>
            <w:shd w:val="clear" w:color="auto" w:fill="auto"/>
            <w:noWrap/>
            <w:vAlign w:val="center"/>
            <w:hideMark/>
          </w:tcPr>
          <w:p w:rsidRPr="003B4BA5" w:rsidR="002F4863" w:rsidP="00437103" w:rsidRDefault="002F4863" w14:paraId="29DDB5C4" w14:textId="073E24FD">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$6</w:t>
            </w:r>
            <w:r w:rsidRPr="003B4BA5" w:rsidR="00026C5B">
              <w:rPr>
                <w:rFonts w:ascii="Palatino Linotype" w:hAnsi="Palatino Linotype"/>
                <w:color w:val="000000"/>
                <w:szCs w:val="26"/>
              </w:rPr>
              <w:t>4.50</w:t>
            </w:r>
          </w:p>
        </w:tc>
        <w:tc>
          <w:tcPr>
            <w:tcW w:w="1170" w:type="dxa"/>
            <w:shd w:val="clear" w:color="auto" w:fill="auto"/>
            <w:noWrap/>
            <w:vAlign w:val="center"/>
            <w:hideMark/>
          </w:tcPr>
          <w:p w:rsidRPr="003B4BA5" w:rsidR="002F4863" w:rsidP="00437103" w:rsidRDefault="00026C5B" w14:paraId="3992D9AD" w14:textId="761DBE6C">
            <w:pPr>
              <w:spacing w:line="240" w:lineRule="auto"/>
              <w:ind w:firstLine="0"/>
              <w:jc w:val="center"/>
              <w:rPr>
                <w:rFonts w:ascii="Palatino Linotype" w:hAnsi="Palatino Linotype"/>
                <w:color w:val="000000"/>
              </w:rPr>
            </w:pPr>
            <w:r w:rsidRPr="003B4BA5">
              <w:rPr>
                <w:rFonts w:ascii="Palatino Linotype" w:hAnsi="Palatino Linotype"/>
                <w:color w:val="000000"/>
              </w:rPr>
              <w:t>12</w:t>
            </w:r>
            <w:r w:rsidRPr="003B4BA5" w:rsidR="002F4863">
              <w:rPr>
                <w:rFonts w:ascii="Palatino Linotype" w:hAnsi="Palatino Linotype"/>
                <w:color w:val="000000"/>
              </w:rPr>
              <w:t xml:space="preserve"> </w:t>
            </w:r>
            <w:proofErr w:type="spellStart"/>
            <w:r w:rsidRPr="003B4BA5" w:rsidR="002F4863">
              <w:rPr>
                <w:rFonts w:ascii="Palatino Linotype" w:hAnsi="Palatino Linotype"/>
                <w:color w:val="000000"/>
              </w:rPr>
              <w:t>C</w:t>
            </w:r>
            <w:r w:rsidRPr="003B4BA5" w:rsidR="00902E8D">
              <w:rPr>
                <w:rFonts w:ascii="Palatino Linotype" w:hAnsi="Palatino Linotype"/>
                <w:color w:val="000000"/>
              </w:rPr>
              <w:t>cf</w:t>
            </w:r>
            <w:proofErr w:type="spellEnd"/>
          </w:p>
        </w:tc>
        <w:tc>
          <w:tcPr>
            <w:tcW w:w="1170" w:type="dxa"/>
            <w:shd w:val="clear" w:color="auto" w:fill="auto"/>
            <w:noWrap/>
            <w:vAlign w:val="center"/>
            <w:hideMark/>
          </w:tcPr>
          <w:p w:rsidRPr="003B4BA5" w:rsidR="002F4863" w:rsidP="00437103" w:rsidRDefault="002F4863" w14:paraId="51B58189" w14:textId="6E1F1E22">
            <w:pPr>
              <w:spacing w:line="240" w:lineRule="auto"/>
              <w:ind w:firstLine="0"/>
              <w:jc w:val="center"/>
              <w:rPr>
                <w:rFonts w:ascii="Palatino Linotype" w:hAnsi="Palatino Linotype"/>
                <w:color w:val="000000"/>
              </w:rPr>
            </w:pPr>
            <w:r w:rsidRPr="003B4BA5">
              <w:rPr>
                <w:rFonts w:ascii="Palatino Linotype" w:hAnsi="Palatino Linotype"/>
                <w:color w:val="000000"/>
              </w:rPr>
              <w:t>$</w:t>
            </w:r>
            <w:r w:rsidRPr="003B4BA5" w:rsidR="00026C5B">
              <w:rPr>
                <w:rFonts w:ascii="Palatino Linotype" w:hAnsi="Palatino Linotype"/>
                <w:color w:val="000000"/>
              </w:rPr>
              <w:t>66.40</w:t>
            </w:r>
          </w:p>
        </w:tc>
        <w:tc>
          <w:tcPr>
            <w:tcW w:w="1395" w:type="dxa"/>
            <w:shd w:val="clear" w:color="auto" w:fill="auto"/>
            <w:noWrap/>
            <w:vAlign w:val="center"/>
            <w:hideMark/>
          </w:tcPr>
          <w:p w:rsidRPr="003B4BA5" w:rsidR="002F4863" w:rsidP="00437103" w:rsidRDefault="002F4863" w14:paraId="3B374DBF" w14:textId="6DCE8DE3">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w:t>
            </w:r>
            <w:r w:rsidRPr="003B4BA5" w:rsidR="00026C5B">
              <w:rPr>
                <w:rFonts w:ascii="Palatino Linotype" w:hAnsi="Palatino Linotype"/>
                <w:color w:val="000000"/>
                <w:szCs w:val="26"/>
              </w:rPr>
              <w:t>1.88</w:t>
            </w:r>
          </w:p>
        </w:tc>
        <w:tc>
          <w:tcPr>
            <w:tcW w:w="1395" w:type="dxa"/>
            <w:shd w:val="clear" w:color="auto" w:fill="auto"/>
            <w:noWrap/>
            <w:vAlign w:val="center"/>
            <w:hideMark/>
          </w:tcPr>
          <w:p w:rsidRPr="003B4BA5" w:rsidR="002F4863" w:rsidP="00437103" w:rsidRDefault="00A6428A" w14:paraId="53AE5E38" w14:textId="5D2FC56B">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2.9</w:t>
            </w:r>
          </w:p>
        </w:tc>
      </w:tr>
      <w:tr w:rsidRPr="00D07E84" w:rsidR="002F4863" w:rsidTr="00437103" w14:paraId="35DE4810" w14:textId="77777777">
        <w:trPr>
          <w:trHeight w:val="300"/>
          <w:jc w:val="center"/>
        </w:trPr>
        <w:tc>
          <w:tcPr>
            <w:tcW w:w="2155" w:type="dxa"/>
            <w:shd w:val="clear" w:color="auto" w:fill="auto"/>
            <w:noWrap/>
            <w:vAlign w:val="center"/>
            <w:hideMark/>
          </w:tcPr>
          <w:p w:rsidRPr="00D07E84" w:rsidR="002F4863" w:rsidP="008B76A1" w:rsidRDefault="002C19A4" w14:paraId="2BF69D9B" w14:textId="48D25970">
            <w:pPr>
              <w:spacing w:line="240" w:lineRule="auto"/>
              <w:ind w:firstLine="0"/>
              <w:jc w:val="center"/>
              <w:rPr>
                <w:rFonts w:ascii="Palatino Linotype" w:hAnsi="Palatino Linotype"/>
                <w:color w:val="000000"/>
              </w:rPr>
            </w:pPr>
            <w:r>
              <w:rPr>
                <w:rFonts w:ascii="Palatino Linotype" w:hAnsi="Palatino Linotype"/>
                <w:color w:val="000000"/>
              </w:rPr>
              <w:t>Liberty Apple Valley</w:t>
            </w:r>
            <w:r w:rsidR="00E827F2">
              <w:rPr>
                <w:rFonts w:ascii="Palatino Linotype" w:hAnsi="Palatino Linotype"/>
                <w:color w:val="000000"/>
              </w:rPr>
              <w:t>-Irrigation</w:t>
            </w:r>
          </w:p>
        </w:tc>
        <w:tc>
          <w:tcPr>
            <w:tcW w:w="1170" w:type="dxa"/>
            <w:shd w:val="clear" w:color="auto" w:fill="auto"/>
            <w:noWrap/>
            <w:vAlign w:val="center"/>
            <w:hideMark/>
          </w:tcPr>
          <w:p w:rsidRPr="003B4BA5" w:rsidR="002F4863" w:rsidP="00437103" w:rsidRDefault="002F4863" w14:paraId="2F092098" w14:textId="0CB575BD">
            <w:pPr>
              <w:spacing w:line="240" w:lineRule="auto"/>
              <w:ind w:firstLine="0"/>
              <w:jc w:val="center"/>
              <w:rPr>
                <w:rFonts w:ascii="Palatino Linotype" w:hAnsi="Palatino Linotype"/>
                <w:color w:val="000000"/>
              </w:rPr>
            </w:pPr>
            <w:r w:rsidRPr="003B4BA5">
              <w:rPr>
                <w:rFonts w:ascii="Palatino Linotype" w:hAnsi="Palatino Linotype"/>
                <w:color w:val="000000"/>
              </w:rPr>
              <w:t xml:space="preserve"> </w:t>
            </w:r>
            <w:proofErr w:type="spellStart"/>
            <w:r w:rsidRPr="003B4BA5">
              <w:rPr>
                <w:rFonts w:ascii="Palatino Linotype" w:hAnsi="Palatino Linotype"/>
                <w:color w:val="000000"/>
              </w:rPr>
              <w:t>C</w:t>
            </w:r>
            <w:r w:rsidRPr="003B4BA5" w:rsidR="00902E8D">
              <w:rPr>
                <w:rFonts w:ascii="Palatino Linotype" w:hAnsi="Palatino Linotype"/>
                <w:color w:val="000000"/>
              </w:rPr>
              <w:t>cf</w:t>
            </w:r>
            <w:proofErr w:type="spellEnd"/>
          </w:p>
        </w:tc>
        <w:tc>
          <w:tcPr>
            <w:tcW w:w="1170" w:type="dxa"/>
            <w:shd w:val="clear" w:color="auto" w:fill="auto"/>
            <w:noWrap/>
            <w:vAlign w:val="center"/>
            <w:hideMark/>
          </w:tcPr>
          <w:p w:rsidRPr="003B4BA5" w:rsidR="002F4863" w:rsidP="00437103" w:rsidRDefault="00642557" w14:paraId="0C344688" w14:textId="28727B4D">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$3,062</w:t>
            </w:r>
          </w:p>
        </w:tc>
        <w:tc>
          <w:tcPr>
            <w:tcW w:w="1170" w:type="dxa"/>
            <w:shd w:val="clear" w:color="auto" w:fill="auto"/>
            <w:noWrap/>
            <w:vAlign w:val="center"/>
            <w:hideMark/>
          </w:tcPr>
          <w:p w:rsidRPr="003B4BA5" w:rsidR="002F4863" w:rsidP="00437103" w:rsidRDefault="002F4863" w14:paraId="4C8284AE" w14:textId="4AF0EFD2">
            <w:pPr>
              <w:spacing w:line="240" w:lineRule="auto"/>
              <w:ind w:firstLine="0"/>
              <w:jc w:val="center"/>
              <w:rPr>
                <w:rFonts w:ascii="Palatino Linotype" w:hAnsi="Palatino Linotype"/>
                <w:color w:val="000000"/>
              </w:rPr>
            </w:pPr>
            <w:r w:rsidRPr="003B4BA5">
              <w:rPr>
                <w:rFonts w:ascii="Palatino Linotype" w:hAnsi="Palatino Linotype"/>
                <w:color w:val="000000"/>
              </w:rPr>
              <w:t xml:space="preserve"> </w:t>
            </w:r>
            <w:proofErr w:type="spellStart"/>
            <w:r w:rsidRPr="003B4BA5">
              <w:rPr>
                <w:rFonts w:ascii="Palatino Linotype" w:hAnsi="Palatino Linotype"/>
                <w:color w:val="000000"/>
              </w:rPr>
              <w:t>C</w:t>
            </w:r>
            <w:r w:rsidRPr="003B4BA5" w:rsidR="00902E8D">
              <w:rPr>
                <w:rFonts w:ascii="Palatino Linotype" w:hAnsi="Palatino Linotype"/>
                <w:color w:val="000000"/>
              </w:rPr>
              <w:t>cf</w:t>
            </w:r>
            <w:proofErr w:type="spellEnd"/>
          </w:p>
        </w:tc>
        <w:tc>
          <w:tcPr>
            <w:tcW w:w="1170" w:type="dxa"/>
            <w:shd w:val="clear" w:color="auto" w:fill="auto"/>
            <w:noWrap/>
            <w:vAlign w:val="center"/>
            <w:hideMark/>
          </w:tcPr>
          <w:p w:rsidRPr="003B4BA5" w:rsidR="002F4863" w:rsidP="00437103" w:rsidRDefault="00642557" w14:paraId="4628E6AB" w14:textId="182D23A2">
            <w:pPr>
              <w:spacing w:line="240" w:lineRule="auto"/>
              <w:ind w:firstLine="0"/>
              <w:jc w:val="center"/>
              <w:rPr>
                <w:rFonts w:ascii="Palatino Linotype" w:hAnsi="Palatino Linotype"/>
                <w:color w:val="000000"/>
              </w:rPr>
            </w:pPr>
            <w:r w:rsidRPr="003B4BA5">
              <w:rPr>
                <w:rFonts w:ascii="Palatino Linotype" w:hAnsi="Palatino Linotype"/>
                <w:color w:val="000000"/>
              </w:rPr>
              <w:t>$3,188</w:t>
            </w:r>
          </w:p>
        </w:tc>
        <w:tc>
          <w:tcPr>
            <w:tcW w:w="1395" w:type="dxa"/>
            <w:shd w:val="clear" w:color="auto" w:fill="auto"/>
            <w:noWrap/>
            <w:vAlign w:val="center"/>
            <w:hideMark/>
          </w:tcPr>
          <w:p w:rsidRPr="003B4BA5" w:rsidR="002F4863" w:rsidP="00437103" w:rsidRDefault="005203BB" w14:paraId="2A2617B2" w14:textId="16BCB740">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$126</w:t>
            </w:r>
          </w:p>
        </w:tc>
        <w:tc>
          <w:tcPr>
            <w:tcW w:w="1395" w:type="dxa"/>
            <w:shd w:val="clear" w:color="auto" w:fill="auto"/>
            <w:noWrap/>
            <w:vAlign w:val="center"/>
            <w:hideMark/>
          </w:tcPr>
          <w:p w:rsidRPr="003B4BA5" w:rsidR="002F4863" w:rsidP="00437103" w:rsidRDefault="005203BB" w14:paraId="1267DEE2" w14:textId="60CECAF8">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4.1</w:t>
            </w:r>
          </w:p>
        </w:tc>
      </w:tr>
      <w:tr w:rsidRPr="00D07E84" w:rsidR="002F4863" w:rsidTr="00437103" w14:paraId="7BFCF3E4" w14:textId="77777777">
        <w:trPr>
          <w:trHeight w:val="300"/>
          <w:jc w:val="center"/>
        </w:trPr>
        <w:tc>
          <w:tcPr>
            <w:tcW w:w="2155" w:type="dxa"/>
            <w:shd w:val="clear" w:color="auto" w:fill="auto"/>
            <w:noWrap/>
            <w:vAlign w:val="center"/>
            <w:hideMark/>
          </w:tcPr>
          <w:p w:rsidRPr="00D07E84" w:rsidR="002F4863" w:rsidP="008B76A1" w:rsidRDefault="002C19A4" w14:paraId="2B7F5DFD" w14:textId="2E8B3969">
            <w:pPr>
              <w:spacing w:line="240" w:lineRule="auto"/>
              <w:ind w:firstLine="0"/>
              <w:jc w:val="center"/>
              <w:rPr>
                <w:rFonts w:ascii="Palatino Linotype" w:hAnsi="Palatino Linotype"/>
                <w:color w:val="000000"/>
              </w:rPr>
            </w:pPr>
            <w:r>
              <w:rPr>
                <w:rFonts w:ascii="Palatino Linotype" w:hAnsi="Palatino Linotype"/>
                <w:color w:val="000000"/>
              </w:rPr>
              <w:t>Liberty Apple Valley</w:t>
            </w:r>
            <w:r w:rsidR="00E827F2">
              <w:rPr>
                <w:rFonts w:ascii="Palatino Linotype" w:hAnsi="Palatino Linotype"/>
                <w:color w:val="000000"/>
              </w:rPr>
              <w:t>-</w:t>
            </w:r>
            <w:proofErr w:type="spellStart"/>
            <w:r w:rsidR="00E827F2">
              <w:rPr>
                <w:rFonts w:ascii="Palatino Linotype" w:hAnsi="Palatino Linotype"/>
                <w:color w:val="000000"/>
              </w:rPr>
              <w:t>Yermo</w:t>
            </w:r>
            <w:proofErr w:type="spellEnd"/>
            <w:r w:rsidR="002C611B">
              <w:rPr>
                <w:rFonts w:ascii="Palatino Linotype" w:hAnsi="Palatino Linotype"/>
                <w:color w:val="000000"/>
              </w:rPr>
              <w:t>, capped impact</w:t>
            </w:r>
            <w:r w:rsidR="00E20A8E">
              <w:rPr>
                <w:rFonts w:ascii="Palatino Linotype" w:hAnsi="Palatino Linotype"/>
                <w:color w:val="000000"/>
              </w:rPr>
              <w:t xml:space="preserve"> </w:t>
            </w:r>
            <w:r w:rsidR="00D63A83">
              <w:rPr>
                <w:rFonts w:ascii="Palatino Linotype" w:hAnsi="Palatino Linotype"/>
                <w:color w:val="000000"/>
              </w:rPr>
              <w:t>(</w:t>
            </w:r>
            <w:r w:rsidR="00561573">
              <w:rPr>
                <w:rFonts w:ascii="Palatino Linotype" w:hAnsi="Palatino Linotype"/>
                <w:color w:val="000000"/>
              </w:rPr>
              <w:t>full impact)</w:t>
            </w:r>
          </w:p>
        </w:tc>
        <w:tc>
          <w:tcPr>
            <w:tcW w:w="1170" w:type="dxa"/>
            <w:shd w:val="clear" w:color="auto" w:fill="auto"/>
            <w:noWrap/>
            <w:vAlign w:val="center"/>
            <w:hideMark/>
          </w:tcPr>
          <w:p w:rsidRPr="003B4BA5" w:rsidR="002F4863" w:rsidP="00437103" w:rsidRDefault="002F4863" w14:paraId="50457406" w14:textId="784D7930">
            <w:pPr>
              <w:spacing w:line="240" w:lineRule="auto"/>
              <w:ind w:firstLine="0"/>
              <w:jc w:val="center"/>
              <w:rPr>
                <w:rFonts w:ascii="Palatino Linotype" w:hAnsi="Palatino Linotype"/>
                <w:color w:val="000000"/>
              </w:rPr>
            </w:pPr>
            <w:r w:rsidRPr="003B4BA5">
              <w:rPr>
                <w:rFonts w:ascii="Palatino Linotype" w:hAnsi="Palatino Linotype"/>
                <w:color w:val="000000"/>
              </w:rPr>
              <w:t xml:space="preserve"> </w:t>
            </w:r>
            <w:r w:rsidRPr="003B4BA5" w:rsidR="00B06540">
              <w:rPr>
                <w:rFonts w:ascii="Palatino Linotype" w:hAnsi="Palatino Linotype"/>
                <w:color w:val="000000"/>
              </w:rPr>
              <w:t xml:space="preserve">12 </w:t>
            </w:r>
            <w:proofErr w:type="spellStart"/>
            <w:r w:rsidRPr="003B4BA5">
              <w:rPr>
                <w:rFonts w:ascii="Palatino Linotype" w:hAnsi="Palatino Linotype"/>
                <w:color w:val="000000"/>
              </w:rPr>
              <w:t>C</w:t>
            </w:r>
            <w:r w:rsidRPr="003B4BA5" w:rsidR="00902E8D">
              <w:rPr>
                <w:rFonts w:ascii="Palatino Linotype" w:hAnsi="Palatino Linotype"/>
                <w:color w:val="000000"/>
              </w:rPr>
              <w:t>cf</w:t>
            </w:r>
            <w:proofErr w:type="spellEnd"/>
          </w:p>
        </w:tc>
        <w:tc>
          <w:tcPr>
            <w:tcW w:w="1170" w:type="dxa"/>
            <w:shd w:val="clear" w:color="auto" w:fill="auto"/>
            <w:noWrap/>
            <w:vAlign w:val="center"/>
            <w:hideMark/>
          </w:tcPr>
          <w:p w:rsidRPr="003B4BA5" w:rsidR="002F4863" w:rsidP="00437103" w:rsidRDefault="00E20A8E" w14:paraId="1380DE1A" w14:textId="4F2F1242">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$54.57</w:t>
            </w:r>
          </w:p>
        </w:tc>
        <w:tc>
          <w:tcPr>
            <w:tcW w:w="1170" w:type="dxa"/>
            <w:shd w:val="clear" w:color="auto" w:fill="auto"/>
            <w:noWrap/>
            <w:vAlign w:val="center"/>
            <w:hideMark/>
          </w:tcPr>
          <w:p w:rsidRPr="003B4BA5" w:rsidR="002F4863" w:rsidP="00437103" w:rsidRDefault="002F4863" w14:paraId="51D54FB4" w14:textId="5BDC5680">
            <w:pPr>
              <w:spacing w:line="240" w:lineRule="auto"/>
              <w:ind w:firstLine="0"/>
              <w:jc w:val="center"/>
              <w:rPr>
                <w:rFonts w:ascii="Palatino Linotype" w:hAnsi="Palatino Linotype"/>
                <w:color w:val="000000"/>
              </w:rPr>
            </w:pPr>
            <w:r w:rsidRPr="003B4BA5">
              <w:rPr>
                <w:rFonts w:ascii="Palatino Linotype" w:hAnsi="Palatino Linotype"/>
                <w:color w:val="000000"/>
              </w:rPr>
              <w:t xml:space="preserve"> </w:t>
            </w:r>
            <w:r w:rsidRPr="003B4BA5" w:rsidR="00B06540">
              <w:rPr>
                <w:rFonts w:ascii="Palatino Linotype" w:hAnsi="Palatino Linotype"/>
                <w:color w:val="000000"/>
              </w:rPr>
              <w:t xml:space="preserve">12 </w:t>
            </w:r>
            <w:proofErr w:type="spellStart"/>
            <w:r w:rsidRPr="003B4BA5">
              <w:rPr>
                <w:rFonts w:ascii="Palatino Linotype" w:hAnsi="Palatino Linotype"/>
                <w:color w:val="000000"/>
              </w:rPr>
              <w:t>C</w:t>
            </w:r>
            <w:r w:rsidRPr="003B4BA5" w:rsidR="00902E8D">
              <w:rPr>
                <w:rFonts w:ascii="Palatino Linotype" w:hAnsi="Palatino Linotype"/>
                <w:color w:val="000000"/>
              </w:rPr>
              <w:t>cf</w:t>
            </w:r>
            <w:proofErr w:type="spellEnd"/>
          </w:p>
        </w:tc>
        <w:tc>
          <w:tcPr>
            <w:tcW w:w="1170" w:type="dxa"/>
            <w:shd w:val="clear" w:color="auto" w:fill="auto"/>
            <w:noWrap/>
            <w:vAlign w:val="center"/>
            <w:hideMark/>
          </w:tcPr>
          <w:p w:rsidRPr="003B4BA5" w:rsidR="00D63A83" w:rsidP="00437103" w:rsidRDefault="00D63A83" w14:paraId="1CE05E7E" w14:textId="2EEF5540">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$62.76</w:t>
            </w:r>
          </w:p>
          <w:p w:rsidRPr="003B4BA5" w:rsidR="00D63A83" w:rsidP="00D63A83" w:rsidRDefault="00D63A83" w14:paraId="6695BE78" w14:textId="67369B6C">
            <w:pPr>
              <w:spacing w:line="240" w:lineRule="auto"/>
              <w:ind w:firstLine="0"/>
              <w:jc w:val="center"/>
              <w:rPr>
                <w:rFonts w:ascii="Palatino Linotype" w:hAnsi="Palatino Linotype"/>
                <w:color w:val="000000"/>
              </w:rPr>
            </w:pPr>
            <w:r w:rsidRPr="003B4BA5">
              <w:rPr>
                <w:rFonts w:ascii="Palatino Linotype" w:hAnsi="Palatino Linotype"/>
                <w:color w:val="000000"/>
              </w:rPr>
              <w:t>($89.50)</w:t>
            </w:r>
          </w:p>
          <w:p w:rsidRPr="003B4BA5" w:rsidR="00D63A83" w:rsidP="00437103" w:rsidRDefault="00D63A83" w14:paraId="7F5F986F" w14:textId="21BE4EC3">
            <w:pPr>
              <w:spacing w:line="240" w:lineRule="auto"/>
              <w:ind w:firstLine="0"/>
              <w:jc w:val="center"/>
              <w:rPr>
                <w:rFonts w:ascii="Palatino Linotype" w:hAnsi="Palatino Linotype"/>
                <w:color w:val="000000"/>
              </w:rPr>
            </w:pPr>
          </w:p>
        </w:tc>
        <w:tc>
          <w:tcPr>
            <w:tcW w:w="1395" w:type="dxa"/>
            <w:shd w:val="clear" w:color="auto" w:fill="auto"/>
            <w:noWrap/>
            <w:vAlign w:val="center"/>
            <w:hideMark/>
          </w:tcPr>
          <w:p w:rsidRPr="003B4BA5" w:rsidR="00D63A83" w:rsidRDefault="00D63A83" w14:paraId="4D529823" w14:textId="2EA64F8B">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$8.19</w:t>
            </w:r>
          </w:p>
          <w:p w:rsidRPr="003B4BA5" w:rsidR="00D63A83" w:rsidP="00437103" w:rsidRDefault="00D63A83" w14:paraId="1167D7AF" w14:textId="6E141B84">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($34.95)</w:t>
            </w:r>
          </w:p>
        </w:tc>
        <w:tc>
          <w:tcPr>
            <w:tcW w:w="1395" w:type="dxa"/>
            <w:shd w:val="clear" w:color="auto" w:fill="auto"/>
            <w:noWrap/>
            <w:vAlign w:val="center"/>
            <w:hideMark/>
          </w:tcPr>
          <w:p w:rsidRPr="003B4BA5" w:rsidR="00D63A83" w:rsidRDefault="00D63A83" w14:paraId="3181FC5A" w14:textId="3D46526D">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15</w:t>
            </w:r>
          </w:p>
          <w:p w:rsidRPr="003B4BA5" w:rsidR="00D63A83" w:rsidP="00437103" w:rsidRDefault="00D63A83" w14:paraId="57CA03B4" w14:textId="031FAB61">
            <w:pPr>
              <w:spacing w:line="240" w:lineRule="auto"/>
              <w:ind w:firstLine="0"/>
              <w:jc w:val="center"/>
              <w:rPr>
                <w:rFonts w:ascii="Palatino Linotype" w:hAnsi="Palatino Linotype"/>
                <w:color w:val="000000"/>
                <w:szCs w:val="26"/>
              </w:rPr>
            </w:pPr>
            <w:r w:rsidRPr="003B4BA5">
              <w:rPr>
                <w:rFonts w:ascii="Palatino Linotype" w:hAnsi="Palatino Linotype"/>
                <w:color w:val="000000"/>
                <w:szCs w:val="26"/>
              </w:rPr>
              <w:t>(64.1)</w:t>
            </w:r>
          </w:p>
        </w:tc>
      </w:tr>
    </w:tbl>
    <w:p w:rsidR="00EB2B44" w:rsidP="003B4BA5" w:rsidRDefault="00EB2B44" w14:paraId="5A30F2E5" w14:textId="4E1DF317">
      <w:pPr>
        <w:pStyle w:val="standard0"/>
        <w:ind w:firstLine="0"/>
      </w:pPr>
    </w:p>
    <w:p w:rsidR="0073353F" w:rsidP="006E6574" w:rsidRDefault="00B852F3" w14:paraId="15A1D014" w14:textId="2AD62C4E">
      <w:pPr>
        <w:pStyle w:val="Standard"/>
      </w:pPr>
      <w:r>
        <w:lastRenderedPageBreak/>
        <w:t>This proceeding is closed</w:t>
      </w:r>
      <w:r w:rsidR="0073353F">
        <w:t>.</w:t>
      </w:r>
    </w:p>
    <w:p w:rsidR="005A148C" w:rsidP="00A55ACD" w:rsidRDefault="002C7FE9" w14:paraId="7BB84C41" w14:textId="1B84F083">
      <w:pPr>
        <w:pStyle w:val="Heading1"/>
        <w:numPr>
          <w:ilvl w:val="0"/>
          <w:numId w:val="1"/>
        </w:numPr>
      </w:pPr>
      <w:bookmarkStart w:name="_Toc8123715" w:id="5"/>
      <w:bookmarkStart w:name="_Toc46478766" w:id="6"/>
      <w:r w:rsidRPr="00121089">
        <w:t>Backgroun</w:t>
      </w:r>
      <w:bookmarkEnd w:id="5"/>
      <w:r w:rsidR="0089561B">
        <w:t>d</w:t>
      </w:r>
      <w:bookmarkEnd w:id="6"/>
    </w:p>
    <w:p w:rsidR="0089561B" w:rsidP="0089561B" w:rsidRDefault="0089561B" w14:paraId="48D14F81" w14:textId="77777777">
      <w:pPr>
        <w:pStyle w:val="Heading2"/>
      </w:pPr>
      <w:bookmarkStart w:name="_Toc8123717" w:id="7"/>
      <w:bookmarkStart w:name="_Toc46478767" w:id="8"/>
      <w:r>
        <w:t>Procedural Background</w:t>
      </w:r>
      <w:bookmarkEnd w:id="7"/>
      <w:bookmarkEnd w:id="8"/>
    </w:p>
    <w:p w:rsidR="00E82D35" w:rsidP="00B878B7" w:rsidRDefault="00520706" w14:paraId="79F16DC8" w14:textId="4B5297A8">
      <w:pPr>
        <w:pStyle w:val="Standard"/>
      </w:pPr>
      <w:r>
        <w:t xml:space="preserve">Liberty Utilities (Apple Valley Ranchos Water) Corp. (Liberty Apple Valley) </w:t>
      </w:r>
      <w:r w:rsidR="001E444F">
        <w:t xml:space="preserve">filed its </w:t>
      </w:r>
      <w:r w:rsidR="007C5A8A">
        <w:t>G</w:t>
      </w:r>
      <w:r w:rsidR="00B50E94">
        <w:t xml:space="preserve">eneral </w:t>
      </w:r>
      <w:r w:rsidR="007C5A8A">
        <w:t>R</w:t>
      </w:r>
      <w:r w:rsidR="00B50E94">
        <w:t xml:space="preserve">ate </w:t>
      </w:r>
      <w:r w:rsidR="007C5A8A">
        <w:t>C</w:t>
      </w:r>
      <w:r w:rsidR="00B50E94">
        <w:t xml:space="preserve">ase </w:t>
      </w:r>
      <w:r w:rsidR="007C5A8A">
        <w:t xml:space="preserve">(GRC) </w:t>
      </w:r>
      <w:r w:rsidR="00B50E94">
        <w:t>application for</w:t>
      </w:r>
      <w:r w:rsidR="003C67D4">
        <w:t xml:space="preserve"> </w:t>
      </w:r>
      <w:bookmarkStart w:name="_Hlk39495155" w:id="9"/>
      <w:r w:rsidR="003C67D4">
        <w:t xml:space="preserve">Test Year </w:t>
      </w:r>
      <w:r w:rsidR="007C3ACA">
        <w:t xml:space="preserve">(TY) </w:t>
      </w:r>
      <w:r w:rsidR="003C67D4">
        <w:t>2019</w:t>
      </w:r>
      <w:r w:rsidR="007C3ACA">
        <w:t xml:space="preserve"> </w:t>
      </w:r>
      <w:bookmarkEnd w:id="9"/>
      <w:r w:rsidR="007C3ACA">
        <w:t>on January 2, 2018</w:t>
      </w:r>
      <w:r w:rsidR="00537F0F">
        <w:t xml:space="preserve">. </w:t>
      </w:r>
      <w:r w:rsidR="00697BE3">
        <w:t>Liberty Utilities (Park Water) Corp. (</w:t>
      </w:r>
      <w:r w:rsidR="00B50E94">
        <w:t>Liberty Park</w:t>
      </w:r>
      <w:r w:rsidR="00697BE3">
        <w:t>)</w:t>
      </w:r>
      <w:r w:rsidR="00612AF7">
        <w:t xml:space="preserve"> </w:t>
      </w:r>
      <w:r w:rsidR="00B50E94">
        <w:t xml:space="preserve">also filed its </w:t>
      </w:r>
      <w:r w:rsidR="007C5A8A">
        <w:t>GRC</w:t>
      </w:r>
      <w:r w:rsidR="00B50E94">
        <w:t xml:space="preserve"> application for TY 2019 on January 2, 2018. </w:t>
      </w:r>
      <w:r w:rsidR="004505A7">
        <w:t>On February 8, 2018, the Public Advocates Office</w:t>
      </w:r>
      <w:r w:rsidR="004505A7">
        <w:rPr>
          <w:rStyle w:val="FootnoteReference"/>
        </w:rPr>
        <w:footnoteReference w:id="2"/>
      </w:r>
      <w:r w:rsidR="004505A7">
        <w:t xml:space="preserve"> filed a timely protest to each application. </w:t>
      </w:r>
      <w:r w:rsidR="006405D2">
        <w:t>The proceedings were consolidated</w:t>
      </w:r>
      <w:r w:rsidR="00E82D35">
        <w:t xml:space="preserve"> </w:t>
      </w:r>
      <w:r w:rsidR="006405D2">
        <w:t>o</w:t>
      </w:r>
      <w:r w:rsidR="00E82D35">
        <w:t>n March</w:t>
      </w:r>
      <w:r w:rsidR="00437103">
        <w:t> </w:t>
      </w:r>
      <w:r w:rsidR="00E82D35">
        <w:t>16,</w:t>
      </w:r>
      <w:r w:rsidR="00437103">
        <w:t> </w:t>
      </w:r>
      <w:r w:rsidR="00E82D35">
        <w:t>2018</w:t>
      </w:r>
      <w:r w:rsidR="00B310EB">
        <w:t>; and both</w:t>
      </w:r>
      <w:r w:rsidRPr="00B310EB" w:rsidR="00B310EB">
        <w:t xml:space="preserve"> applicants will collectively be referred to as Liberty, in this decision</w:t>
      </w:r>
      <w:r w:rsidR="00E82D35">
        <w:t>.</w:t>
      </w:r>
    </w:p>
    <w:p w:rsidR="00001CB1" w:rsidP="00700FEE" w:rsidRDefault="00001CB1" w14:paraId="05D5C4E7" w14:textId="7F35D829">
      <w:pPr>
        <w:pStyle w:val="Standard"/>
      </w:pPr>
      <w:r>
        <w:t xml:space="preserve">A </w:t>
      </w:r>
      <w:r w:rsidR="00437103">
        <w:t>prehearing conference (</w:t>
      </w:r>
      <w:r>
        <w:t>PHC</w:t>
      </w:r>
      <w:r w:rsidR="00437103">
        <w:t>)</w:t>
      </w:r>
      <w:r>
        <w:t xml:space="preserve"> was held on May 1, 2018. </w:t>
      </w:r>
      <w:r w:rsidR="00B310EB">
        <w:t>T</w:t>
      </w:r>
      <w:r>
        <w:t>he Public Advocates Office served testimony on July 20, 2018</w:t>
      </w:r>
      <w:r w:rsidR="00B310EB">
        <w:t>.</w:t>
      </w:r>
      <w:r>
        <w:t xml:space="preserve"> Liberty served rebuttal testimony on September</w:t>
      </w:r>
      <w:r w:rsidR="00437103">
        <w:t> </w:t>
      </w:r>
      <w:r>
        <w:t>24, 2018.</w:t>
      </w:r>
      <w:r w:rsidR="00437103">
        <w:t xml:space="preserve"> </w:t>
      </w:r>
      <w:r>
        <w:t>The Commission held Public Participation Hearings in the City of Bellflower on October 18, 2018</w:t>
      </w:r>
      <w:r w:rsidR="00B310EB">
        <w:t>,</w:t>
      </w:r>
      <w:r>
        <w:t xml:space="preserve"> and in the City of Apple Valley on October</w:t>
      </w:r>
      <w:r w:rsidR="00437103">
        <w:t> </w:t>
      </w:r>
      <w:r>
        <w:t>25,</w:t>
      </w:r>
      <w:r w:rsidR="00437103">
        <w:t> </w:t>
      </w:r>
      <w:r>
        <w:t xml:space="preserve">2018. </w:t>
      </w:r>
      <w:r w:rsidR="00437103">
        <w:t xml:space="preserve"> </w:t>
      </w:r>
      <w:r>
        <w:t xml:space="preserve">The public input is summarized in section </w:t>
      </w:r>
      <w:r w:rsidR="000263A1">
        <w:t>1.3</w:t>
      </w:r>
      <w:r>
        <w:t xml:space="preserve"> below.</w:t>
      </w:r>
      <w:r w:rsidR="000362C9">
        <w:t xml:space="preserve"> </w:t>
      </w:r>
      <w:r>
        <w:t xml:space="preserve">On November 2, 2018, </w:t>
      </w:r>
      <w:r w:rsidR="00EC7433">
        <w:t xml:space="preserve">Liberty </w:t>
      </w:r>
      <w:r>
        <w:t>served revised rebuttal testimony.</w:t>
      </w:r>
      <w:r w:rsidR="00951A6F">
        <w:t xml:space="preserve"> </w:t>
      </w:r>
      <w:r w:rsidR="00FD5FCB">
        <w:t xml:space="preserve">Evidentiary hearings were held in Los Angeles </w:t>
      </w:r>
      <w:r>
        <w:t>on November 6, 7, and 9, 201</w:t>
      </w:r>
      <w:r w:rsidR="00FD5FCB">
        <w:t>8</w:t>
      </w:r>
      <w:r>
        <w:t>.</w:t>
      </w:r>
    </w:p>
    <w:p w:rsidR="005D4839" w:rsidP="00C62680" w:rsidRDefault="00941DDD" w14:paraId="764081AF" w14:textId="6838A50F">
      <w:pPr>
        <w:rPr>
          <w:rFonts w:ascii="Palatino" w:hAnsi="Palatino"/>
        </w:rPr>
      </w:pPr>
      <w:r>
        <w:t xml:space="preserve">Liberty and the Public Advocates Office (collectively, the </w:t>
      </w:r>
      <w:r w:rsidR="00DA59D0">
        <w:t>P</w:t>
      </w:r>
      <w:r>
        <w:t>arties) each filed their opening briefs</w:t>
      </w:r>
      <w:r w:rsidRPr="000362C9" w:rsidR="000362C9">
        <w:t xml:space="preserve"> </w:t>
      </w:r>
      <w:r w:rsidR="000362C9">
        <w:t>o</w:t>
      </w:r>
      <w:r w:rsidRPr="000362C9" w:rsidR="000362C9">
        <w:t>n December 12, 2018</w:t>
      </w:r>
      <w:r>
        <w:t xml:space="preserve">. </w:t>
      </w:r>
      <w:r w:rsidR="00001CB1">
        <w:t xml:space="preserve">Reply briefs were filed on January 11, 2019. </w:t>
      </w:r>
      <w:r w:rsidR="005D4839">
        <w:t xml:space="preserve">On January 9, 2019, </w:t>
      </w:r>
      <w:r w:rsidR="00C62680">
        <w:t xml:space="preserve">the </w:t>
      </w:r>
      <w:r w:rsidR="001D6BFB">
        <w:t>P</w:t>
      </w:r>
      <w:r w:rsidR="00C62680">
        <w:t>arties</w:t>
      </w:r>
      <w:r w:rsidR="005D4839">
        <w:t xml:space="preserve"> filed a joint motion for an extension of time to file a joint comparison exhibit. The </w:t>
      </w:r>
      <w:r w:rsidR="001D6BFB">
        <w:t>assigned Administrative Law Judge (ALJ) granted the motion</w:t>
      </w:r>
      <w:r w:rsidR="00B310EB">
        <w:t>,</w:t>
      </w:r>
      <w:r w:rsidR="001D6BFB">
        <w:t xml:space="preserve"> </w:t>
      </w:r>
      <w:r w:rsidR="008E1B48">
        <w:t>and the parties filed a joint comparison exhibit on January 25, 2019.</w:t>
      </w:r>
    </w:p>
    <w:p w:rsidR="005D4839" w:rsidP="005D4839" w:rsidRDefault="005D4839" w14:paraId="23BC12BC" w14:textId="60212C61">
      <w:r>
        <w:lastRenderedPageBreak/>
        <w:t xml:space="preserve">On February 12, 2019, the Chief </w:t>
      </w:r>
      <w:r w:rsidR="000223D6">
        <w:t>ALJ</w:t>
      </w:r>
      <w:r w:rsidR="00437103">
        <w:t xml:space="preserve"> </w:t>
      </w:r>
      <w:r>
        <w:t>issued a ruling reassigning these proceedings from Commissioner Carla Peterman to Commissioner Genevieve Shiroma.</w:t>
      </w:r>
    </w:p>
    <w:p w:rsidR="00001CB1" w:rsidP="00B878B7" w:rsidRDefault="00001CB1" w14:paraId="2230F8A3" w14:textId="45345BA0">
      <w:pPr>
        <w:pStyle w:val="Standard"/>
      </w:pPr>
      <w:r>
        <w:t>On March 6, 20</w:t>
      </w:r>
      <w:r w:rsidR="005D4839">
        <w:t>19</w:t>
      </w:r>
      <w:r>
        <w:t>, Liberty filed an unopposed motion for interim rate relief pursuant to Public Utilities (</w:t>
      </w:r>
      <w:r w:rsidRPr="009A475D">
        <w:t>Pub. Util.</w:t>
      </w:r>
      <w:r>
        <w:t>)</w:t>
      </w:r>
      <w:r w:rsidR="00262B5C">
        <w:t xml:space="preserve"> </w:t>
      </w:r>
      <w:r w:rsidRPr="009A475D">
        <w:t>Code §</w:t>
      </w:r>
      <w:r>
        <w:t xml:space="preserve">455.2, to allow Liberty Apple Valley and Liberty Park to continue charging rates currently authorized in tariffs, and to track the differences between the authorized interim rates and the final rates authorized in this decision. The ALJ granted the motion March 19, 2019. </w:t>
      </w:r>
      <w:r w:rsidR="00387288">
        <w:t>T</w:t>
      </w:r>
      <w:r w:rsidR="000B6564">
        <w:t xml:space="preserve">he </w:t>
      </w:r>
      <w:r w:rsidR="00EC7433">
        <w:t xml:space="preserve">Commission </w:t>
      </w:r>
      <w:r w:rsidR="00A60C30">
        <w:t xml:space="preserve">also </w:t>
      </w:r>
      <w:r w:rsidR="00EC7433">
        <w:t xml:space="preserve">issued </w:t>
      </w:r>
      <w:r w:rsidR="00387288">
        <w:t xml:space="preserve">two extension decisions, </w:t>
      </w:r>
      <w:r w:rsidR="00EC7433">
        <w:t xml:space="preserve">Decision (D.)19-03-086 </w:t>
      </w:r>
      <w:r w:rsidR="00387288">
        <w:t xml:space="preserve">and D.20-02-067, </w:t>
      </w:r>
      <w:r w:rsidR="003C6DB1">
        <w:t xml:space="preserve">the latter of which </w:t>
      </w:r>
      <w:r w:rsidR="00EC7433">
        <w:t>extend</w:t>
      </w:r>
      <w:r w:rsidR="00387288">
        <w:t>ed</w:t>
      </w:r>
      <w:r w:rsidR="00EC7433">
        <w:t xml:space="preserve"> the statutory deadline for completion of these consolidated proceedings </w:t>
      </w:r>
      <w:r w:rsidR="00387288">
        <w:t xml:space="preserve">to </w:t>
      </w:r>
      <w:r>
        <w:t>September</w:t>
      </w:r>
      <w:r w:rsidR="00437103">
        <w:t> </w:t>
      </w:r>
      <w:r>
        <w:t>2,</w:t>
      </w:r>
      <w:r w:rsidR="00437103">
        <w:t> </w:t>
      </w:r>
      <w:r>
        <w:t>2020.</w:t>
      </w:r>
    </w:p>
    <w:p w:rsidR="0089561B" w:rsidP="0089561B" w:rsidRDefault="0089561B" w14:paraId="20E3EF31" w14:textId="2C02970D">
      <w:pPr>
        <w:pStyle w:val="Heading2"/>
      </w:pPr>
      <w:bookmarkStart w:name="_Toc46478768" w:id="10"/>
      <w:r>
        <w:t>Utility Background</w:t>
      </w:r>
      <w:bookmarkEnd w:id="10"/>
    </w:p>
    <w:p w:rsidR="00EB3B6B" w:rsidP="003C67D4" w:rsidRDefault="00BD78BC" w14:paraId="0A8C0436" w14:textId="2EDFEA37">
      <w:pPr>
        <w:pStyle w:val="Standard"/>
      </w:pPr>
      <w:r>
        <w:t>Liberty Apple Valley serves a population of roughly 61,000 people</w:t>
      </w:r>
      <w:r w:rsidR="00D34403">
        <w:t>,</w:t>
      </w:r>
      <w:r w:rsidR="00CE2074">
        <w:t xml:space="preserve"> through nearly 19,000 </w:t>
      </w:r>
      <w:r w:rsidR="00F108FC">
        <w:t xml:space="preserve">residential </w:t>
      </w:r>
      <w:r w:rsidR="00D34403">
        <w:t>connections,</w:t>
      </w:r>
      <w:r>
        <w:t xml:space="preserve"> in and near the Town of Apple Valley in San Bernardino County. </w:t>
      </w:r>
      <w:r w:rsidR="008B1BFA">
        <w:t>Liberty Apple Valley produced 9,257 acre-feet of water for this area in 2016.</w:t>
      </w:r>
      <w:r w:rsidR="00900461">
        <w:t xml:space="preserve"> Additionally, </w:t>
      </w:r>
      <w:r w:rsidR="008D0AE2">
        <w:t>Liberty Apple Valley serve</w:t>
      </w:r>
      <w:r w:rsidR="00900461">
        <w:t xml:space="preserve">s two discrete areas and develops revenue requirements and rate schedules separately for these areas. Liberty Apple Valley’s </w:t>
      </w:r>
      <w:proofErr w:type="spellStart"/>
      <w:r w:rsidR="00900461">
        <w:t>Yermo</w:t>
      </w:r>
      <w:proofErr w:type="spellEnd"/>
      <w:r w:rsidR="008D0AE2">
        <w:t xml:space="preserve"> </w:t>
      </w:r>
      <w:r w:rsidR="00900461">
        <w:t>district is</w:t>
      </w:r>
      <w:r w:rsidR="008D0AE2">
        <w:t xml:space="preserve"> northeast of Barstow</w:t>
      </w:r>
      <w:r w:rsidR="00E34A3E">
        <w:t xml:space="preserve"> with </w:t>
      </w:r>
      <w:r w:rsidR="0061464B">
        <w:t xml:space="preserve">approximately </w:t>
      </w:r>
      <w:r w:rsidR="00E34A3E">
        <w:t>2</w:t>
      </w:r>
      <w:r w:rsidR="0061464B">
        <w:t>60</w:t>
      </w:r>
      <w:r w:rsidR="00E34A3E">
        <w:t xml:space="preserve"> </w:t>
      </w:r>
      <w:r w:rsidR="003B24B2">
        <w:t xml:space="preserve">residential </w:t>
      </w:r>
      <w:r w:rsidR="00E34A3E">
        <w:t>connection</w:t>
      </w:r>
      <w:r w:rsidR="008C4316">
        <w:t>s</w:t>
      </w:r>
      <w:r w:rsidR="008D0AE2">
        <w:t>.</w:t>
      </w:r>
      <w:r w:rsidR="00437103">
        <w:t xml:space="preserve"> </w:t>
      </w:r>
      <w:r w:rsidR="008B1BFA">
        <w:t>These customers were supplied 112</w:t>
      </w:r>
      <w:r w:rsidR="00437103">
        <w:t> </w:t>
      </w:r>
      <w:proofErr w:type="gramStart"/>
      <w:r w:rsidR="008B1BFA">
        <w:t>acre</w:t>
      </w:r>
      <w:proofErr w:type="gramEnd"/>
      <w:r w:rsidR="00437103">
        <w:noBreakHyphen/>
      </w:r>
      <w:r w:rsidR="008B1BFA">
        <w:t>feet of water in 2016</w:t>
      </w:r>
      <w:r w:rsidR="00B30338">
        <w:t>.</w:t>
      </w:r>
      <w:r w:rsidR="00437103">
        <w:t xml:space="preserve"> </w:t>
      </w:r>
      <w:r w:rsidR="00900461">
        <w:t xml:space="preserve">Liberty Apple Valley received Commission approval to acquire </w:t>
      </w:r>
      <w:proofErr w:type="spellStart"/>
      <w:r w:rsidR="00900461">
        <w:t>Yermo</w:t>
      </w:r>
      <w:proofErr w:type="spellEnd"/>
      <w:r w:rsidR="00900461">
        <w:t xml:space="preserve"> in 2014</w:t>
      </w:r>
      <w:r w:rsidR="00900461">
        <w:rPr>
          <w:rStyle w:val="FootnoteReference"/>
        </w:rPr>
        <w:footnoteReference w:id="3"/>
      </w:r>
      <w:r w:rsidR="00900461">
        <w:t xml:space="preserve"> and completed the acquisition on August</w:t>
      </w:r>
      <w:r w:rsidR="00437103">
        <w:t> </w:t>
      </w:r>
      <w:r w:rsidR="00900461">
        <w:t>25,</w:t>
      </w:r>
      <w:r w:rsidR="00437103">
        <w:t> </w:t>
      </w:r>
      <w:r w:rsidR="00900461">
        <w:t>2015.</w:t>
      </w:r>
      <w:r w:rsidR="00900461">
        <w:rPr>
          <w:rStyle w:val="FootnoteReference"/>
        </w:rPr>
        <w:footnoteReference w:id="4"/>
      </w:r>
      <w:r w:rsidR="00900461">
        <w:t xml:space="preserve"> </w:t>
      </w:r>
      <w:r w:rsidR="008B1BFA">
        <w:t>Finally</w:t>
      </w:r>
      <w:r w:rsidR="008C4316">
        <w:t>,</w:t>
      </w:r>
      <w:r w:rsidR="008B1BFA">
        <w:t xml:space="preserve"> Liberty Apple Valley serves </w:t>
      </w:r>
      <w:r w:rsidR="008C4316">
        <w:t>a</w:t>
      </w:r>
      <w:r w:rsidR="008B1BFA">
        <w:t xml:space="preserve"> single customer</w:t>
      </w:r>
      <w:r w:rsidR="00BD1F71">
        <w:t xml:space="preserve"> through an irrigation system</w:t>
      </w:r>
      <w:r w:rsidR="008B1BFA">
        <w:t>, the Jess Ranch</w:t>
      </w:r>
      <w:r w:rsidR="00A60C30">
        <w:t xml:space="preserve"> golf course</w:t>
      </w:r>
      <w:r w:rsidR="008B1BFA">
        <w:t>, with 4,354 of acre-feet of water</w:t>
      </w:r>
      <w:r w:rsidR="008C4316">
        <w:t xml:space="preserve">. </w:t>
      </w:r>
    </w:p>
    <w:p w:rsidR="008C4316" w:rsidP="003C67D4" w:rsidRDefault="0098178B" w14:paraId="1AA557B2" w14:textId="327C7D0D">
      <w:pPr>
        <w:pStyle w:val="Standard"/>
      </w:pPr>
      <w:r>
        <w:lastRenderedPageBreak/>
        <w:t>Liberty Apple Valley pumps water from 2</w:t>
      </w:r>
      <w:r w:rsidR="00EB3B6B">
        <w:t>0 wells</w:t>
      </w:r>
      <w:r>
        <w:t xml:space="preserve"> and distributes </w:t>
      </w:r>
      <w:r w:rsidR="00435282">
        <w:t>it</w:t>
      </w:r>
      <w:r>
        <w:t xml:space="preserve"> through 470 miles of pipeline</w:t>
      </w:r>
      <w:r w:rsidR="00EB3B6B">
        <w:t xml:space="preserve"> to its customers in the Apple Valley service area, termed the Liberty Apple Valley-Domestic district</w:t>
      </w:r>
      <w:r>
        <w:t xml:space="preserve">. </w:t>
      </w:r>
      <w:r w:rsidR="001E6BE5">
        <w:t xml:space="preserve">During the last rate case cycle, </w:t>
      </w:r>
      <w:r w:rsidR="008C4316">
        <w:t>Liberty Apple Valley</w:t>
      </w:r>
      <w:r w:rsidR="00EB3B6B">
        <w:t>-Domestic</w:t>
      </w:r>
      <w:r w:rsidR="008C4316">
        <w:t xml:space="preserve"> customer</w:t>
      </w:r>
      <w:r w:rsidR="009C14E0">
        <w:t>s</w:t>
      </w:r>
      <w:r w:rsidR="001E6BE5">
        <w:t xml:space="preserve"> used less water each year than they had the previous year, with residential customers at 141 </w:t>
      </w:r>
      <w:proofErr w:type="spellStart"/>
      <w:r w:rsidR="00A60C30">
        <w:t>Ccf</w:t>
      </w:r>
      <w:proofErr w:type="spellEnd"/>
      <w:r w:rsidR="001E6BE5">
        <w:t xml:space="preserve"> in 2017.</w:t>
      </w:r>
      <w:r w:rsidR="00902E8D">
        <w:t xml:space="preserve"> </w:t>
      </w:r>
      <w:r w:rsidR="001E6BE5">
        <w:t xml:space="preserve"> </w:t>
      </w:r>
      <w:r w:rsidR="000F63DF">
        <w:t>In 2016, the average Liberty Apple Valley</w:t>
      </w:r>
      <w:r w:rsidR="00EB3B6B">
        <w:t>-Domestic</w:t>
      </w:r>
      <w:r w:rsidR="000F63DF">
        <w:t xml:space="preserve"> customer rates increased over 9</w:t>
      </w:r>
      <w:r w:rsidR="00F50EE1">
        <w:t xml:space="preserve"> percent</w:t>
      </w:r>
      <w:r w:rsidR="00A60C30">
        <w:t>,</w:t>
      </w:r>
      <w:r w:rsidR="000F63DF">
        <w:t xml:space="preserve"> and in 2017, there was another increase of approximately 13-14</w:t>
      </w:r>
      <w:r w:rsidR="00F50EE1">
        <w:t xml:space="preserve"> percent</w:t>
      </w:r>
      <w:r w:rsidR="000F63DF">
        <w:t>.</w:t>
      </w:r>
      <w:r w:rsidR="00EB3B6B">
        <w:t xml:space="preserve"> For the Liberty Apple Valley-Irrigation district, Liberty Apple Valley pumps water from one well to a series of lakes and the single golf course customer removes metered lake water. For the Liberty Apple Valley-</w:t>
      </w:r>
      <w:proofErr w:type="spellStart"/>
      <w:r w:rsidR="00EB3B6B">
        <w:t>Yermo</w:t>
      </w:r>
      <w:proofErr w:type="spellEnd"/>
      <w:r w:rsidR="00EB3B6B">
        <w:t xml:space="preserve"> district, Liberty Apple Valley pumps water from two wells and distributes it through six miles of pipeline to approximately 260 customers in the </w:t>
      </w:r>
      <w:proofErr w:type="spellStart"/>
      <w:r w:rsidR="00EB3B6B">
        <w:t>Yermo</w:t>
      </w:r>
      <w:proofErr w:type="spellEnd"/>
      <w:r w:rsidR="00EB3B6B">
        <w:t xml:space="preserve"> service area.</w:t>
      </w:r>
    </w:p>
    <w:p w:rsidR="003C67D4" w:rsidP="003C67D4" w:rsidRDefault="003C67D4" w14:paraId="4EC2D308" w14:textId="0D34DB10">
      <w:pPr>
        <w:pStyle w:val="Standard"/>
      </w:pPr>
      <w:r>
        <w:t>Liberty Park</w:t>
      </w:r>
      <w:r w:rsidR="00A93837">
        <w:t xml:space="preserve"> </w:t>
      </w:r>
      <w:r>
        <w:t xml:space="preserve">operates in the southeastern portion of Los Angeles, </w:t>
      </w:r>
      <w:r w:rsidR="00950FC9">
        <w:t xml:space="preserve">including portions of the neighborhoods of Compton, Lynwood, Downey, Paramount, Bellflower, and Norwalk. Liberty Park </w:t>
      </w:r>
      <w:r>
        <w:t>serv</w:t>
      </w:r>
      <w:r w:rsidR="00950FC9">
        <w:t>es</w:t>
      </w:r>
      <w:r>
        <w:t xml:space="preserve"> </w:t>
      </w:r>
      <w:r w:rsidR="005D01BF">
        <w:t xml:space="preserve">a population of </w:t>
      </w:r>
      <w:r>
        <w:t xml:space="preserve">approximately </w:t>
      </w:r>
      <w:proofErr w:type="gramStart"/>
      <w:r>
        <w:t xml:space="preserve">133,000 </w:t>
      </w:r>
      <w:r w:rsidR="00083CF8">
        <w:t xml:space="preserve"> through</w:t>
      </w:r>
      <w:proofErr w:type="gramEnd"/>
      <w:r w:rsidR="00083CF8">
        <w:t xml:space="preserve"> over </w:t>
      </w:r>
      <w:r>
        <w:t xml:space="preserve">25,000 </w:t>
      </w:r>
      <w:r w:rsidR="00BD1F71">
        <w:t xml:space="preserve">residential </w:t>
      </w:r>
      <w:r>
        <w:t xml:space="preserve">connections. </w:t>
      </w:r>
      <w:r w:rsidR="0076436E">
        <w:t>Liberty Park produced 9,359 acre-fee of water in 2016, through a combination of pumping from 10 wells, and water purchased from the Central Basin Municipal Water District</w:t>
      </w:r>
      <w:r w:rsidR="00F5751A">
        <w:t xml:space="preserve"> and distributed the water through 252 miles of pipe</w:t>
      </w:r>
      <w:r w:rsidR="0076436E">
        <w:t>.</w:t>
      </w:r>
      <w:r w:rsidR="00902E8D">
        <w:t xml:space="preserve"> </w:t>
      </w:r>
      <w:r w:rsidR="0076436E">
        <w:t xml:space="preserve">Liberty Park’s customers used less water each year than the previous year, with </w:t>
      </w:r>
      <w:r w:rsidR="004657AA">
        <w:t xml:space="preserve">average </w:t>
      </w:r>
      <w:r w:rsidR="0076436E">
        <w:t>residential customer</w:t>
      </w:r>
      <w:r w:rsidR="004657AA">
        <w:t xml:space="preserve"> u</w:t>
      </w:r>
      <w:r w:rsidR="0076436E">
        <w:t>s</w:t>
      </w:r>
      <w:r w:rsidR="004657AA">
        <w:t>e</w:t>
      </w:r>
      <w:r w:rsidR="0076436E">
        <w:t xml:space="preserve"> at 106 </w:t>
      </w:r>
      <w:proofErr w:type="spellStart"/>
      <w:r w:rsidR="0076436E">
        <w:t>Ccf</w:t>
      </w:r>
      <w:proofErr w:type="spellEnd"/>
      <w:r w:rsidR="0076436E">
        <w:t xml:space="preserve"> in 2017.</w:t>
      </w:r>
      <w:r w:rsidR="006147BE">
        <w:t xml:space="preserve"> Liberty Park anticipates no customer growth since it serves a fully developed area.</w:t>
      </w:r>
      <w:r w:rsidR="000F63DF">
        <w:t xml:space="preserve"> At the beginning of 2017, the average Liberty Park customer had a nearly 5</w:t>
      </w:r>
      <w:r w:rsidR="002637C3">
        <w:t xml:space="preserve"> percent</w:t>
      </w:r>
      <w:r w:rsidR="000F63DF">
        <w:t xml:space="preserve"> rate increase</w:t>
      </w:r>
      <w:r w:rsidR="00A60C30">
        <w:t>,</w:t>
      </w:r>
      <w:r w:rsidR="000F63DF">
        <w:t xml:space="preserve"> and in July of the same year, had another rate increase of over 6</w:t>
      </w:r>
      <w:r w:rsidR="002637C3">
        <w:t xml:space="preserve"> percent</w:t>
      </w:r>
      <w:r w:rsidR="000F63DF">
        <w:t>.</w:t>
      </w:r>
    </w:p>
    <w:p w:rsidR="00B50E94" w:rsidP="00B50E94" w:rsidRDefault="003C67D4" w14:paraId="07AECF7B" w14:textId="5306DCF5">
      <w:pPr>
        <w:pStyle w:val="Standard"/>
      </w:pPr>
      <w:r>
        <w:t>Liberty</w:t>
      </w:r>
      <w:r w:rsidR="004657AA">
        <w:t xml:space="preserve"> </w:t>
      </w:r>
      <w:r w:rsidR="00F20429">
        <w:t xml:space="preserve">experienced </w:t>
      </w:r>
      <w:r w:rsidR="00C15193">
        <w:t xml:space="preserve">three </w:t>
      </w:r>
      <w:r w:rsidR="0005399C">
        <w:t>major changes</w:t>
      </w:r>
      <w:r w:rsidR="00F20429">
        <w:t xml:space="preserve"> during the last rate case cycle</w:t>
      </w:r>
      <w:r w:rsidR="006147BE">
        <w:t>.</w:t>
      </w:r>
      <w:r>
        <w:t xml:space="preserve"> </w:t>
      </w:r>
      <w:r w:rsidR="000B0A87">
        <w:t>In January 2016, they were acquired by Liberty Utilities Company</w:t>
      </w:r>
      <w:r w:rsidR="0079209F">
        <w:t xml:space="preserve"> (</w:t>
      </w:r>
      <w:proofErr w:type="spellStart"/>
      <w:r w:rsidR="0079209F">
        <w:t>LUCo</w:t>
      </w:r>
      <w:proofErr w:type="spellEnd"/>
      <w:r w:rsidR="0079209F">
        <w:t>)</w:t>
      </w:r>
      <w:r w:rsidR="000B0A87">
        <w:t xml:space="preserve">, </w:t>
      </w:r>
      <w:r w:rsidR="006147BE">
        <w:t xml:space="preserve">a wholly </w:t>
      </w:r>
      <w:r w:rsidR="006147BE">
        <w:lastRenderedPageBreak/>
        <w:t>owned subsidiary of Liberty Utilities-Canada</w:t>
      </w:r>
      <w:r w:rsidR="005930DA">
        <w:t xml:space="preserve"> (LUC)</w:t>
      </w:r>
      <w:r w:rsidR="006147BE">
        <w:t>, which is owned</w:t>
      </w:r>
      <w:r w:rsidR="003D53CF">
        <w:t xml:space="preserve"> by </w:t>
      </w:r>
      <w:r w:rsidR="000B0A87">
        <w:t>Algonquin Power and Utility Corporation (Algonquin).</w:t>
      </w:r>
      <w:r w:rsidR="000B0A87">
        <w:rPr>
          <w:rStyle w:val="FootnoteReference"/>
        </w:rPr>
        <w:footnoteReference w:id="5"/>
      </w:r>
      <w:r w:rsidR="000B0A87">
        <w:t xml:space="preserve"> As a result, their post-acquisition cost structure, organization and operations have changed. For example, Liberty Park became the General Office support for multiple utilities in California, </w:t>
      </w:r>
      <w:proofErr w:type="gramStart"/>
      <w:r w:rsidR="000B0A87">
        <w:t>Arizona</w:t>
      </w:r>
      <w:proofErr w:type="gramEnd"/>
      <w:r w:rsidR="000B0A87">
        <w:t xml:space="preserve"> and Texas. </w:t>
      </w:r>
      <w:r w:rsidR="006147BE">
        <w:t xml:space="preserve">The relationship between </w:t>
      </w:r>
      <w:bookmarkStart w:name="_Hlk46069780" w:id="11"/>
      <w:r w:rsidR="006147BE">
        <w:t>Liberty Park and Liberty Apple</w:t>
      </w:r>
      <w:r w:rsidR="004657AA">
        <w:t xml:space="preserve"> Valley</w:t>
      </w:r>
      <w:r w:rsidR="006147BE">
        <w:t xml:space="preserve"> </w:t>
      </w:r>
      <w:bookmarkEnd w:id="11"/>
      <w:r w:rsidR="006147BE">
        <w:t xml:space="preserve">did not change significantly </w:t>
      </w:r>
      <w:proofErr w:type="gramStart"/>
      <w:r w:rsidR="006147BE">
        <w:t>as a result of</w:t>
      </w:r>
      <w:proofErr w:type="gramEnd"/>
      <w:r w:rsidR="006147BE">
        <w:t xml:space="preserve"> the </w:t>
      </w:r>
      <w:r w:rsidR="00CB04D8">
        <w:t>acquisition</w:t>
      </w:r>
      <w:r w:rsidR="006147BE">
        <w:t xml:space="preserve"> because Liberty Apple Valley ha</w:t>
      </w:r>
      <w:r w:rsidR="00CB04D8">
        <w:t>s</w:t>
      </w:r>
      <w:r w:rsidR="006147BE">
        <w:t xml:space="preserve"> been a wholly owned subsidiary of Liberty Park </w:t>
      </w:r>
      <w:r w:rsidR="00CB04D8">
        <w:t>since 1987.</w:t>
      </w:r>
    </w:p>
    <w:p w:rsidR="00C15193" w:rsidP="003C67D4" w:rsidRDefault="001D7497" w14:paraId="7642857B" w14:textId="5F059EE5">
      <w:pPr>
        <w:pStyle w:val="Standard"/>
      </w:pPr>
      <w:r>
        <w:t xml:space="preserve">Second, both </w:t>
      </w:r>
      <w:r w:rsidRPr="00302F18" w:rsidR="00302F18">
        <w:t xml:space="preserve">Liberty Park and Liberty Apple Valley </w:t>
      </w:r>
      <w:r>
        <w:t>and their customers</w:t>
      </w:r>
      <w:r w:rsidR="003C67D4">
        <w:t xml:space="preserve"> we</w:t>
      </w:r>
      <w:r>
        <w:t>athered the 2015 drought and implemented</w:t>
      </w:r>
      <w:r w:rsidR="00EA7183">
        <w:t xml:space="preserve"> drought management strategies with </w:t>
      </w:r>
      <w:r w:rsidR="00CB04D8">
        <w:t xml:space="preserve">significant and </w:t>
      </w:r>
      <w:r w:rsidR="00EA7183">
        <w:t>lasting impacts</w:t>
      </w:r>
      <w:r>
        <w:t>.</w:t>
      </w:r>
      <w:r w:rsidR="00864785">
        <w:t xml:space="preserve"> </w:t>
      </w:r>
      <w:r w:rsidR="000E0C15">
        <w:t xml:space="preserve">By 2017, </w:t>
      </w:r>
      <w:r w:rsidR="00CB04D8">
        <w:t xml:space="preserve">Liberty Apple Valley </w:t>
      </w:r>
      <w:r w:rsidR="000E0C15">
        <w:t xml:space="preserve">customers had </w:t>
      </w:r>
      <w:r w:rsidR="00CB04D8">
        <w:t>reduced usage</w:t>
      </w:r>
      <w:r w:rsidR="00C15193">
        <w:t xml:space="preserve"> to 28</w:t>
      </w:r>
      <w:r w:rsidR="00864785">
        <w:t> </w:t>
      </w:r>
      <w:r w:rsidR="00275B25">
        <w:t>percent</w:t>
      </w:r>
      <w:r w:rsidR="00C15193">
        <w:t xml:space="preserve"> less than what </w:t>
      </w:r>
      <w:r w:rsidR="000E0C15">
        <w:t>they</w:t>
      </w:r>
      <w:r w:rsidR="00C15193">
        <w:t xml:space="preserve"> had used in 2013.</w:t>
      </w:r>
      <w:r w:rsidR="00864785">
        <w:t xml:space="preserve"> </w:t>
      </w:r>
      <w:r w:rsidR="00C15193">
        <w:t xml:space="preserve">Liberty Park </w:t>
      </w:r>
      <w:r w:rsidR="000E0C15">
        <w:t>customers</w:t>
      </w:r>
      <w:r w:rsidR="005129E7">
        <w:t xml:space="preserve"> </w:t>
      </w:r>
      <w:r w:rsidR="00C15193">
        <w:t xml:space="preserve">exceeded </w:t>
      </w:r>
      <w:r w:rsidR="000E0C15">
        <w:t>their</w:t>
      </w:r>
      <w:r w:rsidR="00C15193">
        <w:t xml:space="preserve"> 8</w:t>
      </w:r>
      <w:r w:rsidR="00275B25">
        <w:t xml:space="preserve"> percent</w:t>
      </w:r>
      <w:r w:rsidR="00C15193">
        <w:t xml:space="preserve"> </w:t>
      </w:r>
      <w:r w:rsidR="000E0C15">
        <w:t xml:space="preserve">usage </w:t>
      </w:r>
      <w:r w:rsidR="00C15193">
        <w:t>reduction target</w:t>
      </w:r>
      <w:r w:rsidR="009F1F4A">
        <w:t>.</w:t>
      </w:r>
      <w:r w:rsidR="00864785">
        <w:t xml:space="preserve"> </w:t>
      </w:r>
      <w:r w:rsidR="009F1F4A">
        <w:t xml:space="preserve">Liberty Park </w:t>
      </w:r>
      <w:r w:rsidR="0021490B">
        <w:t>reports consumption reduced between 15</w:t>
      </w:r>
      <w:r w:rsidR="00275B25">
        <w:t xml:space="preserve"> </w:t>
      </w:r>
      <w:r w:rsidR="009E5C77">
        <w:t>and</w:t>
      </w:r>
      <w:r w:rsidR="00275B25">
        <w:t xml:space="preserve"> </w:t>
      </w:r>
      <w:r w:rsidR="0021490B">
        <w:t>24</w:t>
      </w:r>
      <w:r w:rsidR="00565680">
        <w:t xml:space="preserve"> percent</w:t>
      </w:r>
      <w:r w:rsidR="0021490B">
        <w:t xml:space="preserve"> from May 2015 – July 2017.</w:t>
      </w:r>
    </w:p>
    <w:p w:rsidR="003C67D4" w:rsidP="003C67D4" w:rsidRDefault="00C15193" w14:paraId="2326C608" w14:textId="5E31DAB4">
      <w:pPr>
        <w:pStyle w:val="Standard"/>
      </w:pPr>
      <w:r>
        <w:t>Lastly</w:t>
      </w:r>
      <w:r w:rsidR="00BF6878">
        <w:t xml:space="preserve">, the </w:t>
      </w:r>
      <w:r w:rsidR="00A863B2">
        <w:t xml:space="preserve">companies reduced cost of debt led to a lower </w:t>
      </w:r>
      <w:r w:rsidR="003C67D4">
        <w:t>cost of capital</w:t>
      </w:r>
      <w:r w:rsidR="00A863B2">
        <w:t xml:space="preserve">, </w:t>
      </w:r>
      <w:r w:rsidR="009243AD">
        <w:t>from</w:t>
      </w:r>
      <w:r>
        <w:t xml:space="preserve"> the authorized 9.07 percent </w:t>
      </w:r>
      <w:r w:rsidR="00A863B2">
        <w:t xml:space="preserve">to </w:t>
      </w:r>
      <w:r w:rsidR="00A14910">
        <w:t>7.41 percent</w:t>
      </w:r>
      <w:r w:rsidR="009243AD">
        <w:t xml:space="preserve"> </w:t>
      </w:r>
      <w:r>
        <w:t xml:space="preserve">in 2018, and further reduced </w:t>
      </w:r>
      <w:r w:rsidR="009243AD">
        <w:t>to 7.35</w:t>
      </w:r>
      <w:r w:rsidR="00E266F3">
        <w:t xml:space="preserve"> percent</w:t>
      </w:r>
      <w:r w:rsidR="003C67D4">
        <w:t xml:space="preserve"> </w:t>
      </w:r>
      <w:r w:rsidR="009243AD">
        <w:t>as of</w:t>
      </w:r>
      <w:r w:rsidR="003C67D4">
        <w:t xml:space="preserve"> July 1, 2019.</w:t>
      </w:r>
      <w:r w:rsidR="00794A59">
        <w:rPr>
          <w:rStyle w:val="FootnoteReference"/>
        </w:rPr>
        <w:footnoteReference w:id="6"/>
      </w:r>
    </w:p>
    <w:p w:rsidR="002C7FE9" w:rsidP="00AF7A79" w:rsidRDefault="00FB43CB" w14:paraId="68525445" w14:textId="0BEE3D73">
      <w:pPr>
        <w:pStyle w:val="Standard"/>
      </w:pPr>
      <w:r>
        <w:t>Because of environmental uncertainty</w:t>
      </w:r>
      <w:r w:rsidR="00324445">
        <w:t xml:space="preserve"> and history of drought</w:t>
      </w:r>
      <w:r>
        <w:t xml:space="preserve">, </w:t>
      </w:r>
      <w:r w:rsidR="00324445">
        <w:t>the State of California has implemented progressively more mandates requiring water conservation.</w:t>
      </w:r>
      <w:r w:rsidR="00864785">
        <w:t xml:space="preserve"> </w:t>
      </w:r>
      <w:r w:rsidR="00B20DE3">
        <w:t>While water use and sales per customer are reduced, utility costs continue to increase as do the customer bills that cover these costs</w:t>
      </w:r>
      <w:r w:rsidRPr="007751E1" w:rsidR="00B20DE3">
        <w:t xml:space="preserve">. </w:t>
      </w:r>
    </w:p>
    <w:p w:rsidR="007D1F81" w:rsidP="007D1F81" w:rsidRDefault="007D1F81" w14:paraId="2A492835" w14:textId="2AD55CB2">
      <w:pPr>
        <w:pStyle w:val="Heading2"/>
      </w:pPr>
      <w:bookmarkStart w:name="_Toc46478769" w:id="13"/>
      <w:bookmarkStart w:name="_Toc8123718" w:id="14"/>
      <w:r>
        <w:lastRenderedPageBreak/>
        <w:t xml:space="preserve">Public </w:t>
      </w:r>
      <w:r w:rsidR="00236827">
        <w:t>Input</w:t>
      </w:r>
      <w:bookmarkEnd w:id="13"/>
    </w:p>
    <w:bookmarkEnd w:id="14"/>
    <w:p w:rsidRPr="00B878B7" w:rsidR="003350BC" w:rsidP="00BF4E5D" w:rsidRDefault="007D1F81" w14:paraId="305D8BCA" w14:textId="0E8A8934">
      <w:pPr>
        <w:pStyle w:val="standard0"/>
        <w:rPr>
          <w:rFonts w:ascii="Book Antiqua" w:hAnsi="Book Antiqua"/>
        </w:rPr>
      </w:pPr>
      <w:r w:rsidRPr="00B878B7">
        <w:rPr>
          <w:rFonts w:ascii="Book Antiqua" w:hAnsi="Book Antiqua"/>
        </w:rPr>
        <w:t xml:space="preserve">The Commission held </w:t>
      </w:r>
      <w:r w:rsidRPr="00B878B7" w:rsidR="00A65DC1">
        <w:rPr>
          <w:rFonts w:ascii="Book Antiqua" w:hAnsi="Book Antiqua"/>
        </w:rPr>
        <w:t xml:space="preserve">two </w:t>
      </w:r>
      <w:r w:rsidRPr="00B878B7">
        <w:rPr>
          <w:rFonts w:ascii="Book Antiqua" w:hAnsi="Book Antiqua"/>
        </w:rPr>
        <w:t xml:space="preserve">Public Participation Hearings in the City of Bellflower on October 18, 2018. </w:t>
      </w:r>
      <w:r w:rsidR="00864785">
        <w:rPr>
          <w:rFonts w:ascii="Book Antiqua" w:hAnsi="Book Antiqua"/>
        </w:rPr>
        <w:t xml:space="preserve"> </w:t>
      </w:r>
      <w:r w:rsidRPr="00B878B7">
        <w:rPr>
          <w:rFonts w:ascii="Book Antiqua" w:hAnsi="Book Antiqua"/>
        </w:rPr>
        <w:t xml:space="preserve">Twenty-one Liberty Park customers, some owners of multiple units, shared the </w:t>
      </w:r>
      <w:r w:rsidRPr="00B878B7" w:rsidR="003350BC">
        <w:rPr>
          <w:rFonts w:ascii="Book Antiqua" w:hAnsi="Book Antiqua"/>
        </w:rPr>
        <w:t xml:space="preserve">negative </w:t>
      </w:r>
      <w:r w:rsidRPr="00B878B7">
        <w:rPr>
          <w:rFonts w:ascii="Book Antiqua" w:hAnsi="Book Antiqua"/>
        </w:rPr>
        <w:t xml:space="preserve">impact of </w:t>
      </w:r>
      <w:r w:rsidRPr="00B878B7" w:rsidR="00BF4E5D">
        <w:rPr>
          <w:rFonts w:ascii="Book Antiqua" w:hAnsi="Book Antiqua"/>
        </w:rPr>
        <w:t>their growing water</w:t>
      </w:r>
      <w:r w:rsidRPr="00B878B7">
        <w:rPr>
          <w:rFonts w:ascii="Book Antiqua" w:hAnsi="Book Antiqua"/>
        </w:rPr>
        <w:t xml:space="preserve"> </w:t>
      </w:r>
      <w:r w:rsidRPr="00B878B7" w:rsidR="00BF4E5D">
        <w:rPr>
          <w:rFonts w:ascii="Book Antiqua" w:hAnsi="Book Antiqua"/>
        </w:rPr>
        <w:t>bill</w:t>
      </w:r>
      <w:r w:rsidRPr="00B878B7" w:rsidR="00435AF7">
        <w:rPr>
          <w:rFonts w:ascii="Book Antiqua" w:hAnsi="Book Antiqua"/>
        </w:rPr>
        <w:t>s</w:t>
      </w:r>
      <w:r w:rsidRPr="00B878B7">
        <w:rPr>
          <w:rFonts w:ascii="Book Antiqua" w:hAnsi="Book Antiqua"/>
        </w:rPr>
        <w:t xml:space="preserve">, </w:t>
      </w:r>
      <w:r w:rsidRPr="00B878B7" w:rsidR="00BF4E5D">
        <w:rPr>
          <w:rFonts w:ascii="Book Antiqua" w:hAnsi="Book Antiqua"/>
        </w:rPr>
        <w:t xml:space="preserve">especially </w:t>
      </w:r>
      <w:proofErr w:type="gramStart"/>
      <w:r w:rsidRPr="00B878B7" w:rsidR="00BF4E5D">
        <w:rPr>
          <w:rFonts w:ascii="Book Antiqua" w:hAnsi="Book Antiqua"/>
        </w:rPr>
        <w:t>in light of</w:t>
      </w:r>
      <w:proofErr w:type="gramEnd"/>
      <w:r w:rsidRPr="00B878B7" w:rsidR="00BF4E5D">
        <w:rPr>
          <w:rFonts w:ascii="Book Antiqua" w:hAnsi="Book Antiqua"/>
        </w:rPr>
        <w:t xml:space="preserve"> their efforts to conserve.</w:t>
      </w:r>
      <w:r w:rsidR="00864785">
        <w:rPr>
          <w:rFonts w:ascii="Book Antiqua" w:hAnsi="Book Antiqua"/>
        </w:rPr>
        <w:t xml:space="preserve"> </w:t>
      </w:r>
      <w:r w:rsidRPr="00B878B7">
        <w:rPr>
          <w:rFonts w:ascii="Book Antiqua" w:hAnsi="Book Antiqua"/>
        </w:rPr>
        <w:t xml:space="preserve">Liberty Park customers </w:t>
      </w:r>
      <w:r w:rsidRPr="00B878B7" w:rsidR="00BF4E5D">
        <w:rPr>
          <w:rFonts w:ascii="Book Antiqua" w:hAnsi="Book Antiqua"/>
        </w:rPr>
        <w:t>provided examples of outdoor gardens and yards</w:t>
      </w:r>
      <w:r w:rsidRPr="00B878B7">
        <w:rPr>
          <w:rFonts w:ascii="Book Antiqua" w:hAnsi="Book Antiqua"/>
        </w:rPr>
        <w:t xml:space="preserve"> that </w:t>
      </w:r>
      <w:r w:rsidRPr="00B878B7" w:rsidR="00BF4E5D">
        <w:rPr>
          <w:rFonts w:ascii="Book Antiqua" w:hAnsi="Book Antiqua"/>
        </w:rPr>
        <w:t>once had plants and were now just</w:t>
      </w:r>
      <w:r w:rsidRPr="00B878B7">
        <w:rPr>
          <w:rFonts w:ascii="Book Antiqua" w:hAnsi="Book Antiqua"/>
        </w:rPr>
        <w:t xml:space="preserve"> dirt</w:t>
      </w:r>
      <w:r w:rsidRPr="00B878B7" w:rsidR="003350BC">
        <w:rPr>
          <w:rFonts w:ascii="Book Antiqua" w:hAnsi="Book Antiqua"/>
        </w:rPr>
        <w:t xml:space="preserve">. One Liberty Park customer </w:t>
      </w:r>
      <w:r w:rsidRPr="00B878B7" w:rsidR="00BF4E5D">
        <w:rPr>
          <w:rFonts w:ascii="Book Antiqua" w:hAnsi="Book Antiqua"/>
        </w:rPr>
        <w:t xml:space="preserve">said she had nothing left to </w:t>
      </w:r>
      <w:proofErr w:type="gramStart"/>
      <w:r w:rsidRPr="00B878B7" w:rsidR="00BF4E5D">
        <w:rPr>
          <w:rFonts w:ascii="Book Antiqua" w:hAnsi="Book Antiqua"/>
        </w:rPr>
        <w:t>conserve, unless</w:t>
      </w:r>
      <w:proofErr w:type="gramEnd"/>
      <w:r w:rsidRPr="00B878B7" w:rsidR="00BF4E5D">
        <w:rPr>
          <w:rFonts w:ascii="Book Antiqua" w:hAnsi="Book Antiqua"/>
        </w:rPr>
        <w:t xml:space="preserve"> she began</w:t>
      </w:r>
      <w:r w:rsidRPr="00B878B7" w:rsidR="003350BC">
        <w:rPr>
          <w:rFonts w:ascii="Book Antiqua" w:hAnsi="Book Antiqua"/>
        </w:rPr>
        <w:t xml:space="preserve"> </w:t>
      </w:r>
      <w:r w:rsidRPr="00B878B7">
        <w:rPr>
          <w:rFonts w:ascii="Book Antiqua" w:hAnsi="Book Antiqua"/>
        </w:rPr>
        <w:t>rationing baths for</w:t>
      </w:r>
      <w:r w:rsidRPr="00B878B7" w:rsidR="003350BC">
        <w:rPr>
          <w:rFonts w:ascii="Book Antiqua" w:hAnsi="Book Antiqua"/>
        </w:rPr>
        <w:t xml:space="preserve"> her four</w:t>
      </w:r>
      <w:r w:rsidRPr="00B878B7">
        <w:rPr>
          <w:rFonts w:ascii="Book Antiqua" w:hAnsi="Book Antiqua"/>
        </w:rPr>
        <w:t xml:space="preserve"> children</w:t>
      </w:r>
      <w:r w:rsidRPr="00B878B7" w:rsidR="003350BC">
        <w:rPr>
          <w:rFonts w:ascii="Book Antiqua" w:hAnsi="Book Antiqua"/>
        </w:rPr>
        <w:t xml:space="preserve">. Customers are </w:t>
      </w:r>
      <w:r w:rsidRPr="00B878B7" w:rsidR="00B21B91">
        <w:rPr>
          <w:rFonts w:ascii="Book Antiqua" w:hAnsi="Book Antiqua"/>
        </w:rPr>
        <w:t>justifiably</w:t>
      </w:r>
      <w:r w:rsidRPr="00B878B7" w:rsidR="003350BC">
        <w:rPr>
          <w:rFonts w:ascii="Book Antiqua" w:hAnsi="Book Antiqua"/>
        </w:rPr>
        <w:t xml:space="preserve"> upset that their conservations efforts do not</w:t>
      </w:r>
      <w:r w:rsidRPr="00B878B7">
        <w:rPr>
          <w:rFonts w:ascii="Book Antiqua" w:hAnsi="Book Antiqua"/>
        </w:rPr>
        <w:t xml:space="preserve"> </w:t>
      </w:r>
      <w:r w:rsidRPr="00B878B7" w:rsidR="00BF4E5D">
        <w:rPr>
          <w:rFonts w:ascii="Book Antiqua" w:hAnsi="Book Antiqua"/>
        </w:rPr>
        <w:t xml:space="preserve">seem to </w:t>
      </w:r>
      <w:r w:rsidRPr="00B878B7">
        <w:rPr>
          <w:rFonts w:ascii="Book Antiqua" w:hAnsi="Book Antiqua"/>
        </w:rPr>
        <w:t xml:space="preserve">mitigate their bills. </w:t>
      </w:r>
    </w:p>
    <w:p w:rsidRPr="00B878B7" w:rsidR="007D1F81" w:rsidP="007D1F81" w:rsidRDefault="007D1F81" w14:paraId="78541738" w14:textId="68363BC5">
      <w:pPr>
        <w:pStyle w:val="standard0"/>
        <w:rPr>
          <w:rFonts w:ascii="Book Antiqua" w:hAnsi="Book Antiqua"/>
        </w:rPr>
      </w:pPr>
      <w:r w:rsidRPr="00B878B7">
        <w:rPr>
          <w:rFonts w:ascii="Book Antiqua" w:hAnsi="Book Antiqua"/>
        </w:rPr>
        <w:t xml:space="preserve">The Commission held </w:t>
      </w:r>
      <w:r w:rsidRPr="00B878B7" w:rsidR="003350BC">
        <w:rPr>
          <w:rFonts w:ascii="Book Antiqua" w:hAnsi="Book Antiqua"/>
        </w:rPr>
        <w:t xml:space="preserve">two </w:t>
      </w:r>
      <w:r w:rsidRPr="00B878B7">
        <w:rPr>
          <w:rFonts w:ascii="Book Antiqua" w:hAnsi="Book Antiqua"/>
        </w:rPr>
        <w:t xml:space="preserve">Public Participation Hearings in the City of Apple Valley on October 25, 2018. Twenty-four Liberty Apple Valley customers cited increasingly unaffordable water bills, how </w:t>
      </w:r>
      <w:r w:rsidRPr="00B878B7" w:rsidR="00BF4E5D">
        <w:rPr>
          <w:rFonts w:ascii="Book Antiqua" w:hAnsi="Book Antiqua"/>
        </w:rPr>
        <w:t xml:space="preserve">they had abandoned plantings </w:t>
      </w:r>
      <w:proofErr w:type="gramStart"/>
      <w:r w:rsidRPr="00B878B7" w:rsidR="00BF4E5D">
        <w:rPr>
          <w:rFonts w:ascii="Book Antiqua" w:hAnsi="Book Antiqua"/>
        </w:rPr>
        <w:t>in order to</w:t>
      </w:r>
      <w:proofErr w:type="gramEnd"/>
      <w:r w:rsidRPr="00B878B7" w:rsidR="00BF4E5D">
        <w:rPr>
          <w:rFonts w:ascii="Book Antiqua" w:hAnsi="Book Antiqua"/>
        </w:rPr>
        <w:t xml:space="preserve"> control costs</w:t>
      </w:r>
      <w:r w:rsidRPr="00B878B7">
        <w:rPr>
          <w:rFonts w:ascii="Book Antiqua" w:hAnsi="Book Antiqua"/>
        </w:rPr>
        <w:t>, and how people avoided purchasing or renting in Liberty Apple Valley based on unaffordable water bills.</w:t>
      </w:r>
      <w:r w:rsidR="003163EC">
        <w:rPr>
          <w:rFonts w:ascii="Book Antiqua" w:hAnsi="Book Antiqua"/>
        </w:rPr>
        <w:t xml:space="preserve"> </w:t>
      </w:r>
      <w:r w:rsidRPr="00B878B7">
        <w:rPr>
          <w:rFonts w:ascii="Book Antiqua" w:hAnsi="Book Antiqua"/>
        </w:rPr>
        <w:t xml:space="preserve">Two Liberty Apple Valley customers supported the rate increases because it funds preventative maintenance and adequate water quality. </w:t>
      </w:r>
    </w:p>
    <w:p w:rsidRPr="00B878B7" w:rsidR="00BF4E5D" w:rsidP="007D1F81" w:rsidRDefault="00BF4E5D" w14:paraId="3084FD26" w14:textId="444C2B55">
      <w:pPr>
        <w:pStyle w:val="standard0"/>
        <w:rPr>
          <w:rFonts w:ascii="Book Antiqua" w:hAnsi="Book Antiqua"/>
        </w:rPr>
      </w:pPr>
      <w:r w:rsidRPr="00B878B7">
        <w:rPr>
          <w:rFonts w:ascii="Book Antiqua" w:hAnsi="Book Antiqua"/>
        </w:rPr>
        <w:t xml:space="preserve">Liberty Apple Valley customers also </w:t>
      </w:r>
      <w:r w:rsidR="00302F18">
        <w:rPr>
          <w:rFonts w:ascii="Book Antiqua" w:hAnsi="Book Antiqua"/>
        </w:rPr>
        <w:t xml:space="preserve">felt that it was unfair that they did not receive more advance </w:t>
      </w:r>
      <w:r w:rsidRPr="00B878B7">
        <w:rPr>
          <w:rFonts w:ascii="Book Antiqua" w:hAnsi="Book Antiqua"/>
        </w:rPr>
        <w:t>notice for the public participation hearings</w:t>
      </w:r>
      <w:r w:rsidRPr="00B878B7" w:rsidR="00435AF7">
        <w:rPr>
          <w:rFonts w:ascii="Book Antiqua" w:hAnsi="Book Antiqua"/>
        </w:rPr>
        <w:t>. S</w:t>
      </w:r>
      <w:r w:rsidRPr="00B878B7">
        <w:rPr>
          <w:rFonts w:ascii="Book Antiqua" w:hAnsi="Book Antiqua"/>
        </w:rPr>
        <w:t xml:space="preserve">everal </w:t>
      </w:r>
      <w:r w:rsidR="00EA21D3">
        <w:rPr>
          <w:rFonts w:ascii="Book Antiqua" w:hAnsi="Book Antiqua"/>
        </w:rPr>
        <w:t>opin</w:t>
      </w:r>
      <w:r w:rsidRPr="00B878B7">
        <w:rPr>
          <w:rFonts w:ascii="Book Antiqua" w:hAnsi="Book Antiqua"/>
        </w:rPr>
        <w:t>ed that more customers would have participated had they received advance notice.</w:t>
      </w:r>
      <w:r w:rsidR="003163EC">
        <w:rPr>
          <w:rFonts w:ascii="Book Antiqua" w:hAnsi="Book Antiqua"/>
        </w:rPr>
        <w:t xml:space="preserve"> </w:t>
      </w:r>
      <w:r w:rsidRPr="00B878B7">
        <w:rPr>
          <w:rFonts w:ascii="Book Antiqua" w:hAnsi="Book Antiqua"/>
        </w:rPr>
        <w:t xml:space="preserve">Liberty clarified that the utility had mailed notices </w:t>
      </w:r>
      <w:r w:rsidRPr="00B878B7" w:rsidR="00435AF7">
        <w:rPr>
          <w:rFonts w:ascii="Book Antiqua" w:hAnsi="Book Antiqua"/>
        </w:rPr>
        <w:t>to Liberty Apple Valley customers the prior week on Thursday.</w:t>
      </w:r>
      <w:r w:rsidR="003163EC">
        <w:rPr>
          <w:rFonts w:ascii="Book Antiqua" w:hAnsi="Book Antiqua"/>
        </w:rPr>
        <w:t xml:space="preserve"> </w:t>
      </w:r>
      <w:r w:rsidRPr="00B878B7" w:rsidR="00435AF7">
        <w:rPr>
          <w:rFonts w:ascii="Book Antiqua" w:hAnsi="Book Antiqua"/>
        </w:rPr>
        <w:t xml:space="preserve">Some speakers expected better explanations </w:t>
      </w:r>
      <w:proofErr w:type="gramStart"/>
      <w:r w:rsidRPr="00B878B7" w:rsidR="00435AF7">
        <w:rPr>
          <w:rFonts w:ascii="Book Antiqua" w:hAnsi="Book Antiqua"/>
        </w:rPr>
        <w:t>for the reasons that</w:t>
      </w:r>
      <w:proofErr w:type="gramEnd"/>
      <w:r w:rsidRPr="00B878B7" w:rsidR="00435AF7">
        <w:rPr>
          <w:rFonts w:ascii="Book Antiqua" w:hAnsi="Book Antiqua"/>
        </w:rPr>
        <w:t xml:space="preserve"> annual utility bill increases outstripped their own wage and cost of living increases.</w:t>
      </w:r>
      <w:r w:rsidR="003163EC">
        <w:rPr>
          <w:rFonts w:ascii="Book Antiqua" w:hAnsi="Book Antiqua"/>
        </w:rPr>
        <w:t xml:space="preserve"> </w:t>
      </w:r>
      <w:r w:rsidRPr="00B878B7" w:rsidR="00435AF7">
        <w:rPr>
          <w:rFonts w:ascii="Book Antiqua" w:hAnsi="Book Antiqua"/>
        </w:rPr>
        <w:t xml:space="preserve">Even when some speakers </w:t>
      </w:r>
      <w:r w:rsidRPr="00B878B7" w:rsidR="00031911">
        <w:rPr>
          <w:rFonts w:ascii="Book Antiqua" w:hAnsi="Book Antiqua"/>
        </w:rPr>
        <w:t>acknowledged</w:t>
      </w:r>
      <w:r w:rsidRPr="00B878B7" w:rsidR="00435AF7">
        <w:rPr>
          <w:rFonts w:ascii="Book Antiqua" w:hAnsi="Book Antiqua"/>
        </w:rPr>
        <w:t xml:space="preserve"> the tradeoff between upkeep of the utility infrastructure and affordable bills, </w:t>
      </w:r>
      <w:r w:rsidRPr="00B878B7" w:rsidR="00031911">
        <w:rPr>
          <w:rFonts w:ascii="Book Antiqua" w:hAnsi="Book Antiqua"/>
        </w:rPr>
        <w:t>their experience with rising bills leads the</w:t>
      </w:r>
      <w:r w:rsidRPr="00B878B7" w:rsidR="007E417E">
        <w:rPr>
          <w:rFonts w:ascii="Book Antiqua" w:hAnsi="Book Antiqua"/>
        </w:rPr>
        <w:t>m</w:t>
      </w:r>
      <w:r w:rsidRPr="00B878B7" w:rsidR="00031911">
        <w:rPr>
          <w:rFonts w:ascii="Book Antiqua" w:hAnsi="Book Antiqua"/>
        </w:rPr>
        <w:t xml:space="preserve"> to believe neither</w:t>
      </w:r>
      <w:r w:rsidRPr="00B878B7" w:rsidR="00435AF7">
        <w:rPr>
          <w:rFonts w:ascii="Book Antiqua" w:hAnsi="Book Antiqua"/>
        </w:rPr>
        <w:t xml:space="preserve"> the utility nor the Commission has much incentive to set rates fairly. </w:t>
      </w:r>
    </w:p>
    <w:p w:rsidR="005A148C" w:rsidP="005939A5" w:rsidRDefault="00015E12" w14:paraId="7C75CE64" w14:textId="392F364F">
      <w:pPr>
        <w:pStyle w:val="Heading1"/>
      </w:pPr>
      <w:bookmarkStart w:name="_Toc46478770" w:id="15"/>
      <w:r>
        <w:lastRenderedPageBreak/>
        <w:t>Settled</w:t>
      </w:r>
      <w:r w:rsidR="008F37CF">
        <w:t xml:space="preserve"> and Uncontested Matters</w:t>
      </w:r>
      <w:bookmarkEnd w:id="15"/>
    </w:p>
    <w:p w:rsidR="00EA21D3" w:rsidP="00ED68E9" w:rsidRDefault="00ED68E9" w14:paraId="1E528D97" w14:textId="581E2041">
      <w:pPr>
        <w:pStyle w:val="standard0"/>
        <w:rPr>
          <w:rFonts w:ascii="Book Antiqua" w:hAnsi="Book Antiqua"/>
        </w:rPr>
      </w:pPr>
      <w:r w:rsidRPr="007C5A8A">
        <w:rPr>
          <w:rFonts w:ascii="Book Antiqua" w:hAnsi="Book Antiqua"/>
        </w:rPr>
        <w:t xml:space="preserve">The parties jointly submitted Summaries of Resolved Issues that were received into evidence at the </w:t>
      </w:r>
      <w:r w:rsidR="00EA21D3">
        <w:rPr>
          <w:rFonts w:ascii="Book Antiqua" w:hAnsi="Book Antiqua"/>
        </w:rPr>
        <w:t xml:space="preserve">evidentiary </w:t>
      </w:r>
      <w:r w:rsidRPr="007C5A8A">
        <w:rPr>
          <w:rFonts w:ascii="Book Antiqua" w:hAnsi="Book Antiqua"/>
        </w:rPr>
        <w:t>hearing.</w:t>
      </w:r>
      <w:r w:rsidRPr="007C5A8A">
        <w:rPr>
          <w:rStyle w:val="FootnoteReference"/>
          <w:rFonts w:ascii="Book Antiqua" w:hAnsi="Book Antiqua"/>
        </w:rPr>
        <w:footnoteReference w:id="7"/>
      </w:r>
      <w:r w:rsidR="003163EC">
        <w:rPr>
          <w:rFonts w:ascii="Book Antiqua" w:hAnsi="Book Antiqua"/>
        </w:rPr>
        <w:t xml:space="preserve"> </w:t>
      </w:r>
      <w:r w:rsidRPr="007C5A8A">
        <w:rPr>
          <w:rFonts w:ascii="Book Antiqua" w:hAnsi="Book Antiqua"/>
        </w:rPr>
        <w:t>Subsequently</w:t>
      </w:r>
      <w:r w:rsidR="00EA21D3">
        <w:rPr>
          <w:rFonts w:ascii="Book Antiqua" w:hAnsi="Book Antiqua"/>
        </w:rPr>
        <w:t>,</w:t>
      </w:r>
      <w:r w:rsidRPr="007C5A8A">
        <w:rPr>
          <w:rFonts w:ascii="Book Antiqua" w:hAnsi="Book Antiqua"/>
        </w:rPr>
        <w:t xml:space="preserve"> the parties stipulated to admission of updated Summaries of Resolved Issues, contained in Appendices 1 and 2 to the Liberty’s Opening Brief and in sections 3.1 and 3.2 of the Public Advocates Office Opening Brief.</w:t>
      </w:r>
      <w:r w:rsidR="003163EC">
        <w:rPr>
          <w:rFonts w:ascii="Book Antiqua" w:hAnsi="Book Antiqua"/>
        </w:rPr>
        <w:t xml:space="preserve"> </w:t>
      </w:r>
    </w:p>
    <w:p w:rsidRPr="007C5A8A" w:rsidR="00ED68E9" w:rsidP="00ED68E9" w:rsidRDefault="00ED68E9" w14:paraId="0E860659" w14:textId="7CFFFBF8">
      <w:pPr>
        <w:pStyle w:val="standard0"/>
        <w:rPr>
          <w:rFonts w:ascii="Book Antiqua" w:hAnsi="Book Antiqua"/>
        </w:rPr>
      </w:pPr>
      <w:r w:rsidRPr="007C5A8A">
        <w:rPr>
          <w:rFonts w:ascii="Book Antiqua" w:hAnsi="Book Antiqua"/>
        </w:rPr>
        <w:t>The updated Summaries of Resolved Issues describes the respective recommendations made by each of the applica</w:t>
      </w:r>
      <w:r w:rsidR="00EA21D3">
        <w:rPr>
          <w:rFonts w:ascii="Book Antiqua" w:hAnsi="Book Antiqua"/>
        </w:rPr>
        <w:t>nts</w:t>
      </w:r>
      <w:r w:rsidRPr="007C5A8A">
        <w:rPr>
          <w:rFonts w:ascii="Book Antiqua" w:hAnsi="Book Antiqua"/>
        </w:rPr>
        <w:t xml:space="preserve"> and the Public Advocates Office.</w:t>
      </w:r>
      <w:r w:rsidR="003163EC">
        <w:rPr>
          <w:rFonts w:ascii="Book Antiqua" w:hAnsi="Book Antiqua"/>
        </w:rPr>
        <w:t xml:space="preserve"> </w:t>
      </w:r>
      <w:r w:rsidRPr="007C5A8A">
        <w:rPr>
          <w:rFonts w:ascii="Book Antiqua" w:hAnsi="Book Antiqua"/>
        </w:rPr>
        <w:t xml:space="preserve">In addition, the updated Summaries of Resolved Issues specifies how differences between the parties’ recommendations were resolved. </w:t>
      </w:r>
    </w:p>
    <w:p w:rsidRPr="007C5A8A" w:rsidR="00136144" w:rsidP="00E76C00" w:rsidRDefault="00547846" w14:paraId="594791A6" w14:textId="6E68792A">
      <w:pPr>
        <w:pStyle w:val="standard0"/>
        <w:rPr>
          <w:rFonts w:ascii="Book Antiqua" w:hAnsi="Book Antiqua"/>
        </w:rPr>
      </w:pPr>
      <w:r w:rsidRPr="007C5A8A">
        <w:rPr>
          <w:rFonts w:ascii="Book Antiqua" w:hAnsi="Book Antiqua" w:eastAsiaTheme="minorHAnsi"/>
        </w:rPr>
        <w:t>By the time this case was submitted</w:t>
      </w:r>
      <w:r w:rsidR="004D7E87">
        <w:rPr>
          <w:rFonts w:ascii="Book Antiqua" w:hAnsi="Book Antiqua" w:eastAsiaTheme="minorHAnsi"/>
        </w:rPr>
        <w:t xml:space="preserve"> in January 2019</w:t>
      </w:r>
      <w:r w:rsidRPr="007C5A8A">
        <w:rPr>
          <w:rFonts w:ascii="Book Antiqua" w:hAnsi="Book Antiqua" w:eastAsiaTheme="minorHAnsi"/>
        </w:rPr>
        <w:t xml:space="preserve">, </w:t>
      </w:r>
      <w:r w:rsidRPr="007C5A8A" w:rsidR="00B301C0">
        <w:rPr>
          <w:rFonts w:ascii="Book Antiqua" w:hAnsi="Book Antiqua" w:eastAsiaTheme="minorHAnsi"/>
        </w:rPr>
        <w:t xml:space="preserve">the </w:t>
      </w:r>
      <w:r w:rsidR="000B687E">
        <w:rPr>
          <w:rFonts w:ascii="Book Antiqua" w:hAnsi="Book Antiqua" w:eastAsiaTheme="minorHAnsi"/>
        </w:rPr>
        <w:t>p</w:t>
      </w:r>
      <w:r w:rsidRPr="007C5A8A" w:rsidR="00B301C0">
        <w:rPr>
          <w:rFonts w:ascii="Book Antiqua" w:hAnsi="Book Antiqua" w:eastAsiaTheme="minorHAnsi"/>
        </w:rPr>
        <w:t xml:space="preserve">arties </w:t>
      </w:r>
      <w:r w:rsidRPr="007C5A8A" w:rsidR="009B29B4">
        <w:rPr>
          <w:rFonts w:ascii="Book Antiqua" w:hAnsi="Book Antiqua" w:eastAsiaTheme="minorHAnsi"/>
        </w:rPr>
        <w:t xml:space="preserve">had </w:t>
      </w:r>
      <w:r w:rsidRPr="007C5A8A" w:rsidR="00154B0D">
        <w:rPr>
          <w:rFonts w:ascii="Book Antiqua" w:hAnsi="Book Antiqua" w:eastAsiaTheme="minorHAnsi"/>
        </w:rPr>
        <w:t>settled</w:t>
      </w:r>
      <w:r w:rsidRPr="007C5A8A" w:rsidR="009B29B4">
        <w:rPr>
          <w:rFonts w:ascii="Book Antiqua" w:hAnsi="Book Antiqua" w:eastAsiaTheme="minorHAnsi"/>
        </w:rPr>
        <w:t xml:space="preserve"> </w:t>
      </w:r>
      <w:proofErr w:type="gramStart"/>
      <w:r w:rsidRPr="007C5A8A" w:rsidR="009B29B4">
        <w:rPr>
          <w:rFonts w:ascii="Book Antiqua" w:hAnsi="Book Antiqua" w:eastAsiaTheme="minorHAnsi"/>
        </w:rPr>
        <w:t>a number of</w:t>
      </w:r>
      <w:proofErr w:type="gramEnd"/>
      <w:r w:rsidRPr="007C5A8A" w:rsidR="009B29B4">
        <w:rPr>
          <w:rFonts w:ascii="Book Antiqua" w:hAnsi="Book Antiqua" w:eastAsiaTheme="minorHAnsi"/>
        </w:rPr>
        <w:t xml:space="preserve"> dispute</w:t>
      </w:r>
      <w:r w:rsidRPr="007C5A8A" w:rsidR="00154B0D">
        <w:rPr>
          <w:rFonts w:ascii="Book Antiqua" w:hAnsi="Book Antiqua" w:eastAsiaTheme="minorHAnsi"/>
        </w:rPr>
        <w:t>d issues</w:t>
      </w:r>
      <w:r w:rsidR="00EA21D3">
        <w:rPr>
          <w:rFonts w:ascii="Book Antiqua" w:hAnsi="Book Antiqua" w:eastAsiaTheme="minorHAnsi"/>
        </w:rPr>
        <w:t>,</w:t>
      </w:r>
      <w:r w:rsidR="00780A6C">
        <w:rPr>
          <w:rFonts w:ascii="Book Antiqua" w:hAnsi="Book Antiqua" w:eastAsiaTheme="minorHAnsi"/>
        </w:rPr>
        <w:t xml:space="preserve"> and </w:t>
      </w:r>
      <w:r w:rsidR="00EA21D3">
        <w:rPr>
          <w:rFonts w:ascii="Book Antiqua" w:hAnsi="Book Antiqua" w:eastAsiaTheme="minorHAnsi"/>
        </w:rPr>
        <w:t xml:space="preserve">the </w:t>
      </w:r>
      <w:r w:rsidR="000F185C">
        <w:rPr>
          <w:rFonts w:ascii="Book Antiqua" w:hAnsi="Book Antiqua" w:eastAsiaTheme="minorHAnsi"/>
        </w:rPr>
        <w:t xml:space="preserve">parties presented their final recommendations </w:t>
      </w:r>
      <w:r w:rsidR="006B5915">
        <w:rPr>
          <w:rFonts w:ascii="Book Antiqua" w:hAnsi="Book Antiqua" w:eastAsiaTheme="minorHAnsi"/>
        </w:rPr>
        <w:t>in the</w:t>
      </w:r>
      <w:r w:rsidR="00780A6C">
        <w:rPr>
          <w:rFonts w:ascii="Book Antiqua" w:hAnsi="Book Antiqua" w:eastAsiaTheme="minorHAnsi"/>
        </w:rPr>
        <w:t xml:space="preserve"> Joint Comparison Exhibit. </w:t>
      </w:r>
      <w:r w:rsidRPr="007C5A8A" w:rsidR="00E13BC9">
        <w:rPr>
          <w:rFonts w:ascii="Book Antiqua" w:hAnsi="Book Antiqua" w:eastAsiaTheme="minorHAnsi"/>
        </w:rPr>
        <w:t xml:space="preserve">Liberty Apple Valley’s request </w:t>
      </w:r>
      <w:r w:rsidRPr="007C5A8A" w:rsidR="005D2C09">
        <w:rPr>
          <w:rFonts w:ascii="Book Antiqua" w:hAnsi="Book Antiqua" w:eastAsiaTheme="minorHAnsi"/>
        </w:rPr>
        <w:t xml:space="preserve">for TY 2019 </w:t>
      </w:r>
      <w:r w:rsidRPr="007C5A8A" w:rsidR="00AB7EAE">
        <w:rPr>
          <w:rFonts w:ascii="Book Antiqua" w:hAnsi="Book Antiqua" w:eastAsiaTheme="minorHAnsi"/>
        </w:rPr>
        <w:t xml:space="preserve">revenues </w:t>
      </w:r>
      <w:r w:rsidR="00585349">
        <w:rPr>
          <w:rFonts w:ascii="Book Antiqua" w:hAnsi="Book Antiqua" w:eastAsiaTheme="minorHAnsi"/>
        </w:rPr>
        <w:t>changed</w:t>
      </w:r>
      <w:r w:rsidRPr="007C5A8A" w:rsidR="00AB7EAE">
        <w:rPr>
          <w:rFonts w:ascii="Book Antiqua" w:hAnsi="Book Antiqua" w:eastAsiaTheme="minorHAnsi"/>
        </w:rPr>
        <w:t xml:space="preserve"> </w:t>
      </w:r>
      <w:r w:rsidRPr="007C5A8A" w:rsidR="00E13BC9">
        <w:rPr>
          <w:rFonts w:ascii="Book Antiqua" w:hAnsi="Book Antiqua" w:eastAsiaTheme="minorHAnsi"/>
        </w:rPr>
        <w:t xml:space="preserve">from </w:t>
      </w:r>
      <w:r w:rsidR="00585349">
        <w:rPr>
          <w:rFonts w:ascii="Book Antiqua" w:hAnsi="Book Antiqua" w:eastAsiaTheme="minorHAnsi"/>
        </w:rPr>
        <w:t xml:space="preserve">a </w:t>
      </w:r>
      <w:r w:rsidRPr="007C5A8A" w:rsidR="00E13BC9">
        <w:rPr>
          <w:rFonts w:ascii="Book Antiqua" w:hAnsi="Book Antiqua" w:eastAsiaTheme="minorHAnsi"/>
        </w:rPr>
        <w:t xml:space="preserve">3.96 percent to </w:t>
      </w:r>
      <w:r w:rsidR="00585349">
        <w:rPr>
          <w:rFonts w:ascii="Book Antiqua" w:hAnsi="Book Antiqua" w:eastAsiaTheme="minorHAnsi"/>
        </w:rPr>
        <w:t xml:space="preserve">a </w:t>
      </w:r>
      <w:r w:rsidRPr="007C5A8A" w:rsidR="00E13BC9">
        <w:rPr>
          <w:rFonts w:ascii="Book Antiqua" w:hAnsi="Book Antiqua" w:eastAsiaTheme="minorHAnsi"/>
        </w:rPr>
        <w:t xml:space="preserve">1.07 percent </w:t>
      </w:r>
      <w:r w:rsidR="00585349">
        <w:rPr>
          <w:rFonts w:ascii="Book Antiqua" w:hAnsi="Book Antiqua" w:eastAsiaTheme="minorHAnsi"/>
        </w:rPr>
        <w:t xml:space="preserve">increase over revenues collected at </w:t>
      </w:r>
      <w:r w:rsidR="00316625">
        <w:rPr>
          <w:rFonts w:ascii="Book Antiqua" w:hAnsi="Book Antiqua" w:eastAsiaTheme="minorHAnsi"/>
        </w:rPr>
        <w:t xml:space="preserve">estimated </w:t>
      </w:r>
      <w:r w:rsidR="00555761">
        <w:rPr>
          <w:rFonts w:ascii="Book Antiqua" w:hAnsi="Book Antiqua" w:eastAsiaTheme="minorHAnsi"/>
        </w:rPr>
        <w:t>present</w:t>
      </w:r>
      <w:r w:rsidR="00585349">
        <w:rPr>
          <w:rFonts w:ascii="Book Antiqua" w:hAnsi="Book Antiqua" w:eastAsiaTheme="minorHAnsi"/>
        </w:rPr>
        <w:t xml:space="preserve"> rates, </w:t>
      </w:r>
      <w:r w:rsidRPr="007C5A8A" w:rsidR="00E13BC9">
        <w:rPr>
          <w:rFonts w:ascii="Book Antiqua" w:hAnsi="Book Antiqua" w:eastAsiaTheme="minorHAnsi"/>
        </w:rPr>
        <w:t>and the Public Advocates Office recommendation for Liberty Apple Valley</w:t>
      </w:r>
      <w:r w:rsidR="00585349">
        <w:rPr>
          <w:rFonts w:ascii="Book Antiqua" w:hAnsi="Book Antiqua" w:eastAsiaTheme="minorHAnsi"/>
        </w:rPr>
        <w:t xml:space="preserve">’s TY 2019 revenues changed </w:t>
      </w:r>
      <w:r w:rsidRPr="007C5A8A" w:rsidR="00E13BC9">
        <w:rPr>
          <w:rFonts w:ascii="Book Antiqua" w:hAnsi="Book Antiqua" w:eastAsiaTheme="minorHAnsi"/>
        </w:rPr>
        <w:t xml:space="preserve">from </w:t>
      </w:r>
      <w:r w:rsidR="00585349">
        <w:rPr>
          <w:rFonts w:ascii="Book Antiqua" w:hAnsi="Book Antiqua" w:eastAsiaTheme="minorHAnsi"/>
        </w:rPr>
        <w:t xml:space="preserve">a </w:t>
      </w:r>
      <w:r w:rsidRPr="007C5A8A" w:rsidR="00E13BC9">
        <w:rPr>
          <w:rFonts w:ascii="Book Antiqua" w:hAnsi="Book Antiqua" w:eastAsiaTheme="minorHAnsi"/>
        </w:rPr>
        <w:t xml:space="preserve">14.5 percent </w:t>
      </w:r>
      <w:r w:rsidR="00585349">
        <w:rPr>
          <w:rFonts w:ascii="Book Antiqua" w:hAnsi="Book Antiqua" w:eastAsiaTheme="minorHAnsi"/>
        </w:rPr>
        <w:t xml:space="preserve">decrease </w:t>
      </w:r>
      <w:r w:rsidRPr="007C5A8A" w:rsidR="00E13BC9">
        <w:rPr>
          <w:rFonts w:ascii="Book Antiqua" w:hAnsi="Book Antiqua" w:eastAsiaTheme="minorHAnsi"/>
        </w:rPr>
        <w:t xml:space="preserve">to </w:t>
      </w:r>
      <w:r w:rsidR="00585349">
        <w:rPr>
          <w:rFonts w:ascii="Book Antiqua" w:hAnsi="Book Antiqua" w:eastAsiaTheme="minorHAnsi"/>
        </w:rPr>
        <w:t xml:space="preserve">a </w:t>
      </w:r>
      <w:r w:rsidRPr="007C5A8A" w:rsidR="00E13BC9">
        <w:rPr>
          <w:rFonts w:ascii="Book Antiqua" w:hAnsi="Book Antiqua" w:eastAsiaTheme="minorHAnsi"/>
        </w:rPr>
        <w:t>9.2 percent</w:t>
      </w:r>
      <w:r w:rsidR="00585349">
        <w:rPr>
          <w:rFonts w:ascii="Book Antiqua" w:hAnsi="Book Antiqua" w:eastAsiaTheme="minorHAnsi"/>
        </w:rPr>
        <w:t xml:space="preserve"> decrease over revenues collected at </w:t>
      </w:r>
      <w:r w:rsidR="00316625">
        <w:rPr>
          <w:rFonts w:ascii="Book Antiqua" w:hAnsi="Book Antiqua" w:eastAsiaTheme="minorHAnsi"/>
        </w:rPr>
        <w:t xml:space="preserve">estimated </w:t>
      </w:r>
      <w:r w:rsidR="00305D1D">
        <w:rPr>
          <w:rFonts w:ascii="Book Antiqua" w:hAnsi="Book Antiqua" w:eastAsiaTheme="minorHAnsi"/>
        </w:rPr>
        <w:t>present</w:t>
      </w:r>
      <w:r w:rsidR="00585349">
        <w:rPr>
          <w:rFonts w:ascii="Book Antiqua" w:hAnsi="Book Antiqua" w:eastAsiaTheme="minorHAnsi"/>
        </w:rPr>
        <w:t xml:space="preserve"> rates</w:t>
      </w:r>
      <w:r w:rsidRPr="007C5A8A" w:rsidR="00E13BC9">
        <w:rPr>
          <w:rFonts w:ascii="Book Antiqua" w:hAnsi="Book Antiqua" w:eastAsiaTheme="minorHAnsi"/>
        </w:rPr>
        <w:t>. Liberty Park’s request</w:t>
      </w:r>
      <w:r w:rsidRPr="007C5A8A" w:rsidR="00B861BF">
        <w:rPr>
          <w:rFonts w:ascii="Book Antiqua" w:hAnsi="Book Antiqua" w:eastAsiaTheme="minorHAnsi"/>
        </w:rPr>
        <w:t xml:space="preserve"> for TY 2019</w:t>
      </w:r>
      <w:r w:rsidRPr="007C5A8A" w:rsidR="00AB7EAE">
        <w:rPr>
          <w:rFonts w:ascii="Book Antiqua" w:hAnsi="Book Antiqua" w:eastAsiaTheme="minorHAnsi"/>
        </w:rPr>
        <w:t xml:space="preserve"> revenues</w:t>
      </w:r>
      <w:r w:rsidRPr="007C5A8A" w:rsidR="00E13BC9">
        <w:rPr>
          <w:rFonts w:ascii="Book Antiqua" w:hAnsi="Book Antiqua" w:eastAsiaTheme="minorHAnsi"/>
        </w:rPr>
        <w:t xml:space="preserve"> </w:t>
      </w:r>
      <w:r w:rsidR="00585349">
        <w:rPr>
          <w:rFonts w:ascii="Book Antiqua" w:hAnsi="Book Antiqua" w:eastAsiaTheme="minorHAnsi"/>
        </w:rPr>
        <w:t>changed</w:t>
      </w:r>
      <w:r w:rsidRPr="007C5A8A" w:rsidR="00AB7EAE">
        <w:rPr>
          <w:rFonts w:ascii="Book Antiqua" w:hAnsi="Book Antiqua" w:eastAsiaTheme="minorHAnsi"/>
        </w:rPr>
        <w:t xml:space="preserve"> </w:t>
      </w:r>
      <w:r w:rsidRPr="007C5A8A" w:rsidR="00E13BC9">
        <w:rPr>
          <w:rFonts w:ascii="Book Antiqua" w:hAnsi="Book Antiqua" w:eastAsiaTheme="minorHAnsi"/>
        </w:rPr>
        <w:t xml:space="preserve">from </w:t>
      </w:r>
      <w:r w:rsidR="00585349">
        <w:rPr>
          <w:rFonts w:ascii="Book Antiqua" w:hAnsi="Book Antiqua" w:eastAsiaTheme="minorHAnsi"/>
        </w:rPr>
        <w:t xml:space="preserve">a </w:t>
      </w:r>
      <w:r w:rsidRPr="007C5A8A" w:rsidR="00E13BC9">
        <w:rPr>
          <w:rFonts w:ascii="Book Antiqua" w:hAnsi="Book Antiqua" w:eastAsiaTheme="minorHAnsi"/>
        </w:rPr>
        <w:t xml:space="preserve">3.21 percent to 2.17 percent </w:t>
      </w:r>
      <w:r w:rsidR="00585349">
        <w:rPr>
          <w:rFonts w:ascii="Book Antiqua" w:hAnsi="Book Antiqua" w:eastAsiaTheme="minorHAnsi"/>
        </w:rPr>
        <w:t xml:space="preserve">increase over revenues collected at </w:t>
      </w:r>
      <w:r w:rsidR="005F1B2A">
        <w:rPr>
          <w:rFonts w:ascii="Book Antiqua" w:hAnsi="Book Antiqua" w:eastAsiaTheme="minorHAnsi"/>
        </w:rPr>
        <w:t xml:space="preserve">estimated </w:t>
      </w:r>
      <w:r w:rsidR="00753FC1">
        <w:rPr>
          <w:rFonts w:ascii="Book Antiqua" w:hAnsi="Book Antiqua" w:eastAsiaTheme="minorHAnsi"/>
        </w:rPr>
        <w:t>present</w:t>
      </w:r>
      <w:r w:rsidR="00585349">
        <w:rPr>
          <w:rFonts w:ascii="Book Antiqua" w:hAnsi="Book Antiqua" w:eastAsiaTheme="minorHAnsi"/>
        </w:rPr>
        <w:t xml:space="preserve"> rates, </w:t>
      </w:r>
      <w:r w:rsidRPr="007C5A8A" w:rsidR="00E13BC9">
        <w:rPr>
          <w:rFonts w:ascii="Book Antiqua" w:hAnsi="Book Antiqua" w:eastAsiaTheme="minorHAnsi"/>
        </w:rPr>
        <w:t xml:space="preserve">and the Public Advocates Office recommendation for Liberty </w:t>
      </w:r>
      <w:r w:rsidRPr="007C5A8A" w:rsidR="00404563">
        <w:rPr>
          <w:rFonts w:ascii="Book Antiqua" w:hAnsi="Book Antiqua" w:eastAsiaTheme="minorHAnsi"/>
        </w:rPr>
        <w:t>Park</w:t>
      </w:r>
      <w:r w:rsidR="00585349">
        <w:rPr>
          <w:rFonts w:ascii="Book Antiqua" w:hAnsi="Book Antiqua" w:eastAsiaTheme="minorHAnsi"/>
        </w:rPr>
        <w:t>’s TY 2019 revenues changed</w:t>
      </w:r>
      <w:r w:rsidRPr="007C5A8A" w:rsidR="00E13BC9">
        <w:rPr>
          <w:rFonts w:ascii="Book Antiqua" w:hAnsi="Book Antiqua" w:eastAsiaTheme="minorHAnsi"/>
        </w:rPr>
        <w:t xml:space="preserve"> from </w:t>
      </w:r>
      <w:r w:rsidR="00585349">
        <w:rPr>
          <w:rFonts w:ascii="Book Antiqua" w:hAnsi="Book Antiqua" w:eastAsiaTheme="minorHAnsi"/>
        </w:rPr>
        <w:t xml:space="preserve">a </w:t>
      </w:r>
      <w:r w:rsidRPr="007C5A8A" w:rsidR="00E13BC9">
        <w:rPr>
          <w:rFonts w:ascii="Book Antiqua" w:hAnsi="Book Antiqua" w:eastAsiaTheme="minorHAnsi"/>
        </w:rPr>
        <w:t>1</w:t>
      </w:r>
      <w:r w:rsidRPr="007C5A8A" w:rsidR="00404563">
        <w:rPr>
          <w:rFonts w:ascii="Book Antiqua" w:hAnsi="Book Antiqua" w:eastAsiaTheme="minorHAnsi"/>
        </w:rPr>
        <w:t>0.2</w:t>
      </w:r>
      <w:r w:rsidR="003163EC">
        <w:rPr>
          <w:rFonts w:ascii="Book Antiqua" w:hAnsi="Book Antiqua" w:eastAsiaTheme="minorHAnsi"/>
        </w:rPr>
        <w:t> </w:t>
      </w:r>
      <w:r w:rsidRPr="007C5A8A" w:rsidR="00E13BC9">
        <w:rPr>
          <w:rFonts w:ascii="Book Antiqua" w:hAnsi="Book Antiqua" w:eastAsiaTheme="minorHAnsi"/>
        </w:rPr>
        <w:t xml:space="preserve">percent to </w:t>
      </w:r>
      <w:r w:rsidR="00585349">
        <w:rPr>
          <w:rFonts w:ascii="Book Antiqua" w:hAnsi="Book Antiqua" w:eastAsiaTheme="minorHAnsi"/>
        </w:rPr>
        <w:t xml:space="preserve">a </w:t>
      </w:r>
      <w:r w:rsidRPr="007C5A8A" w:rsidR="00404563">
        <w:rPr>
          <w:rFonts w:ascii="Book Antiqua" w:hAnsi="Book Antiqua" w:eastAsiaTheme="minorHAnsi"/>
        </w:rPr>
        <w:t>5.0</w:t>
      </w:r>
      <w:r w:rsidRPr="007C5A8A" w:rsidR="00E13BC9">
        <w:rPr>
          <w:rFonts w:ascii="Book Antiqua" w:hAnsi="Book Antiqua" w:eastAsiaTheme="minorHAnsi"/>
        </w:rPr>
        <w:t xml:space="preserve"> percent</w:t>
      </w:r>
      <w:r w:rsidR="00585349">
        <w:rPr>
          <w:rFonts w:ascii="Book Antiqua" w:hAnsi="Book Antiqua" w:eastAsiaTheme="minorHAnsi"/>
        </w:rPr>
        <w:t xml:space="preserve"> decrease over revenues collected at </w:t>
      </w:r>
      <w:r w:rsidR="00753FC1">
        <w:rPr>
          <w:rFonts w:ascii="Book Antiqua" w:hAnsi="Book Antiqua" w:eastAsiaTheme="minorHAnsi"/>
        </w:rPr>
        <w:t>present</w:t>
      </w:r>
      <w:r w:rsidR="00585349">
        <w:rPr>
          <w:rFonts w:ascii="Book Antiqua" w:hAnsi="Book Antiqua" w:eastAsiaTheme="minorHAnsi"/>
        </w:rPr>
        <w:t xml:space="preserve"> rates</w:t>
      </w:r>
      <w:r w:rsidRPr="007C5A8A" w:rsidR="00E86FCE">
        <w:rPr>
          <w:rFonts w:ascii="Book Antiqua" w:hAnsi="Book Antiqua" w:eastAsiaTheme="minorHAnsi"/>
        </w:rPr>
        <w:t>.</w:t>
      </w:r>
      <w:r w:rsidR="003163EC">
        <w:rPr>
          <w:rFonts w:ascii="Book Antiqua" w:hAnsi="Book Antiqua"/>
        </w:rPr>
        <w:t xml:space="preserve"> </w:t>
      </w:r>
      <w:r w:rsidR="00DA0BB7">
        <w:rPr>
          <w:rFonts w:ascii="Book Antiqua" w:hAnsi="Book Antiqua"/>
        </w:rPr>
        <w:t xml:space="preserve">The </w:t>
      </w:r>
      <w:r w:rsidR="006B5915">
        <w:rPr>
          <w:rFonts w:ascii="Book Antiqua" w:hAnsi="Book Antiqua"/>
        </w:rPr>
        <w:t xml:space="preserve">Joint Comparison Exhibit </w:t>
      </w:r>
      <w:r w:rsidR="00EA21D3">
        <w:rPr>
          <w:rFonts w:ascii="Book Antiqua" w:hAnsi="Book Antiqua"/>
        </w:rPr>
        <w:t xml:space="preserve">illustrates </w:t>
      </w:r>
      <w:r w:rsidR="00BC1611">
        <w:rPr>
          <w:rFonts w:ascii="Book Antiqua" w:hAnsi="Book Antiqua"/>
        </w:rPr>
        <w:t>resolution of some of the differences,</w:t>
      </w:r>
      <w:r w:rsidR="006B5915">
        <w:rPr>
          <w:rFonts w:ascii="Book Antiqua" w:hAnsi="Book Antiqua"/>
        </w:rPr>
        <w:t xml:space="preserve"> and </w:t>
      </w:r>
      <w:r w:rsidR="00DA0BB7">
        <w:rPr>
          <w:rFonts w:ascii="Book Antiqua" w:hAnsi="Book Antiqua"/>
        </w:rPr>
        <w:t xml:space="preserve">also a change to the baseline calculation of </w:t>
      </w:r>
      <w:r w:rsidR="00DA0BB7">
        <w:rPr>
          <w:rFonts w:ascii="Book Antiqua" w:hAnsi="Book Antiqua" w:eastAsiaTheme="minorHAnsi"/>
        </w:rPr>
        <w:t xml:space="preserve">revenue at </w:t>
      </w:r>
      <w:r w:rsidR="00502B2E">
        <w:rPr>
          <w:rFonts w:ascii="Book Antiqua" w:hAnsi="Book Antiqua" w:eastAsiaTheme="minorHAnsi"/>
        </w:rPr>
        <w:t>estimated</w:t>
      </w:r>
      <w:r w:rsidR="003B1F46">
        <w:rPr>
          <w:rFonts w:ascii="Book Antiqua" w:hAnsi="Book Antiqua" w:eastAsiaTheme="minorHAnsi"/>
        </w:rPr>
        <w:t xml:space="preserve"> </w:t>
      </w:r>
      <w:r w:rsidR="00DA0BB7">
        <w:rPr>
          <w:rFonts w:ascii="Book Antiqua" w:hAnsi="Book Antiqua" w:eastAsiaTheme="minorHAnsi"/>
        </w:rPr>
        <w:t>present rates reflecting the lower cost-of-</w:t>
      </w:r>
      <w:r w:rsidR="00DA0BB7">
        <w:rPr>
          <w:rFonts w:ascii="Book Antiqua" w:hAnsi="Book Antiqua" w:eastAsiaTheme="minorHAnsi"/>
        </w:rPr>
        <w:lastRenderedPageBreak/>
        <w:t>capital that would be implemented in TY 2019</w:t>
      </w:r>
      <w:r w:rsidR="00C51B4A">
        <w:rPr>
          <w:rStyle w:val="FootnoteReference"/>
        </w:rPr>
        <w:footnoteReference w:id="8"/>
      </w:r>
      <w:r w:rsidR="00DA0BB7">
        <w:rPr>
          <w:rFonts w:ascii="Book Antiqua" w:hAnsi="Book Antiqua" w:eastAsiaTheme="minorHAnsi"/>
        </w:rPr>
        <w:t xml:space="preserve"> and lower tax rates from the </w:t>
      </w:r>
      <w:r w:rsidR="002478B6">
        <w:rPr>
          <w:rFonts w:ascii="Book Antiqua" w:hAnsi="Book Antiqua" w:eastAsiaTheme="minorHAnsi"/>
        </w:rPr>
        <w:t xml:space="preserve">2017 </w:t>
      </w:r>
      <w:r w:rsidR="00DA0BB7">
        <w:rPr>
          <w:rFonts w:ascii="Book Antiqua" w:hAnsi="Book Antiqua" w:eastAsiaTheme="minorHAnsi"/>
        </w:rPr>
        <w:t>Tax Cuts and Jobs Act</w:t>
      </w:r>
      <w:r w:rsidR="002478B6">
        <w:rPr>
          <w:rFonts w:ascii="Book Antiqua" w:hAnsi="Book Antiqua" w:eastAsiaTheme="minorHAnsi"/>
        </w:rPr>
        <w:t xml:space="preserve"> (2017 TCJA)</w:t>
      </w:r>
      <w:r w:rsidR="00DA0BB7">
        <w:rPr>
          <w:rFonts w:ascii="Book Antiqua" w:hAnsi="Book Antiqua" w:eastAsiaTheme="minorHAnsi"/>
        </w:rPr>
        <w:t>.</w:t>
      </w:r>
    </w:p>
    <w:p w:rsidRPr="007C5A8A" w:rsidR="005505AD" w:rsidP="00400DFF" w:rsidRDefault="00400DFF" w14:paraId="2B35DCAA" w14:textId="6A282A85">
      <w:pPr>
        <w:pStyle w:val="standard0"/>
        <w:rPr>
          <w:rFonts w:ascii="Book Antiqua" w:hAnsi="Book Antiqua"/>
        </w:rPr>
      </w:pPr>
      <w:r w:rsidRPr="00700FEE">
        <w:rPr>
          <w:rFonts w:ascii="Book Antiqua" w:hAnsi="Book Antiqua"/>
        </w:rPr>
        <w:t>The Commission’s Rules of Practice and Procedure (</w:t>
      </w:r>
      <w:bookmarkStart w:name="_Hlk46074349" w:id="16"/>
      <w:r w:rsidRPr="00795B13">
        <w:rPr>
          <w:rFonts w:ascii="Book Antiqua" w:hAnsi="Book Antiqua"/>
        </w:rPr>
        <w:t xml:space="preserve">Rule) 12.1(d) requires that to approve a proposed settlement we must find it to be </w:t>
      </w:r>
      <w:bookmarkStart w:name="_Hlk46087386" w:id="17"/>
      <w:r w:rsidRPr="00795B13">
        <w:rPr>
          <w:rFonts w:ascii="Book Antiqua" w:hAnsi="Book Antiqua"/>
        </w:rPr>
        <w:t>“reasonable in light of the whole record, consistent with law, and in the public interest.”</w:t>
      </w:r>
      <w:r w:rsidRPr="00795B13" w:rsidR="003163EC">
        <w:rPr>
          <w:rFonts w:ascii="Book Antiqua" w:hAnsi="Book Antiqua"/>
        </w:rPr>
        <w:t xml:space="preserve"> </w:t>
      </w:r>
      <w:bookmarkEnd w:id="17"/>
      <w:r w:rsidR="00795B13">
        <w:rPr>
          <w:rFonts w:ascii="Book Antiqua" w:hAnsi="Book Antiqua"/>
        </w:rPr>
        <w:t>We find that t</w:t>
      </w:r>
      <w:r w:rsidRPr="00795B13" w:rsidR="008C1053">
        <w:rPr>
          <w:rFonts w:ascii="Book Antiqua" w:hAnsi="Book Antiqua"/>
        </w:rPr>
        <w:t>he settled issues</w:t>
      </w:r>
      <w:r w:rsidR="00795B13">
        <w:rPr>
          <w:rFonts w:ascii="Book Antiqua" w:hAnsi="Book Antiqua"/>
        </w:rPr>
        <w:t>, as presented by the parties,</w:t>
      </w:r>
      <w:r w:rsidRPr="00700FEE" w:rsidR="008C1053">
        <w:rPr>
          <w:rFonts w:ascii="Book Antiqua" w:hAnsi="Book Antiqua"/>
        </w:rPr>
        <w:t xml:space="preserve"> meet those requirements. </w:t>
      </w:r>
      <w:r w:rsidRPr="00795B13" w:rsidR="00C949E0">
        <w:rPr>
          <w:rFonts w:ascii="Book Antiqua" w:hAnsi="Book Antiqua"/>
        </w:rPr>
        <w:t>As requested by Liberty,</w:t>
      </w:r>
      <w:r w:rsidRPr="00700FEE" w:rsidR="00C949E0">
        <w:rPr>
          <w:rStyle w:val="FootnoteReference"/>
          <w:rFonts w:ascii="Book Antiqua" w:hAnsi="Book Antiqua"/>
        </w:rPr>
        <w:footnoteReference w:id="9"/>
      </w:r>
      <w:r w:rsidRPr="00700FEE" w:rsidR="00C949E0">
        <w:rPr>
          <w:rFonts w:ascii="Book Antiqua" w:hAnsi="Book Antiqua"/>
        </w:rPr>
        <w:t xml:space="preserve"> this decision explicitly approves each </w:t>
      </w:r>
      <w:r w:rsidRPr="00700FEE">
        <w:rPr>
          <w:rFonts w:ascii="Book Antiqua" w:hAnsi="Book Antiqua"/>
        </w:rPr>
        <w:t>settled or uncontested item</w:t>
      </w:r>
      <w:r w:rsidRPr="00AF7A79" w:rsidR="00C949E0">
        <w:rPr>
          <w:rFonts w:ascii="Book Antiqua" w:hAnsi="Book Antiqua"/>
        </w:rPr>
        <w:t>.</w:t>
      </w:r>
      <w:r w:rsidRPr="00700FEE" w:rsidR="001A6EDD">
        <w:rPr>
          <w:rStyle w:val="FootnoteReference"/>
          <w:rFonts w:ascii="Book Antiqua" w:hAnsi="Book Antiqua"/>
        </w:rPr>
        <w:footnoteReference w:id="10"/>
      </w:r>
      <w:bookmarkEnd w:id="16"/>
    </w:p>
    <w:p w:rsidRPr="007C5A8A" w:rsidR="00E76C00" w:rsidP="00E76C00" w:rsidRDefault="00B10CFA" w14:paraId="1BB20D98" w14:textId="3029EDA9">
      <w:pPr>
        <w:pStyle w:val="standard0"/>
        <w:rPr>
          <w:rFonts w:ascii="Book Antiqua" w:hAnsi="Book Antiqua"/>
        </w:rPr>
      </w:pPr>
      <w:r w:rsidRPr="00700FEE">
        <w:rPr>
          <w:rFonts w:ascii="Book Antiqua" w:hAnsi="Book Antiqua"/>
        </w:rPr>
        <w:t xml:space="preserve">The remaining </w:t>
      </w:r>
      <w:r w:rsidRPr="00700FEE" w:rsidR="003C507D">
        <w:rPr>
          <w:rFonts w:ascii="Book Antiqua" w:hAnsi="Book Antiqua"/>
        </w:rPr>
        <w:t>large</w:t>
      </w:r>
      <w:r w:rsidRPr="00AF7A79" w:rsidR="00AF678A">
        <w:rPr>
          <w:rFonts w:ascii="Book Antiqua" w:hAnsi="Book Antiqua"/>
        </w:rPr>
        <w:t xml:space="preserve"> c</w:t>
      </w:r>
      <w:r w:rsidRPr="00795B13" w:rsidR="00AF678A">
        <w:rPr>
          <w:rFonts w:ascii="Book Antiqua" w:hAnsi="Book Antiqua"/>
        </w:rPr>
        <w:t xml:space="preserve">ost </w:t>
      </w:r>
      <w:r w:rsidRPr="00795B13">
        <w:rPr>
          <w:rFonts w:ascii="Book Antiqua" w:hAnsi="Book Antiqua"/>
        </w:rPr>
        <w:t>differences</w:t>
      </w:r>
      <w:r w:rsidRPr="00795B13" w:rsidR="00A20B8A">
        <w:rPr>
          <w:rFonts w:ascii="Book Antiqua" w:hAnsi="Book Antiqua"/>
        </w:rPr>
        <w:t xml:space="preserve"> </w:t>
      </w:r>
      <w:r w:rsidRPr="00795B13">
        <w:rPr>
          <w:rFonts w:ascii="Book Antiqua" w:hAnsi="Book Antiqua"/>
        </w:rPr>
        <w:t>are</w:t>
      </w:r>
      <w:r w:rsidRPr="00795B13" w:rsidR="005505AD">
        <w:rPr>
          <w:rFonts w:ascii="Book Antiqua" w:hAnsi="Book Antiqua"/>
        </w:rPr>
        <w:t xml:space="preserve"> common to Liberty Park and Liberty Apple Valley:</w:t>
      </w:r>
      <w:r w:rsidRPr="00795B13" w:rsidR="00875020">
        <w:rPr>
          <w:rFonts w:ascii="Book Antiqua" w:hAnsi="Book Antiqua"/>
        </w:rPr>
        <w:t xml:space="preserve"> </w:t>
      </w:r>
      <w:r w:rsidRPr="00795B13" w:rsidR="005505AD">
        <w:rPr>
          <w:rFonts w:ascii="Book Antiqua" w:hAnsi="Book Antiqua"/>
        </w:rPr>
        <w:t xml:space="preserve"> corporate overhead costs and allocation factors, forecasts of employee benefits, need for capital projects, and accounting procedures. The differences between Liberty Apple Valley and the Public Advocates Office amount to $2.4 million, or nearly 10</w:t>
      </w:r>
      <w:r w:rsidRPr="00795B13" w:rsidR="00E266F3">
        <w:rPr>
          <w:rFonts w:ascii="Book Antiqua" w:hAnsi="Book Antiqua"/>
        </w:rPr>
        <w:t xml:space="preserve"> percent</w:t>
      </w:r>
      <w:r w:rsidRPr="00795B13" w:rsidR="005505AD">
        <w:rPr>
          <w:rFonts w:ascii="Book Antiqua" w:hAnsi="Book Antiqua"/>
        </w:rPr>
        <w:t xml:space="preserve"> of Liberty Apple Valley’s proposed revenue requirement of $24.2 million</w:t>
      </w:r>
      <w:r w:rsidRPr="00795B13" w:rsidR="00E76C00">
        <w:rPr>
          <w:rFonts w:ascii="Book Antiqua" w:hAnsi="Book Antiqua"/>
        </w:rPr>
        <w:t xml:space="preserve">. </w:t>
      </w:r>
      <w:r w:rsidRPr="00795B13" w:rsidR="005505AD">
        <w:rPr>
          <w:rFonts w:ascii="Book Antiqua" w:hAnsi="Book Antiqua"/>
        </w:rPr>
        <w:t xml:space="preserve">The differences between </w:t>
      </w:r>
      <w:r w:rsidRPr="00795B13" w:rsidR="00A20B8A">
        <w:rPr>
          <w:rFonts w:ascii="Book Antiqua" w:hAnsi="Book Antiqua"/>
        </w:rPr>
        <w:t xml:space="preserve">Liberty </w:t>
      </w:r>
      <w:r w:rsidRPr="00795B13" w:rsidR="005505AD">
        <w:rPr>
          <w:rFonts w:ascii="Book Antiqua" w:hAnsi="Book Antiqua"/>
        </w:rPr>
        <w:t>Park and the Public Advocates Office also amount to $2.4 million, which is 7</w:t>
      </w:r>
      <w:r w:rsidRPr="00795B13" w:rsidR="00E266F3">
        <w:rPr>
          <w:rFonts w:ascii="Book Antiqua" w:hAnsi="Book Antiqua"/>
        </w:rPr>
        <w:t xml:space="preserve"> percent</w:t>
      </w:r>
      <w:r w:rsidRPr="00795B13" w:rsidR="005505AD">
        <w:rPr>
          <w:rFonts w:ascii="Book Antiqua" w:hAnsi="Book Antiqua"/>
        </w:rPr>
        <w:t xml:space="preserve"> of Liberty Park’s proposed revenue requirement of $34.3 million for T</w:t>
      </w:r>
      <w:r w:rsidRPr="00795B13" w:rsidR="00B67A42">
        <w:rPr>
          <w:rFonts w:ascii="Book Antiqua" w:hAnsi="Book Antiqua"/>
        </w:rPr>
        <w:t xml:space="preserve">Y </w:t>
      </w:r>
      <w:r w:rsidRPr="00795B13" w:rsidR="005505AD">
        <w:rPr>
          <w:rFonts w:ascii="Book Antiqua" w:hAnsi="Book Antiqua"/>
        </w:rPr>
        <w:t>2019.</w:t>
      </w:r>
      <w:r w:rsidRPr="00795B13" w:rsidR="00795B13">
        <w:rPr>
          <w:rFonts w:ascii="Book Antiqua" w:hAnsi="Book Antiqua"/>
        </w:rPr>
        <w:t xml:space="preserve"> We will address these </w:t>
      </w:r>
      <w:r w:rsidR="00795B13">
        <w:rPr>
          <w:rFonts w:ascii="Book Antiqua" w:hAnsi="Book Antiqua"/>
        </w:rPr>
        <w:t>outstanding</w:t>
      </w:r>
      <w:r w:rsidRPr="00700FEE" w:rsidR="00795B13">
        <w:rPr>
          <w:rFonts w:ascii="Book Antiqua" w:hAnsi="Book Antiqua"/>
        </w:rPr>
        <w:t xml:space="preserve"> issues </w:t>
      </w:r>
      <w:r w:rsidRPr="00AF7A79" w:rsidR="00795B13">
        <w:rPr>
          <w:rFonts w:ascii="Book Antiqua" w:hAnsi="Book Antiqua"/>
        </w:rPr>
        <w:t xml:space="preserve">in the </w:t>
      </w:r>
      <w:r w:rsidRPr="00795B13" w:rsidR="00795B13">
        <w:rPr>
          <w:rFonts w:ascii="Book Antiqua" w:hAnsi="Book Antiqua"/>
        </w:rPr>
        <w:t>remainder of this decision.</w:t>
      </w:r>
    </w:p>
    <w:p w:rsidR="00AC427E" w:rsidP="005939A5" w:rsidRDefault="00AC427E" w14:paraId="39CE23C5" w14:textId="667881FC">
      <w:pPr>
        <w:pStyle w:val="Heading1"/>
      </w:pPr>
      <w:bookmarkStart w:name="_Toc46478771" w:id="18"/>
      <w:r>
        <w:t xml:space="preserve">Customers, </w:t>
      </w:r>
      <w:r w:rsidR="00A04B63">
        <w:t>Water Sales, Revenues</w:t>
      </w:r>
      <w:bookmarkEnd w:id="18"/>
    </w:p>
    <w:p w:rsidR="00D45687" w:rsidP="00D45687" w:rsidRDefault="00D45687" w14:paraId="6197A497" w14:textId="5AA492EC">
      <w:pPr>
        <w:pStyle w:val="Standard"/>
      </w:pPr>
      <w:r>
        <w:t xml:space="preserve">Liberty and the Public Advocates Office </w:t>
      </w:r>
      <w:r w:rsidR="000F290E">
        <w:t xml:space="preserve">also </w:t>
      </w:r>
      <w:r>
        <w:t>came to agreement on forecasts of on customers, water sales and revenues by the time their briefs were filed. Both parties</w:t>
      </w:r>
      <w:r w:rsidRPr="006075F7">
        <w:t xml:space="preserve"> used the five-year average annual change by customer class methodology to estimate the number of customers for the test year, as prescribed </w:t>
      </w:r>
      <w:r w:rsidRPr="006075F7">
        <w:lastRenderedPageBreak/>
        <w:t>in D.07</w:t>
      </w:r>
      <w:r w:rsidR="00875020">
        <w:noBreakHyphen/>
      </w:r>
      <w:r w:rsidRPr="006075F7">
        <w:t>05</w:t>
      </w:r>
      <w:r w:rsidR="00875020">
        <w:noBreakHyphen/>
      </w:r>
      <w:r w:rsidRPr="006075F7">
        <w:t xml:space="preserve">062. </w:t>
      </w:r>
      <w:r w:rsidR="000F290E">
        <w:t>The p</w:t>
      </w:r>
      <w:r w:rsidR="006712DB">
        <w:t xml:space="preserve">arties agree to a forecast of 27,485 total customers for Liberty Park in </w:t>
      </w:r>
      <w:r w:rsidR="0062159F">
        <w:t xml:space="preserve">TY </w:t>
      </w:r>
      <w:r w:rsidR="006712DB">
        <w:t>2019, and 20,828 total customers for Liberty Apple Valley.</w:t>
      </w:r>
    </w:p>
    <w:p w:rsidR="00A667A8" w:rsidP="00D45687" w:rsidRDefault="00D45687" w14:paraId="6B429623" w14:textId="0155884E">
      <w:pPr>
        <w:pStyle w:val="Standard"/>
      </w:pPr>
      <w:r>
        <w:t xml:space="preserve">The Public Advocates Office accepted Liberty Apple Valley and Liberty Park’s sales forecasts, as part of the attempt to mitigate the large over-forecasts that have resulted in high Water Revenue Adjustment Mechanism balances, discussed in </w:t>
      </w:r>
      <w:r w:rsidR="007C58DF">
        <w:t>S</w:t>
      </w:r>
      <w:r>
        <w:t>ection</w:t>
      </w:r>
      <w:r w:rsidR="007C58DF">
        <w:t xml:space="preserve"> </w:t>
      </w:r>
      <w:r w:rsidR="003206AB">
        <w:t>3.1.1</w:t>
      </w:r>
      <w:r>
        <w:t xml:space="preserve"> below. The main difference between the parties revolved around the conservation initiatives that brought sales down in 2015 and 2016.</w:t>
      </w:r>
      <w:r w:rsidR="00875020">
        <w:t xml:space="preserve"> </w:t>
      </w:r>
      <w:r w:rsidR="000F290E">
        <w:t>The p</w:t>
      </w:r>
      <w:r>
        <w:t>arties differed on whether sales would plateau or “bounce back” from the conservation years and begin to increase again. The Public Advocates Office also found utilizing a two-year average to forecast unaccounted for water</w:t>
      </w:r>
      <w:r w:rsidRPr="007C58DF" w:rsidR="007C58DF">
        <w:t xml:space="preserve"> </w:t>
      </w:r>
      <w:r w:rsidR="007C58DF">
        <w:t>reasonable</w:t>
      </w:r>
      <w:r>
        <w:t xml:space="preserve">. </w:t>
      </w:r>
      <w:r w:rsidR="00A667A8">
        <w:t xml:space="preserve"> </w:t>
      </w:r>
    </w:p>
    <w:p w:rsidR="0021588B" w:rsidP="00067332" w:rsidRDefault="001A3BB9" w14:paraId="2F0BCD8B" w14:textId="495AC811">
      <w:pPr>
        <w:pStyle w:val="Standard"/>
      </w:pPr>
      <w:r>
        <w:t xml:space="preserve">As </w:t>
      </w:r>
      <w:r w:rsidR="006241C0">
        <w:t>p</w:t>
      </w:r>
      <w:r>
        <w:t xml:space="preserve">arties agree on all the pieces that make up the forecast, this leads to agreement on the revenues that would be collected if the utilities were to continue charging </w:t>
      </w:r>
      <w:r w:rsidR="00DE0863">
        <w:t>present</w:t>
      </w:r>
      <w:r>
        <w:t xml:space="preserve"> rates. </w:t>
      </w:r>
      <w:r w:rsidR="0021588B">
        <w:t>For T</w:t>
      </w:r>
      <w:r w:rsidR="005A5EE9">
        <w:t xml:space="preserve">Y </w:t>
      </w:r>
      <w:r w:rsidR="0021588B">
        <w:t xml:space="preserve">2019, the total operating revenues at </w:t>
      </w:r>
      <w:r>
        <w:t>current</w:t>
      </w:r>
      <w:r w:rsidR="0021588B">
        <w:t xml:space="preserve"> rates for Liberty Park would be $33,593,000</w:t>
      </w:r>
      <w:r w:rsidR="000F290E">
        <w:t>,</w:t>
      </w:r>
      <w:r w:rsidR="0021588B">
        <w:t xml:space="preserve"> and for Liberty Apple Valley, $23,959,600.</w:t>
      </w:r>
      <w:r w:rsidR="0021588B">
        <w:rPr>
          <w:rStyle w:val="FootnoteReference"/>
        </w:rPr>
        <w:footnoteReference w:id="11"/>
      </w:r>
    </w:p>
    <w:p w:rsidR="001A21F6" w:rsidP="00A04B63" w:rsidRDefault="001A21F6" w14:paraId="201D7502" w14:textId="31D7C2B4">
      <w:pPr>
        <w:pStyle w:val="Standard"/>
      </w:pPr>
      <w:r>
        <w:t>Liberty</w:t>
      </w:r>
      <w:r w:rsidR="00D95618">
        <w:t xml:space="preserve"> Apple Valley and Liberty Park</w:t>
      </w:r>
      <w:r>
        <w:t xml:space="preserve"> originally proposed a phase-in for rates but agreed to drop this request due to the Public </w:t>
      </w:r>
      <w:r w:rsidR="00643E1C">
        <w:t>Advocates</w:t>
      </w:r>
      <w:r w:rsidR="008C07D2">
        <w:t xml:space="preserve"> Office</w:t>
      </w:r>
      <w:r>
        <w:t xml:space="preserve"> opposition.</w:t>
      </w:r>
      <w:r w:rsidR="00875020">
        <w:t xml:space="preserve"> </w:t>
      </w:r>
      <w:r>
        <w:t xml:space="preserve"> </w:t>
      </w:r>
      <w:r w:rsidR="000F290E">
        <w:t>The p</w:t>
      </w:r>
      <w:r w:rsidR="00643E1C">
        <w:t>arties came to a compromise on the estimate of miscellaneous revenues</w:t>
      </w:r>
      <w:r w:rsidR="00566B95">
        <w:t>.</w:t>
      </w:r>
      <w:r w:rsidR="00875020">
        <w:t xml:space="preserve"> </w:t>
      </w:r>
      <w:r w:rsidR="000F290E">
        <w:t>The p</w:t>
      </w:r>
      <w:r w:rsidR="00566B95">
        <w:t xml:space="preserve">arties agreed to </w:t>
      </w:r>
      <w:r w:rsidR="00724BA7">
        <w:t xml:space="preserve">the </w:t>
      </w:r>
      <w:r w:rsidR="00566B95">
        <w:t>Liberty</w:t>
      </w:r>
      <w:r w:rsidR="00724BA7">
        <w:t>’</w:t>
      </w:r>
      <w:r w:rsidR="005506F6">
        <w:t>s</w:t>
      </w:r>
      <w:r w:rsidR="00566B95">
        <w:t xml:space="preserve"> approach utilizing five, rather than four years, for the historical average</w:t>
      </w:r>
      <w:r w:rsidR="000F290E">
        <w:t xml:space="preserve"> and </w:t>
      </w:r>
      <w:r w:rsidR="00566B95">
        <w:t xml:space="preserve">the Public Advocates Office approach of including 2017 </w:t>
      </w:r>
      <w:r w:rsidR="007C5A8A">
        <w:t>data in the five years that were averaged</w:t>
      </w:r>
      <w:r w:rsidR="00566B95">
        <w:t>.</w:t>
      </w:r>
      <w:r w:rsidR="00566B95">
        <w:rPr>
          <w:rStyle w:val="FootnoteReference"/>
        </w:rPr>
        <w:footnoteReference w:id="12"/>
      </w:r>
      <w:r w:rsidR="00643E1C">
        <w:t xml:space="preserve"> </w:t>
      </w:r>
      <w:r w:rsidR="00566B95">
        <w:t xml:space="preserve">This results in </w:t>
      </w:r>
      <w:r w:rsidR="00566B95">
        <w:lastRenderedPageBreak/>
        <w:t xml:space="preserve">reasonable </w:t>
      </w:r>
      <w:r w:rsidR="00643E1C">
        <w:t>estimates</w:t>
      </w:r>
      <w:r w:rsidR="00FE43D2">
        <w:t xml:space="preserve"> of miscellaneous revenues</w:t>
      </w:r>
      <w:r w:rsidR="00643E1C">
        <w:t xml:space="preserve"> </w:t>
      </w:r>
      <w:r w:rsidR="00566B95">
        <w:t>of</w:t>
      </w:r>
      <w:r w:rsidR="00643E1C">
        <w:t xml:space="preserve"> $103,483 for Liberty Apple Valley and $344,380 for Liberty Park.</w:t>
      </w:r>
    </w:p>
    <w:p w:rsidR="00A83177" w:rsidP="00A04B63" w:rsidRDefault="00916E4B" w14:paraId="25AB8257" w14:textId="5299AECB">
      <w:pPr>
        <w:pStyle w:val="Standard"/>
      </w:pPr>
      <w:r w:rsidRPr="00700FEE">
        <w:t xml:space="preserve">We find the estimates of revenue based upon customers, unit consumption per customers, and unaccounted for water are reasonable not just because parties agree, but also because </w:t>
      </w:r>
      <w:r w:rsidRPr="00AF7A79" w:rsidR="00A83177">
        <w:t>t</w:t>
      </w:r>
      <w:r w:rsidRPr="00795B13" w:rsidR="00A83177">
        <w:t>he</w:t>
      </w:r>
      <w:r w:rsidRPr="00795B13">
        <w:t xml:space="preserve"> methods used to estimate quantities conform with the</w:t>
      </w:r>
      <w:r w:rsidRPr="00795B13" w:rsidR="00A83177">
        <w:t xml:space="preserve"> Water Rate Case Plan</w:t>
      </w:r>
      <w:r w:rsidRPr="00795B13">
        <w:t>.</w:t>
      </w:r>
    </w:p>
    <w:p w:rsidR="008130A1" w:rsidP="008130A1" w:rsidRDefault="008130A1" w14:paraId="6CD3950F" w14:textId="10239E71">
      <w:pPr>
        <w:pStyle w:val="Heading2"/>
      </w:pPr>
      <w:bookmarkStart w:name="_Toc46478772" w:id="19"/>
      <w:r>
        <w:t>Balancing and Memorandum Accounts</w:t>
      </w:r>
      <w:r w:rsidR="00DE668B">
        <w:t xml:space="preserve"> Related to Customers and Sales</w:t>
      </w:r>
      <w:bookmarkEnd w:id="19"/>
      <w:r w:rsidR="00DE668B">
        <w:t xml:space="preserve"> </w:t>
      </w:r>
    </w:p>
    <w:p w:rsidR="008130A1" w:rsidP="008130A1" w:rsidRDefault="008130A1" w14:paraId="3191F387" w14:textId="790A1CCC">
      <w:pPr>
        <w:pStyle w:val="Heading3"/>
      </w:pPr>
      <w:bookmarkStart w:name="_Toc46478773" w:id="20"/>
      <w:r>
        <w:t>Water Re</w:t>
      </w:r>
      <w:r w:rsidR="006C08FB">
        <w:t>venue</w:t>
      </w:r>
      <w:r>
        <w:t xml:space="preserve"> Adjustment Mechanism</w:t>
      </w:r>
      <w:r w:rsidR="00A35980">
        <w:t xml:space="preserve">, </w:t>
      </w:r>
      <w:r>
        <w:t>Modified Cost Balancing Account</w:t>
      </w:r>
      <w:r w:rsidR="00A35980">
        <w:t xml:space="preserve">, and </w:t>
      </w:r>
      <w:r w:rsidR="007F04A0">
        <w:t>Request for</w:t>
      </w:r>
      <w:r w:rsidR="00A35980">
        <w:t xml:space="preserve"> Sales Reconciliation Mechanism</w:t>
      </w:r>
      <w:bookmarkEnd w:id="20"/>
    </w:p>
    <w:p w:rsidR="002378B0" w:rsidP="00590E7D" w:rsidRDefault="0000554A" w14:paraId="733C115D" w14:textId="1EE03D79">
      <w:pPr>
        <w:pStyle w:val="Standard"/>
      </w:pPr>
      <w:r>
        <w:t>W</w:t>
      </w:r>
      <w:r w:rsidR="0034741C">
        <w:t xml:space="preserve">e decline to establish a Sales Reconciliation Mechanism </w:t>
      </w:r>
      <w:r w:rsidR="008B34E0">
        <w:t>(SRM)</w:t>
      </w:r>
      <w:r w:rsidR="007304DD">
        <w:rPr>
          <w:rStyle w:val="FootnoteReference"/>
        </w:rPr>
        <w:footnoteReference w:id="13"/>
      </w:r>
      <w:r w:rsidR="008B34E0">
        <w:t xml:space="preserve"> </w:t>
      </w:r>
      <w:r w:rsidR="0034741C">
        <w:t xml:space="preserve">as a </w:t>
      </w:r>
      <w:r w:rsidR="002A599C">
        <w:t>solution</w:t>
      </w:r>
      <w:r w:rsidR="0034741C">
        <w:t xml:space="preserve"> </w:t>
      </w:r>
      <w:r w:rsidR="002A599C">
        <w:t>to</w:t>
      </w:r>
      <w:r w:rsidR="0034741C">
        <w:t xml:space="preserve"> </w:t>
      </w:r>
      <w:r w:rsidR="008B34E0">
        <w:t>mismatched forecasts and actual sales.</w:t>
      </w:r>
      <w:r w:rsidR="00991E06">
        <w:t xml:space="preserve"> We also decline to</w:t>
      </w:r>
      <w:r w:rsidR="0066493F">
        <w:t xml:space="preserve"> </w:t>
      </w:r>
      <w:r w:rsidR="00494FE4">
        <w:t xml:space="preserve">remove the cap on the </w:t>
      </w:r>
      <w:r w:rsidR="008B34E0">
        <w:t>account reconciling mismatches, known as the Water Re</w:t>
      </w:r>
      <w:r w:rsidR="009F419D">
        <w:t>venue</w:t>
      </w:r>
      <w:r w:rsidR="008B34E0">
        <w:t xml:space="preserve"> Adjustment Mechanism</w:t>
      </w:r>
      <w:r w:rsidR="00E05616">
        <w:t>/Modified Cost Balancing Account (WRAM/MCBA)</w:t>
      </w:r>
      <w:r w:rsidR="008B34E0">
        <w:t xml:space="preserve">. </w:t>
      </w:r>
      <w:r w:rsidR="00875020">
        <w:t xml:space="preserve"> </w:t>
      </w:r>
    </w:p>
    <w:p w:rsidR="002378B0" w:rsidP="00700FEE" w:rsidRDefault="002378B0" w14:paraId="76459AFB" w14:textId="39F40B6E">
      <w:pPr>
        <w:pStyle w:val="Standard"/>
      </w:pPr>
      <w:r>
        <w:t>While the parties agree on the sales forecasts upon which revenues recorded in these accounts are based, they disagree upon the number of years over which some of the revenues will be collected, and whether to adjust rates</w:t>
      </w:r>
      <w:r w:rsidRPr="008C07D2">
        <w:t xml:space="preserve"> </w:t>
      </w:r>
      <w:r>
        <w:t xml:space="preserve">annually as sales forecasts are calibrated. </w:t>
      </w:r>
    </w:p>
    <w:p w:rsidR="0034741C" w:rsidP="00590E7D" w:rsidRDefault="002378B0" w14:paraId="1D1D4A23" w14:textId="5A073777">
      <w:pPr>
        <w:pStyle w:val="Standard"/>
      </w:pPr>
      <w:r>
        <w:t>T</w:t>
      </w:r>
      <w:r w:rsidR="0034741C">
        <w:t xml:space="preserve">he parties have taken steps to address the </w:t>
      </w:r>
      <w:r w:rsidR="008B34E0">
        <w:t>forecast</w:t>
      </w:r>
      <w:r w:rsidR="00847BFF">
        <w:t xml:space="preserve"> versus sales problem </w:t>
      </w:r>
      <w:r w:rsidR="0034741C">
        <w:t>at its root cause, by moderating the sales forecast. As recommended by the Public Advocates Office, we require in the next GRC evaluation of the extent to which the sales forecast adopted today</w:t>
      </w:r>
      <w:r w:rsidR="00C67005">
        <w:t>, that predicts more water conservation</w:t>
      </w:r>
      <w:r w:rsidR="006541AC">
        <w:t xml:space="preserve"> than the Public Advocates Office expects,</w:t>
      </w:r>
      <w:r w:rsidR="0034741C">
        <w:t xml:space="preserve"> moderates the WRAM balance.</w:t>
      </w:r>
    </w:p>
    <w:p w:rsidRPr="00B878B7" w:rsidR="000F1206" w:rsidP="002A599C" w:rsidRDefault="0034741C" w14:paraId="045ECBB8" w14:textId="4FC77A53">
      <w:pPr>
        <w:pStyle w:val="standard0"/>
        <w:rPr>
          <w:rFonts w:ascii="Book Antiqua" w:hAnsi="Book Antiqua"/>
        </w:rPr>
      </w:pPr>
      <w:r w:rsidRPr="00B878B7">
        <w:rPr>
          <w:rFonts w:ascii="Book Antiqua" w:hAnsi="Book Antiqua"/>
        </w:rPr>
        <w:lastRenderedPageBreak/>
        <w:t xml:space="preserve">Both </w:t>
      </w:r>
      <w:r w:rsidR="00991E06">
        <w:rPr>
          <w:rFonts w:ascii="Book Antiqua" w:hAnsi="Book Antiqua"/>
        </w:rPr>
        <w:t xml:space="preserve">applicant </w:t>
      </w:r>
      <w:r w:rsidRPr="00B878B7">
        <w:rPr>
          <w:rFonts w:ascii="Book Antiqua" w:hAnsi="Book Antiqua"/>
        </w:rPr>
        <w:t xml:space="preserve">utilities currently </w:t>
      </w:r>
      <w:r w:rsidRPr="00B878B7" w:rsidR="008B34E0">
        <w:rPr>
          <w:rFonts w:ascii="Book Antiqua" w:hAnsi="Book Antiqua"/>
        </w:rPr>
        <w:t>utilize</w:t>
      </w:r>
      <w:r w:rsidRPr="00B878B7">
        <w:rPr>
          <w:rFonts w:ascii="Book Antiqua" w:hAnsi="Book Antiqua"/>
        </w:rPr>
        <w:t xml:space="preserve"> a WRAM</w:t>
      </w:r>
      <w:r w:rsidRPr="00B878B7" w:rsidR="00EA709F">
        <w:rPr>
          <w:rFonts w:ascii="Book Antiqua" w:hAnsi="Book Antiqua"/>
        </w:rPr>
        <w:t>/</w:t>
      </w:r>
      <w:r w:rsidRPr="00B878B7">
        <w:rPr>
          <w:rFonts w:ascii="Book Antiqua" w:hAnsi="Book Antiqua"/>
        </w:rPr>
        <w:t>MCBA</w:t>
      </w:r>
      <w:r w:rsidRPr="00B878B7" w:rsidR="008B34E0">
        <w:rPr>
          <w:rFonts w:ascii="Book Antiqua" w:hAnsi="Book Antiqua"/>
        </w:rPr>
        <w:t xml:space="preserve"> to reconcile revenue impacts created by mismatches between forecasts and actual sales</w:t>
      </w:r>
      <w:r w:rsidRPr="00B878B7">
        <w:rPr>
          <w:rFonts w:ascii="Book Antiqua" w:hAnsi="Book Antiqua"/>
        </w:rPr>
        <w:t>.</w:t>
      </w:r>
      <w:r w:rsidR="009A7B71">
        <w:rPr>
          <w:rFonts w:ascii="Book Antiqua" w:hAnsi="Book Antiqua"/>
        </w:rPr>
        <w:t xml:space="preserve"> </w:t>
      </w:r>
      <w:r w:rsidR="00991E06">
        <w:rPr>
          <w:rFonts w:ascii="Book Antiqua" w:hAnsi="Book Antiqua"/>
        </w:rPr>
        <w:t xml:space="preserve">The </w:t>
      </w:r>
      <w:r w:rsidRPr="00B878B7">
        <w:rPr>
          <w:rFonts w:ascii="Book Antiqua" w:hAnsi="Book Antiqua"/>
        </w:rPr>
        <w:t xml:space="preserve">WRAM/MCBA </w:t>
      </w:r>
      <w:r w:rsidR="00991E06">
        <w:rPr>
          <w:rFonts w:ascii="Book Antiqua" w:hAnsi="Book Antiqua"/>
        </w:rPr>
        <w:t xml:space="preserve">mechanism </w:t>
      </w:r>
      <w:r w:rsidRPr="00B878B7">
        <w:rPr>
          <w:rFonts w:ascii="Book Antiqua" w:hAnsi="Book Antiqua"/>
        </w:rPr>
        <w:t xml:space="preserve">was </w:t>
      </w:r>
      <w:r w:rsidRPr="00B878B7" w:rsidR="00636BC3">
        <w:rPr>
          <w:rFonts w:ascii="Book Antiqua" w:hAnsi="Book Antiqua"/>
        </w:rPr>
        <w:t>established by</w:t>
      </w:r>
      <w:r w:rsidRPr="00B878B7">
        <w:rPr>
          <w:rFonts w:ascii="Book Antiqua" w:hAnsi="Book Antiqua"/>
        </w:rPr>
        <w:t xml:space="preserve"> the Commission </w:t>
      </w:r>
      <w:proofErr w:type="gramStart"/>
      <w:r w:rsidR="00991E06">
        <w:rPr>
          <w:rFonts w:ascii="Book Antiqua" w:hAnsi="Book Antiqua"/>
        </w:rPr>
        <w:t xml:space="preserve">as a way </w:t>
      </w:r>
      <w:r w:rsidRPr="00B878B7" w:rsidR="00636BC3">
        <w:rPr>
          <w:rFonts w:ascii="Book Antiqua" w:hAnsi="Book Antiqua"/>
        </w:rPr>
        <w:t>to</w:t>
      </w:r>
      <w:proofErr w:type="gramEnd"/>
      <w:r w:rsidRPr="00B878B7" w:rsidR="00636BC3">
        <w:rPr>
          <w:rFonts w:ascii="Book Antiqua" w:hAnsi="Book Antiqua"/>
        </w:rPr>
        <w:t xml:space="preserve"> promote water conservation, first </w:t>
      </w:r>
      <w:r w:rsidRPr="00B878B7">
        <w:rPr>
          <w:rFonts w:ascii="Book Antiqua" w:hAnsi="Book Antiqua"/>
        </w:rPr>
        <w:t xml:space="preserve">in D.08-09-026 and </w:t>
      </w:r>
      <w:r w:rsidR="00991E06">
        <w:rPr>
          <w:rFonts w:ascii="Book Antiqua" w:hAnsi="Book Antiqua"/>
        </w:rPr>
        <w:t>then</w:t>
      </w:r>
      <w:r w:rsidRPr="00B878B7">
        <w:rPr>
          <w:rFonts w:ascii="Book Antiqua" w:hAnsi="Book Antiqua"/>
        </w:rPr>
        <w:t xml:space="preserve"> in D.12-09-004.</w:t>
      </w:r>
      <w:r w:rsidRPr="00B878B7" w:rsidR="00AB62CF">
        <w:rPr>
          <w:rFonts w:ascii="Book Antiqua" w:hAnsi="Book Antiqua"/>
        </w:rPr>
        <w:t xml:space="preserve"> WRAM </w:t>
      </w:r>
      <w:r w:rsidRPr="00B878B7">
        <w:rPr>
          <w:rFonts w:ascii="Book Antiqua" w:hAnsi="Book Antiqua"/>
        </w:rPr>
        <w:t xml:space="preserve">tracks the difference between the authorized revenue requirement and the actual revenues received by each utility. The MCBA mechanism tracks the difference between the authorized and actual variable costs for purchased water, purchased power, and pump tax.  </w:t>
      </w:r>
    </w:p>
    <w:p w:rsidRPr="00B878B7" w:rsidR="00A951E5" w:rsidP="002A599C" w:rsidRDefault="00991E06" w14:paraId="0BBC1BA5" w14:textId="5D086EF0">
      <w:pPr>
        <w:pStyle w:val="standard0"/>
        <w:rPr>
          <w:rFonts w:ascii="Book Antiqua" w:hAnsi="Book Antiqua"/>
        </w:rPr>
      </w:pPr>
      <w:r>
        <w:rPr>
          <w:rFonts w:ascii="Book Antiqua" w:hAnsi="Book Antiqua"/>
        </w:rPr>
        <w:t>The</w:t>
      </w:r>
      <w:r w:rsidRPr="00B878B7" w:rsidR="00CE374C">
        <w:rPr>
          <w:rFonts w:ascii="Book Antiqua" w:hAnsi="Book Antiqua"/>
        </w:rPr>
        <w:t xml:space="preserve"> </w:t>
      </w:r>
      <w:r w:rsidRPr="00B878B7" w:rsidR="005C591B">
        <w:rPr>
          <w:rFonts w:ascii="Book Antiqua" w:hAnsi="Book Antiqua"/>
        </w:rPr>
        <w:t>WRAM/MCBA</w:t>
      </w:r>
      <w:r w:rsidRPr="00B878B7" w:rsidR="0034741C">
        <w:rPr>
          <w:rFonts w:ascii="Book Antiqua" w:hAnsi="Book Antiqua"/>
        </w:rPr>
        <w:t xml:space="preserve"> </w:t>
      </w:r>
      <w:r>
        <w:rPr>
          <w:rFonts w:ascii="Book Antiqua" w:hAnsi="Book Antiqua"/>
        </w:rPr>
        <w:t>mechanism was intended as a method of r</w:t>
      </w:r>
      <w:r w:rsidRPr="00B878B7" w:rsidR="000A034D">
        <w:rPr>
          <w:rFonts w:ascii="Book Antiqua" w:hAnsi="Book Antiqua"/>
        </w:rPr>
        <w:t>emov</w:t>
      </w:r>
      <w:r>
        <w:rPr>
          <w:rFonts w:ascii="Book Antiqua" w:hAnsi="Book Antiqua"/>
        </w:rPr>
        <w:t>ing any</w:t>
      </w:r>
      <w:r w:rsidRPr="00B878B7" w:rsidR="000A034D">
        <w:rPr>
          <w:rFonts w:ascii="Book Antiqua" w:hAnsi="Book Antiqua"/>
        </w:rPr>
        <w:t xml:space="preserve"> business incentive to sell more water (and collect more revenue)</w:t>
      </w:r>
      <w:r w:rsidRPr="00B878B7" w:rsidR="00C81141">
        <w:rPr>
          <w:rFonts w:ascii="Book Antiqua" w:hAnsi="Book Antiqua"/>
        </w:rPr>
        <w:t xml:space="preserve"> </w:t>
      </w:r>
      <w:r w:rsidRPr="00B878B7" w:rsidR="00E94D2B">
        <w:rPr>
          <w:rFonts w:ascii="Book Antiqua" w:hAnsi="Book Antiqua"/>
        </w:rPr>
        <w:t>by</w:t>
      </w:r>
      <w:r w:rsidRPr="00B878B7" w:rsidR="00C81141">
        <w:rPr>
          <w:rFonts w:ascii="Book Antiqua" w:hAnsi="Book Antiqua"/>
        </w:rPr>
        <w:t xml:space="preserve"> locking in</w:t>
      </w:r>
      <w:r w:rsidRPr="00B878B7" w:rsidR="00E94D2B">
        <w:rPr>
          <w:rFonts w:ascii="Book Antiqua" w:hAnsi="Book Antiqua"/>
        </w:rPr>
        <w:t xml:space="preserve"> </w:t>
      </w:r>
      <w:r w:rsidRPr="00B878B7" w:rsidR="000A034D">
        <w:rPr>
          <w:rFonts w:ascii="Book Antiqua" w:hAnsi="Book Antiqua"/>
        </w:rPr>
        <w:t xml:space="preserve">revenue </w:t>
      </w:r>
      <w:r w:rsidRPr="00B878B7" w:rsidR="00C91377">
        <w:rPr>
          <w:rFonts w:ascii="Book Antiqua" w:hAnsi="Book Antiqua"/>
        </w:rPr>
        <w:t xml:space="preserve">allowed to be recovered </w:t>
      </w:r>
      <w:r w:rsidRPr="00B878B7" w:rsidR="00C81141">
        <w:rPr>
          <w:rFonts w:ascii="Book Antiqua" w:hAnsi="Book Antiqua"/>
        </w:rPr>
        <w:t xml:space="preserve">based on the </w:t>
      </w:r>
      <w:r w:rsidRPr="00B878B7" w:rsidR="00C91377">
        <w:rPr>
          <w:rFonts w:ascii="Book Antiqua" w:hAnsi="Book Antiqua"/>
        </w:rPr>
        <w:t xml:space="preserve">sales </w:t>
      </w:r>
      <w:r w:rsidRPr="00B878B7" w:rsidR="000A034D">
        <w:rPr>
          <w:rFonts w:ascii="Book Antiqua" w:hAnsi="Book Antiqua"/>
        </w:rPr>
        <w:t>forecast</w:t>
      </w:r>
      <w:r w:rsidRPr="00B878B7" w:rsidR="00C81141">
        <w:rPr>
          <w:rFonts w:ascii="Book Antiqua" w:hAnsi="Book Antiqua"/>
        </w:rPr>
        <w:t xml:space="preserve">. Of course, customers pay based on actual sales, and the WRAM </w:t>
      </w:r>
      <w:r w:rsidRPr="00B878B7" w:rsidR="00C91377">
        <w:rPr>
          <w:rFonts w:ascii="Book Antiqua" w:hAnsi="Book Antiqua"/>
        </w:rPr>
        <w:t xml:space="preserve">then </w:t>
      </w:r>
      <w:r w:rsidRPr="00B878B7" w:rsidR="00C81141">
        <w:rPr>
          <w:rFonts w:ascii="Book Antiqua" w:hAnsi="Book Antiqua"/>
        </w:rPr>
        <w:t>credits back the difference</w:t>
      </w:r>
      <w:r w:rsidRPr="00B878B7" w:rsidR="00C91377">
        <w:rPr>
          <w:rFonts w:ascii="Book Antiqua" w:hAnsi="Book Antiqua"/>
        </w:rPr>
        <w:t xml:space="preserve"> between collected and forecast revenue</w:t>
      </w:r>
      <w:r w:rsidRPr="00B878B7" w:rsidR="00C81141">
        <w:rPr>
          <w:rFonts w:ascii="Book Antiqua" w:hAnsi="Book Antiqua"/>
        </w:rPr>
        <w:t xml:space="preserve"> to either the customers or the utility.</w:t>
      </w:r>
      <w:r w:rsidRPr="00B878B7" w:rsidR="000A034D">
        <w:rPr>
          <w:rFonts w:ascii="Book Antiqua" w:hAnsi="Book Antiqua"/>
        </w:rPr>
        <w:t xml:space="preserve"> </w:t>
      </w:r>
      <w:r w:rsidR="009A7B71">
        <w:rPr>
          <w:rFonts w:ascii="Book Antiqua" w:hAnsi="Book Antiqua"/>
        </w:rPr>
        <w:t xml:space="preserve"> </w:t>
      </w:r>
      <w:r w:rsidRPr="00B878B7" w:rsidR="00C81141">
        <w:rPr>
          <w:rFonts w:ascii="Book Antiqua" w:hAnsi="Book Antiqua"/>
        </w:rPr>
        <w:t>In parallel</w:t>
      </w:r>
      <w:r w:rsidRPr="00B878B7" w:rsidR="000A034D">
        <w:rPr>
          <w:rFonts w:ascii="Book Antiqua" w:hAnsi="Book Antiqua"/>
        </w:rPr>
        <w:t>, the MCBA part of the mechanism credits back any difference in water production costs, due to differences between forecasts and actuals.</w:t>
      </w:r>
    </w:p>
    <w:p w:rsidRPr="00082F6B" w:rsidR="00B17A8F" w:rsidP="00D43DB7" w:rsidRDefault="00E82116" w14:paraId="1FDE4093" w14:textId="6B98BA58">
      <w:pPr>
        <w:pStyle w:val="standard0"/>
        <w:rPr>
          <w:rFonts w:ascii="Book Antiqua" w:hAnsi="Book Antiqua"/>
        </w:rPr>
      </w:pPr>
      <w:r w:rsidRPr="00B878B7">
        <w:rPr>
          <w:rFonts w:ascii="Book Antiqua" w:hAnsi="Book Antiqua"/>
        </w:rPr>
        <w:t xml:space="preserve">Liberty and the Commission have over ten years of experience with WRAM/MCBA accounts. </w:t>
      </w:r>
      <w:proofErr w:type="gramStart"/>
      <w:r w:rsidRPr="00B878B7" w:rsidR="00FD250D">
        <w:rPr>
          <w:rFonts w:ascii="Book Antiqua" w:hAnsi="Book Antiqua"/>
        </w:rPr>
        <w:t>As a consequence of</w:t>
      </w:r>
      <w:proofErr w:type="gramEnd"/>
      <w:r w:rsidRPr="00B878B7" w:rsidR="00FD250D">
        <w:rPr>
          <w:rFonts w:ascii="Book Antiqua" w:hAnsi="Book Antiqua"/>
        </w:rPr>
        <w:t xml:space="preserve"> higher </w:t>
      </w:r>
      <w:r w:rsidRPr="00B878B7" w:rsidR="0077759A">
        <w:rPr>
          <w:rFonts w:ascii="Book Antiqua" w:hAnsi="Book Antiqua"/>
        </w:rPr>
        <w:t xml:space="preserve">forecasts </w:t>
      </w:r>
      <w:r w:rsidRPr="00B878B7" w:rsidR="00FD250D">
        <w:rPr>
          <w:rFonts w:ascii="Book Antiqua" w:hAnsi="Book Antiqua"/>
        </w:rPr>
        <w:t xml:space="preserve">than actual sales, </w:t>
      </w:r>
      <w:r w:rsidR="009F419D">
        <w:rPr>
          <w:rFonts w:ascii="Book Antiqua" w:hAnsi="Book Antiqua"/>
        </w:rPr>
        <w:t>for some utilities,</w:t>
      </w:r>
      <w:r w:rsidRPr="00082F6B" w:rsidR="009F419D">
        <w:rPr>
          <w:rFonts w:ascii="Book Antiqua" w:hAnsi="Book Antiqua"/>
        </w:rPr>
        <w:t xml:space="preserve"> </w:t>
      </w:r>
      <w:r w:rsidRPr="00082F6B" w:rsidR="00FD250D">
        <w:rPr>
          <w:rFonts w:ascii="Book Antiqua" w:hAnsi="Book Antiqua"/>
        </w:rPr>
        <w:t>WRAM amounts have been significantly under-collected resulting in large subsequent rate increases</w:t>
      </w:r>
      <w:r w:rsidRPr="00082F6B">
        <w:rPr>
          <w:rFonts w:ascii="Book Antiqua" w:hAnsi="Book Antiqua"/>
        </w:rPr>
        <w:t>.</w:t>
      </w:r>
      <w:r w:rsidR="009A7B71">
        <w:rPr>
          <w:rFonts w:ascii="Book Antiqua" w:hAnsi="Book Antiqua"/>
        </w:rPr>
        <w:t xml:space="preserve"> </w:t>
      </w:r>
      <w:r w:rsidRPr="00082F6B" w:rsidR="00D772A8">
        <w:rPr>
          <w:rFonts w:ascii="Book Antiqua" w:hAnsi="Book Antiqua"/>
        </w:rPr>
        <w:t>F</w:t>
      </w:r>
      <w:r w:rsidRPr="00082F6B" w:rsidR="0002609C">
        <w:rPr>
          <w:rFonts w:ascii="Book Antiqua" w:hAnsi="Book Antiqua"/>
        </w:rPr>
        <w:t>or Liberty Park, t</w:t>
      </w:r>
      <w:r w:rsidRPr="00082F6B">
        <w:rPr>
          <w:rFonts w:ascii="Book Antiqua" w:hAnsi="Book Antiqua"/>
        </w:rPr>
        <w:t>he revenue collected through</w:t>
      </w:r>
      <w:r w:rsidRPr="00082F6B" w:rsidR="0067319F">
        <w:rPr>
          <w:rFonts w:ascii="Book Antiqua" w:hAnsi="Book Antiqua"/>
        </w:rPr>
        <w:t xml:space="preserve"> after-the-fact</w:t>
      </w:r>
      <w:r w:rsidRPr="00082F6B">
        <w:rPr>
          <w:rFonts w:ascii="Book Antiqua" w:hAnsi="Book Antiqua"/>
        </w:rPr>
        <w:t xml:space="preserve"> surcharges is mounting. </w:t>
      </w:r>
      <w:r w:rsidR="00DC3CB6">
        <w:rPr>
          <w:rFonts w:ascii="Book Antiqua" w:hAnsi="Book Antiqua"/>
        </w:rPr>
        <w:t>By</w:t>
      </w:r>
      <w:r w:rsidRPr="00082F6B">
        <w:rPr>
          <w:rFonts w:ascii="Book Antiqua" w:hAnsi="Book Antiqua"/>
        </w:rPr>
        <w:t xml:space="preserve"> 2017</w:t>
      </w:r>
      <w:r w:rsidR="00DC3CB6">
        <w:rPr>
          <w:rFonts w:ascii="Book Antiqua" w:hAnsi="Book Antiqua"/>
        </w:rPr>
        <w:t>,</w:t>
      </w:r>
      <w:r w:rsidRPr="00082F6B">
        <w:rPr>
          <w:rFonts w:ascii="Book Antiqua" w:hAnsi="Book Antiqua"/>
        </w:rPr>
        <w:t xml:space="preserve"> Liberty Park</w:t>
      </w:r>
      <w:r w:rsidR="00DC3CB6">
        <w:rPr>
          <w:rFonts w:ascii="Book Antiqua" w:hAnsi="Book Antiqua"/>
        </w:rPr>
        <w:t xml:space="preserve"> had</w:t>
      </w:r>
      <w:r w:rsidRPr="00082F6B">
        <w:rPr>
          <w:rFonts w:ascii="Book Antiqua" w:hAnsi="Book Antiqua"/>
        </w:rPr>
        <w:t xml:space="preserve"> collected $3.</w:t>
      </w:r>
      <w:r w:rsidRPr="00082F6B" w:rsidR="009E6BED">
        <w:rPr>
          <w:rFonts w:ascii="Book Antiqua" w:hAnsi="Book Antiqua"/>
        </w:rPr>
        <w:t>7</w:t>
      </w:r>
      <w:r w:rsidRPr="00082F6B">
        <w:rPr>
          <w:rFonts w:ascii="Book Antiqua" w:hAnsi="Book Antiqua"/>
        </w:rPr>
        <w:t xml:space="preserve"> million less </w:t>
      </w:r>
      <w:r w:rsidRPr="00082F6B" w:rsidR="00C91377">
        <w:rPr>
          <w:rFonts w:ascii="Book Antiqua" w:hAnsi="Book Antiqua"/>
        </w:rPr>
        <w:t xml:space="preserve">revenue </w:t>
      </w:r>
      <w:r w:rsidRPr="00082F6B">
        <w:rPr>
          <w:rFonts w:ascii="Book Antiqua" w:hAnsi="Book Antiqua"/>
        </w:rPr>
        <w:t>than expected</w:t>
      </w:r>
      <w:r w:rsidRPr="00082F6B" w:rsidR="00C91377">
        <w:rPr>
          <w:rFonts w:ascii="Book Antiqua" w:hAnsi="Book Antiqua"/>
        </w:rPr>
        <w:t xml:space="preserve"> based on the sales forecast</w:t>
      </w:r>
      <w:r w:rsidRPr="00082F6B" w:rsidR="005A3A66">
        <w:rPr>
          <w:rFonts w:ascii="Book Antiqua" w:hAnsi="Book Antiqua"/>
        </w:rPr>
        <w:t xml:space="preserve"> which was 9.45</w:t>
      </w:r>
      <w:r w:rsidRPr="00082F6B" w:rsidR="00E266F3">
        <w:rPr>
          <w:rFonts w:ascii="Book Antiqua" w:hAnsi="Book Antiqua"/>
        </w:rPr>
        <w:t xml:space="preserve"> percent</w:t>
      </w:r>
      <w:r w:rsidRPr="00082F6B" w:rsidR="005A3A66">
        <w:rPr>
          <w:rFonts w:ascii="Book Antiqua" w:hAnsi="Book Antiqua"/>
        </w:rPr>
        <w:t xml:space="preserve"> of Liberty Park’s revenues in 2017.</w:t>
      </w:r>
      <w:r w:rsidRPr="00082F6B" w:rsidR="005A3A66">
        <w:rPr>
          <w:rStyle w:val="FootnoteReference"/>
          <w:rFonts w:ascii="Book Antiqua" w:hAnsi="Book Antiqua"/>
        </w:rPr>
        <w:footnoteReference w:id="14"/>
      </w:r>
      <w:r w:rsidRPr="00082F6B" w:rsidR="008B0C6B">
        <w:rPr>
          <w:rFonts w:ascii="Book Antiqua" w:hAnsi="Book Antiqua"/>
        </w:rPr>
        <w:t xml:space="preserve"> </w:t>
      </w:r>
      <w:r w:rsidR="00DC3CB6">
        <w:rPr>
          <w:rFonts w:ascii="Book Antiqua" w:hAnsi="Book Antiqua"/>
        </w:rPr>
        <w:t>By</w:t>
      </w:r>
      <w:r w:rsidR="00D43DB7">
        <w:rPr>
          <w:rFonts w:ascii="Book Antiqua" w:hAnsi="Book Antiqua"/>
        </w:rPr>
        <w:t xml:space="preserve"> 2018 Liberty Park</w:t>
      </w:r>
      <w:r w:rsidR="00DC3CB6">
        <w:rPr>
          <w:rFonts w:ascii="Book Antiqua" w:hAnsi="Book Antiqua"/>
        </w:rPr>
        <w:t>’s</w:t>
      </w:r>
      <w:r w:rsidR="00D43DB7">
        <w:rPr>
          <w:rFonts w:ascii="Book Antiqua" w:hAnsi="Book Antiqua"/>
        </w:rPr>
        <w:t xml:space="preserve"> </w:t>
      </w:r>
      <w:r w:rsidR="00DC3CB6">
        <w:rPr>
          <w:rFonts w:ascii="Book Antiqua" w:hAnsi="Book Antiqua"/>
        </w:rPr>
        <w:t xml:space="preserve">cumulative </w:t>
      </w:r>
      <w:proofErr w:type="spellStart"/>
      <w:r w:rsidR="00DC3CB6">
        <w:rPr>
          <w:rFonts w:ascii="Book Antiqua" w:hAnsi="Book Antiqua"/>
        </w:rPr>
        <w:t>undercollection</w:t>
      </w:r>
      <w:proofErr w:type="spellEnd"/>
      <w:r w:rsidR="00DC3CB6">
        <w:rPr>
          <w:rFonts w:ascii="Book Antiqua" w:hAnsi="Book Antiqua"/>
        </w:rPr>
        <w:t xml:space="preserve"> reached $4.8 million, or 12.5 percent of </w:t>
      </w:r>
      <w:r w:rsidR="00D43DB7">
        <w:rPr>
          <w:rFonts w:ascii="Book Antiqua" w:hAnsi="Book Antiqua"/>
        </w:rPr>
        <w:lastRenderedPageBreak/>
        <w:t>Liberty</w:t>
      </w:r>
      <w:r w:rsidR="009A7B71">
        <w:rPr>
          <w:rFonts w:ascii="Book Antiqua" w:hAnsi="Book Antiqua"/>
        </w:rPr>
        <w:t> </w:t>
      </w:r>
      <w:r w:rsidR="00D43DB7">
        <w:rPr>
          <w:rFonts w:ascii="Book Antiqua" w:hAnsi="Book Antiqua"/>
        </w:rPr>
        <w:t>Park’s authorized revenue requirement in 2018.</w:t>
      </w:r>
      <w:r w:rsidR="00D43DB7">
        <w:rPr>
          <w:rStyle w:val="FootnoteReference"/>
          <w:rFonts w:ascii="Book Antiqua" w:hAnsi="Book Antiqua"/>
        </w:rPr>
        <w:footnoteReference w:id="15"/>
      </w:r>
      <w:r w:rsidR="009A7B71">
        <w:rPr>
          <w:rFonts w:ascii="Book Antiqua" w:hAnsi="Book Antiqua"/>
        </w:rPr>
        <w:t xml:space="preserve"> </w:t>
      </w:r>
      <w:r w:rsidRPr="00082F6B" w:rsidR="008B0C6B">
        <w:rPr>
          <w:rFonts w:ascii="Book Antiqua" w:hAnsi="Book Antiqua"/>
        </w:rPr>
        <w:t xml:space="preserve">These amounts </w:t>
      </w:r>
      <w:r w:rsidRPr="00082F6B" w:rsidR="0067319F">
        <w:rPr>
          <w:rFonts w:ascii="Book Antiqua" w:hAnsi="Book Antiqua"/>
        </w:rPr>
        <w:t>ar</w:t>
      </w:r>
      <w:r w:rsidRPr="00082F6B" w:rsidR="008B0C6B">
        <w:rPr>
          <w:rFonts w:ascii="Book Antiqua" w:hAnsi="Book Antiqua"/>
        </w:rPr>
        <w:t xml:space="preserve">e </w:t>
      </w:r>
      <w:r w:rsidR="00991E06">
        <w:rPr>
          <w:rFonts w:ascii="Book Antiqua" w:hAnsi="Book Antiqua"/>
        </w:rPr>
        <w:t xml:space="preserve">then </w:t>
      </w:r>
      <w:r w:rsidRPr="00082F6B" w:rsidR="008B0C6B">
        <w:rPr>
          <w:rFonts w:ascii="Book Antiqua" w:hAnsi="Book Antiqua"/>
        </w:rPr>
        <w:t xml:space="preserve">placed on customer bills as a surcharge. </w:t>
      </w:r>
      <w:r w:rsidR="00205C06">
        <w:rPr>
          <w:rFonts w:ascii="Book Antiqua" w:hAnsi="Book Antiqua"/>
        </w:rPr>
        <w:t xml:space="preserve">Whether or not to grant </w:t>
      </w:r>
      <w:r w:rsidRPr="00082F6B" w:rsidR="0067319F">
        <w:rPr>
          <w:rFonts w:ascii="Book Antiqua" w:hAnsi="Book Antiqua"/>
        </w:rPr>
        <w:t xml:space="preserve">Liberty’s </w:t>
      </w:r>
      <w:r w:rsidRPr="00082F6B" w:rsidR="008B0C6B">
        <w:rPr>
          <w:rFonts w:ascii="Book Antiqua" w:hAnsi="Book Antiqua"/>
        </w:rPr>
        <w:t>request to lift the 10</w:t>
      </w:r>
      <w:r w:rsidRPr="00082F6B" w:rsidR="00E266F3">
        <w:rPr>
          <w:rFonts w:ascii="Book Antiqua" w:hAnsi="Book Antiqua"/>
        </w:rPr>
        <w:t xml:space="preserve"> percent</w:t>
      </w:r>
      <w:r w:rsidRPr="00082F6B" w:rsidR="008B0C6B">
        <w:rPr>
          <w:rFonts w:ascii="Book Antiqua" w:hAnsi="Book Antiqua"/>
        </w:rPr>
        <w:t xml:space="preserve"> cap on the WRAM is a </w:t>
      </w:r>
      <w:r w:rsidRPr="00082F6B" w:rsidR="0067319F">
        <w:rPr>
          <w:rFonts w:ascii="Book Antiqua" w:hAnsi="Book Antiqua"/>
        </w:rPr>
        <w:t xml:space="preserve">policy </w:t>
      </w:r>
      <w:r w:rsidR="00205C06">
        <w:rPr>
          <w:rFonts w:ascii="Book Antiqua" w:hAnsi="Book Antiqua"/>
        </w:rPr>
        <w:t>decision on</w:t>
      </w:r>
      <w:r w:rsidRPr="00082F6B" w:rsidR="0067319F">
        <w:rPr>
          <w:rFonts w:ascii="Book Antiqua" w:hAnsi="Book Antiqua"/>
        </w:rPr>
        <w:t xml:space="preserve"> </w:t>
      </w:r>
      <w:r w:rsidRPr="00082F6B" w:rsidR="008B0C6B">
        <w:rPr>
          <w:rFonts w:ascii="Book Antiqua" w:hAnsi="Book Antiqua"/>
        </w:rPr>
        <w:t xml:space="preserve">whether customers </w:t>
      </w:r>
      <w:r w:rsidRPr="00082F6B" w:rsidR="0067319F">
        <w:rPr>
          <w:rFonts w:ascii="Book Antiqua" w:hAnsi="Book Antiqua"/>
        </w:rPr>
        <w:t xml:space="preserve">should </w:t>
      </w:r>
      <w:r w:rsidRPr="00082F6B" w:rsidR="008B0C6B">
        <w:rPr>
          <w:rFonts w:ascii="Book Antiqua" w:hAnsi="Book Antiqua"/>
        </w:rPr>
        <w:t xml:space="preserve">see lower surcharges </w:t>
      </w:r>
      <w:r w:rsidRPr="00082F6B" w:rsidR="0067319F">
        <w:rPr>
          <w:rFonts w:ascii="Book Antiqua" w:hAnsi="Book Antiqua"/>
        </w:rPr>
        <w:t xml:space="preserve">over </w:t>
      </w:r>
      <w:r w:rsidRPr="00082F6B" w:rsidR="008B0C6B">
        <w:rPr>
          <w:rFonts w:ascii="Book Antiqua" w:hAnsi="Book Antiqua"/>
        </w:rPr>
        <w:t>many years, or higher surcharges over fewer years.</w:t>
      </w:r>
      <w:r w:rsidRPr="00082F6B" w:rsidR="0002609C">
        <w:rPr>
          <w:rFonts w:ascii="Book Antiqua" w:hAnsi="Book Antiqua"/>
        </w:rPr>
        <w:t xml:space="preserve"> </w:t>
      </w:r>
    </w:p>
    <w:p w:rsidR="00205C06" w:rsidP="002A599C" w:rsidRDefault="0002609C" w14:paraId="22CECF40" w14:textId="500BC21E">
      <w:pPr>
        <w:pStyle w:val="standard0"/>
        <w:rPr>
          <w:rFonts w:ascii="Book Antiqua" w:hAnsi="Book Antiqua"/>
        </w:rPr>
      </w:pPr>
      <w:r w:rsidRPr="00082F6B">
        <w:rPr>
          <w:rFonts w:ascii="Book Antiqua" w:hAnsi="Book Antiqua"/>
        </w:rPr>
        <w:t>However, Liberty Apple Valley</w:t>
      </w:r>
      <w:r w:rsidRPr="00082F6B" w:rsidR="0022155A">
        <w:rPr>
          <w:rFonts w:ascii="Book Antiqua" w:hAnsi="Book Antiqua"/>
        </w:rPr>
        <w:t>’s WRAM/MCBA</w:t>
      </w:r>
      <w:r w:rsidR="009F419D">
        <w:rPr>
          <w:rFonts w:ascii="Book Antiqua" w:hAnsi="Book Antiqua"/>
        </w:rPr>
        <w:t xml:space="preserve">’s under-collection since its 2015 GRC is not extreme and in fact </w:t>
      </w:r>
      <w:r w:rsidR="00DC3CB6">
        <w:rPr>
          <w:rFonts w:ascii="Book Antiqua" w:hAnsi="Book Antiqua"/>
        </w:rPr>
        <w:t xml:space="preserve">in recent years has become an overcollection, necessitating Liberty Apple Valley to </w:t>
      </w:r>
      <w:r w:rsidR="00854ECA">
        <w:rPr>
          <w:rFonts w:ascii="Book Antiqua" w:hAnsi="Book Antiqua"/>
        </w:rPr>
        <w:t>issue</w:t>
      </w:r>
      <w:r w:rsidR="00DC3CB6">
        <w:rPr>
          <w:rFonts w:ascii="Book Antiqua" w:hAnsi="Book Antiqua"/>
        </w:rPr>
        <w:t xml:space="preserve"> a refund to customers through a </w:t>
      </w:r>
      <w:proofErr w:type="spellStart"/>
      <w:r w:rsidR="00DC3CB6">
        <w:rPr>
          <w:rFonts w:ascii="Book Antiqua" w:hAnsi="Book Antiqua"/>
        </w:rPr>
        <w:t>surcredit</w:t>
      </w:r>
      <w:proofErr w:type="spellEnd"/>
      <w:r w:rsidR="009F419D">
        <w:rPr>
          <w:rFonts w:ascii="Book Antiqua" w:hAnsi="Book Antiqua"/>
        </w:rPr>
        <w:t>. This outcome occurred in the wake of setting a lower sales forecast than originally settled on by Liberty Apple Valley and the Public Advocates Office.</w:t>
      </w:r>
      <w:r w:rsidRPr="00082F6B" w:rsidR="0022155A">
        <w:rPr>
          <w:rFonts w:ascii="Book Antiqua" w:hAnsi="Book Antiqua"/>
        </w:rPr>
        <w:t xml:space="preserve"> </w:t>
      </w:r>
      <w:r w:rsidR="00DC3CB6">
        <w:rPr>
          <w:rFonts w:ascii="Book Antiqua" w:hAnsi="Book Antiqua"/>
        </w:rPr>
        <w:t xml:space="preserve">At the end of 2017, </w:t>
      </w:r>
      <w:r w:rsidRPr="00082F6B" w:rsidR="0022155A">
        <w:rPr>
          <w:rFonts w:ascii="Book Antiqua" w:hAnsi="Book Antiqua"/>
        </w:rPr>
        <w:t>Liberty Apple Valley</w:t>
      </w:r>
      <w:r w:rsidRPr="00082F6B" w:rsidR="0067319F">
        <w:rPr>
          <w:rFonts w:ascii="Book Antiqua" w:hAnsi="Book Antiqua"/>
        </w:rPr>
        <w:t>’s</w:t>
      </w:r>
      <w:r w:rsidRPr="00082F6B">
        <w:rPr>
          <w:rFonts w:ascii="Book Antiqua" w:hAnsi="Book Antiqua"/>
        </w:rPr>
        <w:t xml:space="preserve"> </w:t>
      </w:r>
      <w:proofErr w:type="spellStart"/>
      <w:r w:rsidRPr="00082F6B" w:rsidR="00563157">
        <w:rPr>
          <w:rFonts w:ascii="Book Antiqua" w:hAnsi="Book Antiqua"/>
        </w:rPr>
        <w:t>undercollection</w:t>
      </w:r>
      <w:proofErr w:type="spellEnd"/>
      <w:r w:rsidRPr="00082F6B" w:rsidR="00563157">
        <w:rPr>
          <w:rFonts w:ascii="Book Antiqua" w:hAnsi="Book Antiqua"/>
        </w:rPr>
        <w:t xml:space="preserve"> </w:t>
      </w:r>
      <w:r w:rsidR="00DC3CB6">
        <w:rPr>
          <w:rFonts w:ascii="Book Antiqua" w:hAnsi="Book Antiqua"/>
        </w:rPr>
        <w:t>was</w:t>
      </w:r>
      <w:r w:rsidRPr="00082F6B">
        <w:rPr>
          <w:rFonts w:ascii="Book Antiqua" w:hAnsi="Book Antiqua"/>
        </w:rPr>
        <w:t xml:space="preserve"> $831,708</w:t>
      </w:r>
      <w:r w:rsidRPr="00082F6B" w:rsidR="002E4BE7">
        <w:rPr>
          <w:rFonts w:ascii="Book Antiqua" w:hAnsi="Book Antiqua"/>
        </w:rPr>
        <w:t>, a 3</w:t>
      </w:r>
      <w:r w:rsidRPr="00082F6B" w:rsidR="00E266F3">
        <w:rPr>
          <w:rFonts w:ascii="Book Antiqua" w:hAnsi="Book Antiqua"/>
        </w:rPr>
        <w:t xml:space="preserve"> percent</w:t>
      </w:r>
      <w:r w:rsidRPr="00082F6B" w:rsidR="002E4BE7">
        <w:rPr>
          <w:rFonts w:ascii="Book Antiqua" w:hAnsi="Book Antiqua"/>
        </w:rPr>
        <w:t xml:space="preserve"> difference</w:t>
      </w:r>
      <w:r w:rsidRPr="00082F6B" w:rsidR="003C67C0">
        <w:rPr>
          <w:rFonts w:ascii="Book Antiqua" w:hAnsi="Book Antiqua"/>
        </w:rPr>
        <w:t xml:space="preserve"> </w:t>
      </w:r>
      <w:r w:rsidRPr="00082F6B" w:rsidR="00F8718A">
        <w:rPr>
          <w:rFonts w:ascii="Book Antiqua" w:hAnsi="Book Antiqua"/>
        </w:rPr>
        <w:t>of</w:t>
      </w:r>
      <w:r w:rsidRPr="00082F6B" w:rsidR="003C67C0">
        <w:rPr>
          <w:rFonts w:ascii="Book Antiqua" w:hAnsi="Book Antiqua"/>
        </w:rPr>
        <w:t xml:space="preserve"> its revenue requirement</w:t>
      </w:r>
      <w:r w:rsidRPr="00082F6B">
        <w:rPr>
          <w:rFonts w:ascii="Book Antiqua" w:hAnsi="Book Antiqua"/>
        </w:rPr>
        <w:t>.</w:t>
      </w:r>
      <w:r w:rsidRPr="00082F6B">
        <w:rPr>
          <w:rStyle w:val="FootnoteReference"/>
          <w:rFonts w:ascii="Book Antiqua" w:hAnsi="Book Antiqua"/>
        </w:rPr>
        <w:footnoteReference w:id="16"/>
      </w:r>
      <w:r w:rsidR="009A7B71">
        <w:rPr>
          <w:rFonts w:ascii="Book Antiqua" w:hAnsi="Book Antiqua"/>
        </w:rPr>
        <w:t xml:space="preserve"> </w:t>
      </w:r>
      <w:r w:rsidR="00DC3CB6">
        <w:rPr>
          <w:rFonts w:ascii="Book Antiqua" w:hAnsi="Book Antiqua"/>
        </w:rPr>
        <w:t xml:space="preserve">By the end of 2018, </w:t>
      </w:r>
      <w:r w:rsidRPr="00082F6B" w:rsidR="00635E99">
        <w:rPr>
          <w:rFonts w:ascii="Book Antiqua" w:hAnsi="Book Antiqua"/>
        </w:rPr>
        <w:t xml:space="preserve">Liberty Apple Valley’s </w:t>
      </w:r>
      <w:r w:rsidR="00DC3CB6">
        <w:rPr>
          <w:rFonts w:ascii="Book Antiqua" w:hAnsi="Book Antiqua"/>
        </w:rPr>
        <w:t>under</w:t>
      </w:r>
      <w:r w:rsidR="003F055B">
        <w:rPr>
          <w:rFonts w:ascii="Book Antiqua" w:hAnsi="Book Antiqua"/>
        </w:rPr>
        <w:t>-</w:t>
      </w:r>
      <w:r w:rsidR="00DC3CB6">
        <w:rPr>
          <w:rFonts w:ascii="Book Antiqua" w:hAnsi="Book Antiqua"/>
        </w:rPr>
        <w:t>collection had become an over</w:t>
      </w:r>
      <w:r w:rsidR="003F055B">
        <w:rPr>
          <w:rFonts w:ascii="Book Antiqua" w:hAnsi="Book Antiqua"/>
        </w:rPr>
        <w:t>-</w:t>
      </w:r>
      <w:r w:rsidR="00DC3CB6">
        <w:rPr>
          <w:rFonts w:ascii="Book Antiqua" w:hAnsi="Book Antiqua"/>
        </w:rPr>
        <w:t>collection of 1.8</w:t>
      </w:r>
      <w:r w:rsidR="009A7B71">
        <w:rPr>
          <w:rFonts w:ascii="Book Antiqua" w:hAnsi="Book Antiqua"/>
        </w:rPr>
        <w:t> </w:t>
      </w:r>
      <w:r w:rsidR="00DC3CB6">
        <w:rPr>
          <w:rFonts w:ascii="Book Antiqua" w:hAnsi="Book Antiqua"/>
        </w:rPr>
        <w:t>percent of the 2017 revenue requirement.</w:t>
      </w:r>
      <w:r w:rsidR="00DC3CB6">
        <w:rPr>
          <w:rStyle w:val="FootnoteReference"/>
          <w:rFonts w:ascii="Book Antiqua" w:hAnsi="Book Antiqua"/>
        </w:rPr>
        <w:footnoteReference w:id="17"/>
      </w:r>
      <w:r w:rsidR="009A7B71">
        <w:rPr>
          <w:rFonts w:ascii="Book Antiqua" w:hAnsi="Book Antiqua"/>
        </w:rPr>
        <w:t xml:space="preserve"> </w:t>
      </w:r>
    </w:p>
    <w:p w:rsidRPr="00082F6B" w:rsidR="008B0C6B" w:rsidP="002A599C" w:rsidRDefault="003F055B" w14:paraId="276F36BC" w14:textId="789E56BC">
      <w:pPr>
        <w:pStyle w:val="standard0"/>
        <w:rPr>
          <w:rFonts w:ascii="Book Antiqua" w:hAnsi="Book Antiqua"/>
        </w:rPr>
      </w:pPr>
      <w:r>
        <w:rPr>
          <w:rFonts w:ascii="Book Antiqua" w:hAnsi="Book Antiqua"/>
        </w:rPr>
        <w:t xml:space="preserve">Liberty Apple Valley’s WRAM/MCBA appears to be functioning as </w:t>
      </w:r>
      <w:proofErr w:type="gramStart"/>
      <w:r>
        <w:rPr>
          <w:rFonts w:ascii="Book Antiqua" w:hAnsi="Book Antiqua"/>
        </w:rPr>
        <w:t>expected, and</w:t>
      </w:r>
      <w:proofErr w:type="gramEnd"/>
      <w:r w:rsidRPr="00082F6B" w:rsidR="00635E99">
        <w:rPr>
          <w:rFonts w:ascii="Book Antiqua" w:hAnsi="Book Antiqua"/>
        </w:rPr>
        <w:t xml:space="preserve"> </w:t>
      </w:r>
      <w:r w:rsidRPr="00082F6B" w:rsidR="009E2974">
        <w:rPr>
          <w:rFonts w:ascii="Book Antiqua" w:hAnsi="Book Antiqua"/>
        </w:rPr>
        <w:t>may be related to a last-minute reduced sales forecast in its prior GRC</w:t>
      </w:r>
      <w:r w:rsidRPr="00082F6B" w:rsidR="00635E99">
        <w:rPr>
          <w:rFonts w:ascii="Book Antiqua" w:hAnsi="Book Antiqua"/>
        </w:rPr>
        <w:t xml:space="preserve">. </w:t>
      </w:r>
      <w:r w:rsidRPr="00082F6B" w:rsidR="0047317F">
        <w:rPr>
          <w:rFonts w:ascii="Book Antiqua" w:hAnsi="Book Antiqua"/>
        </w:rPr>
        <w:t xml:space="preserve">On </w:t>
      </w:r>
      <w:proofErr w:type="gramStart"/>
      <w:r w:rsidRPr="00082F6B" w:rsidR="0047317F">
        <w:rPr>
          <w:rFonts w:ascii="Book Antiqua" w:hAnsi="Book Antiqua"/>
        </w:rPr>
        <w:t>April 1</w:t>
      </w:r>
      <w:r w:rsidRPr="00082F6B" w:rsidR="009E2974">
        <w:rPr>
          <w:rFonts w:ascii="Book Antiqua" w:hAnsi="Book Antiqua"/>
        </w:rPr>
        <w:t xml:space="preserve">, </w:t>
      </w:r>
      <w:r w:rsidRPr="00082F6B" w:rsidR="0047317F">
        <w:rPr>
          <w:rFonts w:ascii="Book Antiqua" w:hAnsi="Book Antiqua"/>
        </w:rPr>
        <w:t>2015</w:t>
      </w:r>
      <w:proofErr w:type="gramEnd"/>
      <w:r w:rsidRPr="00082F6B" w:rsidR="0047317F">
        <w:rPr>
          <w:rFonts w:ascii="Book Antiqua" w:hAnsi="Book Antiqua"/>
        </w:rPr>
        <w:t xml:space="preserve"> </w:t>
      </w:r>
      <w:r w:rsidRPr="00082F6B" w:rsidR="009E2974">
        <w:rPr>
          <w:rFonts w:ascii="Book Antiqua" w:hAnsi="Book Antiqua"/>
        </w:rPr>
        <w:t xml:space="preserve">the Commission issued </w:t>
      </w:r>
      <w:r w:rsidRPr="00082F6B" w:rsidR="0047317F">
        <w:rPr>
          <w:rFonts w:ascii="Book Antiqua" w:hAnsi="Book Antiqua"/>
        </w:rPr>
        <w:t>a Proposed Decision</w:t>
      </w:r>
      <w:r w:rsidRPr="00082F6B" w:rsidR="009E2974">
        <w:rPr>
          <w:rFonts w:ascii="Book Antiqua" w:hAnsi="Book Antiqua"/>
        </w:rPr>
        <w:t xml:space="preserve"> </w:t>
      </w:r>
      <w:r w:rsidRPr="00082F6B" w:rsidR="0067319F">
        <w:rPr>
          <w:rFonts w:ascii="Book Antiqua" w:hAnsi="Book Antiqua"/>
        </w:rPr>
        <w:t xml:space="preserve">that </w:t>
      </w:r>
      <w:r w:rsidRPr="00082F6B" w:rsidR="0047317F">
        <w:rPr>
          <w:rFonts w:ascii="Book Antiqua" w:hAnsi="Book Antiqua"/>
        </w:rPr>
        <w:t>approved the Liberty Apple Valley</w:t>
      </w:r>
      <w:r w:rsidRPr="00082F6B" w:rsidR="00983310">
        <w:rPr>
          <w:rFonts w:ascii="Book Antiqua" w:hAnsi="Book Antiqua"/>
        </w:rPr>
        <w:t xml:space="preserve"> sales forecast</w:t>
      </w:r>
      <w:r w:rsidRPr="00082F6B" w:rsidR="0096614F">
        <w:rPr>
          <w:rFonts w:ascii="Book Antiqua" w:hAnsi="Book Antiqua"/>
        </w:rPr>
        <w:t xml:space="preserve"> of 7,489,409 </w:t>
      </w:r>
      <w:proofErr w:type="spellStart"/>
      <w:r w:rsidRPr="00082F6B" w:rsidR="0096614F">
        <w:rPr>
          <w:rFonts w:ascii="Book Antiqua" w:hAnsi="Book Antiqua"/>
        </w:rPr>
        <w:t>Ccf</w:t>
      </w:r>
      <w:proofErr w:type="spellEnd"/>
      <w:r w:rsidRPr="00082F6B" w:rsidR="00983310">
        <w:rPr>
          <w:rFonts w:ascii="Book Antiqua" w:hAnsi="Book Antiqua"/>
        </w:rPr>
        <w:t>.</w:t>
      </w:r>
      <w:r w:rsidRPr="00082F6B" w:rsidR="0047317F">
        <w:rPr>
          <w:rFonts w:ascii="Book Antiqua" w:hAnsi="Book Antiqua"/>
        </w:rPr>
        <w:t xml:space="preserve"> </w:t>
      </w:r>
      <w:proofErr w:type="gramStart"/>
      <w:r w:rsidRPr="00082F6B" w:rsidR="0047317F">
        <w:rPr>
          <w:rFonts w:ascii="Book Antiqua" w:hAnsi="Book Antiqua"/>
        </w:rPr>
        <w:t>Also</w:t>
      </w:r>
      <w:proofErr w:type="gramEnd"/>
      <w:r w:rsidRPr="00082F6B" w:rsidR="0047317F">
        <w:rPr>
          <w:rFonts w:ascii="Book Antiqua" w:hAnsi="Book Antiqua"/>
        </w:rPr>
        <w:t xml:space="preserve"> on April 1, 2015</w:t>
      </w:r>
      <w:r w:rsidRPr="00082F6B" w:rsidR="009E2974">
        <w:rPr>
          <w:rFonts w:ascii="Book Antiqua" w:hAnsi="Book Antiqua"/>
        </w:rPr>
        <w:t>,</w:t>
      </w:r>
      <w:r w:rsidRPr="00082F6B" w:rsidR="00635E99">
        <w:rPr>
          <w:rFonts w:ascii="Book Antiqua" w:hAnsi="Book Antiqua"/>
        </w:rPr>
        <w:t xml:space="preserve"> the Governor issued Executive Order B-29-15 requiring </w:t>
      </w:r>
      <w:r w:rsidRPr="00082F6B" w:rsidR="0047317F">
        <w:rPr>
          <w:rFonts w:ascii="Book Antiqua" w:hAnsi="Book Antiqua"/>
        </w:rPr>
        <w:t xml:space="preserve">a </w:t>
      </w:r>
      <w:r w:rsidRPr="00082F6B" w:rsidR="009B603A">
        <w:rPr>
          <w:rFonts w:ascii="Book Antiqua" w:hAnsi="Book Antiqua"/>
        </w:rPr>
        <w:t xml:space="preserve">25 percent </w:t>
      </w:r>
      <w:r w:rsidRPr="00082F6B" w:rsidR="0047317F">
        <w:rPr>
          <w:rFonts w:ascii="Book Antiqua" w:hAnsi="Book Antiqua"/>
        </w:rPr>
        <w:t xml:space="preserve">reduction of water usage statewide </w:t>
      </w:r>
      <w:r w:rsidRPr="00082F6B" w:rsidR="009B603A">
        <w:rPr>
          <w:rFonts w:ascii="Book Antiqua" w:hAnsi="Book Antiqua"/>
        </w:rPr>
        <w:t xml:space="preserve">by 2016. </w:t>
      </w:r>
      <w:r w:rsidR="009A7B71">
        <w:rPr>
          <w:rFonts w:ascii="Book Antiqua" w:hAnsi="Book Antiqua"/>
        </w:rPr>
        <w:t xml:space="preserve"> </w:t>
      </w:r>
      <w:r w:rsidRPr="00082F6B" w:rsidR="009B603A">
        <w:rPr>
          <w:rFonts w:ascii="Book Antiqua" w:hAnsi="Book Antiqua"/>
        </w:rPr>
        <w:t xml:space="preserve">Based on this order, </w:t>
      </w:r>
      <w:r w:rsidRPr="00082F6B" w:rsidR="0047317F">
        <w:rPr>
          <w:rFonts w:ascii="Book Antiqua" w:hAnsi="Book Antiqua"/>
        </w:rPr>
        <w:t>and the Commission’s subsequent requirement</w:t>
      </w:r>
      <w:r w:rsidRPr="00082F6B" w:rsidR="0047317F">
        <w:rPr>
          <w:rStyle w:val="FootnoteReference"/>
          <w:rFonts w:ascii="Book Antiqua" w:hAnsi="Book Antiqua"/>
        </w:rPr>
        <w:footnoteReference w:id="18"/>
      </w:r>
      <w:r w:rsidRPr="00082F6B" w:rsidR="0047317F">
        <w:rPr>
          <w:rFonts w:ascii="Book Antiqua" w:hAnsi="Book Antiqua"/>
        </w:rPr>
        <w:t xml:space="preserve"> for Liberty Appl</w:t>
      </w:r>
      <w:r w:rsidRPr="00082F6B" w:rsidR="0067319F">
        <w:rPr>
          <w:rFonts w:ascii="Book Antiqua" w:hAnsi="Book Antiqua"/>
        </w:rPr>
        <w:t>e</w:t>
      </w:r>
      <w:r w:rsidRPr="00082F6B" w:rsidR="0047317F">
        <w:rPr>
          <w:rFonts w:ascii="Book Antiqua" w:hAnsi="Book Antiqua"/>
        </w:rPr>
        <w:t xml:space="preserve"> Valley to reduce </w:t>
      </w:r>
      <w:r w:rsidRPr="00082F6B" w:rsidR="0047317F">
        <w:rPr>
          <w:rFonts w:ascii="Book Antiqua" w:hAnsi="Book Antiqua"/>
        </w:rPr>
        <w:lastRenderedPageBreak/>
        <w:t xml:space="preserve">water usage by 28 percent, </w:t>
      </w:r>
      <w:r w:rsidRPr="00082F6B" w:rsidR="00635E99">
        <w:rPr>
          <w:rFonts w:ascii="Book Antiqua" w:hAnsi="Book Antiqua"/>
        </w:rPr>
        <w:t>Liberty Apple Valley</w:t>
      </w:r>
      <w:r w:rsidRPr="00082F6B" w:rsidR="009E2974">
        <w:rPr>
          <w:rFonts w:ascii="Book Antiqua" w:hAnsi="Book Antiqua"/>
        </w:rPr>
        <w:t xml:space="preserve">’s sales forecast in the </w:t>
      </w:r>
      <w:r w:rsidRPr="00082F6B" w:rsidR="0047317F">
        <w:rPr>
          <w:rFonts w:ascii="Book Antiqua" w:hAnsi="Book Antiqua"/>
        </w:rPr>
        <w:t>Final Decision</w:t>
      </w:r>
      <w:r w:rsidRPr="00082F6B" w:rsidR="009E2974">
        <w:rPr>
          <w:rFonts w:ascii="Book Antiqua" w:hAnsi="Book Antiqua"/>
        </w:rPr>
        <w:t xml:space="preserve"> </w:t>
      </w:r>
      <w:r w:rsidRPr="00082F6B" w:rsidR="009B603A">
        <w:rPr>
          <w:rFonts w:ascii="Book Antiqua" w:hAnsi="Book Antiqua"/>
        </w:rPr>
        <w:t xml:space="preserve">was reduced </w:t>
      </w:r>
      <w:r w:rsidRPr="00082F6B" w:rsidR="009E2974">
        <w:rPr>
          <w:rFonts w:ascii="Book Antiqua" w:hAnsi="Book Antiqua"/>
        </w:rPr>
        <w:t xml:space="preserve">to </w:t>
      </w:r>
      <w:r w:rsidRPr="00082F6B" w:rsidR="0057023A">
        <w:rPr>
          <w:rFonts w:ascii="Book Antiqua" w:hAnsi="Book Antiqua"/>
        </w:rPr>
        <w:t xml:space="preserve">6,318,659 </w:t>
      </w:r>
      <w:proofErr w:type="spellStart"/>
      <w:r w:rsidRPr="00082F6B" w:rsidR="0057023A">
        <w:rPr>
          <w:rFonts w:ascii="Book Antiqua" w:hAnsi="Book Antiqua"/>
        </w:rPr>
        <w:t>Ccf</w:t>
      </w:r>
      <w:proofErr w:type="spellEnd"/>
      <w:r w:rsidRPr="00082F6B" w:rsidR="009E2974">
        <w:rPr>
          <w:rFonts w:ascii="Book Antiqua" w:hAnsi="Book Antiqua"/>
        </w:rPr>
        <w:t>.</w:t>
      </w:r>
      <w:r w:rsidRPr="00082F6B" w:rsidR="001A1ABC">
        <w:rPr>
          <w:rStyle w:val="FootnoteReference"/>
          <w:rFonts w:ascii="Book Antiqua" w:hAnsi="Book Antiqua"/>
        </w:rPr>
        <w:footnoteReference w:id="19"/>
      </w:r>
      <w:r w:rsidRPr="00082F6B" w:rsidR="009E2974">
        <w:rPr>
          <w:rFonts w:ascii="Book Antiqua" w:hAnsi="Book Antiqua"/>
        </w:rPr>
        <w:t xml:space="preserve"> Liberty’</w:t>
      </w:r>
      <w:r w:rsidRPr="00082F6B" w:rsidR="002004FD">
        <w:rPr>
          <w:rFonts w:ascii="Book Antiqua" w:hAnsi="Book Antiqua"/>
        </w:rPr>
        <w:t>s</w:t>
      </w:r>
      <w:r w:rsidRPr="00082F6B" w:rsidR="00CF7023">
        <w:rPr>
          <w:rFonts w:ascii="Book Antiqua" w:hAnsi="Book Antiqua"/>
        </w:rPr>
        <w:t xml:space="preserve"> contention</w:t>
      </w:r>
      <w:r w:rsidRPr="00082F6B" w:rsidR="00B83685">
        <w:rPr>
          <w:rFonts w:ascii="Book Antiqua" w:hAnsi="Book Antiqua"/>
        </w:rPr>
        <w:t>,</w:t>
      </w:r>
      <w:r w:rsidRPr="00082F6B" w:rsidR="00CF7023">
        <w:rPr>
          <w:rFonts w:ascii="Book Antiqua" w:hAnsi="Book Antiqua"/>
        </w:rPr>
        <w:t xml:space="preserve"> that alternative, lower forecasting </w:t>
      </w:r>
      <w:r w:rsidRPr="00082F6B" w:rsidR="00B83685">
        <w:rPr>
          <w:rFonts w:ascii="Book Antiqua" w:hAnsi="Book Antiqua"/>
        </w:rPr>
        <w:t>will</w:t>
      </w:r>
      <w:r w:rsidRPr="00082F6B" w:rsidR="00CF7023">
        <w:rPr>
          <w:rFonts w:ascii="Book Antiqua" w:hAnsi="Book Antiqua"/>
        </w:rPr>
        <w:t xml:space="preserve"> be an ineffective solution, is </w:t>
      </w:r>
      <w:r w:rsidRPr="00082F6B" w:rsidR="00B83685">
        <w:rPr>
          <w:rFonts w:ascii="Book Antiqua" w:hAnsi="Book Antiqua"/>
        </w:rPr>
        <w:t>disproved by Liberty Apple Valley’s historical experience</w:t>
      </w:r>
      <w:r w:rsidRPr="00082F6B" w:rsidR="00506339">
        <w:rPr>
          <w:rFonts w:ascii="Book Antiqua" w:hAnsi="Book Antiqua"/>
        </w:rPr>
        <w:t>.</w:t>
      </w:r>
    </w:p>
    <w:p w:rsidRPr="00082F6B" w:rsidR="002954FB" w:rsidP="0088197B" w:rsidRDefault="00205C06" w14:paraId="3E46FA13" w14:textId="550E4921">
      <w:pPr>
        <w:pStyle w:val="standard0"/>
        <w:rPr>
          <w:rFonts w:ascii="Book Antiqua" w:hAnsi="Book Antiqua"/>
        </w:rPr>
      </w:pPr>
      <w:r>
        <w:rPr>
          <w:rFonts w:ascii="Book Antiqua" w:hAnsi="Book Antiqua"/>
        </w:rPr>
        <w:t xml:space="preserve">Upon review of the foregoing, </w:t>
      </w:r>
      <w:r w:rsidRPr="00082F6B" w:rsidR="007E093B">
        <w:rPr>
          <w:rFonts w:ascii="Book Antiqua" w:hAnsi="Book Antiqua"/>
        </w:rPr>
        <w:t>Liberty’s request to lift the 10</w:t>
      </w:r>
      <w:r w:rsidRPr="00082F6B" w:rsidR="00E266F3">
        <w:rPr>
          <w:rFonts w:ascii="Book Antiqua" w:hAnsi="Book Antiqua"/>
        </w:rPr>
        <w:t xml:space="preserve"> percent</w:t>
      </w:r>
      <w:r w:rsidRPr="00082F6B" w:rsidR="007E093B">
        <w:rPr>
          <w:rFonts w:ascii="Book Antiqua" w:hAnsi="Book Antiqua"/>
        </w:rPr>
        <w:t xml:space="preserve"> cap on the WRAM/MCBA </w:t>
      </w:r>
      <w:r>
        <w:rPr>
          <w:rFonts w:ascii="Book Antiqua" w:hAnsi="Book Antiqua"/>
        </w:rPr>
        <w:t xml:space="preserve">therefore </w:t>
      </w:r>
      <w:r w:rsidRPr="00082F6B" w:rsidR="007E093B">
        <w:rPr>
          <w:rFonts w:ascii="Book Antiqua" w:hAnsi="Book Antiqua"/>
        </w:rPr>
        <w:t xml:space="preserve">is denied, because the cap </w:t>
      </w:r>
      <w:r w:rsidRPr="00082F6B" w:rsidR="00D616FE">
        <w:rPr>
          <w:rFonts w:ascii="Book Antiqua" w:hAnsi="Book Antiqua"/>
        </w:rPr>
        <w:t xml:space="preserve">remains </w:t>
      </w:r>
      <w:r w:rsidRPr="00082F6B" w:rsidR="00912CA9">
        <w:rPr>
          <w:rFonts w:ascii="Book Antiqua" w:hAnsi="Book Antiqua"/>
        </w:rPr>
        <w:t>necessary</w:t>
      </w:r>
      <w:r w:rsidRPr="00082F6B" w:rsidR="007E093B">
        <w:rPr>
          <w:rFonts w:ascii="Book Antiqua" w:hAnsi="Book Antiqua"/>
        </w:rPr>
        <w:t xml:space="preserve"> to moderate ratepayers</w:t>
      </w:r>
      <w:r w:rsidRPr="00082F6B" w:rsidR="0069536E">
        <w:rPr>
          <w:rFonts w:ascii="Book Antiqua" w:hAnsi="Book Antiqua"/>
        </w:rPr>
        <w:t>’</w:t>
      </w:r>
      <w:r w:rsidRPr="00082F6B" w:rsidR="007E093B">
        <w:rPr>
          <w:rFonts w:ascii="Book Antiqua" w:hAnsi="Book Antiqua"/>
        </w:rPr>
        <w:t xml:space="preserve"> absorption of costs</w:t>
      </w:r>
      <w:r w:rsidRPr="00082F6B" w:rsidR="00D616FE">
        <w:rPr>
          <w:rFonts w:ascii="Book Antiqua" w:hAnsi="Book Antiqua"/>
        </w:rPr>
        <w:t xml:space="preserve"> through surcharges</w:t>
      </w:r>
      <w:r w:rsidRPr="00082F6B" w:rsidR="007E093B">
        <w:rPr>
          <w:rFonts w:ascii="Book Antiqua" w:hAnsi="Book Antiqua"/>
        </w:rPr>
        <w:t xml:space="preserve"> outside of rates.</w:t>
      </w:r>
      <w:r w:rsidRPr="00082F6B" w:rsidR="005C12AB">
        <w:rPr>
          <w:rFonts w:ascii="Book Antiqua" w:hAnsi="Book Antiqua"/>
        </w:rPr>
        <w:t xml:space="preserve"> Liberty is concerned that</w:t>
      </w:r>
      <w:r w:rsidRPr="00082F6B" w:rsidR="0069536E">
        <w:rPr>
          <w:rFonts w:ascii="Book Antiqua" w:hAnsi="Book Antiqua"/>
        </w:rPr>
        <w:t xml:space="preserve"> </w:t>
      </w:r>
      <w:r w:rsidRPr="00082F6B" w:rsidR="005C12AB">
        <w:rPr>
          <w:rFonts w:ascii="Book Antiqua" w:hAnsi="Book Antiqua"/>
        </w:rPr>
        <w:t>s</w:t>
      </w:r>
      <w:r w:rsidRPr="00082F6B" w:rsidR="007E093B">
        <w:rPr>
          <w:rFonts w:ascii="Book Antiqua" w:hAnsi="Book Antiqua"/>
        </w:rPr>
        <w:t xml:space="preserve">tretching out the </w:t>
      </w:r>
      <w:proofErr w:type="gramStart"/>
      <w:r w:rsidRPr="00082F6B" w:rsidR="007E093B">
        <w:rPr>
          <w:rFonts w:ascii="Book Antiqua" w:hAnsi="Book Antiqua"/>
        </w:rPr>
        <w:t>time period</w:t>
      </w:r>
      <w:proofErr w:type="gramEnd"/>
      <w:r w:rsidRPr="00082F6B" w:rsidR="007E093B">
        <w:rPr>
          <w:rFonts w:ascii="Book Antiqua" w:hAnsi="Book Antiqua"/>
        </w:rPr>
        <w:t xml:space="preserve"> over which these costs are recovered </w:t>
      </w:r>
      <w:r w:rsidRPr="00082F6B" w:rsidR="005C12AB">
        <w:rPr>
          <w:rFonts w:ascii="Book Antiqua" w:hAnsi="Book Antiqua"/>
        </w:rPr>
        <w:t>is unfair because ratepayers who face the surcharges many years later may not have been customers in the year the revenue mismatch occurred. This concern should be mitigated by the low to no growth rates of the companies to some degree. Furthermore, Liberty provides little to no evidence that it considered the variety of options recommended by the Commission to address the problems that are well known.</w:t>
      </w:r>
      <w:r w:rsidR="00E965B3">
        <w:rPr>
          <w:rStyle w:val="FootnoteReference"/>
          <w:rFonts w:ascii="Book Antiqua" w:hAnsi="Book Antiqua"/>
        </w:rPr>
        <w:footnoteReference w:id="20"/>
      </w:r>
      <w:r w:rsidR="009A7B71">
        <w:rPr>
          <w:rFonts w:ascii="Book Antiqua" w:hAnsi="Book Antiqua"/>
        </w:rPr>
        <w:t xml:space="preserve"> </w:t>
      </w:r>
      <w:r w:rsidRPr="00082F6B" w:rsidR="005C12AB">
        <w:rPr>
          <w:rFonts w:ascii="Book Antiqua" w:hAnsi="Book Antiqua"/>
        </w:rPr>
        <w:t>Finally, the 10</w:t>
      </w:r>
      <w:r w:rsidRPr="00082F6B" w:rsidR="00E266F3">
        <w:rPr>
          <w:rFonts w:ascii="Book Antiqua" w:hAnsi="Book Antiqua"/>
        </w:rPr>
        <w:t xml:space="preserve"> percent</w:t>
      </w:r>
      <w:r w:rsidRPr="00082F6B" w:rsidR="005C12AB">
        <w:rPr>
          <w:rFonts w:ascii="Book Antiqua" w:hAnsi="Book Antiqua"/>
        </w:rPr>
        <w:t xml:space="preserve"> cap </w:t>
      </w:r>
      <w:r w:rsidRPr="00082F6B" w:rsidR="00DE338D">
        <w:rPr>
          <w:rFonts w:ascii="Book Antiqua" w:hAnsi="Book Antiqua"/>
        </w:rPr>
        <w:t>is no surprise</w:t>
      </w:r>
      <w:r w:rsidRPr="00082F6B" w:rsidR="007E093B">
        <w:rPr>
          <w:rFonts w:ascii="Book Antiqua" w:hAnsi="Book Antiqua"/>
        </w:rPr>
        <w:t>; the 10</w:t>
      </w:r>
      <w:r w:rsidRPr="00082F6B" w:rsidR="00E266F3">
        <w:rPr>
          <w:rFonts w:ascii="Book Antiqua" w:hAnsi="Book Antiqua"/>
        </w:rPr>
        <w:t xml:space="preserve"> percent</w:t>
      </w:r>
      <w:r w:rsidRPr="00082F6B" w:rsidR="007E093B">
        <w:rPr>
          <w:rFonts w:ascii="Book Antiqua" w:hAnsi="Book Antiqua"/>
        </w:rPr>
        <w:t xml:space="preserve"> cap has been in place since </w:t>
      </w:r>
      <w:r w:rsidRPr="00082F6B" w:rsidR="005C12AB">
        <w:rPr>
          <w:rFonts w:ascii="Book Antiqua" w:hAnsi="Book Antiqua"/>
        </w:rPr>
        <w:t>it was established in 2012</w:t>
      </w:r>
      <w:r w:rsidRPr="00082F6B" w:rsidR="00CA3BEF">
        <w:rPr>
          <w:rFonts w:ascii="Book Antiqua" w:hAnsi="Book Antiqua"/>
        </w:rPr>
        <w:t xml:space="preserve"> in D.12-04-048. </w:t>
      </w:r>
      <w:r w:rsidR="009A7B71">
        <w:rPr>
          <w:rFonts w:ascii="Book Antiqua" w:hAnsi="Book Antiqua"/>
        </w:rPr>
        <w:t xml:space="preserve"> </w:t>
      </w:r>
      <w:r w:rsidRPr="00082F6B" w:rsidR="00CA3BEF">
        <w:rPr>
          <w:rFonts w:ascii="Book Antiqua" w:hAnsi="Book Antiqua"/>
        </w:rPr>
        <w:t xml:space="preserve">Even the 2012 decision gave the utilities ample time to </w:t>
      </w:r>
      <w:r w:rsidRPr="00082F6B" w:rsidR="00582876">
        <w:rPr>
          <w:rFonts w:ascii="Book Antiqua" w:hAnsi="Book Antiqua"/>
        </w:rPr>
        <w:t xml:space="preserve">dispose of their excessive WRAM balances at the time, as the cap only went into effect for </w:t>
      </w:r>
      <w:r w:rsidRPr="00082F6B" w:rsidR="0067319F">
        <w:rPr>
          <w:rFonts w:ascii="Book Antiqua" w:hAnsi="Book Antiqua"/>
        </w:rPr>
        <w:t xml:space="preserve">Liberty </w:t>
      </w:r>
      <w:r w:rsidRPr="00082F6B" w:rsidR="00582876">
        <w:rPr>
          <w:rFonts w:ascii="Book Antiqua" w:hAnsi="Book Antiqua"/>
        </w:rPr>
        <w:t xml:space="preserve">Park in March 2014 and for </w:t>
      </w:r>
      <w:r w:rsidRPr="00082F6B" w:rsidR="0067319F">
        <w:rPr>
          <w:rFonts w:ascii="Book Antiqua" w:hAnsi="Book Antiqua"/>
        </w:rPr>
        <w:t xml:space="preserve">Liberty </w:t>
      </w:r>
      <w:r w:rsidRPr="00082F6B" w:rsidR="00582876">
        <w:rPr>
          <w:rFonts w:ascii="Book Antiqua" w:hAnsi="Book Antiqua"/>
        </w:rPr>
        <w:t>Apple Valley in March 2016.</w:t>
      </w:r>
    </w:p>
    <w:p w:rsidR="002378B0" w:rsidP="00CB5A58" w:rsidRDefault="00597349" w14:paraId="40EBD6D1" w14:textId="00A7FEB2">
      <w:pPr>
        <w:pStyle w:val="standard0"/>
        <w:rPr>
          <w:rFonts w:ascii="Book Antiqua" w:hAnsi="Book Antiqua"/>
        </w:rPr>
      </w:pPr>
      <w:r w:rsidRPr="00082F6B">
        <w:rPr>
          <w:rFonts w:ascii="Book Antiqua" w:hAnsi="Book Antiqua"/>
        </w:rPr>
        <w:t>In denying the removal of the 10</w:t>
      </w:r>
      <w:r w:rsidRPr="00082F6B" w:rsidR="00E266F3">
        <w:rPr>
          <w:rFonts w:ascii="Book Antiqua" w:hAnsi="Book Antiqua"/>
        </w:rPr>
        <w:t xml:space="preserve"> percent</w:t>
      </w:r>
      <w:r w:rsidRPr="00082F6B">
        <w:rPr>
          <w:rFonts w:ascii="Book Antiqua" w:hAnsi="Book Antiqua"/>
        </w:rPr>
        <w:t xml:space="preserve"> cap on the WRAM/MCBA, and denying the SRM, we </w:t>
      </w:r>
      <w:r w:rsidR="00205C06">
        <w:rPr>
          <w:rFonts w:ascii="Book Antiqua" w:hAnsi="Book Antiqua"/>
        </w:rPr>
        <w:t>find</w:t>
      </w:r>
      <w:r w:rsidRPr="00082F6B">
        <w:rPr>
          <w:rFonts w:ascii="Book Antiqua" w:hAnsi="Book Antiqua"/>
        </w:rPr>
        <w:t xml:space="preserve"> D.16-12-026</w:t>
      </w:r>
      <w:r w:rsidR="00205C06">
        <w:rPr>
          <w:rFonts w:ascii="Book Antiqua" w:hAnsi="Book Antiqua"/>
        </w:rPr>
        <w:t xml:space="preserve"> instructive</w:t>
      </w:r>
      <w:r w:rsidRPr="00082F6B">
        <w:rPr>
          <w:rFonts w:ascii="Book Antiqua" w:hAnsi="Book Antiqua"/>
        </w:rPr>
        <w:t>.</w:t>
      </w:r>
      <w:r w:rsidR="009A7B71">
        <w:rPr>
          <w:rFonts w:ascii="Book Antiqua" w:hAnsi="Book Antiqua"/>
        </w:rPr>
        <w:t xml:space="preserve"> </w:t>
      </w:r>
      <w:r w:rsidRPr="00082F6B" w:rsidR="00D616FE">
        <w:rPr>
          <w:rFonts w:ascii="Book Antiqua" w:hAnsi="Book Antiqua"/>
        </w:rPr>
        <w:t>That</w:t>
      </w:r>
      <w:r w:rsidR="00205C06">
        <w:rPr>
          <w:rFonts w:ascii="Book Antiqua" w:hAnsi="Book Antiqua"/>
        </w:rPr>
        <w:t xml:space="preserve"> decision</w:t>
      </w:r>
      <w:r w:rsidRPr="00082F6B" w:rsidR="00D616FE">
        <w:rPr>
          <w:rFonts w:ascii="Book Antiqua" w:hAnsi="Book Antiqua"/>
        </w:rPr>
        <w:t xml:space="preserve"> </w:t>
      </w:r>
      <w:r w:rsidRPr="00082F6B">
        <w:rPr>
          <w:rFonts w:ascii="Book Antiqua" w:hAnsi="Book Antiqua"/>
        </w:rPr>
        <w:lastRenderedPageBreak/>
        <w:t>comprehensive</w:t>
      </w:r>
      <w:r w:rsidR="00205C06">
        <w:rPr>
          <w:rFonts w:ascii="Book Antiqua" w:hAnsi="Book Antiqua"/>
        </w:rPr>
        <w:t>ly</w:t>
      </w:r>
      <w:r w:rsidRPr="00082F6B">
        <w:rPr>
          <w:rFonts w:ascii="Book Antiqua" w:hAnsi="Book Antiqua"/>
        </w:rPr>
        <w:t xml:space="preserve"> </w:t>
      </w:r>
      <w:r w:rsidR="002378B0">
        <w:rPr>
          <w:rFonts w:ascii="Book Antiqua" w:hAnsi="Book Antiqua"/>
        </w:rPr>
        <w:t>reviewed</w:t>
      </w:r>
      <w:r w:rsidRPr="00082F6B">
        <w:rPr>
          <w:rFonts w:ascii="Book Antiqua" w:hAnsi="Book Antiqua"/>
        </w:rPr>
        <w:t xml:space="preserve"> the WRAM mechanism</w:t>
      </w:r>
      <w:r w:rsidR="002378B0">
        <w:rPr>
          <w:rFonts w:ascii="Book Antiqua" w:hAnsi="Book Antiqua"/>
        </w:rPr>
        <w:t xml:space="preserve">. As that decision was issued </w:t>
      </w:r>
      <w:r w:rsidRPr="00082F6B" w:rsidR="00B73E92">
        <w:rPr>
          <w:rFonts w:ascii="Book Antiqua" w:hAnsi="Book Antiqua"/>
        </w:rPr>
        <w:t xml:space="preserve">shortly </w:t>
      </w:r>
      <w:r w:rsidRPr="00082F6B">
        <w:rPr>
          <w:rFonts w:ascii="Book Antiqua" w:hAnsi="Book Antiqua"/>
        </w:rPr>
        <w:t>after Liberty’s last GRCs</w:t>
      </w:r>
      <w:r w:rsidR="002378B0">
        <w:rPr>
          <w:rFonts w:ascii="Book Antiqua" w:hAnsi="Book Antiqua"/>
        </w:rPr>
        <w:t>,</w:t>
      </w:r>
      <w:r w:rsidR="009A7B71">
        <w:rPr>
          <w:rFonts w:ascii="Book Antiqua" w:hAnsi="Book Antiqua"/>
        </w:rPr>
        <w:t xml:space="preserve"> </w:t>
      </w:r>
      <w:r w:rsidRPr="00082F6B" w:rsidR="00B73E92">
        <w:rPr>
          <w:rFonts w:ascii="Book Antiqua" w:hAnsi="Book Antiqua"/>
        </w:rPr>
        <w:t xml:space="preserve">Liberty should have taken the time to incorporate the instruction from both the 2016 decision and the 2012 decision. </w:t>
      </w:r>
      <w:r w:rsidR="009A7B71">
        <w:rPr>
          <w:rFonts w:ascii="Book Antiqua" w:hAnsi="Book Antiqua"/>
        </w:rPr>
        <w:t xml:space="preserve"> </w:t>
      </w:r>
      <w:r w:rsidRPr="00082F6B" w:rsidR="00B73E92">
        <w:rPr>
          <w:rFonts w:ascii="Book Antiqua" w:hAnsi="Book Antiqua"/>
        </w:rPr>
        <w:t xml:space="preserve">Instead, Liberty recycled </w:t>
      </w:r>
      <w:r w:rsidRPr="00082F6B" w:rsidR="003F7D19">
        <w:rPr>
          <w:rFonts w:ascii="Book Antiqua" w:hAnsi="Book Antiqua"/>
        </w:rPr>
        <w:t xml:space="preserve">its </w:t>
      </w:r>
      <w:r w:rsidRPr="00082F6B" w:rsidR="00B73E92">
        <w:rPr>
          <w:rFonts w:ascii="Book Antiqua" w:hAnsi="Book Antiqua"/>
        </w:rPr>
        <w:t>analysis submitted in January 2014.</w:t>
      </w:r>
      <w:r w:rsidRPr="00082F6B" w:rsidR="00B73E92">
        <w:rPr>
          <w:rStyle w:val="FootnoteReference"/>
          <w:rFonts w:ascii="Book Antiqua" w:hAnsi="Book Antiqua"/>
        </w:rPr>
        <w:footnoteReference w:id="21"/>
      </w:r>
      <w:r w:rsidR="009A7B71">
        <w:rPr>
          <w:rFonts w:ascii="Book Antiqua" w:hAnsi="Book Antiqua"/>
        </w:rPr>
        <w:t xml:space="preserve"> </w:t>
      </w:r>
    </w:p>
    <w:p w:rsidR="002378B0" w:rsidP="00CB5A58" w:rsidRDefault="00597349" w14:paraId="4AF9FC45" w14:textId="4EA9DEAC">
      <w:pPr>
        <w:pStyle w:val="standard0"/>
        <w:rPr>
          <w:rFonts w:ascii="Book Antiqua" w:hAnsi="Book Antiqua"/>
        </w:rPr>
      </w:pPr>
      <w:r w:rsidRPr="00082F6B">
        <w:rPr>
          <w:rFonts w:ascii="Book Antiqua" w:hAnsi="Book Antiqua"/>
        </w:rPr>
        <w:t xml:space="preserve">We find the Public Advocates Office </w:t>
      </w:r>
      <w:r w:rsidR="002378B0">
        <w:rPr>
          <w:rFonts w:ascii="Book Antiqua" w:hAnsi="Book Antiqua"/>
        </w:rPr>
        <w:t>proposal</w:t>
      </w:r>
      <w:r w:rsidRPr="00082F6B">
        <w:rPr>
          <w:rFonts w:ascii="Book Antiqua" w:hAnsi="Book Antiqua"/>
        </w:rPr>
        <w:t xml:space="preserve">, of a better sales forecast, </w:t>
      </w:r>
      <w:r w:rsidR="002378B0">
        <w:rPr>
          <w:rFonts w:ascii="Book Antiqua" w:hAnsi="Book Antiqua"/>
        </w:rPr>
        <w:t>to be</w:t>
      </w:r>
      <w:r w:rsidRPr="00082F6B" w:rsidR="003E7443">
        <w:rPr>
          <w:rFonts w:ascii="Book Antiqua" w:hAnsi="Book Antiqua"/>
        </w:rPr>
        <w:t xml:space="preserve"> consistent with D.16-12-026</w:t>
      </w:r>
      <w:r w:rsidRPr="00082F6B">
        <w:rPr>
          <w:rFonts w:ascii="Book Antiqua" w:hAnsi="Book Antiqua"/>
        </w:rPr>
        <w:t>, “Improving forecasting methodologies is key to reducing WRAM and surcharge balances. Inaccurate forecasts provide the air that balloons the WRAM and surcharges.”</w:t>
      </w:r>
      <w:r w:rsidRPr="00082F6B">
        <w:rPr>
          <w:rStyle w:val="FootnoteReference"/>
          <w:rFonts w:ascii="Book Antiqua" w:hAnsi="Book Antiqua"/>
        </w:rPr>
        <w:footnoteReference w:id="22"/>
      </w:r>
      <w:r w:rsidRPr="00082F6B">
        <w:rPr>
          <w:rFonts w:ascii="Book Antiqua" w:hAnsi="Book Antiqua"/>
        </w:rPr>
        <w:t xml:space="preserve"> </w:t>
      </w:r>
    </w:p>
    <w:p w:rsidRPr="00082F6B" w:rsidR="00C85B78" w:rsidP="00CB5A58" w:rsidRDefault="00597349" w14:paraId="192693BF" w14:textId="0B4C6D12">
      <w:pPr>
        <w:pStyle w:val="standard0"/>
        <w:rPr>
          <w:rFonts w:ascii="Book Antiqua" w:hAnsi="Book Antiqua"/>
        </w:rPr>
      </w:pPr>
      <w:r w:rsidRPr="00082F6B">
        <w:rPr>
          <w:rFonts w:ascii="Book Antiqua" w:hAnsi="Book Antiqua"/>
        </w:rPr>
        <w:t xml:space="preserve">We also find Liberty’s request for the SRM did not provide what D.16-12-026 directed: </w:t>
      </w:r>
      <w:r w:rsidR="009A7B71">
        <w:rPr>
          <w:rFonts w:ascii="Book Antiqua" w:hAnsi="Book Antiqua"/>
        </w:rPr>
        <w:t xml:space="preserve"> </w:t>
      </w:r>
      <w:r w:rsidRPr="00082F6B">
        <w:rPr>
          <w:rFonts w:ascii="Book Antiqua" w:hAnsi="Book Antiqua"/>
        </w:rPr>
        <w:t>analysis and information to make a showing that the proposals are well</w:t>
      </w:r>
      <w:r w:rsidR="009A7B71">
        <w:rPr>
          <w:rFonts w:ascii="Book Antiqua" w:hAnsi="Book Antiqua"/>
        </w:rPr>
        <w:noBreakHyphen/>
      </w:r>
      <w:r w:rsidRPr="00082F6B">
        <w:rPr>
          <w:rFonts w:ascii="Book Antiqua" w:hAnsi="Book Antiqua"/>
        </w:rPr>
        <w:t>calculated to provide more timely cost information to customers</w:t>
      </w:r>
      <w:r w:rsidRPr="00082F6B" w:rsidR="006E0F60">
        <w:rPr>
          <w:rFonts w:ascii="Book Antiqua" w:hAnsi="Book Antiqua"/>
        </w:rPr>
        <w:t>, while furthering the Commission’s goals of conservation and affordability. For both the WRAM cap and the SRM</w:t>
      </w:r>
      <w:r w:rsidRPr="00082F6B" w:rsidR="002C7A4C">
        <w:rPr>
          <w:rFonts w:ascii="Book Antiqua" w:hAnsi="Book Antiqua"/>
        </w:rPr>
        <w:t>,</w:t>
      </w:r>
      <w:r w:rsidRPr="00082F6B" w:rsidR="002C7A4C">
        <w:rPr>
          <w:rStyle w:val="FootnoteReference"/>
          <w:rFonts w:ascii="Book Antiqua" w:hAnsi="Book Antiqua"/>
        </w:rPr>
        <w:footnoteReference w:id="23"/>
      </w:r>
      <w:r w:rsidRPr="00082F6B" w:rsidR="006E0F60">
        <w:rPr>
          <w:rFonts w:ascii="Book Antiqua" w:hAnsi="Book Antiqua"/>
        </w:rPr>
        <w:t xml:space="preserve"> </w:t>
      </w:r>
      <w:r w:rsidRPr="00082F6B" w:rsidR="00C85B78">
        <w:rPr>
          <w:rFonts w:ascii="Book Antiqua" w:hAnsi="Book Antiqua"/>
        </w:rPr>
        <w:t xml:space="preserve">the Commission has authorized pilots or trials </w:t>
      </w:r>
      <w:r w:rsidRPr="00082F6B" w:rsidR="000020FD">
        <w:rPr>
          <w:rFonts w:ascii="Book Antiqua" w:hAnsi="Book Antiqua"/>
        </w:rPr>
        <w:t xml:space="preserve">for several </w:t>
      </w:r>
      <w:r w:rsidR="002378B0">
        <w:rPr>
          <w:rFonts w:ascii="Book Antiqua" w:hAnsi="Book Antiqua"/>
        </w:rPr>
        <w:t>utilit</w:t>
      </w:r>
      <w:r w:rsidRPr="00082F6B" w:rsidR="000020FD">
        <w:rPr>
          <w:rFonts w:ascii="Book Antiqua" w:hAnsi="Book Antiqua"/>
        </w:rPr>
        <w:t>ies</w:t>
      </w:r>
      <w:r w:rsidR="002378B0">
        <w:rPr>
          <w:rFonts w:ascii="Book Antiqua" w:hAnsi="Book Antiqua"/>
        </w:rPr>
        <w:t>,</w:t>
      </w:r>
      <w:r w:rsidRPr="00082F6B" w:rsidR="000020FD">
        <w:rPr>
          <w:rFonts w:ascii="Book Antiqua" w:hAnsi="Book Antiqua"/>
        </w:rPr>
        <w:t xml:space="preserve"> </w:t>
      </w:r>
      <w:r w:rsidRPr="00082F6B" w:rsidR="00C85B78">
        <w:rPr>
          <w:rFonts w:ascii="Book Antiqua" w:hAnsi="Book Antiqua"/>
        </w:rPr>
        <w:t xml:space="preserve">but </w:t>
      </w:r>
      <w:r w:rsidRPr="00082F6B" w:rsidR="006E0F60">
        <w:rPr>
          <w:rFonts w:ascii="Book Antiqua" w:hAnsi="Book Antiqua"/>
        </w:rPr>
        <w:t xml:space="preserve">Liberty </w:t>
      </w:r>
      <w:r w:rsidR="002378B0">
        <w:rPr>
          <w:rFonts w:ascii="Book Antiqua" w:hAnsi="Book Antiqua"/>
        </w:rPr>
        <w:t>failed to</w:t>
      </w:r>
      <w:r w:rsidRPr="00082F6B" w:rsidR="000020FD">
        <w:rPr>
          <w:rFonts w:ascii="Book Antiqua" w:hAnsi="Book Antiqua"/>
        </w:rPr>
        <w:t xml:space="preserve"> </w:t>
      </w:r>
      <w:r w:rsidRPr="00082F6B" w:rsidR="006E0F60">
        <w:rPr>
          <w:rFonts w:ascii="Book Antiqua" w:hAnsi="Book Antiqua"/>
        </w:rPr>
        <w:t>examine the</w:t>
      </w:r>
      <w:r w:rsidRPr="00082F6B" w:rsidR="00C85B78">
        <w:rPr>
          <w:rFonts w:ascii="Book Antiqua" w:hAnsi="Book Antiqua"/>
        </w:rPr>
        <w:t xml:space="preserve"> effectiveness of </w:t>
      </w:r>
      <w:r w:rsidR="002378B0">
        <w:rPr>
          <w:rFonts w:ascii="Book Antiqua" w:hAnsi="Book Antiqua"/>
        </w:rPr>
        <w:t xml:space="preserve">any of </w:t>
      </w:r>
      <w:r w:rsidRPr="00082F6B" w:rsidR="00C85B78">
        <w:rPr>
          <w:rFonts w:ascii="Book Antiqua" w:hAnsi="Book Antiqua"/>
        </w:rPr>
        <w:t>th</w:t>
      </w:r>
      <w:r w:rsidR="002378B0">
        <w:rPr>
          <w:rFonts w:ascii="Book Antiqua" w:hAnsi="Book Antiqua"/>
        </w:rPr>
        <w:t>o</w:t>
      </w:r>
      <w:r w:rsidRPr="00082F6B" w:rsidR="00C85B78">
        <w:rPr>
          <w:rFonts w:ascii="Book Antiqua" w:hAnsi="Book Antiqua"/>
        </w:rPr>
        <w:t>se trials. As Liberty itself identifies, Golden State Water</w:t>
      </w:r>
      <w:r w:rsidRPr="00082F6B" w:rsidR="00F70010">
        <w:rPr>
          <w:rFonts w:ascii="Book Antiqua" w:hAnsi="Book Antiqua"/>
        </w:rPr>
        <w:t xml:space="preserve"> Company</w:t>
      </w:r>
      <w:r w:rsidRPr="00082F6B" w:rsidR="00C85B78">
        <w:rPr>
          <w:rFonts w:ascii="Book Antiqua" w:hAnsi="Book Antiqua"/>
        </w:rPr>
        <w:t xml:space="preserve">’s GRC </w:t>
      </w:r>
      <w:r w:rsidRPr="00082F6B" w:rsidR="00044900">
        <w:rPr>
          <w:rFonts w:ascii="Book Antiqua" w:hAnsi="Book Antiqua"/>
        </w:rPr>
        <w:t xml:space="preserve">decision </w:t>
      </w:r>
      <w:r w:rsidR="00CA3A68">
        <w:rPr>
          <w:rFonts w:ascii="Book Antiqua" w:hAnsi="Book Antiqua"/>
        </w:rPr>
        <w:t xml:space="preserve">setting rates for TY also </w:t>
      </w:r>
      <w:r w:rsidRPr="00082F6B" w:rsidR="00C85B78">
        <w:rPr>
          <w:rFonts w:ascii="Book Antiqua" w:hAnsi="Book Antiqua"/>
        </w:rPr>
        <w:t>suspended the 10</w:t>
      </w:r>
      <w:r w:rsidRPr="00082F6B" w:rsidR="00E266F3">
        <w:rPr>
          <w:rFonts w:ascii="Book Antiqua" w:hAnsi="Book Antiqua"/>
        </w:rPr>
        <w:t xml:space="preserve"> percent</w:t>
      </w:r>
      <w:r w:rsidRPr="00082F6B" w:rsidR="00C85B78">
        <w:rPr>
          <w:rFonts w:ascii="Book Antiqua" w:hAnsi="Book Antiqua"/>
        </w:rPr>
        <w:t xml:space="preserve"> cap </w:t>
      </w:r>
      <w:r w:rsidR="00A80381">
        <w:rPr>
          <w:rFonts w:ascii="Book Antiqua" w:hAnsi="Book Antiqua"/>
        </w:rPr>
        <w:t xml:space="preserve">on the WRAM </w:t>
      </w:r>
      <w:r w:rsidRPr="00082F6B" w:rsidR="00C85B78">
        <w:rPr>
          <w:rFonts w:ascii="Book Antiqua" w:hAnsi="Book Antiqua"/>
        </w:rPr>
        <w:t>for years 2016, 2017 and 2018.</w:t>
      </w:r>
      <w:r w:rsidR="00CA3A68">
        <w:rPr>
          <w:rStyle w:val="FootnoteReference"/>
          <w:rFonts w:ascii="Book Antiqua" w:hAnsi="Book Antiqua"/>
        </w:rPr>
        <w:footnoteReference w:id="24"/>
      </w:r>
      <w:r w:rsidRPr="00082F6B" w:rsidR="006E0F60">
        <w:rPr>
          <w:rFonts w:ascii="Book Antiqua" w:hAnsi="Book Antiqua"/>
        </w:rPr>
        <w:t xml:space="preserve"> </w:t>
      </w:r>
      <w:r w:rsidRPr="00082F6B" w:rsidR="002C7A4C">
        <w:rPr>
          <w:rFonts w:ascii="Book Antiqua" w:hAnsi="Book Antiqua"/>
        </w:rPr>
        <w:t>Enough</w:t>
      </w:r>
      <w:r w:rsidRPr="00082F6B" w:rsidR="00C85B78">
        <w:rPr>
          <w:rFonts w:ascii="Book Antiqua" w:hAnsi="Book Antiqua"/>
        </w:rPr>
        <w:t xml:space="preserve"> pilots and trials </w:t>
      </w:r>
      <w:r w:rsidRPr="00082F6B" w:rsidR="002C7A4C">
        <w:rPr>
          <w:rFonts w:ascii="Book Antiqua" w:hAnsi="Book Antiqua"/>
        </w:rPr>
        <w:t>currently exist to determine effectiveness</w:t>
      </w:r>
      <w:r w:rsidRPr="00082F6B" w:rsidR="00C85B78">
        <w:rPr>
          <w:rFonts w:ascii="Book Antiqua" w:hAnsi="Book Antiqua"/>
        </w:rPr>
        <w:t xml:space="preserve">. </w:t>
      </w:r>
    </w:p>
    <w:p w:rsidR="00C85B78" w:rsidP="00C85B78" w:rsidRDefault="005957A9" w14:paraId="6AFB1A01" w14:textId="7C21DDDD">
      <w:pPr>
        <w:pStyle w:val="standard0"/>
      </w:pPr>
      <w:r w:rsidRPr="00082F6B">
        <w:rPr>
          <w:rFonts w:ascii="Book Antiqua" w:hAnsi="Book Antiqua"/>
        </w:rPr>
        <w:t xml:space="preserve">The Public Advocates Office explains the negative aspects of </w:t>
      </w:r>
      <w:r w:rsidRPr="00082F6B" w:rsidR="00C93190">
        <w:rPr>
          <w:rFonts w:ascii="Book Antiqua" w:hAnsi="Book Antiqua"/>
        </w:rPr>
        <w:t>the SRM</w:t>
      </w:r>
      <w:r w:rsidRPr="00082F6B">
        <w:rPr>
          <w:rFonts w:ascii="Book Antiqua" w:hAnsi="Book Antiqua"/>
        </w:rPr>
        <w:t xml:space="preserve">, mainly that it defeats </w:t>
      </w:r>
      <w:r w:rsidRPr="00082F6B" w:rsidR="00C93190">
        <w:rPr>
          <w:rFonts w:ascii="Book Antiqua" w:hAnsi="Book Antiqua"/>
        </w:rPr>
        <w:t>conservation price signals. As a group, if customers conserve more than expected, the following year rate</w:t>
      </w:r>
      <w:r w:rsidRPr="00082F6B" w:rsidR="00BB1B22">
        <w:rPr>
          <w:rFonts w:ascii="Book Antiqua" w:hAnsi="Book Antiqua"/>
        </w:rPr>
        <w:t>s</w:t>
      </w:r>
      <w:r w:rsidRPr="00082F6B" w:rsidR="00C93190">
        <w:rPr>
          <w:rFonts w:ascii="Book Antiqua" w:hAnsi="Book Antiqua"/>
        </w:rPr>
        <w:t xml:space="preserve"> will rise to account for a </w:t>
      </w:r>
      <w:r w:rsidRPr="00082F6B" w:rsidR="00C93190">
        <w:rPr>
          <w:rFonts w:ascii="Book Antiqua" w:hAnsi="Book Antiqua"/>
        </w:rPr>
        <w:lastRenderedPageBreak/>
        <w:t>revised lower sales forecast.</w:t>
      </w:r>
      <w:r w:rsidR="009A7B71">
        <w:rPr>
          <w:rFonts w:ascii="Book Antiqua" w:hAnsi="Book Antiqua"/>
        </w:rPr>
        <w:t xml:space="preserve"> </w:t>
      </w:r>
      <w:r w:rsidRPr="00082F6B" w:rsidR="00A72077">
        <w:rPr>
          <w:rFonts w:ascii="Book Antiqua" w:hAnsi="Book Antiqua"/>
        </w:rPr>
        <w:t>Though the Commission encouraged utility proposals of SRMs in 2016,</w:t>
      </w:r>
      <w:r w:rsidRPr="00082F6B" w:rsidR="00A72077">
        <w:rPr>
          <w:rStyle w:val="FootnoteReference"/>
          <w:rFonts w:ascii="Book Antiqua" w:hAnsi="Book Antiqua"/>
        </w:rPr>
        <w:footnoteReference w:id="25"/>
      </w:r>
      <w:r w:rsidRPr="00082F6B" w:rsidR="00A72077">
        <w:rPr>
          <w:rFonts w:ascii="Book Antiqua" w:hAnsi="Book Antiqua"/>
        </w:rPr>
        <w:t xml:space="preserve"> the experience to-date shows </w:t>
      </w:r>
      <w:r w:rsidRPr="00082F6B" w:rsidR="0017293B">
        <w:rPr>
          <w:rFonts w:ascii="Book Antiqua" w:hAnsi="Book Antiqua"/>
        </w:rPr>
        <w:t>less-than-ideal</w:t>
      </w:r>
      <w:r w:rsidRPr="00082F6B" w:rsidR="00A72077">
        <w:rPr>
          <w:rFonts w:ascii="Book Antiqua" w:hAnsi="Book Antiqua"/>
        </w:rPr>
        <w:t xml:space="preserve"> collateral effects of the SRM</w:t>
      </w:r>
      <w:r w:rsidRPr="00082F6B" w:rsidR="00C93190">
        <w:rPr>
          <w:rFonts w:ascii="Book Antiqua" w:hAnsi="Book Antiqua"/>
        </w:rPr>
        <w:t xml:space="preserve">. </w:t>
      </w:r>
      <w:r w:rsidRPr="00082F6B" w:rsidR="00732B7E">
        <w:rPr>
          <w:rFonts w:ascii="Book Antiqua" w:hAnsi="Book Antiqua"/>
        </w:rPr>
        <w:t>If</w:t>
      </w:r>
      <w:r w:rsidRPr="00082F6B" w:rsidR="00C93190">
        <w:rPr>
          <w:rFonts w:ascii="Book Antiqua" w:hAnsi="Book Antiqua"/>
        </w:rPr>
        <w:t xml:space="preserve"> Liberty</w:t>
      </w:r>
      <w:r w:rsidRPr="00082F6B" w:rsidR="00732B7E">
        <w:rPr>
          <w:rFonts w:ascii="Book Antiqua" w:hAnsi="Book Antiqua"/>
        </w:rPr>
        <w:t xml:space="preserve"> makes a future request for an SRM, it</w:t>
      </w:r>
      <w:r w:rsidRPr="00082F6B" w:rsidR="006915C6">
        <w:rPr>
          <w:rFonts w:ascii="Book Antiqua" w:hAnsi="Book Antiqua"/>
        </w:rPr>
        <w:t xml:space="preserve"> </w:t>
      </w:r>
      <w:r w:rsidRPr="00082F6B" w:rsidR="00C93190">
        <w:rPr>
          <w:rFonts w:ascii="Book Antiqua" w:hAnsi="Book Antiqua"/>
        </w:rPr>
        <w:t xml:space="preserve">should </w:t>
      </w:r>
      <w:r w:rsidRPr="00082F6B" w:rsidR="00E76419">
        <w:rPr>
          <w:rFonts w:ascii="Book Antiqua" w:hAnsi="Book Antiqua"/>
        </w:rPr>
        <w:t xml:space="preserve">present lessons learned from </w:t>
      </w:r>
      <w:r w:rsidRPr="00082F6B" w:rsidR="00C93190">
        <w:rPr>
          <w:rFonts w:ascii="Book Antiqua" w:hAnsi="Book Antiqua"/>
        </w:rPr>
        <w:t>existing pilots and propose a more tailored solution.</w:t>
      </w:r>
    </w:p>
    <w:p w:rsidR="00AC427E" w:rsidP="00F13F86" w:rsidRDefault="00F13F86" w14:paraId="3C0E48B9" w14:textId="66BC54EA">
      <w:pPr>
        <w:pStyle w:val="Heading3"/>
      </w:pPr>
      <w:bookmarkStart w:name="_Toc46478774" w:id="21"/>
      <w:r>
        <w:t>C</w:t>
      </w:r>
      <w:r w:rsidR="000003E9">
        <w:t>alifornia Alternative Rates for Water Balancing Account</w:t>
      </w:r>
      <w:bookmarkEnd w:id="21"/>
    </w:p>
    <w:p w:rsidR="00700FEE" w:rsidP="000003E9" w:rsidRDefault="0000554A" w14:paraId="3A4C721B" w14:textId="3FC4B7F3">
      <w:pPr>
        <w:pStyle w:val="Standard"/>
      </w:pPr>
      <w:bookmarkStart w:name="_Hlk46075118" w:id="22"/>
      <w:r>
        <w:t>W</w:t>
      </w:r>
      <w:bookmarkEnd w:id="22"/>
      <w:r w:rsidR="00E50196">
        <w:t>e approve continuation of Liberty’s California Alternative Rates for Water (CARW) balancing accounts as requested</w:t>
      </w:r>
      <w:r w:rsidR="00B71BC8">
        <w:t>,</w:t>
      </w:r>
      <w:r w:rsidR="0093602F">
        <w:t xml:space="preserve"> including increasing</w:t>
      </w:r>
      <w:r w:rsidR="00B71BC8">
        <w:t xml:space="preserve"> the discount and surcharge proportionally with today’s rate increase</w:t>
      </w:r>
      <w:r w:rsidR="00E50196">
        <w:t>.</w:t>
      </w:r>
      <w:r w:rsidR="009A7B71">
        <w:t xml:space="preserve"> </w:t>
      </w:r>
      <w:r w:rsidRPr="00700FEE" w:rsidR="00700FEE">
        <w:t>We adopt the Public Advocates Office proposal and reset the Liberty Park CARW surcharge to $</w:t>
      </w:r>
      <w:r w:rsidR="00FA2902">
        <w:t>1.98</w:t>
      </w:r>
      <w:r w:rsidR="000D3250">
        <w:t xml:space="preserve"> per month</w:t>
      </w:r>
      <w:r w:rsidRPr="00700FEE" w:rsidR="00700FEE">
        <w:t>.</w:t>
      </w:r>
      <w:r w:rsidR="00FA2902">
        <w:rPr>
          <w:rStyle w:val="FootnoteReference"/>
        </w:rPr>
        <w:footnoteReference w:id="26"/>
      </w:r>
    </w:p>
    <w:p w:rsidR="00E50196" w:rsidP="000003E9" w:rsidRDefault="00E50196" w14:paraId="5B53B1EF" w14:textId="735DC129">
      <w:pPr>
        <w:pStyle w:val="Standard"/>
      </w:pPr>
      <w:r>
        <w:t xml:space="preserve">Liberty </w:t>
      </w:r>
      <w:r w:rsidR="00C562D4">
        <w:t>is participating</w:t>
      </w:r>
      <w:r>
        <w:t xml:space="preserve"> in the Commission’s industry-wide review of the low-income customers assistance programs of the Class A water utilities in Rulemaking</w:t>
      </w:r>
      <w:r w:rsidR="00F62B3B">
        <w:t xml:space="preserve"> (R.)</w:t>
      </w:r>
      <w:r w:rsidR="009A7B71">
        <w:t> </w:t>
      </w:r>
      <w:r>
        <w:t>17-06-024.</w:t>
      </w:r>
      <w:r w:rsidR="009A7B71">
        <w:t xml:space="preserve"> </w:t>
      </w:r>
      <w:r>
        <w:t xml:space="preserve">Liberty </w:t>
      </w:r>
      <w:r w:rsidR="0024194B">
        <w:t xml:space="preserve">plans to </w:t>
      </w:r>
      <w:r>
        <w:t xml:space="preserve">adjust its CARW program consistent with the </w:t>
      </w:r>
      <w:r w:rsidR="00700FEE">
        <w:t>directives resulting from that proceeding</w:t>
      </w:r>
      <w:r w:rsidR="00F62B3B">
        <w:t>.</w:t>
      </w:r>
      <w:r>
        <w:t xml:space="preserve"> </w:t>
      </w:r>
      <w:r w:rsidR="00582755">
        <w:t>After Liberty filed its applications, the Commission launched a broader affordability proceeding in R.18-07-006.</w:t>
      </w:r>
      <w:r w:rsidR="009A7B71">
        <w:t xml:space="preserve"> </w:t>
      </w:r>
      <w:r w:rsidR="00767065">
        <w:t xml:space="preserve">Liberty should also adjust its CARW program consistent with the outcome of the Commission’s cross-industry development of an affordability framework </w:t>
      </w:r>
      <w:r w:rsidR="00582755">
        <w:t>in R.</w:t>
      </w:r>
      <w:r w:rsidR="00767065">
        <w:t>18-07-006.</w:t>
      </w:r>
    </w:p>
    <w:p w:rsidR="00CD73A2" w:rsidP="000003E9" w:rsidRDefault="00650A82" w14:paraId="4128EA88" w14:textId="6EC83535">
      <w:pPr>
        <w:pStyle w:val="Standard"/>
      </w:pPr>
      <w:r>
        <w:t>Libert</w:t>
      </w:r>
      <w:r w:rsidR="00E50196">
        <w:t xml:space="preserve">y Apple Valley’s </w:t>
      </w:r>
      <w:r>
        <w:t xml:space="preserve">CARW </w:t>
      </w:r>
      <w:r w:rsidR="00334DF0">
        <w:t xml:space="preserve">existing </w:t>
      </w:r>
      <w:r>
        <w:t>balancing account was authorized by D.05-12-020.</w:t>
      </w:r>
      <w:r w:rsidR="00AB41F3">
        <w:t xml:space="preserve"> </w:t>
      </w:r>
      <w:r>
        <w:t>This balancing account tracks the difference between the reco</w:t>
      </w:r>
      <w:r w:rsidR="00334DF0">
        <w:t>r</w:t>
      </w:r>
      <w:r>
        <w:t xml:space="preserve">ded discounts of $8.38 per month for participating low-income residential customers and the surcharge of $0.69 per month assessed on all other customers. </w:t>
      </w:r>
      <w:r w:rsidR="00AB41F3">
        <w:t xml:space="preserve"> </w:t>
      </w:r>
      <w:r>
        <w:lastRenderedPageBreak/>
        <w:t xml:space="preserve">As of 2017, 3,693 of Liberty Apple Valley’s </w:t>
      </w:r>
      <w:r w:rsidR="00541F95">
        <w:t xml:space="preserve">18,340 </w:t>
      </w:r>
      <w:r>
        <w:t>customers</w:t>
      </w:r>
      <w:r w:rsidR="006D22AF">
        <w:t>, or 20 percent,</w:t>
      </w:r>
      <w:r>
        <w:t xml:space="preserve"> participated in CARW.</w:t>
      </w:r>
      <w:r w:rsidR="006D22AF">
        <w:t xml:space="preserve"> </w:t>
      </w:r>
      <w:r w:rsidR="00F06262">
        <w:t xml:space="preserve">Liberty Apple Valley does not provide </w:t>
      </w:r>
      <w:r w:rsidR="00CD73A2">
        <w:t>an estimate of the pool of customers eligible for CARW, which is open to residential customers in single-family dwellings</w:t>
      </w:r>
      <w:r w:rsidR="0034693F">
        <w:t xml:space="preserve"> meeting the Commission’s </w:t>
      </w:r>
      <w:r w:rsidR="00334DF0">
        <w:t>assistance</w:t>
      </w:r>
      <w:r w:rsidR="0034693F">
        <w:t xml:space="preserve"> standard of:</w:t>
      </w:r>
    </w:p>
    <w:p w:rsidR="00CD73A2" w:rsidP="003B4BA5" w:rsidRDefault="00CD73A2" w14:paraId="6B822206" w14:textId="2BAC2C41">
      <w:pPr>
        <w:pStyle w:val="BlockQuote"/>
        <w:ind w:right="1350"/>
      </w:pPr>
      <w:r>
        <w:t>income at or below 200 percent of the Federal Poverty Level,</w:t>
      </w:r>
      <w:r w:rsidR="004D589F">
        <w:t xml:space="preserve"> </w:t>
      </w:r>
      <w:r>
        <w:t xml:space="preserve">or </w:t>
      </w:r>
      <w:r w:rsidR="00614A94">
        <w:t>P</w:t>
      </w:r>
      <w:r>
        <w:t>articipati</w:t>
      </w:r>
      <w:r w:rsidR="0034693F">
        <w:t>on</w:t>
      </w:r>
      <w:r>
        <w:t xml:space="preserve"> in a number of other </w:t>
      </w:r>
      <w:proofErr w:type="gramStart"/>
      <w:r>
        <w:t>state</w:t>
      </w:r>
      <w:proofErr w:type="gramEnd"/>
      <w:r>
        <w:t xml:space="preserve"> of federal public assistance programs. </w:t>
      </w:r>
    </w:p>
    <w:p w:rsidR="000003E9" w:rsidP="00CD73A2" w:rsidRDefault="00CD73A2" w14:paraId="621287A5" w14:textId="2E433F56">
      <w:pPr>
        <w:pStyle w:val="Standard"/>
      </w:pPr>
      <w:r>
        <w:t xml:space="preserve">However, </w:t>
      </w:r>
      <w:r w:rsidR="0034693F">
        <w:t>by the federal standard of 80 percent of area median income</w:t>
      </w:r>
      <w:r>
        <w:t xml:space="preserve">, </w:t>
      </w:r>
      <w:r w:rsidR="006D22AF">
        <w:t>Liberty Apple Valley estimates 45 percent of its households are lower income.</w:t>
      </w:r>
      <w:r w:rsidR="006D22AF">
        <w:rPr>
          <w:rStyle w:val="FootnoteReference"/>
        </w:rPr>
        <w:footnoteReference w:id="27"/>
      </w:r>
      <w:r w:rsidR="006D22AF">
        <w:t xml:space="preserve"> </w:t>
      </w:r>
    </w:p>
    <w:p w:rsidRPr="000003E9" w:rsidR="00650A82" w:rsidP="006D22AF" w:rsidRDefault="00650A82" w14:paraId="2E23E0E4" w14:textId="7F0D121F">
      <w:pPr>
        <w:pStyle w:val="Standard"/>
      </w:pPr>
      <w:r>
        <w:t xml:space="preserve">Liberty </w:t>
      </w:r>
      <w:r w:rsidR="00892E7A">
        <w:t>Park’s</w:t>
      </w:r>
      <w:r>
        <w:t xml:space="preserve"> CARW balancing account was authorized by D.0</w:t>
      </w:r>
      <w:r w:rsidR="0018525C">
        <w:t>6-10-036</w:t>
      </w:r>
      <w:r>
        <w:t xml:space="preserve">. </w:t>
      </w:r>
      <w:r w:rsidR="00AB41F3">
        <w:t xml:space="preserve"> </w:t>
      </w:r>
      <w:r>
        <w:t>This balancing account tracks the difference between the reco</w:t>
      </w:r>
      <w:r w:rsidR="00AD7BBE">
        <w:t>r</w:t>
      </w:r>
      <w:r>
        <w:t>ded discounts of $</w:t>
      </w:r>
      <w:r w:rsidR="00E67B44">
        <w:t>7.40</w:t>
      </w:r>
      <w:r>
        <w:t xml:space="preserve"> per month for participating low-income residential customers and the surcharge of $</w:t>
      </w:r>
      <w:r w:rsidR="00571503">
        <w:t>6.14</w:t>
      </w:r>
      <w:r>
        <w:t xml:space="preserve"> per month assessed on all other customers. As of 2017, </w:t>
      </w:r>
      <w:r w:rsidR="00E531FD">
        <w:t>9,615</w:t>
      </w:r>
      <w:r>
        <w:t xml:space="preserve"> of Liberty </w:t>
      </w:r>
      <w:r w:rsidR="00892E7A">
        <w:t>Park</w:t>
      </w:r>
      <w:r>
        <w:t xml:space="preserve">’s </w:t>
      </w:r>
      <w:r w:rsidR="00E531FD">
        <w:t>25,232</w:t>
      </w:r>
      <w:r w:rsidR="006D22AF">
        <w:t>, or 38 percent, of</w:t>
      </w:r>
      <w:r>
        <w:t xml:space="preserve"> residential customers participated in CARW.</w:t>
      </w:r>
      <w:r w:rsidR="0034693F">
        <w:t xml:space="preserve"> </w:t>
      </w:r>
      <w:r w:rsidR="00D91079">
        <w:t xml:space="preserve">Over </w:t>
      </w:r>
      <w:r w:rsidR="00700FEE">
        <w:t>the</w:t>
      </w:r>
      <w:r w:rsidR="00D91079">
        <w:t xml:space="preserve"> five</w:t>
      </w:r>
      <w:r w:rsidR="00700FEE">
        <w:t>-</w:t>
      </w:r>
      <w:r w:rsidR="00D91079">
        <w:t xml:space="preserve">year period </w:t>
      </w:r>
      <w:r w:rsidR="00700FEE">
        <w:t xml:space="preserve">of </w:t>
      </w:r>
      <w:r w:rsidR="00D91079">
        <w:t>2013-2017, 41 percent of residential customers participated in CARW. V</w:t>
      </w:r>
      <w:r w:rsidR="00B5115F">
        <w:t xml:space="preserve">ia </w:t>
      </w:r>
      <w:r w:rsidR="00D91079">
        <w:t xml:space="preserve">a </w:t>
      </w:r>
      <w:r w:rsidR="00B5115F">
        <w:t>city-by-city analyses of U</w:t>
      </w:r>
      <w:r w:rsidR="00700FEE">
        <w:t xml:space="preserve">nited </w:t>
      </w:r>
      <w:r w:rsidR="00B5115F">
        <w:t>S</w:t>
      </w:r>
      <w:r w:rsidR="00700FEE">
        <w:t>tates</w:t>
      </w:r>
      <w:r w:rsidR="00B5115F">
        <w:t xml:space="preserve"> Census </w:t>
      </w:r>
      <w:r w:rsidR="00700FEE">
        <w:t>B</w:t>
      </w:r>
      <w:r w:rsidR="00B5115F">
        <w:t>ureau data and based on federal housing standards</w:t>
      </w:r>
      <w:r w:rsidR="0034693F">
        <w:t>, Liberty Park estimates 44 percent of its households are lower income.</w:t>
      </w:r>
      <w:r w:rsidR="00B5115F">
        <w:rPr>
          <w:rStyle w:val="FootnoteReference"/>
        </w:rPr>
        <w:footnoteReference w:id="28"/>
      </w:r>
      <w:r w:rsidR="009570C5">
        <w:t xml:space="preserve"> Liberty Park’s CARW balancing account is </w:t>
      </w:r>
      <w:proofErr w:type="spellStart"/>
      <w:r w:rsidR="009570C5">
        <w:t>overcollected</w:t>
      </w:r>
      <w:proofErr w:type="spellEnd"/>
      <w:r w:rsidR="009570C5">
        <w:t xml:space="preserve"> by $809,072.</w:t>
      </w:r>
      <w:r w:rsidR="00AB41F3">
        <w:t xml:space="preserve"> </w:t>
      </w:r>
      <w:r w:rsidR="009F419D">
        <w:t>Rather than continuing to collect a surcharge of $6.14 per month, t</w:t>
      </w:r>
      <w:r w:rsidR="009570C5">
        <w:t>he Public Advocates Office recommends re-setting the CARW surcharge to $2.01</w:t>
      </w:r>
      <w:r w:rsidR="000D3250">
        <w:t xml:space="preserve"> per month</w:t>
      </w:r>
      <w:r w:rsidR="009570C5">
        <w:t xml:space="preserve">, to which Liberty Park raises no </w:t>
      </w:r>
      <w:r w:rsidR="009570C5">
        <w:lastRenderedPageBreak/>
        <w:t xml:space="preserve">objection. </w:t>
      </w:r>
      <w:r w:rsidR="00AB41F3">
        <w:t xml:space="preserve"> </w:t>
      </w:r>
      <w:bookmarkStart w:name="_Hlk46074983" w:id="23"/>
      <w:r w:rsidR="009F419D">
        <w:t>We adopt the Public Advocates Office proposal and reset the Liberty Park CARW surcharge to $2.01</w:t>
      </w:r>
      <w:r w:rsidR="000D3250">
        <w:t xml:space="preserve"> per month</w:t>
      </w:r>
      <w:r w:rsidR="009F419D">
        <w:t>.</w:t>
      </w:r>
      <w:bookmarkEnd w:id="23"/>
    </w:p>
    <w:p w:rsidR="00AC427E" w:rsidP="005939A5" w:rsidRDefault="00AC427E" w14:paraId="1DFDB09D" w14:textId="31971328">
      <w:pPr>
        <w:pStyle w:val="Heading1"/>
      </w:pPr>
      <w:bookmarkStart w:name="_Toc46478775" w:id="24"/>
      <w:r>
        <w:t>Expenses</w:t>
      </w:r>
      <w:bookmarkEnd w:id="24"/>
    </w:p>
    <w:p w:rsidR="005939A5" w:rsidP="00AC427E" w:rsidRDefault="001923C5" w14:paraId="00371280" w14:textId="6D5BAC9E">
      <w:pPr>
        <w:pStyle w:val="Heading2"/>
      </w:pPr>
      <w:bookmarkStart w:name="_Toc46478776" w:id="25"/>
      <w:r>
        <w:t>Operations and Maintenance</w:t>
      </w:r>
      <w:r w:rsidR="00AC427E">
        <w:t xml:space="preserve"> Expenses</w:t>
      </w:r>
      <w:bookmarkEnd w:id="25"/>
    </w:p>
    <w:p w:rsidR="00700FEE" w:rsidP="00AC427E" w:rsidRDefault="00700FEE" w14:paraId="2A591A32" w14:textId="172EB099">
      <w:pPr>
        <w:pStyle w:val="Standard"/>
      </w:pPr>
      <w:r>
        <w:t>The p</w:t>
      </w:r>
      <w:r w:rsidR="00AA391E">
        <w:t>arties came to resolution on nearly all operational expenses</w:t>
      </w:r>
      <w:r w:rsidR="00AA4DE2">
        <w:t>.</w:t>
      </w:r>
      <w:r w:rsidR="00AB41F3">
        <w:t xml:space="preserve"> </w:t>
      </w:r>
      <w:r w:rsidR="00AA4DE2">
        <w:t xml:space="preserve">For Liberty Apple Valley, payroll is the largest expense because Liberty Apple Valley gets its water from wells. For Liberty Park, payroll and purchased water are the largest expenses. </w:t>
      </w:r>
    </w:p>
    <w:p w:rsidR="00AA4DE2" w:rsidP="00AC427E" w:rsidRDefault="00AA4DE2" w14:paraId="55893DA8" w14:textId="7539933A">
      <w:pPr>
        <w:pStyle w:val="Standard"/>
      </w:pPr>
      <w:r>
        <w:t>As part of the new corporate structure, Liberty Park and Liberty Apple Valley re</w:t>
      </w:r>
      <w:r w:rsidR="00574F26">
        <w:t>named</w:t>
      </w:r>
      <w:r>
        <w:t xml:space="preserve"> many of their positions but the functions did not substantially change, as noted by the Public Advocates Office. </w:t>
      </w:r>
    </w:p>
    <w:p w:rsidR="00EA36C6" w:rsidP="00AC427E" w:rsidRDefault="00700FEE" w14:paraId="06DE6A27" w14:textId="6AAEC213">
      <w:pPr>
        <w:pStyle w:val="Standard"/>
      </w:pPr>
      <w:r>
        <w:t>The p</w:t>
      </w:r>
      <w:r w:rsidR="00AA4DE2">
        <w:t>arties’ differences for Operational and Maintenance expenses account for just 1</w:t>
      </w:r>
      <w:r w:rsidR="00E266F3">
        <w:t xml:space="preserve"> percent</w:t>
      </w:r>
      <w:r w:rsidR="00AA4DE2">
        <w:t xml:space="preserve"> of both Liberty Park and Liberty Apple Valley’s expenses</w:t>
      </w:r>
      <w:r>
        <w:t xml:space="preserve">, and we </w:t>
      </w:r>
      <w:r w:rsidR="00574F26">
        <w:t>resolve</w:t>
      </w:r>
      <w:r w:rsidR="00AA4DE2">
        <w:t xml:space="preserve"> </w:t>
      </w:r>
      <w:r>
        <w:t xml:space="preserve">those difference as discussed </w:t>
      </w:r>
      <w:r w:rsidR="00AA4DE2">
        <w:t>below.</w:t>
      </w:r>
      <w:r w:rsidR="00AA391E">
        <w:t xml:space="preserve"> </w:t>
      </w:r>
    </w:p>
    <w:p w:rsidR="007156B9" w:rsidP="007156B9" w:rsidRDefault="002A6D46" w14:paraId="1D9B040E" w14:textId="324824B4">
      <w:pPr>
        <w:pStyle w:val="Heading3"/>
      </w:pPr>
      <w:bookmarkStart w:name="_Toc46478777" w:id="26"/>
      <w:r>
        <w:t>Liberty Park</w:t>
      </w:r>
      <w:r w:rsidR="00477D6E">
        <w:t>, Conservation</w:t>
      </w:r>
      <w:bookmarkEnd w:id="26"/>
      <w:r w:rsidR="00477D6E">
        <w:t xml:space="preserve"> </w:t>
      </w:r>
    </w:p>
    <w:p w:rsidR="001F2819" w:rsidP="007105FF" w:rsidRDefault="0000554A" w14:paraId="6AFBAB12" w14:textId="0B29A417">
      <w:pPr>
        <w:pStyle w:val="Standard"/>
      </w:pPr>
      <w:r>
        <w:t>W</w:t>
      </w:r>
      <w:r w:rsidRPr="0000554A">
        <w:t xml:space="preserve">e authorize $336,264 </w:t>
      </w:r>
      <w:r>
        <w:t>as</w:t>
      </w:r>
      <w:r w:rsidRPr="0000554A">
        <w:t xml:space="preserve"> </w:t>
      </w:r>
      <w:r>
        <w:t xml:space="preserve">Liberty Park’s conservation budget for </w:t>
      </w:r>
      <w:r w:rsidRPr="0000554A">
        <w:t>TY 2019.</w:t>
      </w:r>
      <w:r>
        <w:t xml:space="preserve"> </w:t>
      </w:r>
      <w:r w:rsidR="007105FF">
        <w:t>While there is no dispute about the success of Liberty Park’s conservation programs,</w:t>
      </w:r>
      <w:r w:rsidR="00AA391E">
        <w:rPr>
          <w:rStyle w:val="FootnoteReference"/>
        </w:rPr>
        <w:footnoteReference w:id="29"/>
      </w:r>
      <w:r w:rsidR="007105FF">
        <w:t xml:space="preserve"> </w:t>
      </w:r>
      <w:r w:rsidR="00700FEE">
        <w:t xml:space="preserve">the </w:t>
      </w:r>
      <w:r w:rsidR="007105FF">
        <w:t>p</w:t>
      </w:r>
      <w:r w:rsidR="002A6D46">
        <w:t xml:space="preserve">arties dispute whether Liberty Park’s proposed </w:t>
      </w:r>
      <w:r w:rsidR="007105FF">
        <w:t xml:space="preserve">conservation </w:t>
      </w:r>
      <w:r w:rsidR="002A6D46">
        <w:t>budget of</w:t>
      </w:r>
      <w:r w:rsidR="007105FF">
        <w:t xml:space="preserve"> $472,325 for 2019 is reasonable.</w:t>
      </w:r>
      <w:r w:rsidR="00AB41F3">
        <w:t xml:space="preserve"> </w:t>
      </w:r>
      <w:r w:rsidR="00DF7D6D">
        <w:t xml:space="preserve">Liberty Park does not base its proposed budget on actual spending </w:t>
      </w:r>
      <w:r w:rsidR="003D5DE4">
        <w:t xml:space="preserve">but </w:t>
      </w:r>
      <w:r w:rsidR="00DF7D6D">
        <w:t>instead bases its figure on an authorized amount established in 2015.</w:t>
      </w:r>
      <w:r w:rsidR="00AB41F3">
        <w:t xml:space="preserve"> </w:t>
      </w:r>
      <w:r w:rsidR="00477D6E">
        <w:t xml:space="preserve">It is unclear why </w:t>
      </w:r>
      <w:r w:rsidR="00DF7D6D">
        <w:t xml:space="preserve">Liberty Park </w:t>
      </w:r>
      <w:r w:rsidR="00477D6E">
        <w:t>chose an authorized amount several years prior</w:t>
      </w:r>
      <w:r w:rsidR="00306C07">
        <w:t>. Nor</w:t>
      </w:r>
      <w:r w:rsidR="00477D6E">
        <w:t xml:space="preserve"> does</w:t>
      </w:r>
      <w:r w:rsidR="00BA343C">
        <w:t xml:space="preserve"> </w:t>
      </w:r>
      <w:r w:rsidR="00306C07">
        <w:t>Liberty Park</w:t>
      </w:r>
      <w:r w:rsidR="00477D6E">
        <w:t xml:space="preserve"> tie this amount to actual conservation activities. </w:t>
      </w:r>
      <w:r w:rsidR="00BA343C">
        <w:t xml:space="preserve">Since Liberty Park was able to </w:t>
      </w:r>
      <w:r w:rsidR="007E42B3">
        <w:t>exceed the state mandate of 8</w:t>
      </w:r>
      <w:r w:rsidR="00E266F3">
        <w:t xml:space="preserve"> percent</w:t>
      </w:r>
      <w:r w:rsidR="007E42B3">
        <w:t xml:space="preserve"> water conservation</w:t>
      </w:r>
      <w:r w:rsidR="00BA343C">
        <w:t>,</w:t>
      </w:r>
      <w:r w:rsidR="007E42B3">
        <w:t xml:space="preserve"> Liberty Park </w:t>
      </w:r>
      <w:r w:rsidR="00041237">
        <w:t xml:space="preserve">does not </w:t>
      </w:r>
      <w:r w:rsidR="007E42B3">
        <w:t>require greater funding than</w:t>
      </w:r>
      <w:r w:rsidR="00BA343C">
        <w:t xml:space="preserve"> the </w:t>
      </w:r>
      <w:r w:rsidR="00BA343C">
        <w:lastRenderedPageBreak/>
        <w:t xml:space="preserve">inflation estimates applied to the </w:t>
      </w:r>
      <w:r w:rsidR="00306C07">
        <w:t>five-year</w:t>
      </w:r>
      <w:r w:rsidR="00BA343C">
        <w:t xml:space="preserve"> average</w:t>
      </w:r>
      <w:r w:rsidR="00081909">
        <w:t>.</w:t>
      </w:r>
      <w:r w:rsidR="00AB41F3">
        <w:t xml:space="preserve"> </w:t>
      </w:r>
      <w:r>
        <w:t>Based thereon,</w:t>
      </w:r>
      <w:r w:rsidR="00081909">
        <w:t xml:space="preserve"> we decline </w:t>
      </w:r>
      <w:r w:rsidR="00DF7D6D">
        <w:t xml:space="preserve">to deviate from actual expenditures </w:t>
      </w:r>
      <w:r w:rsidR="00081909">
        <w:t>and authorize</w:t>
      </w:r>
      <w:r w:rsidR="00DF7D6D">
        <w:t xml:space="preserve"> $336,264</w:t>
      </w:r>
      <w:r w:rsidR="00081909">
        <w:t xml:space="preserve"> </w:t>
      </w:r>
      <w:r w:rsidR="00DF7D6D">
        <w:t>for T</w:t>
      </w:r>
      <w:r w:rsidR="00F06ABE">
        <w:t>Y</w:t>
      </w:r>
      <w:r w:rsidR="00AB41F3">
        <w:t> </w:t>
      </w:r>
      <w:r w:rsidR="00DF7D6D">
        <w:t>2019.</w:t>
      </w:r>
    </w:p>
    <w:p w:rsidR="00B516F0" w:rsidP="00B516F0" w:rsidRDefault="00B516F0" w14:paraId="6781F366" w14:textId="2157FABE">
      <w:pPr>
        <w:pStyle w:val="Heading3"/>
      </w:pPr>
      <w:bookmarkStart w:name="_Toc46478778" w:id="27"/>
      <w:r>
        <w:t>Liberty Park, Miscellaneous Drought</w:t>
      </w:r>
      <w:bookmarkEnd w:id="27"/>
    </w:p>
    <w:p w:rsidR="0000554A" w:rsidP="00B516F0" w:rsidRDefault="0000554A" w14:paraId="6E753E2C" w14:textId="5CCFC86F">
      <w:pPr>
        <w:pStyle w:val="Standard"/>
      </w:pPr>
      <w:bookmarkStart w:name="_Hlk46075718" w:id="28"/>
      <w:r>
        <w:t xml:space="preserve">We deny </w:t>
      </w:r>
      <w:r w:rsidR="00B516F0">
        <w:t>Liberty Park’s request for $9,222 in annual expenses related to drought</w:t>
      </w:r>
      <w:r w:rsidR="00CC3158">
        <w:t>.</w:t>
      </w:r>
      <w:r w:rsidR="00AB41F3">
        <w:t xml:space="preserve"> </w:t>
      </w:r>
      <w:r w:rsidR="00CC3158">
        <w:t>I</w:t>
      </w:r>
      <w:r w:rsidR="00B516F0">
        <w:t>nstead the Public Advocates Office</w:t>
      </w:r>
      <w:r w:rsidR="00CC3158">
        <w:t>’s</w:t>
      </w:r>
      <w:r w:rsidR="00B516F0">
        <w:t xml:space="preserve"> </w:t>
      </w:r>
      <w:r w:rsidR="00CC3158">
        <w:t xml:space="preserve">recommendation </w:t>
      </w:r>
      <w:r w:rsidR="00B516F0">
        <w:t>of $718 is approved.</w:t>
      </w:r>
      <w:r w:rsidR="00AB41F3">
        <w:t xml:space="preserve"> </w:t>
      </w:r>
      <w:bookmarkEnd w:id="28"/>
      <w:proofErr w:type="gramStart"/>
      <w:r w:rsidR="00AA6C7D">
        <w:t>With the exception of</w:t>
      </w:r>
      <w:proofErr w:type="gramEnd"/>
      <w:r w:rsidR="00AA6C7D">
        <w:t xml:space="preserve"> 2015, Liberty Park spen</w:t>
      </w:r>
      <w:r w:rsidR="00A54250">
        <w:t>t</w:t>
      </w:r>
      <w:r w:rsidR="00AA6C7D">
        <w:t xml:space="preserve"> less than $1,000 in this account annually</w:t>
      </w:r>
      <w:r w:rsidR="00A54250">
        <w:t xml:space="preserve"> over </w:t>
      </w:r>
      <w:r w:rsidR="00856623">
        <w:t>five years</w:t>
      </w:r>
      <w:r w:rsidR="00AA6C7D">
        <w:t xml:space="preserve">. </w:t>
      </w:r>
      <w:r w:rsidR="00FB49A1">
        <w:t xml:space="preserve">To </w:t>
      </w:r>
      <w:r w:rsidR="00DA28D3">
        <w:t xml:space="preserve">produce </w:t>
      </w:r>
      <w:r w:rsidR="00FB49A1">
        <w:t xml:space="preserve">its forecast, </w:t>
      </w:r>
      <w:r w:rsidR="00E61169">
        <w:t>Liberty Park</w:t>
      </w:r>
      <w:r w:rsidR="00AA6C7D">
        <w:t xml:space="preserve"> </w:t>
      </w:r>
      <w:r w:rsidR="00FB49A1">
        <w:t>included</w:t>
      </w:r>
      <w:r w:rsidR="00AA6C7D">
        <w:t xml:space="preserve"> </w:t>
      </w:r>
      <w:r w:rsidR="00E61169">
        <w:t>outlier year expenses</w:t>
      </w:r>
      <w:r w:rsidR="004A45FD">
        <w:t xml:space="preserve"> from 2015, of</w:t>
      </w:r>
      <w:r w:rsidR="00E61169">
        <w:t xml:space="preserve"> </w:t>
      </w:r>
      <w:r w:rsidR="00AA6C7D">
        <w:t>$7,700</w:t>
      </w:r>
      <w:r w:rsidR="00E61169">
        <w:t>.</w:t>
      </w:r>
      <w:r w:rsidR="001B08F7">
        <w:t xml:space="preserve"> </w:t>
      </w:r>
      <w:r w:rsidR="00AA6C7D">
        <w:t xml:space="preserve">Liberty Park </w:t>
      </w:r>
      <w:r w:rsidR="00E75217">
        <w:t>argues</w:t>
      </w:r>
      <w:r w:rsidR="00AA6C7D">
        <w:t xml:space="preserve"> that drought messaging will be a regular activity in the future and therefore </w:t>
      </w:r>
      <w:r w:rsidR="00BB5751">
        <w:t xml:space="preserve">the historical years on which the forecast is based should include </w:t>
      </w:r>
      <w:r w:rsidR="00AA6C7D">
        <w:t xml:space="preserve">2015 </w:t>
      </w:r>
      <w:r w:rsidR="00BB5751">
        <w:t xml:space="preserve">expenses. </w:t>
      </w:r>
    </w:p>
    <w:p w:rsidRPr="00B516F0" w:rsidR="00B516F0" w:rsidP="00B516F0" w:rsidRDefault="00BB5751" w14:paraId="473B1820" w14:textId="4D585281">
      <w:pPr>
        <w:pStyle w:val="Standard"/>
      </w:pPr>
      <w:r>
        <w:t>Liberty</w:t>
      </w:r>
      <w:r w:rsidR="00A54250">
        <w:t xml:space="preserve"> Park’s argument</w:t>
      </w:r>
      <w:r w:rsidR="00726891">
        <w:t xml:space="preserve"> is unconvincing. If drought messaging </w:t>
      </w:r>
      <w:proofErr w:type="gramStart"/>
      <w:r w:rsidR="00726891">
        <w:t>was</w:t>
      </w:r>
      <w:proofErr w:type="gramEnd"/>
      <w:r w:rsidR="00726891">
        <w:t xml:space="preserve"> to require greater spending on an ongoing basis, this would have been reflected in the years after 2015</w:t>
      </w:r>
      <w:r w:rsidR="00E75217">
        <w:t>, but</w:t>
      </w:r>
      <w:r w:rsidR="00726891">
        <w:t xml:space="preserve"> Liberty</w:t>
      </w:r>
      <w:r w:rsidR="00A54250">
        <w:t xml:space="preserve"> Park</w:t>
      </w:r>
      <w:r w:rsidR="00726891">
        <w:t xml:space="preserve">’s </w:t>
      </w:r>
      <w:r w:rsidR="003668EE">
        <w:t xml:space="preserve">recorded expenses in the years </w:t>
      </w:r>
      <w:r w:rsidR="006D48F3">
        <w:t xml:space="preserve">2016 and 2017 </w:t>
      </w:r>
      <w:r w:rsidR="00726891">
        <w:t>are</w:t>
      </w:r>
      <w:r w:rsidR="00AA6C7D">
        <w:t xml:space="preserve"> under $1,000. The 2015 year expenses should be and will be recovered through the Water Conservation Memorandum Account that was approved in 2014 specifically for this purpose.</w:t>
      </w:r>
      <w:r w:rsidR="00D26B85">
        <w:rPr>
          <w:rStyle w:val="FootnoteReference"/>
        </w:rPr>
        <w:footnoteReference w:id="30"/>
      </w:r>
      <w:r w:rsidR="00D6420E">
        <w:t xml:space="preserve"> </w:t>
      </w:r>
      <w:r w:rsidR="00E75217">
        <w:t xml:space="preserve">Finally, </w:t>
      </w:r>
      <w:r w:rsidR="00D6420E">
        <w:t>Liberty Apple Valley</w:t>
      </w:r>
      <w:r w:rsidR="00E75217">
        <w:t>,</w:t>
      </w:r>
      <w:r w:rsidR="00D6420E">
        <w:t xml:space="preserve"> states that it does not expect the same emergency responses and special measures in 2015 to exist in the 2019-2021 rate case cycle.</w:t>
      </w:r>
      <w:r w:rsidR="00D6420E">
        <w:rPr>
          <w:rStyle w:val="FootnoteReference"/>
        </w:rPr>
        <w:footnoteReference w:id="31"/>
      </w:r>
      <w:r w:rsidR="00CD02D3">
        <w:t xml:space="preserve"> </w:t>
      </w:r>
      <w:r w:rsidR="00842AED">
        <w:t xml:space="preserve"> </w:t>
      </w:r>
      <w:r w:rsidR="00CD02D3">
        <w:t xml:space="preserve">Accordingly, </w:t>
      </w:r>
      <w:r w:rsidR="0000554A">
        <w:t>w</w:t>
      </w:r>
      <w:r w:rsidRPr="0000554A" w:rsidR="0000554A">
        <w:t>e deny Liberty Park’s request for $9,222 in annual expenses related to drought</w:t>
      </w:r>
      <w:r w:rsidR="0000554A">
        <w:t>;</w:t>
      </w:r>
      <w:r w:rsidRPr="0000554A" w:rsidR="0000554A">
        <w:t xml:space="preserve"> </w:t>
      </w:r>
      <w:r w:rsidR="0000554A">
        <w:t>we i</w:t>
      </w:r>
      <w:r w:rsidRPr="0000554A" w:rsidR="0000554A">
        <w:t>nstead</w:t>
      </w:r>
      <w:r w:rsidR="0000554A">
        <w:t xml:space="preserve"> approve </w:t>
      </w:r>
      <w:r w:rsidRPr="0000554A" w:rsidR="0000554A">
        <w:t>the Public Advocates Office’s recommendation of $718</w:t>
      </w:r>
      <w:r w:rsidR="0000554A">
        <w:t xml:space="preserve"> in annual expense</w:t>
      </w:r>
      <w:r w:rsidRPr="0000554A" w:rsidR="0000554A">
        <w:t>.</w:t>
      </w:r>
    </w:p>
    <w:p w:rsidR="002A6D46" w:rsidP="002A6D46" w:rsidRDefault="002A6D46" w14:paraId="455020DD" w14:textId="5C444DAD">
      <w:pPr>
        <w:pStyle w:val="Heading3"/>
      </w:pPr>
      <w:bookmarkStart w:name="_Toc46478779" w:id="29"/>
      <w:r>
        <w:lastRenderedPageBreak/>
        <w:t>Liberty Apple Valley</w:t>
      </w:r>
      <w:r w:rsidR="00942BB2">
        <w:t xml:space="preserve"> and Liberty Park</w:t>
      </w:r>
      <w:r w:rsidR="00477D6E">
        <w:t xml:space="preserve">, </w:t>
      </w:r>
      <w:r w:rsidR="00066DBE">
        <w:t>Insurance (</w:t>
      </w:r>
      <w:r w:rsidR="00477D6E">
        <w:t>Uninsured Property Damage</w:t>
      </w:r>
      <w:r w:rsidR="00066DBE">
        <w:t xml:space="preserve"> + Business Policy + Umbrella)</w:t>
      </w:r>
      <w:bookmarkEnd w:id="29"/>
    </w:p>
    <w:p w:rsidR="004117DE" w:rsidP="00F87B28" w:rsidRDefault="004117DE" w14:paraId="38137F6B" w14:textId="7AE26986">
      <w:pPr>
        <w:pStyle w:val="Standard"/>
      </w:pPr>
      <w:r>
        <w:t>We</w:t>
      </w:r>
      <w:r w:rsidRPr="004117DE">
        <w:t xml:space="preserve"> approve</w:t>
      </w:r>
      <w:r>
        <w:t xml:space="preserve"> the </w:t>
      </w:r>
      <w:r w:rsidRPr="004117DE">
        <w:t>amounts for the Business Policy, Umbrella and Uninsured Property Damage accounts a</w:t>
      </w:r>
      <w:r>
        <w:t>s</w:t>
      </w:r>
      <w:r w:rsidRPr="004117DE">
        <w:t xml:space="preserve"> </w:t>
      </w:r>
      <w:r>
        <w:t xml:space="preserve">reflected in Table 3, </w:t>
      </w:r>
      <w:r w:rsidRPr="004117DE">
        <w:t>below.</w:t>
      </w:r>
    </w:p>
    <w:p w:rsidR="004117DE" w:rsidP="00F87B28" w:rsidRDefault="00FF103B" w14:paraId="565268DB" w14:textId="125939DC">
      <w:pPr>
        <w:pStyle w:val="Standard"/>
      </w:pPr>
      <w:r>
        <w:t>The Public Advocates Office rejects Liberty Apple Valley’s forecast for the Uninsured Property Damage account because this amount jump</w:t>
      </w:r>
      <w:r w:rsidR="00A54250">
        <w:t>ed</w:t>
      </w:r>
      <w:r>
        <w:t xml:space="preserve"> 172</w:t>
      </w:r>
      <w:r w:rsidR="00E266F3">
        <w:t xml:space="preserve"> percent</w:t>
      </w:r>
      <w:r>
        <w:t xml:space="preserve"> from the last recorded year of 2017. </w:t>
      </w:r>
      <w:r w:rsidR="006C3F34">
        <w:t>We cannot adjust</w:t>
      </w:r>
      <w:r w:rsidR="00DA28D3">
        <w:t xml:space="preserve"> </w:t>
      </w:r>
      <w:r w:rsidR="002F7EB7">
        <w:t>the uninsured account</w:t>
      </w:r>
      <w:r w:rsidR="009348FF">
        <w:t>,</w:t>
      </w:r>
      <w:r w:rsidR="006C3F34">
        <w:t xml:space="preserve"> as proposed by the Public Advocates Office</w:t>
      </w:r>
      <w:r w:rsidR="005C37C6">
        <w:t xml:space="preserve">, </w:t>
      </w:r>
      <w:r w:rsidR="00DA28D3">
        <w:t>independently from Liberty</w:t>
      </w:r>
      <w:r w:rsidR="00A54250">
        <w:t xml:space="preserve"> Apple Valley</w:t>
      </w:r>
      <w:r w:rsidR="00DA28D3">
        <w:t xml:space="preserve">’s other insurance accounts, </w:t>
      </w:r>
      <w:r w:rsidR="005C37C6">
        <w:t xml:space="preserve">because payments for uninsured property </w:t>
      </w:r>
      <w:r w:rsidR="002F7EB7">
        <w:t>depend upon the insurance purchased</w:t>
      </w:r>
      <w:r w:rsidR="005C37C6">
        <w:t>.</w:t>
      </w:r>
      <w:r w:rsidR="00F87B28">
        <w:t xml:space="preserve"> </w:t>
      </w:r>
    </w:p>
    <w:p w:rsidR="00F87B28" w:rsidP="00F87B28" w:rsidRDefault="00F87B28" w14:paraId="6411FE85" w14:textId="10D053E0">
      <w:pPr>
        <w:pStyle w:val="Standard"/>
      </w:pPr>
      <w:r>
        <w:t>Therefore</w:t>
      </w:r>
      <w:r w:rsidR="009348FF">
        <w:t>, for each relevant insurance account,</w:t>
      </w:r>
      <w:r>
        <w:t xml:space="preserve"> we authorize a T</w:t>
      </w:r>
      <w:r w:rsidR="00884BC8">
        <w:t xml:space="preserve">Y </w:t>
      </w:r>
      <w:r>
        <w:t xml:space="preserve">2019 forecast based on the average of </w:t>
      </w:r>
      <w:r w:rsidR="00441E9C">
        <w:t xml:space="preserve">the relevant </w:t>
      </w:r>
      <w:r>
        <w:t>historical years 2016 and 2017</w:t>
      </w:r>
      <w:r w:rsidR="00AD6301">
        <w:t xml:space="preserve">, </w:t>
      </w:r>
      <w:r>
        <w:t>escalate</w:t>
      </w:r>
      <w:r w:rsidR="00AD6301">
        <w:t>d</w:t>
      </w:r>
      <w:r>
        <w:t xml:space="preserve"> to the test year. We apply this approach </w:t>
      </w:r>
      <w:r w:rsidR="00441E9C">
        <w:t>not just to</w:t>
      </w:r>
      <w:r>
        <w:t xml:space="preserve"> </w:t>
      </w:r>
      <w:r w:rsidR="00441E9C">
        <w:t>Uninsured Property Damage (</w:t>
      </w:r>
      <w:r w:rsidR="006C680D">
        <w:t xml:space="preserve">Account </w:t>
      </w:r>
      <w:r w:rsidR="00441E9C">
        <w:t>7310.90)</w:t>
      </w:r>
      <w:r w:rsidR="00802C50">
        <w:t xml:space="preserve">, but also to the related </w:t>
      </w:r>
      <w:r>
        <w:t>Business Policy (</w:t>
      </w:r>
      <w:r w:rsidR="006C680D">
        <w:t xml:space="preserve">Account </w:t>
      </w:r>
      <w:r>
        <w:t xml:space="preserve">7310.10), </w:t>
      </w:r>
      <w:r w:rsidR="00802C50">
        <w:t xml:space="preserve">and </w:t>
      </w:r>
      <w:r>
        <w:t>Umbrella (</w:t>
      </w:r>
      <w:r w:rsidR="006C680D">
        <w:t xml:space="preserve">Account </w:t>
      </w:r>
      <w:r>
        <w:t xml:space="preserve">7310.12) </w:t>
      </w:r>
      <w:r w:rsidR="00802C50">
        <w:t>insurance accounts.</w:t>
      </w:r>
    </w:p>
    <w:p w:rsidR="00A26CC8" w:rsidP="00802C50" w:rsidRDefault="00802C50" w14:paraId="27F2F3E4" w14:textId="489E6857">
      <w:pPr>
        <w:pStyle w:val="Standard"/>
      </w:pPr>
      <w:r>
        <w:t>The authorized forecast for the three related insurance accounts is based upon</w:t>
      </w:r>
      <w:r w:rsidR="00F87B28">
        <w:t xml:space="preserve"> Liberty’s </w:t>
      </w:r>
      <w:r>
        <w:t>contention</w:t>
      </w:r>
      <w:r w:rsidR="00F87B28">
        <w:t xml:space="preserve"> that three insurance accounts are related and should be examined as a</w:t>
      </w:r>
      <w:r>
        <w:t xml:space="preserve"> group.</w:t>
      </w:r>
      <w:r w:rsidR="00FF103B">
        <w:rPr>
          <w:rStyle w:val="FootnoteReference"/>
        </w:rPr>
        <w:footnoteReference w:id="32"/>
      </w:r>
      <w:r w:rsidR="00FF103B">
        <w:t xml:space="preserve"> </w:t>
      </w:r>
      <w:r w:rsidR="000428D0">
        <w:t xml:space="preserve">Liberty also explains that when reviewed together, these three insurance accounts show overall savings from 2016 on, the year that </w:t>
      </w:r>
      <w:r w:rsidR="00477D6E">
        <w:t>Lib</w:t>
      </w:r>
      <w:r w:rsidR="00942BB2">
        <w:t xml:space="preserve">erty Park and Liberty Apple Valley both </w:t>
      </w:r>
      <w:r w:rsidR="00383947">
        <w:t xml:space="preserve">changed </w:t>
      </w:r>
      <w:r w:rsidR="00FF103B">
        <w:t>their insurance</w:t>
      </w:r>
      <w:r w:rsidR="00942BB2">
        <w:t xml:space="preserve"> </w:t>
      </w:r>
      <w:r w:rsidR="00FF103B">
        <w:t>strategy</w:t>
      </w:r>
      <w:r>
        <w:t xml:space="preserve">. </w:t>
      </w:r>
      <w:r w:rsidR="00842AED">
        <w:t xml:space="preserve"> </w:t>
      </w:r>
      <w:r>
        <w:t xml:space="preserve">Rather than </w:t>
      </w:r>
      <w:r w:rsidR="00383947">
        <w:t xml:space="preserve">buying </w:t>
      </w:r>
      <w:r w:rsidR="00FF103B">
        <w:t>insurance</w:t>
      </w:r>
      <w:r w:rsidR="00383947">
        <w:t xml:space="preserve"> from</w:t>
      </w:r>
      <w:r w:rsidR="00942BB2">
        <w:t xml:space="preserve"> Travelers</w:t>
      </w:r>
      <w:r w:rsidR="002D612F">
        <w:t xml:space="preserve">, </w:t>
      </w:r>
      <w:r>
        <w:t xml:space="preserve">Liberty </w:t>
      </w:r>
      <w:r w:rsidR="002D612F">
        <w:t xml:space="preserve">instead </w:t>
      </w:r>
      <w:r w:rsidR="00942BB2">
        <w:t>self-insure</w:t>
      </w:r>
      <w:r w:rsidR="00FF103B">
        <w:t>d</w:t>
      </w:r>
      <w:r w:rsidR="00942BB2">
        <w:t xml:space="preserve"> through </w:t>
      </w:r>
      <w:r w:rsidR="00FF103B">
        <w:t>the</w:t>
      </w:r>
      <w:r w:rsidR="00942BB2">
        <w:t xml:space="preserve"> parent</w:t>
      </w:r>
      <w:r w:rsidR="00FF103B">
        <w:t xml:space="preserve"> company</w:t>
      </w:r>
      <w:r w:rsidR="00942BB2">
        <w:t xml:space="preserve"> Liberty Utilities.</w:t>
      </w:r>
      <w:r w:rsidR="00FF103B">
        <w:rPr>
          <w:rStyle w:val="FootnoteReference"/>
        </w:rPr>
        <w:footnoteReference w:id="33"/>
      </w:r>
      <w:r w:rsidR="00477D6E">
        <w:t xml:space="preserve"> </w:t>
      </w:r>
      <w:r w:rsidR="00FF103B">
        <w:t xml:space="preserve">Liberty claims this change </w:t>
      </w:r>
      <w:r w:rsidR="00FF103B">
        <w:lastRenderedPageBreak/>
        <w:t>resulted in lower insurance costs overall</w:t>
      </w:r>
      <w:r w:rsidR="00A26CC8">
        <w:t xml:space="preserve">, which is </w:t>
      </w:r>
      <w:r w:rsidR="00DA28D3">
        <w:t>borne out by</w:t>
      </w:r>
      <w:r w:rsidR="00A26CC8">
        <w:t xml:space="preserve"> the average of recorded costs </w:t>
      </w:r>
      <w:r w:rsidR="00DA28D3">
        <w:t xml:space="preserve">before and after </w:t>
      </w:r>
      <w:r w:rsidR="00A26CC8">
        <w:t>2016.</w:t>
      </w:r>
    </w:p>
    <w:p w:rsidRPr="00F60257" w:rsidR="00F60257" w:rsidP="00F60257" w:rsidRDefault="005778FD" w14:paraId="5ABEE569" w14:textId="77777777">
      <w:pPr>
        <w:pStyle w:val="Standard"/>
        <w:jc w:val="center"/>
        <w:rPr>
          <w:b/>
          <w:bCs/>
        </w:rPr>
      </w:pPr>
      <w:r w:rsidRPr="00F60257">
        <w:rPr>
          <w:b/>
          <w:bCs/>
        </w:rPr>
        <w:t>Table 2</w:t>
      </w:r>
    </w:p>
    <w:p w:rsidRPr="00F60257" w:rsidR="00A83103" w:rsidP="00F60257" w:rsidRDefault="00A83103" w14:paraId="4F412D06" w14:textId="5617665D">
      <w:pPr>
        <w:pStyle w:val="Standard"/>
        <w:jc w:val="center"/>
      </w:pPr>
      <w:r w:rsidRPr="00F60257">
        <w:t>Recorded Costs in Accounts 7310.10, 7310.12, 7310.90</w:t>
      </w:r>
    </w:p>
    <w:tbl>
      <w:tblPr>
        <w:tblStyle w:val="TableGrid"/>
        <w:tblW w:w="0" w:type="auto"/>
        <w:tblLook w:val="04A0" w:firstRow="1" w:lastRow="0" w:firstColumn="1" w:lastColumn="0" w:noHBand="0" w:noVBand="1"/>
      </w:tblPr>
      <w:tblGrid>
        <w:gridCol w:w="1298"/>
        <w:gridCol w:w="1018"/>
        <w:gridCol w:w="1018"/>
        <w:gridCol w:w="1018"/>
        <w:gridCol w:w="1018"/>
        <w:gridCol w:w="1018"/>
        <w:gridCol w:w="1347"/>
        <w:gridCol w:w="1615"/>
      </w:tblGrid>
      <w:tr w:rsidR="00EB5127" w:rsidTr="00842AED" w14:paraId="2F1D8449" w14:textId="77777777">
        <w:tc>
          <w:tcPr>
            <w:tcW w:w="1298" w:type="dxa"/>
            <w:vAlign w:val="center"/>
          </w:tcPr>
          <w:p w:rsidRPr="00842AED" w:rsidR="002C665E" w:rsidP="00842AED" w:rsidRDefault="002C665E" w14:paraId="4F3B9FEE" w14:textId="1F3506FC">
            <w:pPr>
              <w:pStyle w:val="Standard"/>
              <w:spacing w:line="240" w:lineRule="auto"/>
              <w:ind w:firstLine="0"/>
              <w:jc w:val="center"/>
              <w:rPr>
                <w:b/>
                <w:bCs/>
                <w:sz w:val="24"/>
                <w:szCs w:val="24"/>
              </w:rPr>
            </w:pPr>
            <w:r w:rsidRPr="00842AED">
              <w:rPr>
                <w:b/>
                <w:bCs/>
                <w:sz w:val="24"/>
                <w:szCs w:val="24"/>
              </w:rPr>
              <w:t>Company</w:t>
            </w:r>
          </w:p>
        </w:tc>
        <w:tc>
          <w:tcPr>
            <w:tcW w:w="1018" w:type="dxa"/>
            <w:vAlign w:val="center"/>
          </w:tcPr>
          <w:p w:rsidRPr="00842AED" w:rsidR="002C665E" w:rsidP="00842AED" w:rsidRDefault="002C665E" w14:paraId="45488F7D" w14:textId="59C0A9B6">
            <w:pPr>
              <w:pStyle w:val="Standard"/>
              <w:spacing w:line="240" w:lineRule="auto"/>
              <w:ind w:firstLine="0"/>
              <w:jc w:val="center"/>
              <w:rPr>
                <w:b/>
                <w:bCs/>
                <w:sz w:val="24"/>
                <w:szCs w:val="24"/>
              </w:rPr>
            </w:pPr>
            <w:r w:rsidRPr="00842AED">
              <w:rPr>
                <w:b/>
                <w:bCs/>
                <w:sz w:val="24"/>
                <w:szCs w:val="24"/>
              </w:rPr>
              <w:t>2013</w:t>
            </w:r>
          </w:p>
        </w:tc>
        <w:tc>
          <w:tcPr>
            <w:tcW w:w="1018" w:type="dxa"/>
            <w:vAlign w:val="center"/>
          </w:tcPr>
          <w:p w:rsidRPr="00842AED" w:rsidR="002C665E" w:rsidP="00842AED" w:rsidRDefault="002C665E" w14:paraId="0BB575D2" w14:textId="0C40D9DB">
            <w:pPr>
              <w:pStyle w:val="Standard"/>
              <w:spacing w:line="240" w:lineRule="auto"/>
              <w:ind w:firstLine="0"/>
              <w:jc w:val="center"/>
              <w:rPr>
                <w:b/>
                <w:bCs/>
                <w:sz w:val="24"/>
                <w:szCs w:val="24"/>
              </w:rPr>
            </w:pPr>
            <w:r w:rsidRPr="00842AED">
              <w:rPr>
                <w:b/>
                <w:bCs/>
                <w:sz w:val="24"/>
                <w:szCs w:val="24"/>
              </w:rPr>
              <w:t>2014</w:t>
            </w:r>
          </w:p>
        </w:tc>
        <w:tc>
          <w:tcPr>
            <w:tcW w:w="1018" w:type="dxa"/>
            <w:vAlign w:val="center"/>
          </w:tcPr>
          <w:p w:rsidRPr="00842AED" w:rsidR="002C665E" w:rsidP="00842AED" w:rsidRDefault="002C665E" w14:paraId="4B75B0BC" w14:textId="5CDE596E">
            <w:pPr>
              <w:pStyle w:val="Standard"/>
              <w:spacing w:line="240" w:lineRule="auto"/>
              <w:ind w:firstLine="0"/>
              <w:jc w:val="center"/>
              <w:rPr>
                <w:b/>
                <w:bCs/>
                <w:sz w:val="24"/>
                <w:szCs w:val="24"/>
              </w:rPr>
            </w:pPr>
            <w:r w:rsidRPr="00842AED">
              <w:rPr>
                <w:b/>
                <w:bCs/>
                <w:sz w:val="24"/>
                <w:szCs w:val="24"/>
              </w:rPr>
              <w:t>2015</w:t>
            </w:r>
          </w:p>
        </w:tc>
        <w:tc>
          <w:tcPr>
            <w:tcW w:w="1018" w:type="dxa"/>
            <w:vAlign w:val="center"/>
          </w:tcPr>
          <w:p w:rsidRPr="00842AED" w:rsidR="002C665E" w:rsidP="00842AED" w:rsidRDefault="002C665E" w14:paraId="7D0A0604" w14:textId="36026BE4">
            <w:pPr>
              <w:pStyle w:val="Standard"/>
              <w:spacing w:line="240" w:lineRule="auto"/>
              <w:ind w:firstLine="0"/>
              <w:jc w:val="center"/>
              <w:rPr>
                <w:b/>
                <w:bCs/>
                <w:sz w:val="24"/>
                <w:szCs w:val="24"/>
              </w:rPr>
            </w:pPr>
            <w:r w:rsidRPr="00842AED">
              <w:rPr>
                <w:b/>
                <w:bCs/>
                <w:sz w:val="24"/>
                <w:szCs w:val="24"/>
              </w:rPr>
              <w:t>2016</w:t>
            </w:r>
          </w:p>
        </w:tc>
        <w:tc>
          <w:tcPr>
            <w:tcW w:w="1018" w:type="dxa"/>
            <w:vAlign w:val="center"/>
          </w:tcPr>
          <w:p w:rsidRPr="00842AED" w:rsidR="002C665E" w:rsidP="00842AED" w:rsidRDefault="002C665E" w14:paraId="0495D2F9" w14:textId="45E0F496">
            <w:pPr>
              <w:pStyle w:val="Standard"/>
              <w:spacing w:line="240" w:lineRule="auto"/>
              <w:ind w:firstLine="0"/>
              <w:jc w:val="center"/>
              <w:rPr>
                <w:b/>
                <w:bCs/>
                <w:sz w:val="24"/>
                <w:szCs w:val="24"/>
              </w:rPr>
            </w:pPr>
            <w:r w:rsidRPr="00842AED">
              <w:rPr>
                <w:b/>
                <w:bCs/>
                <w:sz w:val="24"/>
                <w:szCs w:val="24"/>
              </w:rPr>
              <w:t>2017</w:t>
            </w:r>
          </w:p>
        </w:tc>
        <w:tc>
          <w:tcPr>
            <w:tcW w:w="1347" w:type="dxa"/>
            <w:vAlign w:val="center"/>
          </w:tcPr>
          <w:p w:rsidRPr="00842AED" w:rsidR="002C665E" w:rsidP="00842AED" w:rsidRDefault="002C665E" w14:paraId="02CB5654" w14:textId="1DDF5F7C">
            <w:pPr>
              <w:pStyle w:val="Standard"/>
              <w:spacing w:line="240" w:lineRule="auto"/>
              <w:ind w:firstLine="0"/>
              <w:jc w:val="center"/>
              <w:rPr>
                <w:b/>
                <w:bCs/>
                <w:sz w:val="24"/>
                <w:szCs w:val="24"/>
              </w:rPr>
            </w:pPr>
            <w:r w:rsidRPr="00842AED">
              <w:rPr>
                <w:b/>
                <w:bCs/>
                <w:sz w:val="24"/>
                <w:szCs w:val="24"/>
              </w:rPr>
              <w:t>Average 2013-2015</w:t>
            </w:r>
          </w:p>
        </w:tc>
        <w:tc>
          <w:tcPr>
            <w:tcW w:w="1615" w:type="dxa"/>
            <w:vAlign w:val="center"/>
          </w:tcPr>
          <w:p w:rsidRPr="00842AED" w:rsidR="002C665E" w:rsidP="00842AED" w:rsidRDefault="002C665E" w14:paraId="4DBB8D03" w14:textId="0BD5116E">
            <w:pPr>
              <w:pStyle w:val="Standard"/>
              <w:spacing w:line="240" w:lineRule="auto"/>
              <w:ind w:firstLine="0"/>
              <w:jc w:val="center"/>
              <w:rPr>
                <w:b/>
                <w:bCs/>
                <w:sz w:val="24"/>
                <w:szCs w:val="24"/>
              </w:rPr>
            </w:pPr>
            <w:r w:rsidRPr="00842AED">
              <w:rPr>
                <w:b/>
                <w:bCs/>
                <w:sz w:val="24"/>
                <w:szCs w:val="24"/>
              </w:rPr>
              <w:t>Average 2016-2017</w:t>
            </w:r>
          </w:p>
        </w:tc>
      </w:tr>
      <w:tr w:rsidR="00EB5127" w:rsidTr="00842AED" w14:paraId="462B6EF2" w14:textId="77777777">
        <w:tc>
          <w:tcPr>
            <w:tcW w:w="1298" w:type="dxa"/>
            <w:vAlign w:val="center"/>
          </w:tcPr>
          <w:p w:rsidRPr="007D5BB3" w:rsidR="002C665E" w:rsidP="00842AED" w:rsidRDefault="002C665E" w14:paraId="0B88BAE1" w14:textId="677BEAB1">
            <w:pPr>
              <w:pStyle w:val="Standard"/>
              <w:spacing w:line="240" w:lineRule="auto"/>
              <w:ind w:firstLine="0"/>
              <w:jc w:val="center"/>
              <w:rPr>
                <w:sz w:val="24"/>
                <w:szCs w:val="24"/>
              </w:rPr>
            </w:pPr>
            <w:r w:rsidRPr="007D5BB3">
              <w:rPr>
                <w:sz w:val="24"/>
                <w:szCs w:val="24"/>
              </w:rPr>
              <w:t>Liberty Apple Valley</w:t>
            </w:r>
          </w:p>
        </w:tc>
        <w:tc>
          <w:tcPr>
            <w:tcW w:w="1018" w:type="dxa"/>
            <w:vAlign w:val="center"/>
          </w:tcPr>
          <w:p w:rsidRPr="007D5BB3" w:rsidR="002C665E" w:rsidP="00842AED" w:rsidRDefault="00125A16" w14:paraId="1A68A6FC" w14:textId="2E2C680B">
            <w:pPr>
              <w:pStyle w:val="Standard"/>
              <w:spacing w:line="240" w:lineRule="auto"/>
              <w:ind w:firstLine="0"/>
              <w:jc w:val="center"/>
              <w:rPr>
                <w:sz w:val="24"/>
                <w:szCs w:val="24"/>
              </w:rPr>
            </w:pPr>
            <w:r w:rsidRPr="007D5BB3">
              <w:rPr>
                <w:sz w:val="24"/>
                <w:szCs w:val="24"/>
              </w:rPr>
              <w:t>386,396</w:t>
            </w:r>
          </w:p>
        </w:tc>
        <w:tc>
          <w:tcPr>
            <w:tcW w:w="1018" w:type="dxa"/>
            <w:vAlign w:val="center"/>
          </w:tcPr>
          <w:p w:rsidRPr="007D5BB3" w:rsidR="002C665E" w:rsidP="00842AED" w:rsidRDefault="00125A16" w14:paraId="3BDAC972" w14:textId="6022594C">
            <w:pPr>
              <w:pStyle w:val="Standard"/>
              <w:spacing w:line="240" w:lineRule="auto"/>
              <w:ind w:firstLine="0"/>
              <w:jc w:val="center"/>
              <w:rPr>
                <w:sz w:val="24"/>
                <w:szCs w:val="24"/>
              </w:rPr>
            </w:pPr>
            <w:r w:rsidRPr="007D5BB3">
              <w:rPr>
                <w:sz w:val="24"/>
                <w:szCs w:val="24"/>
              </w:rPr>
              <w:t>380,755</w:t>
            </w:r>
          </w:p>
        </w:tc>
        <w:tc>
          <w:tcPr>
            <w:tcW w:w="1018" w:type="dxa"/>
            <w:vAlign w:val="center"/>
          </w:tcPr>
          <w:p w:rsidRPr="007D5BB3" w:rsidR="002C665E" w:rsidP="00842AED" w:rsidRDefault="00125A16" w14:paraId="536EE138" w14:textId="20C10907">
            <w:pPr>
              <w:pStyle w:val="Standard"/>
              <w:spacing w:line="240" w:lineRule="auto"/>
              <w:ind w:firstLine="0"/>
              <w:jc w:val="center"/>
              <w:rPr>
                <w:sz w:val="24"/>
                <w:szCs w:val="24"/>
              </w:rPr>
            </w:pPr>
            <w:r w:rsidRPr="007D5BB3">
              <w:rPr>
                <w:sz w:val="24"/>
                <w:szCs w:val="24"/>
              </w:rPr>
              <w:t>376,879</w:t>
            </w:r>
          </w:p>
        </w:tc>
        <w:tc>
          <w:tcPr>
            <w:tcW w:w="1018" w:type="dxa"/>
            <w:vAlign w:val="center"/>
          </w:tcPr>
          <w:p w:rsidRPr="007D5BB3" w:rsidR="002C665E" w:rsidP="00842AED" w:rsidRDefault="00125A16" w14:paraId="5FC31422" w14:textId="00037210">
            <w:pPr>
              <w:pStyle w:val="Standard"/>
              <w:spacing w:line="240" w:lineRule="auto"/>
              <w:ind w:firstLine="0"/>
              <w:jc w:val="center"/>
              <w:rPr>
                <w:sz w:val="24"/>
                <w:szCs w:val="24"/>
              </w:rPr>
            </w:pPr>
            <w:r w:rsidRPr="007D5BB3">
              <w:rPr>
                <w:sz w:val="24"/>
                <w:szCs w:val="24"/>
              </w:rPr>
              <w:t>182,767</w:t>
            </w:r>
          </w:p>
        </w:tc>
        <w:tc>
          <w:tcPr>
            <w:tcW w:w="1018" w:type="dxa"/>
            <w:vAlign w:val="center"/>
          </w:tcPr>
          <w:p w:rsidRPr="007D5BB3" w:rsidR="002C665E" w:rsidP="00842AED" w:rsidRDefault="00125A16" w14:paraId="59E840AE" w14:textId="465895FF">
            <w:pPr>
              <w:pStyle w:val="Standard"/>
              <w:spacing w:line="240" w:lineRule="auto"/>
              <w:ind w:firstLine="0"/>
              <w:jc w:val="center"/>
              <w:rPr>
                <w:sz w:val="24"/>
                <w:szCs w:val="24"/>
              </w:rPr>
            </w:pPr>
            <w:r w:rsidRPr="007D5BB3">
              <w:rPr>
                <w:sz w:val="24"/>
                <w:szCs w:val="24"/>
              </w:rPr>
              <w:t>320,118</w:t>
            </w:r>
          </w:p>
        </w:tc>
        <w:tc>
          <w:tcPr>
            <w:tcW w:w="1347" w:type="dxa"/>
            <w:vAlign w:val="center"/>
          </w:tcPr>
          <w:p w:rsidRPr="007D5BB3" w:rsidR="002C665E" w:rsidP="00842AED" w:rsidRDefault="00125A16" w14:paraId="3E06355E" w14:textId="2B10A5A1">
            <w:pPr>
              <w:pStyle w:val="Standard"/>
              <w:spacing w:line="240" w:lineRule="auto"/>
              <w:ind w:firstLine="0"/>
              <w:jc w:val="center"/>
              <w:rPr>
                <w:sz w:val="24"/>
                <w:szCs w:val="24"/>
              </w:rPr>
            </w:pPr>
            <w:r w:rsidRPr="007D5BB3">
              <w:rPr>
                <w:sz w:val="24"/>
                <w:szCs w:val="24"/>
              </w:rPr>
              <w:t>318,343</w:t>
            </w:r>
          </w:p>
        </w:tc>
        <w:tc>
          <w:tcPr>
            <w:tcW w:w="1615" w:type="dxa"/>
            <w:vAlign w:val="center"/>
          </w:tcPr>
          <w:p w:rsidRPr="007D5BB3" w:rsidR="002C665E" w:rsidP="00842AED" w:rsidRDefault="00125A16" w14:paraId="0F3A2F0B" w14:textId="63756467">
            <w:pPr>
              <w:pStyle w:val="Standard"/>
              <w:spacing w:line="240" w:lineRule="auto"/>
              <w:ind w:firstLine="0"/>
              <w:jc w:val="center"/>
              <w:rPr>
                <w:sz w:val="24"/>
                <w:szCs w:val="24"/>
              </w:rPr>
            </w:pPr>
            <w:r w:rsidRPr="007D5BB3">
              <w:rPr>
                <w:sz w:val="24"/>
                <w:szCs w:val="24"/>
              </w:rPr>
              <w:t>251,442</w:t>
            </w:r>
          </w:p>
        </w:tc>
      </w:tr>
      <w:tr w:rsidR="00EB5127" w:rsidTr="00842AED" w14:paraId="3A8E6B17" w14:textId="77777777">
        <w:tc>
          <w:tcPr>
            <w:tcW w:w="1298" w:type="dxa"/>
            <w:vAlign w:val="center"/>
          </w:tcPr>
          <w:p w:rsidRPr="007D5BB3" w:rsidR="002C665E" w:rsidP="00842AED" w:rsidRDefault="002C665E" w14:paraId="25B94A8F" w14:textId="17E77BD8">
            <w:pPr>
              <w:pStyle w:val="Standard"/>
              <w:spacing w:line="240" w:lineRule="auto"/>
              <w:ind w:firstLine="0"/>
              <w:jc w:val="center"/>
              <w:rPr>
                <w:sz w:val="24"/>
                <w:szCs w:val="24"/>
              </w:rPr>
            </w:pPr>
            <w:r w:rsidRPr="007D5BB3">
              <w:rPr>
                <w:sz w:val="24"/>
                <w:szCs w:val="24"/>
              </w:rPr>
              <w:t>Liberty Park</w:t>
            </w:r>
          </w:p>
        </w:tc>
        <w:tc>
          <w:tcPr>
            <w:tcW w:w="1018" w:type="dxa"/>
            <w:vAlign w:val="center"/>
          </w:tcPr>
          <w:p w:rsidRPr="007D5BB3" w:rsidR="002C665E" w:rsidP="00842AED" w:rsidRDefault="00EB5127" w14:paraId="0B4C0B5D" w14:textId="1D791CA1">
            <w:pPr>
              <w:pStyle w:val="Standard"/>
              <w:spacing w:line="240" w:lineRule="auto"/>
              <w:ind w:firstLine="0"/>
              <w:jc w:val="center"/>
              <w:rPr>
                <w:sz w:val="24"/>
                <w:szCs w:val="24"/>
              </w:rPr>
            </w:pPr>
            <w:r w:rsidRPr="007D5BB3">
              <w:rPr>
                <w:sz w:val="24"/>
                <w:szCs w:val="24"/>
              </w:rPr>
              <w:t>441,112</w:t>
            </w:r>
          </w:p>
        </w:tc>
        <w:tc>
          <w:tcPr>
            <w:tcW w:w="1018" w:type="dxa"/>
            <w:vAlign w:val="center"/>
          </w:tcPr>
          <w:p w:rsidRPr="007D5BB3" w:rsidR="002C665E" w:rsidP="00842AED" w:rsidRDefault="00EB5127" w14:paraId="7F5CB344" w14:textId="331485BB">
            <w:pPr>
              <w:pStyle w:val="Standard"/>
              <w:spacing w:line="240" w:lineRule="auto"/>
              <w:ind w:firstLine="0"/>
              <w:jc w:val="center"/>
              <w:rPr>
                <w:sz w:val="24"/>
                <w:szCs w:val="24"/>
              </w:rPr>
            </w:pPr>
            <w:r w:rsidRPr="007D5BB3">
              <w:rPr>
                <w:sz w:val="24"/>
                <w:szCs w:val="24"/>
              </w:rPr>
              <w:t>464,555</w:t>
            </w:r>
          </w:p>
        </w:tc>
        <w:tc>
          <w:tcPr>
            <w:tcW w:w="1018" w:type="dxa"/>
            <w:vAlign w:val="center"/>
          </w:tcPr>
          <w:p w:rsidRPr="007D5BB3" w:rsidR="002C665E" w:rsidP="00842AED" w:rsidRDefault="00EB5127" w14:paraId="225638A8" w14:textId="53AEB9CA">
            <w:pPr>
              <w:pStyle w:val="Standard"/>
              <w:spacing w:line="240" w:lineRule="auto"/>
              <w:ind w:firstLine="0"/>
              <w:jc w:val="center"/>
              <w:rPr>
                <w:sz w:val="24"/>
                <w:szCs w:val="24"/>
              </w:rPr>
            </w:pPr>
            <w:r w:rsidRPr="007D5BB3">
              <w:rPr>
                <w:sz w:val="24"/>
                <w:szCs w:val="24"/>
              </w:rPr>
              <w:t>463,898</w:t>
            </w:r>
          </w:p>
        </w:tc>
        <w:tc>
          <w:tcPr>
            <w:tcW w:w="1018" w:type="dxa"/>
            <w:vAlign w:val="center"/>
          </w:tcPr>
          <w:p w:rsidRPr="007D5BB3" w:rsidR="002C665E" w:rsidP="00842AED" w:rsidRDefault="00EB5127" w14:paraId="60C84FBC" w14:textId="11695B62">
            <w:pPr>
              <w:pStyle w:val="Standard"/>
              <w:spacing w:line="240" w:lineRule="auto"/>
              <w:ind w:firstLine="0"/>
              <w:jc w:val="center"/>
              <w:rPr>
                <w:sz w:val="24"/>
                <w:szCs w:val="24"/>
              </w:rPr>
            </w:pPr>
            <w:r w:rsidRPr="007D5BB3">
              <w:rPr>
                <w:sz w:val="24"/>
                <w:szCs w:val="24"/>
              </w:rPr>
              <w:t>195,057</w:t>
            </w:r>
          </w:p>
        </w:tc>
        <w:tc>
          <w:tcPr>
            <w:tcW w:w="1018" w:type="dxa"/>
            <w:vAlign w:val="center"/>
          </w:tcPr>
          <w:p w:rsidRPr="007D5BB3" w:rsidR="002C665E" w:rsidP="00842AED" w:rsidRDefault="00EB5127" w14:paraId="7FA7BCCE" w14:textId="1E3BB6ED">
            <w:pPr>
              <w:pStyle w:val="Standard"/>
              <w:spacing w:line="240" w:lineRule="auto"/>
              <w:ind w:firstLine="0"/>
              <w:jc w:val="center"/>
              <w:rPr>
                <w:sz w:val="24"/>
                <w:szCs w:val="24"/>
              </w:rPr>
            </w:pPr>
            <w:r w:rsidRPr="007D5BB3">
              <w:rPr>
                <w:sz w:val="24"/>
                <w:szCs w:val="24"/>
              </w:rPr>
              <w:t>165,324</w:t>
            </w:r>
          </w:p>
        </w:tc>
        <w:tc>
          <w:tcPr>
            <w:tcW w:w="1347" w:type="dxa"/>
            <w:vAlign w:val="center"/>
          </w:tcPr>
          <w:p w:rsidRPr="007D5BB3" w:rsidR="002C665E" w:rsidP="00842AED" w:rsidRDefault="00EB5127" w14:paraId="61031F0C" w14:textId="5019E405">
            <w:pPr>
              <w:pStyle w:val="Standard"/>
              <w:spacing w:line="240" w:lineRule="auto"/>
              <w:ind w:firstLine="0"/>
              <w:jc w:val="center"/>
              <w:rPr>
                <w:sz w:val="24"/>
                <w:szCs w:val="24"/>
              </w:rPr>
            </w:pPr>
            <w:r w:rsidRPr="007D5BB3">
              <w:rPr>
                <w:sz w:val="24"/>
                <w:szCs w:val="24"/>
              </w:rPr>
              <w:t>456,522</w:t>
            </w:r>
          </w:p>
        </w:tc>
        <w:tc>
          <w:tcPr>
            <w:tcW w:w="1615" w:type="dxa"/>
            <w:vAlign w:val="center"/>
          </w:tcPr>
          <w:p w:rsidRPr="007D5BB3" w:rsidR="002C665E" w:rsidP="00842AED" w:rsidRDefault="00EB5127" w14:paraId="4FCB0512" w14:textId="07EA8279">
            <w:pPr>
              <w:pStyle w:val="Standard"/>
              <w:spacing w:line="240" w:lineRule="auto"/>
              <w:ind w:firstLine="0"/>
              <w:jc w:val="center"/>
              <w:rPr>
                <w:sz w:val="24"/>
                <w:szCs w:val="24"/>
              </w:rPr>
            </w:pPr>
            <w:r w:rsidRPr="007D5BB3">
              <w:rPr>
                <w:sz w:val="24"/>
                <w:szCs w:val="24"/>
              </w:rPr>
              <w:t>180,191</w:t>
            </w:r>
          </w:p>
        </w:tc>
      </w:tr>
    </w:tbl>
    <w:p w:rsidRPr="00842AED" w:rsidR="00A26CC8" w:rsidP="00477D6E" w:rsidRDefault="00A26CC8" w14:paraId="7B5FCECB" w14:textId="3B3584A3">
      <w:pPr>
        <w:pStyle w:val="Standard"/>
        <w:rPr>
          <w:sz w:val="10"/>
          <w:szCs w:val="10"/>
        </w:rPr>
      </w:pPr>
    </w:p>
    <w:p w:rsidR="0051151A" w:rsidP="00477D6E" w:rsidRDefault="0051151A" w14:paraId="0F2E3630" w14:textId="6A4B3E76">
      <w:pPr>
        <w:pStyle w:val="Standard"/>
      </w:pPr>
      <w:bookmarkStart w:name="_Hlk46075946" w:id="30"/>
      <w:r>
        <w:t xml:space="preserve">The </w:t>
      </w:r>
      <w:r w:rsidR="004117DE">
        <w:t>Liberty</w:t>
      </w:r>
      <w:r w:rsidR="00DF5F2B">
        <w:t>-</w:t>
      </w:r>
      <w:r w:rsidR="004117DE">
        <w:t>proposed</w:t>
      </w:r>
      <w:r w:rsidR="00DF5F2B">
        <w:t>,</w:t>
      </w:r>
      <w:r w:rsidR="004117DE">
        <w:t xml:space="preserve"> and Public Advocates Office</w:t>
      </w:r>
      <w:r w:rsidR="00DF5F2B">
        <w:t>-</w:t>
      </w:r>
      <w:r>
        <w:t>recommended amounts</w:t>
      </w:r>
      <w:r w:rsidR="00DF5F2B">
        <w:t>,</w:t>
      </w:r>
      <w:r>
        <w:t xml:space="preserve"> for the Business Policy, Umbrella and Uninsured Property Damage accounts are shown in the table below</w:t>
      </w:r>
      <w:r w:rsidR="004117DE">
        <w:t xml:space="preserve"> as well as the amounts we approve today</w:t>
      </w:r>
      <w:r>
        <w:t>.</w:t>
      </w:r>
    </w:p>
    <w:bookmarkEnd w:id="30"/>
    <w:p w:rsidRPr="00584982" w:rsidR="00584982" w:rsidP="00584982" w:rsidRDefault="000D36A3" w14:paraId="51F116A3" w14:textId="1D4739C1">
      <w:pPr>
        <w:pStyle w:val="Standard"/>
        <w:jc w:val="center"/>
        <w:rPr>
          <w:b/>
          <w:bCs/>
        </w:rPr>
      </w:pPr>
      <w:r w:rsidRPr="00584982">
        <w:rPr>
          <w:b/>
          <w:bCs/>
        </w:rPr>
        <w:t>T</w:t>
      </w:r>
      <w:r w:rsidRPr="00584982" w:rsidR="00584982">
        <w:rPr>
          <w:b/>
          <w:bCs/>
        </w:rPr>
        <w:t>able 3</w:t>
      </w:r>
    </w:p>
    <w:p w:rsidR="0051151A" w:rsidP="00584982" w:rsidRDefault="0051151A" w14:paraId="58CED4FD" w14:textId="4CE395A7">
      <w:pPr>
        <w:pStyle w:val="Standard"/>
        <w:jc w:val="center"/>
      </w:pPr>
      <w:r>
        <w:t>TEST YEAR 2019</w:t>
      </w:r>
    </w:p>
    <w:tbl>
      <w:tblPr>
        <w:tblStyle w:val="TableGrid"/>
        <w:tblW w:w="9445" w:type="dxa"/>
        <w:tblLook w:val="04A0" w:firstRow="1" w:lastRow="0" w:firstColumn="1" w:lastColumn="0" w:noHBand="0" w:noVBand="1"/>
      </w:tblPr>
      <w:tblGrid>
        <w:gridCol w:w="1531"/>
        <w:gridCol w:w="1498"/>
        <w:gridCol w:w="1525"/>
        <w:gridCol w:w="2731"/>
        <w:gridCol w:w="2160"/>
      </w:tblGrid>
      <w:tr w:rsidR="00354CDC" w:rsidTr="00842AED" w14:paraId="3DAFE7E4" w14:textId="77777777">
        <w:trPr>
          <w:trHeight w:val="971"/>
        </w:trPr>
        <w:tc>
          <w:tcPr>
            <w:tcW w:w="1531" w:type="dxa"/>
            <w:vAlign w:val="center"/>
          </w:tcPr>
          <w:p w:rsidRPr="00842AED" w:rsidR="00354CDC" w:rsidP="00842AED" w:rsidRDefault="00354CDC" w14:paraId="1209F49D" w14:textId="4CEC1EDA">
            <w:pPr>
              <w:pStyle w:val="Standard"/>
              <w:spacing w:line="240" w:lineRule="auto"/>
              <w:ind w:firstLine="0"/>
              <w:jc w:val="center"/>
              <w:rPr>
                <w:b/>
                <w:bCs/>
              </w:rPr>
            </w:pPr>
            <w:r w:rsidRPr="00842AED">
              <w:rPr>
                <w:b/>
                <w:bCs/>
              </w:rPr>
              <w:t>Company</w:t>
            </w:r>
          </w:p>
        </w:tc>
        <w:tc>
          <w:tcPr>
            <w:tcW w:w="1498" w:type="dxa"/>
            <w:vAlign w:val="center"/>
          </w:tcPr>
          <w:p w:rsidRPr="00842AED" w:rsidR="00354CDC" w:rsidP="00842AED" w:rsidRDefault="00BD3CAA" w14:paraId="22F9E5EE" w14:textId="05DEB74F">
            <w:pPr>
              <w:pStyle w:val="Standard"/>
              <w:spacing w:line="240" w:lineRule="auto"/>
              <w:ind w:firstLine="0"/>
              <w:jc w:val="center"/>
              <w:rPr>
                <w:b/>
                <w:bCs/>
              </w:rPr>
            </w:pPr>
            <w:r w:rsidRPr="00842AED">
              <w:rPr>
                <w:b/>
                <w:bCs/>
              </w:rPr>
              <w:t>A</w:t>
            </w:r>
            <w:r w:rsidRPr="00842AED" w:rsidR="00354CDC">
              <w:rPr>
                <w:b/>
                <w:bCs/>
              </w:rPr>
              <w:t>ccount</w:t>
            </w:r>
          </w:p>
        </w:tc>
        <w:tc>
          <w:tcPr>
            <w:tcW w:w="1525" w:type="dxa"/>
            <w:vAlign w:val="center"/>
          </w:tcPr>
          <w:p w:rsidRPr="00842AED" w:rsidR="00354CDC" w:rsidP="00842AED" w:rsidRDefault="00354CDC" w14:paraId="67F6AC75" w14:textId="1076400B">
            <w:pPr>
              <w:pStyle w:val="Standard"/>
              <w:spacing w:line="240" w:lineRule="auto"/>
              <w:ind w:firstLine="0"/>
              <w:jc w:val="center"/>
              <w:rPr>
                <w:b/>
                <w:bCs/>
              </w:rPr>
            </w:pPr>
            <w:r w:rsidRPr="00842AED">
              <w:rPr>
                <w:b/>
                <w:bCs/>
              </w:rPr>
              <w:t>Liberty proposed</w:t>
            </w:r>
          </w:p>
        </w:tc>
        <w:tc>
          <w:tcPr>
            <w:tcW w:w="2731" w:type="dxa"/>
            <w:vAlign w:val="center"/>
          </w:tcPr>
          <w:p w:rsidRPr="00842AED" w:rsidR="00354CDC" w:rsidP="00842AED" w:rsidRDefault="00354CDC" w14:paraId="7D42EBE7" w14:textId="23839833">
            <w:pPr>
              <w:pStyle w:val="Standard"/>
              <w:spacing w:line="240" w:lineRule="auto"/>
              <w:ind w:firstLine="0"/>
              <w:jc w:val="center"/>
              <w:rPr>
                <w:b/>
                <w:bCs/>
              </w:rPr>
            </w:pPr>
            <w:r w:rsidRPr="00842AED">
              <w:rPr>
                <w:b/>
                <w:bCs/>
              </w:rPr>
              <w:t>Public Advocates Office recommended</w:t>
            </w:r>
          </w:p>
        </w:tc>
        <w:tc>
          <w:tcPr>
            <w:tcW w:w="2160" w:type="dxa"/>
            <w:vAlign w:val="center"/>
          </w:tcPr>
          <w:p w:rsidRPr="00842AED" w:rsidR="00354CDC" w:rsidP="00842AED" w:rsidRDefault="00354CDC" w14:paraId="0B60F03C" w14:textId="0A72AAD5">
            <w:pPr>
              <w:pStyle w:val="Standard"/>
              <w:spacing w:line="240" w:lineRule="auto"/>
              <w:ind w:firstLine="0"/>
              <w:jc w:val="center"/>
              <w:rPr>
                <w:b/>
                <w:bCs/>
              </w:rPr>
            </w:pPr>
            <w:r w:rsidRPr="00842AED">
              <w:rPr>
                <w:b/>
                <w:bCs/>
              </w:rPr>
              <w:t>Approved</w:t>
            </w:r>
          </w:p>
        </w:tc>
      </w:tr>
      <w:tr w:rsidR="00354CDC" w:rsidTr="00842AED" w14:paraId="4E95AC9F" w14:textId="77777777">
        <w:tc>
          <w:tcPr>
            <w:tcW w:w="1531" w:type="dxa"/>
            <w:vAlign w:val="center"/>
          </w:tcPr>
          <w:p w:rsidRPr="00842AED" w:rsidR="00354CDC" w:rsidP="00842AED" w:rsidRDefault="00354CDC" w14:paraId="205FEC39" w14:textId="3BB77FB0">
            <w:pPr>
              <w:pStyle w:val="Standard"/>
              <w:spacing w:line="240" w:lineRule="auto"/>
              <w:ind w:firstLine="0"/>
              <w:jc w:val="center"/>
              <w:rPr>
                <w:szCs w:val="26"/>
              </w:rPr>
            </w:pPr>
            <w:r w:rsidRPr="00842AED">
              <w:rPr>
                <w:szCs w:val="26"/>
              </w:rPr>
              <w:t>Liberty Apple Valley</w:t>
            </w:r>
          </w:p>
        </w:tc>
        <w:tc>
          <w:tcPr>
            <w:tcW w:w="1498" w:type="dxa"/>
            <w:vAlign w:val="center"/>
          </w:tcPr>
          <w:p w:rsidRPr="00842AED" w:rsidR="00354CDC" w:rsidP="00842AED" w:rsidRDefault="00354CDC" w14:paraId="1AF60ABF" w14:textId="0487DA7D">
            <w:pPr>
              <w:pStyle w:val="Standard"/>
              <w:spacing w:line="240" w:lineRule="auto"/>
              <w:ind w:firstLine="0"/>
              <w:jc w:val="center"/>
              <w:rPr>
                <w:szCs w:val="26"/>
              </w:rPr>
            </w:pPr>
            <w:r w:rsidRPr="00842AED">
              <w:rPr>
                <w:szCs w:val="26"/>
              </w:rPr>
              <w:t>7310.10</w:t>
            </w:r>
          </w:p>
        </w:tc>
        <w:tc>
          <w:tcPr>
            <w:tcW w:w="1525" w:type="dxa"/>
            <w:vAlign w:val="center"/>
          </w:tcPr>
          <w:p w:rsidRPr="00842AED" w:rsidR="00354CDC" w:rsidP="00842AED" w:rsidRDefault="00842AED" w14:paraId="6C06F22A" w14:textId="3F2B5C5F">
            <w:pPr>
              <w:pStyle w:val="Standard"/>
              <w:spacing w:line="240" w:lineRule="auto"/>
              <w:ind w:firstLine="0"/>
              <w:jc w:val="center"/>
              <w:rPr>
                <w:szCs w:val="26"/>
              </w:rPr>
            </w:pPr>
            <w:r w:rsidRPr="00842AED">
              <w:rPr>
                <w:szCs w:val="26"/>
              </w:rPr>
              <w:t>77,256</w:t>
            </w:r>
          </w:p>
        </w:tc>
        <w:tc>
          <w:tcPr>
            <w:tcW w:w="2731" w:type="dxa"/>
            <w:vAlign w:val="center"/>
          </w:tcPr>
          <w:p w:rsidRPr="00842AED" w:rsidR="00354CDC" w:rsidP="00842AED" w:rsidRDefault="00F812B4" w14:paraId="6185189C" w14:textId="403B853D">
            <w:pPr>
              <w:pStyle w:val="Standard"/>
              <w:spacing w:line="240" w:lineRule="auto"/>
              <w:ind w:firstLine="0"/>
              <w:jc w:val="center"/>
              <w:rPr>
                <w:szCs w:val="26"/>
              </w:rPr>
            </w:pPr>
            <w:r w:rsidRPr="00842AED">
              <w:rPr>
                <w:szCs w:val="26"/>
              </w:rPr>
              <w:t>n/a</w:t>
            </w:r>
          </w:p>
        </w:tc>
        <w:tc>
          <w:tcPr>
            <w:tcW w:w="2160" w:type="dxa"/>
            <w:vAlign w:val="center"/>
          </w:tcPr>
          <w:p w:rsidRPr="00842AED" w:rsidR="00354CDC" w:rsidP="00842AED" w:rsidRDefault="00354CDC" w14:paraId="4A0E137B" w14:textId="6C8A0A9C">
            <w:pPr>
              <w:pStyle w:val="Standard"/>
              <w:spacing w:line="240" w:lineRule="auto"/>
              <w:ind w:firstLine="0"/>
              <w:jc w:val="center"/>
              <w:rPr>
                <w:szCs w:val="26"/>
              </w:rPr>
            </w:pPr>
            <w:r w:rsidRPr="00842AED">
              <w:rPr>
                <w:szCs w:val="26"/>
              </w:rPr>
              <w:t>86,078</w:t>
            </w:r>
          </w:p>
        </w:tc>
      </w:tr>
      <w:tr w:rsidR="00354CDC" w:rsidTr="00842AED" w14:paraId="402C984D" w14:textId="77777777">
        <w:tc>
          <w:tcPr>
            <w:tcW w:w="1531" w:type="dxa"/>
            <w:vAlign w:val="center"/>
          </w:tcPr>
          <w:p w:rsidRPr="00842AED" w:rsidR="00354CDC" w:rsidP="00842AED" w:rsidRDefault="00354CDC" w14:paraId="5F0C2960" w14:textId="43256A32">
            <w:pPr>
              <w:pStyle w:val="Standard"/>
              <w:spacing w:line="240" w:lineRule="auto"/>
              <w:ind w:firstLine="0"/>
              <w:jc w:val="center"/>
              <w:rPr>
                <w:szCs w:val="26"/>
              </w:rPr>
            </w:pPr>
            <w:r w:rsidRPr="00842AED">
              <w:rPr>
                <w:szCs w:val="26"/>
              </w:rPr>
              <w:t>Liberty Apple Valley</w:t>
            </w:r>
          </w:p>
        </w:tc>
        <w:tc>
          <w:tcPr>
            <w:tcW w:w="1498" w:type="dxa"/>
            <w:vAlign w:val="center"/>
          </w:tcPr>
          <w:p w:rsidRPr="00842AED" w:rsidR="00354CDC" w:rsidP="00842AED" w:rsidRDefault="00354CDC" w14:paraId="709C2B01" w14:textId="2AB46CE2">
            <w:pPr>
              <w:pStyle w:val="Standard"/>
              <w:spacing w:line="240" w:lineRule="auto"/>
              <w:ind w:firstLine="0"/>
              <w:jc w:val="center"/>
              <w:rPr>
                <w:szCs w:val="26"/>
              </w:rPr>
            </w:pPr>
            <w:r w:rsidRPr="00842AED">
              <w:rPr>
                <w:szCs w:val="26"/>
              </w:rPr>
              <w:t>7310.12</w:t>
            </w:r>
          </w:p>
        </w:tc>
        <w:tc>
          <w:tcPr>
            <w:tcW w:w="1525" w:type="dxa"/>
            <w:vAlign w:val="center"/>
          </w:tcPr>
          <w:p w:rsidRPr="00842AED" w:rsidR="00354CDC" w:rsidP="00842AED" w:rsidRDefault="00842AED" w14:paraId="322AAB1E" w14:textId="19E0EA7F">
            <w:pPr>
              <w:pStyle w:val="Standard"/>
              <w:spacing w:line="240" w:lineRule="auto"/>
              <w:ind w:firstLine="0"/>
              <w:jc w:val="center"/>
              <w:rPr>
                <w:szCs w:val="26"/>
              </w:rPr>
            </w:pPr>
            <w:r w:rsidRPr="00842AED">
              <w:rPr>
                <w:szCs w:val="26"/>
              </w:rPr>
              <w:t>113,308</w:t>
            </w:r>
          </w:p>
        </w:tc>
        <w:tc>
          <w:tcPr>
            <w:tcW w:w="2731" w:type="dxa"/>
            <w:vAlign w:val="center"/>
          </w:tcPr>
          <w:p w:rsidRPr="00842AED" w:rsidR="00354CDC" w:rsidP="00842AED" w:rsidRDefault="00F812B4" w14:paraId="29F36B27" w14:textId="6495605E">
            <w:pPr>
              <w:pStyle w:val="Standard"/>
              <w:spacing w:line="240" w:lineRule="auto"/>
              <w:ind w:firstLine="0"/>
              <w:jc w:val="center"/>
              <w:rPr>
                <w:szCs w:val="26"/>
              </w:rPr>
            </w:pPr>
            <w:r w:rsidRPr="00842AED">
              <w:rPr>
                <w:szCs w:val="26"/>
              </w:rPr>
              <w:t>n/a</w:t>
            </w:r>
          </w:p>
        </w:tc>
        <w:tc>
          <w:tcPr>
            <w:tcW w:w="2160" w:type="dxa"/>
            <w:vAlign w:val="center"/>
          </w:tcPr>
          <w:p w:rsidRPr="00842AED" w:rsidR="00354CDC" w:rsidP="00842AED" w:rsidRDefault="00354CDC" w14:paraId="7A62750E" w14:textId="37D521CE">
            <w:pPr>
              <w:pStyle w:val="Standard"/>
              <w:spacing w:line="240" w:lineRule="auto"/>
              <w:ind w:firstLine="0"/>
              <w:jc w:val="center"/>
              <w:rPr>
                <w:szCs w:val="26"/>
              </w:rPr>
            </w:pPr>
            <w:r w:rsidRPr="00842AED">
              <w:rPr>
                <w:szCs w:val="26"/>
              </w:rPr>
              <w:t>97,556</w:t>
            </w:r>
          </w:p>
        </w:tc>
      </w:tr>
      <w:tr w:rsidR="00354CDC" w:rsidTr="00842AED" w14:paraId="70BD123F" w14:textId="77777777">
        <w:tc>
          <w:tcPr>
            <w:tcW w:w="1531" w:type="dxa"/>
            <w:vAlign w:val="center"/>
          </w:tcPr>
          <w:p w:rsidRPr="00842AED" w:rsidR="00354CDC" w:rsidP="00842AED" w:rsidRDefault="00354CDC" w14:paraId="09DBA4E2" w14:textId="621DC150">
            <w:pPr>
              <w:pStyle w:val="Standard"/>
              <w:spacing w:line="240" w:lineRule="auto"/>
              <w:ind w:firstLine="0"/>
              <w:jc w:val="center"/>
              <w:rPr>
                <w:szCs w:val="26"/>
              </w:rPr>
            </w:pPr>
            <w:r w:rsidRPr="00842AED">
              <w:rPr>
                <w:szCs w:val="26"/>
              </w:rPr>
              <w:t>Liberty Apple Valley</w:t>
            </w:r>
          </w:p>
        </w:tc>
        <w:tc>
          <w:tcPr>
            <w:tcW w:w="1498" w:type="dxa"/>
            <w:vAlign w:val="center"/>
          </w:tcPr>
          <w:p w:rsidRPr="00842AED" w:rsidR="00354CDC" w:rsidP="00842AED" w:rsidRDefault="00354CDC" w14:paraId="4A511C96" w14:textId="4531B59C">
            <w:pPr>
              <w:pStyle w:val="Standard"/>
              <w:spacing w:line="240" w:lineRule="auto"/>
              <w:ind w:firstLine="0"/>
              <w:jc w:val="center"/>
              <w:rPr>
                <w:szCs w:val="26"/>
              </w:rPr>
            </w:pPr>
            <w:r w:rsidRPr="00842AED">
              <w:rPr>
                <w:szCs w:val="26"/>
              </w:rPr>
              <w:t>7310.</w:t>
            </w:r>
            <w:r w:rsidRPr="00842AED" w:rsidR="0046169A">
              <w:rPr>
                <w:szCs w:val="26"/>
              </w:rPr>
              <w:t>90</w:t>
            </w:r>
          </w:p>
        </w:tc>
        <w:tc>
          <w:tcPr>
            <w:tcW w:w="1525" w:type="dxa"/>
            <w:vAlign w:val="center"/>
          </w:tcPr>
          <w:p w:rsidRPr="00842AED" w:rsidR="00354CDC" w:rsidP="00842AED" w:rsidRDefault="00354CDC" w14:paraId="24C27FF5" w14:textId="0F1B8E4E">
            <w:pPr>
              <w:pStyle w:val="Standard"/>
              <w:spacing w:line="240" w:lineRule="auto"/>
              <w:ind w:firstLine="0"/>
              <w:jc w:val="center"/>
              <w:rPr>
                <w:szCs w:val="26"/>
              </w:rPr>
            </w:pPr>
            <w:r w:rsidRPr="00842AED">
              <w:rPr>
                <w:rFonts w:eastAsia="Times New Roman" w:cs="Calibri"/>
                <w:color w:val="000000"/>
                <w:szCs w:val="26"/>
              </w:rPr>
              <w:t>309,000</w:t>
            </w:r>
          </w:p>
        </w:tc>
        <w:tc>
          <w:tcPr>
            <w:tcW w:w="2731" w:type="dxa"/>
            <w:vAlign w:val="center"/>
          </w:tcPr>
          <w:p w:rsidRPr="00842AED" w:rsidR="00354CDC" w:rsidP="00842AED" w:rsidRDefault="00354CDC" w14:paraId="54B3AF32" w14:textId="0D3F7854">
            <w:pPr>
              <w:pStyle w:val="Standard"/>
              <w:spacing w:line="240" w:lineRule="auto"/>
              <w:ind w:firstLine="0"/>
              <w:jc w:val="center"/>
              <w:rPr>
                <w:szCs w:val="26"/>
              </w:rPr>
            </w:pPr>
            <w:r w:rsidRPr="00842AED">
              <w:rPr>
                <w:szCs w:val="26"/>
              </w:rPr>
              <w:t>36,258</w:t>
            </w:r>
          </w:p>
        </w:tc>
        <w:tc>
          <w:tcPr>
            <w:tcW w:w="2160" w:type="dxa"/>
            <w:vAlign w:val="center"/>
          </w:tcPr>
          <w:p w:rsidRPr="00842AED" w:rsidR="00354CDC" w:rsidP="00842AED" w:rsidRDefault="00354CDC" w14:paraId="0C54FF2A" w14:textId="2BF65229">
            <w:pPr>
              <w:pStyle w:val="Standard"/>
              <w:spacing w:line="240" w:lineRule="auto"/>
              <w:ind w:firstLine="0"/>
              <w:jc w:val="center"/>
              <w:rPr>
                <w:szCs w:val="26"/>
              </w:rPr>
            </w:pPr>
            <w:r w:rsidRPr="00842AED">
              <w:rPr>
                <w:szCs w:val="26"/>
              </w:rPr>
              <w:t>79,506</w:t>
            </w:r>
          </w:p>
        </w:tc>
      </w:tr>
      <w:tr w:rsidR="00354CDC" w:rsidTr="00842AED" w14:paraId="2601C05C" w14:textId="77777777">
        <w:tc>
          <w:tcPr>
            <w:tcW w:w="1531" w:type="dxa"/>
            <w:vAlign w:val="center"/>
          </w:tcPr>
          <w:p w:rsidRPr="00842AED" w:rsidR="00354CDC" w:rsidP="00842AED" w:rsidRDefault="00354CDC" w14:paraId="1C64FEB3" w14:textId="44839997">
            <w:pPr>
              <w:pStyle w:val="Standard"/>
              <w:spacing w:line="240" w:lineRule="auto"/>
              <w:ind w:firstLine="0"/>
              <w:jc w:val="center"/>
              <w:rPr>
                <w:szCs w:val="26"/>
              </w:rPr>
            </w:pPr>
            <w:r w:rsidRPr="00842AED">
              <w:rPr>
                <w:szCs w:val="26"/>
              </w:rPr>
              <w:t>Liberty Park</w:t>
            </w:r>
          </w:p>
        </w:tc>
        <w:tc>
          <w:tcPr>
            <w:tcW w:w="1498" w:type="dxa"/>
            <w:vAlign w:val="center"/>
          </w:tcPr>
          <w:p w:rsidRPr="00842AED" w:rsidR="00354CDC" w:rsidP="00842AED" w:rsidRDefault="00354CDC" w14:paraId="698BED65" w14:textId="0DBFB469">
            <w:pPr>
              <w:pStyle w:val="Standard"/>
              <w:spacing w:line="240" w:lineRule="auto"/>
              <w:ind w:firstLine="0"/>
              <w:jc w:val="center"/>
              <w:rPr>
                <w:szCs w:val="26"/>
              </w:rPr>
            </w:pPr>
            <w:r w:rsidRPr="00842AED">
              <w:rPr>
                <w:szCs w:val="26"/>
              </w:rPr>
              <w:t>7310.10</w:t>
            </w:r>
          </w:p>
        </w:tc>
        <w:tc>
          <w:tcPr>
            <w:tcW w:w="1525" w:type="dxa"/>
            <w:vAlign w:val="center"/>
          </w:tcPr>
          <w:p w:rsidRPr="00842AED" w:rsidR="00354CDC" w:rsidP="00842AED" w:rsidRDefault="00C71B19" w14:paraId="381F29C3" w14:textId="13C96375">
            <w:pPr>
              <w:pStyle w:val="Standard"/>
              <w:spacing w:line="240" w:lineRule="auto"/>
              <w:ind w:firstLine="0"/>
              <w:jc w:val="center"/>
              <w:rPr>
                <w:szCs w:val="26"/>
              </w:rPr>
            </w:pPr>
            <w:r w:rsidRPr="00842AED">
              <w:rPr>
                <w:szCs w:val="26"/>
              </w:rPr>
              <w:t>130,651</w:t>
            </w:r>
          </w:p>
        </w:tc>
        <w:tc>
          <w:tcPr>
            <w:tcW w:w="2731" w:type="dxa"/>
            <w:vAlign w:val="center"/>
          </w:tcPr>
          <w:p w:rsidRPr="00842AED" w:rsidR="00354CDC" w:rsidP="00842AED" w:rsidRDefault="00C71B19" w14:paraId="1E91F12A" w14:textId="403BB28A">
            <w:pPr>
              <w:pStyle w:val="Standard"/>
              <w:spacing w:line="240" w:lineRule="auto"/>
              <w:ind w:firstLine="0"/>
              <w:jc w:val="center"/>
              <w:rPr>
                <w:szCs w:val="26"/>
              </w:rPr>
            </w:pPr>
            <w:r w:rsidRPr="00842AED">
              <w:rPr>
                <w:szCs w:val="26"/>
              </w:rPr>
              <w:t>n/a</w:t>
            </w:r>
          </w:p>
        </w:tc>
        <w:tc>
          <w:tcPr>
            <w:tcW w:w="2160" w:type="dxa"/>
            <w:vAlign w:val="center"/>
          </w:tcPr>
          <w:p w:rsidRPr="00842AED" w:rsidR="00354CDC" w:rsidP="00842AED" w:rsidRDefault="00C71B19" w14:paraId="5FDD8B22" w14:textId="164F2B5B">
            <w:pPr>
              <w:pStyle w:val="Standard"/>
              <w:spacing w:line="240" w:lineRule="auto"/>
              <w:ind w:firstLine="0"/>
              <w:jc w:val="center"/>
              <w:rPr>
                <w:szCs w:val="26"/>
              </w:rPr>
            </w:pPr>
            <w:r w:rsidRPr="00842AED">
              <w:rPr>
                <w:szCs w:val="26"/>
              </w:rPr>
              <w:t>113,585</w:t>
            </w:r>
          </w:p>
        </w:tc>
      </w:tr>
      <w:tr w:rsidR="00354CDC" w:rsidTr="00842AED" w14:paraId="39C7F558" w14:textId="77777777">
        <w:tc>
          <w:tcPr>
            <w:tcW w:w="1531" w:type="dxa"/>
            <w:vAlign w:val="center"/>
          </w:tcPr>
          <w:p w:rsidRPr="00842AED" w:rsidR="00354CDC" w:rsidP="00842AED" w:rsidRDefault="00354CDC" w14:paraId="1378CBAC" w14:textId="6CD4509A">
            <w:pPr>
              <w:pStyle w:val="Standard"/>
              <w:spacing w:line="240" w:lineRule="auto"/>
              <w:ind w:firstLine="0"/>
              <w:jc w:val="center"/>
              <w:rPr>
                <w:szCs w:val="26"/>
              </w:rPr>
            </w:pPr>
            <w:r w:rsidRPr="00842AED">
              <w:rPr>
                <w:szCs w:val="26"/>
              </w:rPr>
              <w:t>Liberty Park</w:t>
            </w:r>
          </w:p>
        </w:tc>
        <w:tc>
          <w:tcPr>
            <w:tcW w:w="1498" w:type="dxa"/>
            <w:vAlign w:val="center"/>
          </w:tcPr>
          <w:p w:rsidRPr="00842AED" w:rsidR="00354CDC" w:rsidP="00842AED" w:rsidRDefault="00354CDC" w14:paraId="1C2A46E6" w14:textId="0E78C6F6">
            <w:pPr>
              <w:pStyle w:val="Standard"/>
              <w:spacing w:line="240" w:lineRule="auto"/>
              <w:ind w:firstLine="0"/>
              <w:jc w:val="center"/>
              <w:rPr>
                <w:szCs w:val="26"/>
              </w:rPr>
            </w:pPr>
            <w:r w:rsidRPr="00842AED">
              <w:rPr>
                <w:szCs w:val="26"/>
              </w:rPr>
              <w:t>7310.12</w:t>
            </w:r>
          </w:p>
        </w:tc>
        <w:tc>
          <w:tcPr>
            <w:tcW w:w="1525" w:type="dxa"/>
            <w:vAlign w:val="center"/>
          </w:tcPr>
          <w:p w:rsidRPr="00842AED" w:rsidR="00354CDC" w:rsidP="00842AED" w:rsidRDefault="00C71B19" w14:paraId="1CEEAEFD" w14:textId="2FF92EDC">
            <w:pPr>
              <w:pStyle w:val="Standard"/>
              <w:spacing w:line="240" w:lineRule="auto"/>
              <w:ind w:firstLine="0"/>
              <w:jc w:val="center"/>
              <w:rPr>
                <w:szCs w:val="26"/>
              </w:rPr>
            </w:pPr>
            <w:r w:rsidRPr="00842AED">
              <w:rPr>
                <w:szCs w:val="26"/>
              </w:rPr>
              <w:t>0</w:t>
            </w:r>
          </w:p>
        </w:tc>
        <w:tc>
          <w:tcPr>
            <w:tcW w:w="2731" w:type="dxa"/>
            <w:vAlign w:val="center"/>
          </w:tcPr>
          <w:p w:rsidRPr="00842AED" w:rsidR="00354CDC" w:rsidP="00842AED" w:rsidRDefault="00C71B19" w14:paraId="0BBBD3B0" w14:textId="2CE15317">
            <w:pPr>
              <w:pStyle w:val="Standard"/>
              <w:spacing w:line="240" w:lineRule="auto"/>
              <w:ind w:firstLine="0"/>
              <w:jc w:val="center"/>
              <w:rPr>
                <w:szCs w:val="26"/>
              </w:rPr>
            </w:pPr>
            <w:r w:rsidRPr="00842AED">
              <w:rPr>
                <w:szCs w:val="26"/>
              </w:rPr>
              <w:t>n/a</w:t>
            </w:r>
          </w:p>
        </w:tc>
        <w:tc>
          <w:tcPr>
            <w:tcW w:w="2160" w:type="dxa"/>
            <w:vAlign w:val="center"/>
          </w:tcPr>
          <w:p w:rsidRPr="00842AED" w:rsidR="00354CDC" w:rsidP="00842AED" w:rsidRDefault="00C71B19" w14:paraId="3FB4CE1F" w14:textId="7B6C7E75">
            <w:pPr>
              <w:pStyle w:val="Standard"/>
              <w:spacing w:line="240" w:lineRule="auto"/>
              <w:ind w:firstLine="0"/>
              <w:jc w:val="center"/>
              <w:rPr>
                <w:szCs w:val="26"/>
              </w:rPr>
            </w:pPr>
            <w:r w:rsidRPr="00842AED">
              <w:rPr>
                <w:szCs w:val="26"/>
              </w:rPr>
              <w:t>70,988</w:t>
            </w:r>
          </w:p>
        </w:tc>
      </w:tr>
      <w:tr w:rsidR="00354CDC" w:rsidTr="00842AED" w14:paraId="403B9E8B" w14:textId="77777777">
        <w:tc>
          <w:tcPr>
            <w:tcW w:w="1531" w:type="dxa"/>
            <w:vAlign w:val="center"/>
          </w:tcPr>
          <w:p w:rsidRPr="00842AED" w:rsidR="00354CDC" w:rsidP="00842AED" w:rsidRDefault="00354CDC" w14:paraId="5AEC3B56" w14:textId="28250368">
            <w:pPr>
              <w:pStyle w:val="Standard"/>
              <w:spacing w:line="240" w:lineRule="auto"/>
              <w:ind w:firstLine="0"/>
              <w:jc w:val="center"/>
              <w:rPr>
                <w:szCs w:val="26"/>
              </w:rPr>
            </w:pPr>
            <w:r w:rsidRPr="00842AED">
              <w:rPr>
                <w:szCs w:val="26"/>
              </w:rPr>
              <w:t>Liberty Park</w:t>
            </w:r>
          </w:p>
        </w:tc>
        <w:tc>
          <w:tcPr>
            <w:tcW w:w="1498" w:type="dxa"/>
            <w:vAlign w:val="center"/>
          </w:tcPr>
          <w:p w:rsidRPr="00842AED" w:rsidR="00354CDC" w:rsidP="00842AED" w:rsidRDefault="00354CDC" w14:paraId="33AD38D2" w14:textId="1650B3A2">
            <w:pPr>
              <w:pStyle w:val="Standard"/>
              <w:spacing w:line="240" w:lineRule="auto"/>
              <w:ind w:firstLine="0"/>
              <w:jc w:val="center"/>
              <w:rPr>
                <w:szCs w:val="26"/>
              </w:rPr>
            </w:pPr>
            <w:r w:rsidRPr="00842AED">
              <w:rPr>
                <w:szCs w:val="26"/>
              </w:rPr>
              <w:t>7310.</w:t>
            </w:r>
            <w:r w:rsidRPr="00842AED" w:rsidR="0046169A">
              <w:rPr>
                <w:szCs w:val="26"/>
              </w:rPr>
              <w:t>90</w:t>
            </w:r>
          </w:p>
        </w:tc>
        <w:tc>
          <w:tcPr>
            <w:tcW w:w="1525" w:type="dxa"/>
            <w:vAlign w:val="center"/>
          </w:tcPr>
          <w:p w:rsidRPr="00842AED" w:rsidR="00354CDC" w:rsidP="00842AED" w:rsidRDefault="00C71B19" w14:paraId="17699D51" w14:textId="095B175B">
            <w:pPr>
              <w:pStyle w:val="Standard"/>
              <w:spacing w:line="240" w:lineRule="auto"/>
              <w:ind w:firstLine="0"/>
              <w:jc w:val="center"/>
              <w:rPr>
                <w:szCs w:val="26"/>
              </w:rPr>
            </w:pPr>
            <w:r w:rsidRPr="00842AED">
              <w:rPr>
                <w:szCs w:val="26"/>
              </w:rPr>
              <w:t>791</w:t>
            </w:r>
          </w:p>
        </w:tc>
        <w:tc>
          <w:tcPr>
            <w:tcW w:w="2731" w:type="dxa"/>
            <w:vAlign w:val="center"/>
          </w:tcPr>
          <w:p w:rsidRPr="00842AED" w:rsidR="00354CDC" w:rsidP="00842AED" w:rsidRDefault="00C71B19" w14:paraId="49C4FBC6" w14:textId="6386AA43">
            <w:pPr>
              <w:pStyle w:val="Standard"/>
              <w:spacing w:line="240" w:lineRule="auto"/>
              <w:ind w:firstLine="0"/>
              <w:jc w:val="center"/>
              <w:rPr>
                <w:szCs w:val="26"/>
              </w:rPr>
            </w:pPr>
            <w:r w:rsidRPr="00842AED">
              <w:rPr>
                <w:szCs w:val="26"/>
              </w:rPr>
              <w:t>n/a</w:t>
            </w:r>
          </w:p>
        </w:tc>
        <w:tc>
          <w:tcPr>
            <w:tcW w:w="2160" w:type="dxa"/>
            <w:vAlign w:val="center"/>
          </w:tcPr>
          <w:p w:rsidRPr="00842AED" w:rsidR="00354CDC" w:rsidP="00842AED" w:rsidRDefault="00C71B19" w14:paraId="24FBC27C" w14:textId="0C3C47AB">
            <w:pPr>
              <w:pStyle w:val="Standard"/>
              <w:spacing w:line="240" w:lineRule="auto"/>
              <w:ind w:firstLine="0"/>
              <w:jc w:val="center"/>
              <w:rPr>
                <w:szCs w:val="26"/>
              </w:rPr>
            </w:pPr>
            <w:r w:rsidRPr="00842AED">
              <w:rPr>
                <w:szCs w:val="26"/>
              </w:rPr>
              <w:t>0</w:t>
            </w:r>
          </w:p>
        </w:tc>
      </w:tr>
    </w:tbl>
    <w:p w:rsidRPr="00842AED" w:rsidR="0051151A" w:rsidP="00477D6E" w:rsidRDefault="0051151A" w14:paraId="6E45A5E2" w14:textId="77777777">
      <w:pPr>
        <w:pStyle w:val="Standard"/>
        <w:rPr>
          <w:sz w:val="10"/>
          <w:szCs w:val="10"/>
        </w:rPr>
      </w:pPr>
    </w:p>
    <w:p w:rsidR="000B4BEE" w:rsidP="000B4BEE" w:rsidRDefault="000B4BEE" w14:paraId="6CA67897" w14:textId="7230CC7D">
      <w:pPr>
        <w:pStyle w:val="Heading3"/>
      </w:pPr>
      <w:bookmarkStart w:name="_Toc46478780" w:id="31"/>
      <w:r>
        <w:lastRenderedPageBreak/>
        <w:t>Liberty Apple Valley, Temporary Labor</w:t>
      </w:r>
      <w:bookmarkEnd w:id="31"/>
    </w:p>
    <w:p w:rsidR="000B4BEE" w:rsidP="000B4BEE" w:rsidRDefault="00E46AA8" w14:paraId="5521DB5C" w14:textId="135593C8">
      <w:pPr>
        <w:pStyle w:val="Standard"/>
      </w:pPr>
      <w:r>
        <w:t xml:space="preserve">The Public Advocates Office </w:t>
      </w:r>
      <w:proofErr w:type="gramStart"/>
      <w:r w:rsidR="004117DE">
        <w:t>contends</w:t>
      </w:r>
      <w:proofErr w:type="gramEnd"/>
      <w:r w:rsidR="004117DE">
        <w:t xml:space="preserve"> and we agree that </w:t>
      </w:r>
      <w:r>
        <w:t>Liberty Apple Valley has not justified the need for the position of Liberty Apple Valley’s part-time employee</w:t>
      </w:r>
      <w:r w:rsidR="00847023">
        <w:t xml:space="preserve"> </w:t>
      </w:r>
      <w:r w:rsidR="00FE135D">
        <w:t>for</w:t>
      </w:r>
      <w:r w:rsidR="00847023">
        <w:t xml:space="preserve"> </w:t>
      </w:r>
      <w:proofErr w:type="spellStart"/>
      <w:r w:rsidR="00847023">
        <w:t>Yermo</w:t>
      </w:r>
      <w:proofErr w:type="spellEnd"/>
      <w:r>
        <w:t>.</w:t>
      </w:r>
      <w:r w:rsidR="00842AED">
        <w:t xml:space="preserve"> </w:t>
      </w:r>
      <w:r w:rsidR="004117DE">
        <w:t>Moreover, s</w:t>
      </w:r>
      <w:r w:rsidR="00847023">
        <w:t>ince Liberty Apple Valley explains that the work of this part-time employee was historically charged to the payroll (distributed amongst several other employees)</w:t>
      </w:r>
      <w:r w:rsidR="004117DE">
        <w:t>,</w:t>
      </w:r>
      <w:r w:rsidR="00847023">
        <w:t xml:space="preserve"> these costs should already be reflected in the </w:t>
      </w:r>
      <w:proofErr w:type="spellStart"/>
      <w:r w:rsidR="00847023">
        <w:t>Yermo</w:t>
      </w:r>
      <w:proofErr w:type="spellEnd"/>
      <w:r w:rsidR="00847023">
        <w:t xml:space="preserve"> payroll, which Liberty Apple Valley and the Public </w:t>
      </w:r>
      <w:r w:rsidR="00F2442A">
        <w:t>Advocates</w:t>
      </w:r>
      <w:r w:rsidR="00847023">
        <w:t xml:space="preserve"> Office agreed upon.</w:t>
      </w:r>
      <w:r w:rsidR="004117DE">
        <w:t xml:space="preserve"> </w:t>
      </w:r>
      <w:r w:rsidR="00847023">
        <w:t>Therefore</w:t>
      </w:r>
      <w:r w:rsidR="004117DE">
        <w:t>,</w:t>
      </w:r>
      <w:r w:rsidR="00847023">
        <w:t xml:space="preserve"> the part-time employee and associated benefits are denied. </w:t>
      </w:r>
    </w:p>
    <w:p w:rsidR="00E46AA8" w:rsidP="00923A9B" w:rsidRDefault="00E46AA8" w14:paraId="2755B701" w14:textId="3D06AB54">
      <w:pPr>
        <w:pStyle w:val="Heading2"/>
      </w:pPr>
      <w:bookmarkStart w:name="_Toc46478781" w:id="32"/>
      <w:r>
        <w:t xml:space="preserve">Administrative and General </w:t>
      </w:r>
      <w:r w:rsidR="004E1326">
        <w:t>Expenses</w:t>
      </w:r>
      <w:bookmarkEnd w:id="32"/>
    </w:p>
    <w:p w:rsidR="00467D51" w:rsidP="008F0B75" w:rsidRDefault="00467D51" w14:paraId="74D282AA" w14:textId="5B7A6CF2">
      <w:pPr>
        <w:pStyle w:val="Standard"/>
      </w:pPr>
      <w:r w:rsidRPr="00467D51">
        <w:t>With slight adjustments to forecasting bases, overall corporate amounts, and the denial of two new requested positions, we approve $6,</w:t>
      </w:r>
      <w:r w:rsidR="00211260">
        <w:t>604,958</w:t>
      </w:r>
      <w:r w:rsidRPr="00467D51">
        <w:t xml:space="preserve"> million for Liberty Park and $6,</w:t>
      </w:r>
      <w:r w:rsidR="0002016D">
        <w:t>475,355</w:t>
      </w:r>
      <w:r w:rsidRPr="00467D51">
        <w:t xml:space="preserve"> million for Liberty Apple Valley for Administrative and General costs in the test year.</w:t>
      </w:r>
      <w:r>
        <w:t xml:space="preserve"> </w:t>
      </w:r>
    </w:p>
    <w:p w:rsidR="00FD1750" w:rsidP="008F0B75" w:rsidRDefault="000D44B1" w14:paraId="1E0E84B9" w14:textId="527A8626">
      <w:pPr>
        <w:pStyle w:val="Standard"/>
      </w:pPr>
      <w:r>
        <w:t xml:space="preserve">Liberty </w:t>
      </w:r>
      <w:r w:rsidR="00287EC7">
        <w:t>Park proposes $6</w:t>
      </w:r>
      <w:r w:rsidR="00EB47FC">
        <w:t>.</w:t>
      </w:r>
      <w:r w:rsidR="00287EC7">
        <w:t>98</w:t>
      </w:r>
      <w:r w:rsidR="00EB47FC">
        <w:t>6</w:t>
      </w:r>
      <w:r w:rsidR="00287EC7">
        <w:t xml:space="preserve"> million for Administrative and General costs in the test year, compared to the Public Advocates Office $5</w:t>
      </w:r>
      <w:r w:rsidR="00EB47FC">
        <w:t>.</w:t>
      </w:r>
      <w:r w:rsidR="00287EC7">
        <w:t xml:space="preserve">633 </w:t>
      </w:r>
      <w:r w:rsidR="007132B2">
        <w:t xml:space="preserve">million </w:t>
      </w:r>
      <w:r w:rsidR="00287EC7">
        <w:t>recommendation, a difference of nearly 20 percent.</w:t>
      </w:r>
      <w:r w:rsidR="00842AED">
        <w:t xml:space="preserve"> </w:t>
      </w:r>
      <w:r w:rsidR="00287EC7">
        <w:t>Liberty Apple Valley proposes $6</w:t>
      </w:r>
      <w:r w:rsidR="003D434D">
        <w:t>.</w:t>
      </w:r>
      <w:r w:rsidR="00287EC7">
        <w:t>723 million for Administrative and General costs in the test year, compared the Public Advocates Office recommendation of $4</w:t>
      </w:r>
      <w:r w:rsidR="00136EB3">
        <w:t>.</w:t>
      </w:r>
      <w:r w:rsidR="00287EC7">
        <w:t>871 million, a 30</w:t>
      </w:r>
      <w:r w:rsidR="00842AED">
        <w:t> </w:t>
      </w:r>
      <w:r w:rsidR="00287EC7">
        <w:t>percent difference.</w:t>
      </w:r>
      <w:r w:rsidR="00842AED">
        <w:t xml:space="preserve"> </w:t>
      </w:r>
    </w:p>
    <w:p w:rsidR="004117DE" w:rsidP="008F0B75" w:rsidRDefault="00FD1750" w14:paraId="56DCD1B9" w14:textId="653A62DE">
      <w:pPr>
        <w:pStyle w:val="Standard"/>
      </w:pPr>
      <w:r>
        <w:t xml:space="preserve">Most of the parties’ differences stem from the corporate overhead </w:t>
      </w:r>
      <w:r w:rsidR="00953575">
        <w:t>allocations</w:t>
      </w:r>
      <w:r w:rsidR="00270066">
        <w:t xml:space="preserve">, </w:t>
      </w:r>
      <w:r w:rsidR="00953575">
        <w:t>called the General Office</w:t>
      </w:r>
      <w:r w:rsidR="00601E88">
        <w:t>/Downey</w:t>
      </w:r>
      <w:r w:rsidR="00953575">
        <w:t xml:space="preserve"> allocation within the Administrative and General Expenses</w:t>
      </w:r>
      <w:r w:rsidR="00270066">
        <w:t>.</w:t>
      </w:r>
      <w:r w:rsidR="00842AED">
        <w:t xml:space="preserve"> </w:t>
      </w:r>
      <w:r w:rsidR="000D44B1">
        <w:t>Liberty’s general office and corporate services functions are performed in</w:t>
      </w:r>
      <w:r w:rsidR="002C2180">
        <w:t xml:space="preserve"> Liberty Park’s office</w:t>
      </w:r>
      <w:r w:rsidR="00D75D74">
        <w:t xml:space="preserve"> in Downey, California. </w:t>
      </w:r>
      <w:r w:rsidR="00842AED">
        <w:t xml:space="preserve"> </w:t>
      </w:r>
      <w:r w:rsidR="00D75D74">
        <w:t xml:space="preserve">The </w:t>
      </w:r>
      <w:r w:rsidR="008D7261">
        <w:t>spending</w:t>
      </w:r>
      <w:r w:rsidR="00910009">
        <w:t>, capital assets,</w:t>
      </w:r>
      <w:r w:rsidR="008D7261">
        <w:t xml:space="preserve"> and </w:t>
      </w:r>
      <w:r w:rsidR="00910009">
        <w:t xml:space="preserve">carrying costs associated with its </w:t>
      </w:r>
      <w:r w:rsidR="008D7261">
        <w:t xml:space="preserve">capital </w:t>
      </w:r>
      <w:r w:rsidR="00910009">
        <w:t>assets</w:t>
      </w:r>
      <w:r w:rsidR="008D7261">
        <w:t xml:space="preserve"> </w:t>
      </w:r>
      <w:r w:rsidR="000D44B1">
        <w:lastRenderedPageBreak/>
        <w:t xml:space="preserve">for General Office/Downey </w:t>
      </w:r>
      <w:r w:rsidR="008D7261">
        <w:t>are allocated among all the companies that utilize these corporate services.</w:t>
      </w:r>
      <w:r w:rsidR="00842AED">
        <w:t xml:space="preserve"> </w:t>
      </w:r>
    </w:p>
    <w:p w:rsidR="003C0429" w:rsidP="008F0B75" w:rsidRDefault="008D7261" w14:paraId="58D113AE" w14:textId="08235276">
      <w:pPr>
        <w:pStyle w:val="Standard"/>
      </w:pPr>
      <w:r>
        <w:t>The General Office</w:t>
      </w:r>
      <w:r w:rsidR="00601E88">
        <w:t>/Downey</w:t>
      </w:r>
      <w:r>
        <w:t xml:space="preserve"> operations</w:t>
      </w:r>
      <w:r w:rsidR="00D75D74">
        <w:t xml:space="preserve"> </w:t>
      </w:r>
      <w:r w:rsidR="00CB47B1">
        <w:t xml:space="preserve">were last reviewed in the Liberty Apple Valley </w:t>
      </w:r>
      <w:r w:rsidR="00653BCC">
        <w:t xml:space="preserve">TY </w:t>
      </w:r>
      <w:r w:rsidR="00CB47B1">
        <w:t xml:space="preserve">2015 </w:t>
      </w:r>
      <w:r w:rsidR="004117DE">
        <w:t>GRC</w:t>
      </w:r>
      <w:r w:rsidR="00CB47B1">
        <w:t xml:space="preserve">. During Liberty Park’s </w:t>
      </w:r>
      <w:r w:rsidR="004117DE">
        <w:t>GRC</w:t>
      </w:r>
      <w:r w:rsidR="00CB47B1">
        <w:t xml:space="preserve"> for T</w:t>
      </w:r>
      <w:r w:rsidR="00653BCC">
        <w:t xml:space="preserve">Y </w:t>
      </w:r>
      <w:r w:rsidR="00CB47B1">
        <w:t xml:space="preserve">2016, </w:t>
      </w:r>
      <w:r w:rsidR="004117DE">
        <w:t xml:space="preserve">the </w:t>
      </w:r>
      <w:r w:rsidR="00CB47B1">
        <w:t>parties agreed to base the General Office</w:t>
      </w:r>
      <w:r w:rsidR="00601E88">
        <w:t>/Downey</w:t>
      </w:r>
      <w:r w:rsidR="00CB47B1">
        <w:t xml:space="preserve"> authorized expenses from the Liberty Apple Valley </w:t>
      </w:r>
      <w:r w:rsidR="007621CB">
        <w:t>2015 GRC</w:t>
      </w:r>
      <w:r w:rsidR="00CB47B1">
        <w:t xml:space="preserve">. </w:t>
      </w:r>
    </w:p>
    <w:p w:rsidR="00467D51" w:rsidP="008F0B75" w:rsidRDefault="00672567" w14:paraId="05E35A47" w14:textId="02B27182">
      <w:pPr>
        <w:pStyle w:val="Standard"/>
      </w:pPr>
      <w:r>
        <w:t>Before 2015</w:t>
      </w:r>
      <w:r w:rsidR="0086782C">
        <w:t>,</w:t>
      </w:r>
      <w:r w:rsidR="003C0429">
        <w:t xml:space="preserve"> </w:t>
      </w:r>
      <w:r>
        <w:t>the General Office</w:t>
      </w:r>
      <w:r w:rsidR="00601E88">
        <w:t>/Downey</w:t>
      </w:r>
      <w:r>
        <w:t xml:space="preserve"> provided corporate</w:t>
      </w:r>
      <w:r w:rsidR="003C0429">
        <w:t xml:space="preserve"> support</w:t>
      </w:r>
      <w:r>
        <w:t xml:space="preserve"> for</w:t>
      </w:r>
      <w:r w:rsidR="003C0429">
        <w:t xml:space="preserve"> Liberty Park, Liberty Apple Valley, and a third water company in Montana, Mountain Water Company. </w:t>
      </w:r>
      <w:r w:rsidR="003B1098">
        <w:t>Then, t</w:t>
      </w:r>
      <w:r w:rsidR="003C0429">
        <w:t>he General Office</w:t>
      </w:r>
      <w:r w:rsidR="00601E88">
        <w:t>/Downey</w:t>
      </w:r>
      <w:r w:rsidR="003C0429">
        <w:t xml:space="preserve"> total costs were allocated approximately 42</w:t>
      </w:r>
      <w:r w:rsidR="00E266F3">
        <w:t xml:space="preserve"> percent</w:t>
      </w:r>
      <w:r w:rsidR="003C0429">
        <w:t xml:space="preserve"> to Liberty Park,</w:t>
      </w:r>
      <w:r w:rsidR="00AD60EC">
        <w:rPr>
          <w:rStyle w:val="FootnoteReference"/>
        </w:rPr>
        <w:footnoteReference w:id="34"/>
      </w:r>
      <w:r w:rsidR="003C0429">
        <w:t xml:space="preserve"> 29</w:t>
      </w:r>
      <w:r w:rsidR="00E266F3">
        <w:t xml:space="preserve"> percent</w:t>
      </w:r>
      <w:r w:rsidR="003C0429">
        <w:t xml:space="preserve"> to Liberty Apple Valley</w:t>
      </w:r>
      <w:r w:rsidR="00F37AA4">
        <w:t>-Domestic and less than 1 percent to Liberty Apple Valley-Irrigation</w:t>
      </w:r>
      <w:r w:rsidR="003C0429">
        <w:t>,</w:t>
      </w:r>
      <w:r w:rsidR="00F37AA4">
        <w:rPr>
          <w:rStyle w:val="FootnoteReference"/>
        </w:rPr>
        <w:footnoteReference w:id="35"/>
      </w:r>
      <w:r w:rsidR="003C0429">
        <w:t xml:space="preserve"> and </w:t>
      </w:r>
      <w:r w:rsidR="000E38EF">
        <w:t>the remainder to</w:t>
      </w:r>
      <w:r w:rsidR="003C0429">
        <w:t xml:space="preserve"> Mountain Water Company.</w:t>
      </w:r>
      <w:r w:rsidR="00055F41">
        <w:t xml:space="preserve"> </w:t>
      </w:r>
      <w:r w:rsidR="005A07CF">
        <w:t xml:space="preserve">The </w:t>
      </w:r>
      <w:r w:rsidR="00DC3D90">
        <w:t>General Office</w:t>
      </w:r>
      <w:r w:rsidR="00601E88">
        <w:t>/Downey</w:t>
      </w:r>
      <w:r w:rsidR="005A07CF">
        <w:t xml:space="preserve"> experienced changes </w:t>
      </w:r>
      <w:proofErr w:type="gramStart"/>
      <w:r w:rsidR="005A07CF">
        <w:t xml:space="preserve">in </w:t>
      </w:r>
      <w:r w:rsidR="000D44B1">
        <w:t xml:space="preserve">the </w:t>
      </w:r>
      <w:r w:rsidR="005A07CF">
        <w:t>nature of its</w:t>
      </w:r>
      <w:proofErr w:type="gramEnd"/>
      <w:r w:rsidR="005A07CF">
        <w:t xml:space="preserve"> operations since the 2016 </w:t>
      </w:r>
      <w:r w:rsidR="009221A6">
        <w:t>acquisition</w:t>
      </w:r>
      <w:r w:rsidR="005A07CF">
        <w:t xml:space="preserve">. </w:t>
      </w:r>
      <w:r w:rsidR="00055F41">
        <w:t xml:space="preserve"> </w:t>
      </w:r>
      <w:r w:rsidR="005A07CF">
        <w:t xml:space="preserve">Among the most significant changes, </w:t>
      </w:r>
      <w:r w:rsidR="001B616C">
        <w:t>the</w:t>
      </w:r>
      <w:r w:rsidR="005A07CF">
        <w:t xml:space="preserve"> </w:t>
      </w:r>
      <w:r w:rsidR="00601E88">
        <w:t>General Office/</w:t>
      </w:r>
      <w:r w:rsidR="005A07CF">
        <w:t>Downey transformed into the headquarters of Liberty’s regulated utility operation</w:t>
      </w:r>
      <w:r w:rsidR="00F0120B">
        <w:t>s</w:t>
      </w:r>
      <w:r w:rsidR="005A07CF">
        <w:t xml:space="preserve"> in the </w:t>
      </w:r>
      <w:r w:rsidR="00936309">
        <w:t>W</w:t>
      </w:r>
      <w:r w:rsidR="005A07CF">
        <w:t>estern United States</w:t>
      </w:r>
      <w:r w:rsidR="00936309">
        <w:t xml:space="preserve"> </w:t>
      </w:r>
      <w:r w:rsidR="00670BC5">
        <w:t xml:space="preserve">and </w:t>
      </w:r>
      <w:r w:rsidR="00620BC2">
        <w:t>now supports a different group of regulated utilities in the Western U</w:t>
      </w:r>
      <w:r w:rsidR="004117DE">
        <w:t xml:space="preserve">nited </w:t>
      </w:r>
      <w:r w:rsidR="00620BC2">
        <w:t>S</w:t>
      </w:r>
      <w:r w:rsidR="004117DE">
        <w:t>tates</w:t>
      </w:r>
      <w:r w:rsidR="007E63CB">
        <w:t xml:space="preserve"> in addition to Liberty Park and Liberty Apple Valley.</w:t>
      </w:r>
      <w:r w:rsidR="00620BC2">
        <w:t xml:space="preserve"> </w:t>
      </w:r>
      <w:r w:rsidR="00055F41">
        <w:t xml:space="preserve"> </w:t>
      </w:r>
    </w:p>
    <w:p w:rsidR="00AE6AEC" w:rsidP="008F0B75" w:rsidRDefault="00620BC2" w14:paraId="23EFD6C8" w14:textId="2377A62C">
      <w:pPr>
        <w:pStyle w:val="Standard"/>
      </w:pPr>
      <w:r>
        <w:t>In 2017, the General Office</w:t>
      </w:r>
      <w:r w:rsidR="00601E88">
        <w:t>/Downey</w:t>
      </w:r>
      <w:r>
        <w:t xml:space="preserve"> total costs were</w:t>
      </w:r>
      <w:r w:rsidR="00274B4D">
        <w:t>, in effect,</w:t>
      </w:r>
      <w:r w:rsidR="00274B4D">
        <w:rPr>
          <w:rStyle w:val="FootnoteReference"/>
        </w:rPr>
        <w:footnoteReference w:id="36"/>
      </w:r>
      <w:r w:rsidR="00274B4D">
        <w:t xml:space="preserve"> </w:t>
      </w:r>
      <w:r>
        <w:t>allocated 39</w:t>
      </w:r>
      <w:r w:rsidR="00E266F3">
        <w:t xml:space="preserve"> percent</w:t>
      </w:r>
      <w:r>
        <w:t xml:space="preserve"> to Liberty Park, 3</w:t>
      </w:r>
      <w:r w:rsidR="00E242C7">
        <w:t>6</w:t>
      </w:r>
      <w:r w:rsidR="00E266F3">
        <w:t xml:space="preserve"> percent</w:t>
      </w:r>
      <w:r>
        <w:t xml:space="preserve"> to Liberty Apple Valley, and </w:t>
      </w:r>
      <w:r w:rsidR="0036613F">
        <w:t>25</w:t>
      </w:r>
      <w:r w:rsidR="00E266F3">
        <w:t xml:space="preserve"> percent</w:t>
      </w:r>
      <w:r>
        <w:t xml:space="preserve"> to </w:t>
      </w:r>
      <w:r w:rsidR="00C64B04">
        <w:t>remaining</w:t>
      </w:r>
      <w:r>
        <w:t xml:space="preserve"> a</w:t>
      </w:r>
      <w:r w:rsidR="007F2032">
        <w:t>ffiliates</w:t>
      </w:r>
      <w:r>
        <w:t xml:space="preserve"> (</w:t>
      </w:r>
      <w:r w:rsidR="00670BC5">
        <w:t xml:space="preserve">Liberty </w:t>
      </w:r>
      <w:proofErr w:type="spellStart"/>
      <w:r w:rsidR="00670BC5">
        <w:t>CalPeco</w:t>
      </w:r>
      <w:proofErr w:type="spellEnd"/>
      <w:r w:rsidR="00670BC5">
        <w:t xml:space="preserve">, a California electric utility, and Liberty </w:t>
      </w:r>
      <w:r w:rsidR="00670BC5">
        <w:lastRenderedPageBreak/>
        <w:t>Wate</w:t>
      </w:r>
      <w:r w:rsidR="00F02FD4">
        <w:t>r</w:t>
      </w:r>
      <w:r w:rsidR="004D0BA2">
        <w:t xml:space="preserve"> companies</w:t>
      </w:r>
      <w:r w:rsidR="00923579">
        <w:t xml:space="preserve"> in Arizona and Texas</w:t>
      </w:r>
      <w:r>
        <w:t>)</w:t>
      </w:r>
      <w:r w:rsidR="00F02FD4">
        <w:t>.</w:t>
      </w:r>
      <w:r w:rsidR="00670BC5">
        <w:t xml:space="preserve"> </w:t>
      </w:r>
      <w:r w:rsidR="008F185C">
        <w:t xml:space="preserve">Mountain Water Company </w:t>
      </w:r>
      <w:r w:rsidR="008C74D7">
        <w:t>was acquired by eminent domain</w:t>
      </w:r>
      <w:r w:rsidR="00910009">
        <w:t>, and 2016 was the last year that Liberty recorded costs associated with this company.</w:t>
      </w:r>
      <w:r w:rsidR="008F185C">
        <w:t xml:space="preserve"> </w:t>
      </w:r>
      <w:r w:rsidR="00E53F8F">
        <w:t xml:space="preserve">Also </w:t>
      </w:r>
      <w:r w:rsidR="00B444ED">
        <w:t>as a consequence of</w:t>
      </w:r>
      <w:r w:rsidR="00E53F8F">
        <w:t xml:space="preserve"> the </w:t>
      </w:r>
      <w:r w:rsidR="00AE620D">
        <w:t>acquisition</w:t>
      </w:r>
      <w:r w:rsidR="00E53F8F">
        <w:t>,</w:t>
      </w:r>
      <w:r w:rsidR="00416C70">
        <w:t xml:space="preserve"> </w:t>
      </w:r>
      <w:r w:rsidR="00E53F8F">
        <w:t xml:space="preserve">certain </w:t>
      </w:r>
      <w:r w:rsidR="00416C70">
        <w:t>corporate support</w:t>
      </w:r>
      <w:r w:rsidR="00247088">
        <w:t xml:space="preserve"> </w:t>
      </w:r>
      <w:r w:rsidR="00E53F8F">
        <w:t xml:space="preserve">functions </w:t>
      </w:r>
      <w:r w:rsidR="00601E88">
        <w:t>have shifted from</w:t>
      </w:r>
      <w:r w:rsidR="00E53F8F">
        <w:t xml:space="preserve"> the </w:t>
      </w:r>
      <w:r w:rsidR="00601E88">
        <w:t>General Office/</w:t>
      </w:r>
      <w:r w:rsidR="00EA26FA">
        <w:t>Downey</w:t>
      </w:r>
      <w:r w:rsidR="00E53F8F">
        <w:t xml:space="preserve"> and are instead performed out of </w:t>
      </w:r>
      <w:r w:rsidR="00601E88">
        <w:t xml:space="preserve">one of the </w:t>
      </w:r>
      <w:r w:rsidR="00EA26FA">
        <w:t>three corporate headquarters</w:t>
      </w:r>
      <w:r w:rsidR="00601E88">
        <w:t xml:space="preserve"> outside California</w:t>
      </w:r>
      <w:r w:rsidR="00EA26FA">
        <w:t xml:space="preserve">: </w:t>
      </w:r>
      <w:r w:rsidR="00DF097D">
        <w:t>Algonquin</w:t>
      </w:r>
      <w:r w:rsidR="00EA26FA">
        <w:t xml:space="preserve"> in Oakville, Canada</w:t>
      </w:r>
      <w:r w:rsidR="00DF1C52">
        <w:t>;</w:t>
      </w:r>
      <w:r w:rsidR="00EA26FA">
        <w:t xml:space="preserve"> Liberty Utilities-Canada</w:t>
      </w:r>
      <w:r w:rsidR="00D05DA3">
        <w:t xml:space="preserve"> (LUC)</w:t>
      </w:r>
      <w:r w:rsidR="00601E88">
        <w:t xml:space="preserve"> in Oakville, Canada</w:t>
      </w:r>
      <w:r w:rsidR="00EA26FA">
        <w:t>, and Liberty Utilities Services Corporation</w:t>
      </w:r>
      <w:r w:rsidR="00D05DA3">
        <w:t xml:space="preserve"> (LUSC)</w:t>
      </w:r>
      <w:r w:rsidR="00EA26FA">
        <w:t xml:space="preserve"> in the United States.</w:t>
      </w:r>
      <w:r w:rsidR="005A07CF">
        <w:t xml:space="preserve"> </w:t>
      </w:r>
    </w:p>
    <w:p w:rsidR="00E45D61" w:rsidP="008F0B75" w:rsidRDefault="003C0429" w14:paraId="71835413" w14:textId="0AEA4277">
      <w:pPr>
        <w:pStyle w:val="Standard"/>
      </w:pPr>
      <w:r>
        <w:t xml:space="preserve">In this rate case, </w:t>
      </w:r>
      <w:r w:rsidR="002D7A15">
        <w:t>Liberty</w:t>
      </w:r>
      <w:r w:rsidR="0086782C">
        <w:t xml:space="preserve"> </w:t>
      </w:r>
      <w:r w:rsidR="002D7A15">
        <w:t xml:space="preserve">and the Public Advocates Office differ on the projections </w:t>
      </w:r>
      <w:r w:rsidR="00DC5D8C">
        <w:t xml:space="preserve">of costs coming out of the corporate headquarters and the projections of common costs generated </w:t>
      </w:r>
      <w:r w:rsidR="00B85117">
        <w:t>from the General Office</w:t>
      </w:r>
      <w:r w:rsidR="00601E88">
        <w:t>/</w:t>
      </w:r>
      <w:r w:rsidR="00B85117">
        <w:t>Downey</w:t>
      </w:r>
      <w:r>
        <w:t xml:space="preserve">. </w:t>
      </w:r>
      <w:r w:rsidR="00467D51">
        <w:t>They</w:t>
      </w:r>
      <w:r w:rsidR="00DC5D8C">
        <w:t xml:space="preserve"> also differ on the allocation</w:t>
      </w:r>
      <w:r w:rsidR="006A561A">
        <w:t xml:space="preserve">s from the </w:t>
      </w:r>
      <w:r w:rsidR="00601E88">
        <w:t xml:space="preserve">out-of-state </w:t>
      </w:r>
      <w:r w:rsidR="00DC5D8C">
        <w:t xml:space="preserve">corporate and </w:t>
      </w:r>
      <w:r w:rsidR="00601E88">
        <w:t>General Office/</w:t>
      </w:r>
      <w:r w:rsidR="00DC5D8C">
        <w:t>Downey offices.</w:t>
      </w:r>
      <w:r w:rsidR="00CB47B1">
        <w:t xml:space="preserve"> </w:t>
      </w:r>
      <w:r w:rsidR="00E45D61">
        <w:t xml:space="preserve">Central to these differences are </w:t>
      </w:r>
      <w:r w:rsidR="00467D51">
        <w:t xml:space="preserve">the </w:t>
      </w:r>
      <w:r w:rsidR="00E45D61">
        <w:t>parties</w:t>
      </w:r>
      <w:r w:rsidR="001F6D20">
        <w:t>’</w:t>
      </w:r>
      <w:r w:rsidR="00E45D61">
        <w:t xml:space="preserve"> contentions about which historical years </w:t>
      </w:r>
      <w:r w:rsidR="00A51A0E">
        <w:t xml:space="preserve">are valid </w:t>
      </w:r>
      <w:r w:rsidR="00E45D61">
        <w:t xml:space="preserve">for </w:t>
      </w:r>
      <w:r w:rsidR="00A51A0E">
        <w:t>comparison</w:t>
      </w:r>
      <w:r w:rsidR="00E45D61">
        <w:t xml:space="preserve">, since the </w:t>
      </w:r>
      <w:r w:rsidR="001F6D20">
        <w:t xml:space="preserve">corporate and </w:t>
      </w:r>
      <w:r w:rsidR="00601E88">
        <w:t>General Office/</w:t>
      </w:r>
      <w:r w:rsidR="001F6D20">
        <w:t xml:space="preserve">Downey offices </w:t>
      </w:r>
      <w:r w:rsidR="00CE7C32">
        <w:t>had so many changes</w:t>
      </w:r>
      <w:r w:rsidR="001F6D20">
        <w:t>.</w:t>
      </w:r>
      <w:r w:rsidR="00CE7C32">
        <w:t xml:space="preserve"> For example, Liberty </w:t>
      </w:r>
      <w:r w:rsidR="000D44B1">
        <w:t xml:space="preserve">both </w:t>
      </w:r>
      <w:r w:rsidR="00CE7C32">
        <w:t xml:space="preserve">acquired and shed affiliates in 2016 and 2017. </w:t>
      </w:r>
    </w:p>
    <w:p w:rsidR="00467D51" w:rsidP="008F0B75" w:rsidRDefault="008F0B75" w14:paraId="30C233B9" w14:textId="5804954A">
      <w:pPr>
        <w:pStyle w:val="Standard"/>
      </w:pPr>
      <w:r>
        <w:t>As Liberty puts it, the utilities’ post acquisition cost structure, organization and operations have changed under Liberty ownership.</w:t>
      </w:r>
      <w:r>
        <w:rPr>
          <w:rStyle w:val="FootnoteReference"/>
        </w:rPr>
        <w:footnoteReference w:id="37"/>
      </w:r>
      <w:r>
        <w:t xml:space="preserve"> </w:t>
      </w:r>
      <w:r w:rsidR="006D48F3">
        <w:t>Liberty’s witness</w:t>
      </w:r>
      <w:r w:rsidR="00FD1837">
        <w:t>es</w:t>
      </w:r>
      <w:r w:rsidR="006D48F3">
        <w:t xml:space="preserve"> Richard Dalton </w:t>
      </w:r>
      <w:r w:rsidR="00FD1837">
        <w:t xml:space="preserve">and Christopher </w:t>
      </w:r>
      <w:proofErr w:type="spellStart"/>
      <w:r w:rsidR="00FD1837">
        <w:t>Alario</w:t>
      </w:r>
      <w:proofErr w:type="spellEnd"/>
      <w:r w:rsidR="00FD1837">
        <w:t xml:space="preserve"> </w:t>
      </w:r>
      <w:r w:rsidR="006D48F3">
        <w:t xml:space="preserve">explain that the </w:t>
      </w:r>
      <w:r w:rsidR="00FD1837">
        <w:t xml:space="preserve">administrative and general </w:t>
      </w:r>
      <w:r w:rsidR="006D48F3">
        <w:t>recorded data from years 2016 and 2017 are most reflective of the expenses of Liberty Apple Valley and Liberty Park</w:t>
      </w:r>
      <w:r w:rsidR="00E576FC">
        <w:t xml:space="preserve"> under new ownership</w:t>
      </w:r>
      <w:r w:rsidR="006D48F3">
        <w:t xml:space="preserve">.  </w:t>
      </w:r>
    </w:p>
    <w:p w:rsidR="008F0B75" w:rsidP="008F0B75" w:rsidRDefault="00956599" w14:paraId="41D19B75" w14:textId="5E7E5CFD">
      <w:pPr>
        <w:pStyle w:val="Standard"/>
      </w:pPr>
      <w:r>
        <w:t>In contrast</w:t>
      </w:r>
      <w:r w:rsidR="00937693">
        <w:t xml:space="preserve">, </w:t>
      </w:r>
      <w:r>
        <w:t xml:space="preserve">while </w:t>
      </w:r>
      <w:r w:rsidR="00EA43A2">
        <w:t>discussing proposed positions</w:t>
      </w:r>
      <w:r>
        <w:t xml:space="preserve"> at the </w:t>
      </w:r>
      <w:r w:rsidR="00601E88">
        <w:t>General Office/</w:t>
      </w:r>
      <w:r>
        <w:t xml:space="preserve">Downey, </w:t>
      </w:r>
      <w:r w:rsidR="00FD1837">
        <w:t xml:space="preserve">Liberty’s witness Tiffany Thong </w:t>
      </w:r>
      <w:r>
        <w:t xml:space="preserve">characterizes the years 2015, </w:t>
      </w:r>
      <w:r>
        <w:lastRenderedPageBreak/>
        <w:t xml:space="preserve">2016 and 2017 as a time of transition and restructuring that are unusual and not </w:t>
      </w:r>
      <w:r w:rsidR="009E51A5">
        <w:t>indicative of costs for this rate cycle</w:t>
      </w:r>
      <w:r>
        <w:t>.</w:t>
      </w:r>
      <w:r>
        <w:rPr>
          <w:rStyle w:val="FootnoteReference"/>
        </w:rPr>
        <w:footnoteReference w:id="38"/>
      </w:r>
    </w:p>
    <w:p w:rsidR="005E2417" w:rsidP="005E2417" w:rsidRDefault="00DA3701" w14:paraId="0EDDEF43" w14:textId="40DC4966">
      <w:pPr>
        <w:pStyle w:val="Heading3"/>
      </w:pPr>
      <w:bookmarkStart w:name="_Toc46478782" w:id="34"/>
      <w:r>
        <w:t>The Connection Between Higher</w:t>
      </w:r>
      <w:r w:rsidR="00A73510">
        <w:t xml:space="preserve"> Overhead </w:t>
      </w:r>
      <w:r w:rsidR="00BF602D">
        <w:t xml:space="preserve">and </w:t>
      </w:r>
      <w:r w:rsidR="00A73510">
        <w:t xml:space="preserve">Operational </w:t>
      </w:r>
      <w:r w:rsidR="005E2417">
        <w:t>Savings</w:t>
      </w:r>
      <w:bookmarkEnd w:id="34"/>
    </w:p>
    <w:p w:rsidR="00467D51" w:rsidP="00467D51" w:rsidRDefault="00467D51" w14:paraId="61164E1F" w14:textId="410B7F00">
      <w:pPr>
        <w:pStyle w:val="Standard"/>
      </w:pPr>
      <w:r w:rsidRPr="00467D51">
        <w:t>Liberty fail</w:t>
      </w:r>
      <w:r>
        <w:t>ed</w:t>
      </w:r>
      <w:r w:rsidRPr="00467D51">
        <w:t xml:space="preserve"> to demonstrate overall operational savings merit their increased General Office/Downey request</w:t>
      </w:r>
      <w:r>
        <w:t xml:space="preserve">. We therefore </w:t>
      </w:r>
      <w:r w:rsidRPr="00467D51">
        <w:t xml:space="preserve">adjust their request accordingly in the remainder of this </w:t>
      </w:r>
      <w:r>
        <w:t>decision, and we</w:t>
      </w:r>
      <w:r w:rsidRPr="00467D51">
        <w:t xml:space="preserve"> reduce</w:t>
      </w:r>
      <w:r w:rsidR="00D23A98">
        <w:t>,</w:t>
      </w:r>
      <w:r w:rsidRPr="00467D51">
        <w:t xml:space="preserve"> by two positions</w:t>
      </w:r>
      <w:r w:rsidR="00D23A98">
        <w:t>,</w:t>
      </w:r>
      <w:r w:rsidRPr="00467D51">
        <w:t xml:space="preserve"> Liberty’s requested General Office payroll.</w:t>
      </w:r>
    </w:p>
    <w:p w:rsidR="005E2417" w:rsidP="00467D51" w:rsidRDefault="00DB278A" w14:paraId="73308AF8" w14:textId="42E00B5A">
      <w:pPr>
        <w:pStyle w:val="Standard"/>
      </w:pPr>
      <w:r>
        <w:t xml:space="preserve">Liberty </w:t>
      </w:r>
      <w:r w:rsidR="005E2417">
        <w:t>assert</w:t>
      </w:r>
      <w:r w:rsidR="00822564">
        <w:t>s that</w:t>
      </w:r>
      <w:r w:rsidR="005E2417">
        <w:t xml:space="preserve"> the overall increased General Office</w:t>
      </w:r>
      <w:r w:rsidR="00601E88">
        <w:t>/Downey</w:t>
      </w:r>
      <w:r w:rsidR="005E2417">
        <w:t xml:space="preserve"> request, including allocations from A</w:t>
      </w:r>
      <w:r w:rsidR="008C7A5F">
        <w:t>lgonquin</w:t>
      </w:r>
      <w:r w:rsidR="005E2417">
        <w:t>, LUC, LUSC, have generated operational savings at Liberty Park and Liberty Apple Valley.</w:t>
      </w:r>
      <w:r w:rsidR="00055F41">
        <w:t xml:space="preserve"> </w:t>
      </w:r>
      <w:r w:rsidR="005E2417">
        <w:t xml:space="preserve">Liberty’s witness compares select operational costs based on the last authorized test years of 2015 and 2016, adjusted for inflation at 3 percent, to Liberty’s request for these same select operational costs in the test year 2019. </w:t>
      </w:r>
    </w:p>
    <w:p w:rsidR="005E2417" w:rsidP="005E2417" w:rsidRDefault="005E2417" w14:paraId="28503DB0" w14:textId="4E9CE219">
      <w:pPr>
        <w:pStyle w:val="Standard"/>
      </w:pPr>
      <w:r>
        <w:t>First, we review General Office</w:t>
      </w:r>
      <w:r w:rsidR="00601E88">
        <w:t>/Downey</w:t>
      </w:r>
      <w:r>
        <w:t xml:space="preserve"> cost changes before and after the acquisition</w:t>
      </w:r>
      <w:r w:rsidR="00E576FC">
        <w:t>.</w:t>
      </w:r>
      <w:r w:rsidR="00055F41">
        <w:t xml:space="preserve"> </w:t>
      </w:r>
      <w:r w:rsidR="00E576FC">
        <w:t xml:space="preserve">We must dismiss Liberty witness Thong’s position that all three years 2015, 2016 and 2017 are unrepresentative years, because we depend upon somewhat recent </w:t>
      </w:r>
      <w:r w:rsidR="00601E88">
        <w:t xml:space="preserve">historical </w:t>
      </w:r>
      <w:r w:rsidR="00E576FC">
        <w:t xml:space="preserve">years to </w:t>
      </w:r>
      <w:r w:rsidR="00601E88">
        <w:t xml:space="preserve">assess the reasonableness of </w:t>
      </w:r>
      <w:r w:rsidR="00EC6A2B">
        <w:t>future costs</w:t>
      </w:r>
      <w:r w:rsidR="00E576FC">
        <w:t xml:space="preserve">. </w:t>
      </w:r>
      <w:r w:rsidR="00601E88">
        <w:t>We cannot abandon an entire three</w:t>
      </w:r>
      <w:r w:rsidR="00467D51">
        <w:t>-</w:t>
      </w:r>
      <w:r w:rsidR="00601E88">
        <w:t xml:space="preserve">year period as unrepresentative. </w:t>
      </w:r>
      <w:r w:rsidR="007A562F">
        <w:t xml:space="preserve">Instead, we </w:t>
      </w:r>
      <w:r w:rsidR="00003C2F">
        <w:t>rely upon</w:t>
      </w:r>
      <w:r w:rsidR="00E576FC">
        <w:t xml:space="preserve"> Liberty witnesses Jackson and Dalton’s position that </w:t>
      </w:r>
      <w:r w:rsidR="002A6468">
        <w:t>2016 and 2017 can represent costs under the new structure</w:t>
      </w:r>
      <w:r w:rsidR="003270FD">
        <w:t>, with 2017</w:t>
      </w:r>
      <w:r w:rsidR="00467D51">
        <w:t xml:space="preserve"> </w:t>
      </w:r>
      <w:r w:rsidR="003270FD">
        <w:t>as the most representative</w:t>
      </w:r>
      <w:r w:rsidR="00467D51">
        <w:t>,</w:t>
      </w:r>
      <w:r w:rsidR="003270FD">
        <w:t xml:space="preserve"> as changes are likely to still be occurring for many months after the official acquisition date in January 2016.</w:t>
      </w:r>
      <w:r w:rsidR="00055F41">
        <w:t xml:space="preserve"> </w:t>
      </w:r>
      <w:r w:rsidR="00D33DE5">
        <w:t>The table below compares recorded data before, during and after the acquis</w:t>
      </w:r>
      <w:r w:rsidR="00601E88">
        <w:t>i</w:t>
      </w:r>
      <w:r w:rsidR="00D33DE5">
        <w:t>tion</w:t>
      </w:r>
      <w:r>
        <w:t xml:space="preserve"> to establish whether savings have accrued or are likely to accrue.</w:t>
      </w:r>
    </w:p>
    <w:p w:rsidRPr="00591725" w:rsidR="00591725" w:rsidP="00055F41" w:rsidRDefault="00591725" w14:paraId="05FB23F7" w14:textId="1FA8FBFA">
      <w:pPr>
        <w:pStyle w:val="Standard"/>
        <w:keepNext/>
        <w:keepLines/>
        <w:jc w:val="center"/>
        <w:rPr>
          <w:b/>
          <w:bCs/>
        </w:rPr>
      </w:pPr>
      <w:r w:rsidRPr="00591725">
        <w:rPr>
          <w:b/>
          <w:bCs/>
        </w:rPr>
        <w:lastRenderedPageBreak/>
        <w:t>Table 4</w:t>
      </w:r>
    </w:p>
    <w:p w:rsidR="005E2417" w:rsidP="00055F41" w:rsidRDefault="00591725" w14:paraId="295B4A80" w14:textId="53D17D64">
      <w:pPr>
        <w:pStyle w:val="Standard"/>
        <w:keepNext/>
        <w:keepLines/>
        <w:jc w:val="center"/>
      </w:pPr>
      <w:r>
        <w:t xml:space="preserve">General Office/Downey Overall </w:t>
      </w:r>
    </w:p>
    <w:tbl>
      <w:tblPr>
        <w:tblStyle w:val="TableGrid"/>
        <w:tblW w:w="9625" w:type="dxa"/>
        <w:tblLook w:val="04A0" w:firstRow="1" w:lastRow="0" w:firstColumn="1" w:lastColumn="0" w:noHBand="0" w:noVBand="1"/>
      </w:tblPr>
      <w:tblGrid>
        <w:gridCol w:w="1476"/>
        <w:gridCol w:w="1403"/>
        <w:gridCol w:w="1296"/>
        <w:gridCol w:w="1296"/>
        <w:gridCol w:w="1296"/>
        <w:gridCol w:w="1296"/>
        <w:gridCol w:w="1562"/>
      </w:tblGrid>
      <w:tr w:rsidR="005E2417" w:rsidTr="00055F41" w14:paraId="2677F515" w14:textId="77777777">
        <w:tc>
          <w:tcPr>
            <w:tcW w:w="1474" w:type="dxa"/>
          </w:tcPr>
          <w:p w:rsidR="005E2417" w:rsidP="00055F41" w:rsidRDefault="005E2417" w14:paraId="2E45E7DE" w14:textId="77777777">
            <w:pPr>
              <w:pStyle w:val="Standard"/>
              <w:keepNext/>
              <w:keepLines/>
              <w:spacing w:line="240" w:lineRule="auto"/>
              <w:ind w:firstLine="0"/>
            </w:pPr>
          </w:p>
        </w:tc>
        <w:tc>
          <w:tcPr>
            <w:tcW w:w="1401" w:type="dxa"/>
            <w:vAlign w:val="center"/>
          </w:tcPr>
          <w:p w:rsidRPr="00055F41" w:rsidR="005E2417" w:rsidP="00055F41" w:rsidRDefault="005E2417" w14:paraId="4ADD018B" w14:textId="77777777">
            <w:pPr>
              <w:pStyle w:val="Standard"/>
              <w:keepNext/>
              <w:keepLines/>
              <w:spacing w:line="240" w:lineRule="auto"/>
              <w:ind w:firstLine="0"/>
              <w:jc w:val="center"/>
              <w:rPr>
                <w:b/>
                <w:bCs/>
                <w:sz w:val="24"/>
                <w:szCs w:val="24"/>
              </w:rPr>
            </w:pPr>
            <w:r w:rsidRPr="00055F41">
              <w:rPr>
                <w:b/>
                <w:bCs/>
                <w:sz w:val="24"/>
                <w:szCs w:val="24"/>
              </w:rPr>
              <w:t>2015 authorized</w:t>
            </w:r>
          </w:p>
        </w:tc>
        <w:tc>
          <w:tcPr>
            <w:tcW w:w="1295" w:type="dxa"/>
            <w:vAlign w:val="center"/>
          </w:tcPr>
          <w:p w:rsidRPr="00055F41" w:rsidR="005E2417" w:rsidP="00055F41" w:rsidRDefault="005E2417" w14:paraId="1B911FCB" w14:textId="77777777">
            <w:pPr>
              <w:pStyle w:val="Standard"/>
              <w:keepNext/>
              <w:keepLines/>
              <w:spacing w:line="240" w:lineRule="auto"/>
              <w:ind w:firstLine="0"/>
              <w:jc w:val="center"/>
              <w:rPr>
                <w:b/>
                <w:bCs/>
                <w:sz w:val="24"/>
                <w:szCs w:val="24"/>
              </w:rPr>
            </w:pPr>
            <w:r w:rsidRPr="00055F41">
              <w:rPr>
                <w:b/>
                <w:bCs/>
                <w:sz w:val="24"/>
                <w:szCs w:val="24"/>
              </w:rPr>
              <w:t>2015 recorded</w:t>
            </w:r>
          </w:p>
        </w:tc>
        <w:tc>
          <w:tcPr>
            <w:tcW w:w="1295" w:type="dxa"/>
            <w:vAlign w:val="center"/>
          </w:tcPr>
          <w:p w:rsidRPr="00055F41" w:rsidR="005E2417" w:rsidP="00055F41" w:rsidRDefault="005E2417" w14:paraId="297D709C" w14:textId="77777777">
            <w:pPr>
              <w:pStyle w:val="Standard"/>
              <w:keepNext/>
              <w:keepLines/>
              <w:spacing w:line="240" w:lineRule="auto"/>
              <w:ind w:firstLine="0"/>
              <w:jc w:val="center"/>
              <w:rPr>
                <w:b/>
                <w:bCs/>
                <w:sz w:val="24"/>
                <w:szCs w:val="24"/>
              </w:rPr>
            </w:pPr>
            <w:r w:rsidRPr="00055F41">
              <w:rPr>
                <w:b/>
                <w:bCs/>
                <w:sz w:val="24"/>
                <w:szCs w:val="24"/>
              </w:rPr>
              <w:t>2016 recorded</w:t>
            </w:r>
          </w:p>
        </w:tc>
        <w:tc>
          <w:tcPr>
            <w:tcW w:w="1295" w:type="dxa"/>
            <w:vAlign w:val="center"/>
          </w:tcPr>
          <w:p w:rsidRPr="00055F41" w:rsidR="005E2417" w:rsidP="00055F41" w:rsidRDefault="005E2417" w14:paraId="4C55DD8C" w14:textId="77777777">
            <w:pPr>
              <w:pStyle w:val="Standard"/>
              <w:keepNext/>
              <w:keepLines/>
              <w:spacing w:line="240" w:lineRule="auto"/>
              <w:ind w:firstLine="0"/>
              <w:jc w:val="center"/>
              <w:rPr>
                <w:b/>
                <w:bCs/>
                <w:sz w:val="24"/>
                <w:szCs w:val="24"/>
              </w:rPr>
            </w:pPr>
            <w:r w:rsidRPr="00055F41">
              <w:rPr>
                <w:b/>
                <w:bCs/>
                <w:sz w:val="24"/>
                <w:szCs w:val="24"/>
              </w:rPr>
              <w:t>2017 recorded</w:t>
            </w:r>
          </w:p>
        </w:tc>
        <w:tc>
          <w:tcPr>
            <w:tcW w:w="1295" w:type="dxa"/>
            <w:vAlign w:val="center"/>
          </w:tcPr>
          <w:p w:rsidRPr="00055F41" w:rsidR="005E2417" w:rsidP="00055F41" w:rsidRDefault="005E2417" w14:paraId="15212BA3" w14:textId="77777777">
            <w:pPr>
              <w:pStyle w:val="Standard"/>
              <w:keepNext/>
              <w:keepLines/>
              <w:spacing w:line="240" w:lineRule="auto"/>
              <w:ind w:firstLine="0"/>
              <w:jc w:val="center"/>
              <w:rPr>
                <w:b/>
                <w:bCs/>
                <w:sz w:val="24"/>
                <w:szCs w:val="24"/>
              </w:rPr>
            </w:pPr>
            <w:r w:rsidRPr="00055F41">
              <w:rPr>
                <w:b/>
                <w:bCs/>
                <w:sz w:val="24"/>
                <w:szCs w:val="24"/>
              </w:rPr>
              <w:t>2018 estimated</w:t>
            </w:r>
          </w:p>
        </w:tc>
        <w:tc>
          <w:tcPr>
            <w:tcW w:w="1570" w:type="dxa"/>
            <w:vAlign w:val="center"/>
          </w:tcPr>
          <w:p w:rsidRPr="00055F41" w:rsidR="005E2417" w:rsidP="00055F41" w:rsidRDefault="005E2417" w14:paraId="3493D5A5" w14:textId="77777777">
            <w:pPr>
              <w:pStyle w:val="Standard"/>
              <w:keepNext/>
              <w:keepLines/>
              <w:spacing w:line="240" w:lineRule="auto"/>
              <w:ind w:firstLine="0"/>
              <w:jc w:val="center"/>
              <w:rPr>
                <w:b/>
                <w:bCs/>
                <w:sz w:val="24"/>
                <w:szCs w:val="24"/>
              </w:rPr>
            </w:pPr>
            <w:r w:rsidRPr="00055F41">
              <w:rPr>
                <w:b/>
                <w:bCs/>
                <w:sz w:val="24"/>
                <w:szCs w:val="24"/>
              </w:rPr>
              <w:t>2019 proposed</w:t>
            </w:r>
          </w:p>
        </w:tc>
      </w:tr>
      <w:tr w:rsidR="005E2417" w:rsidTr="00055F41" w14:paraId="0C4C5D9A" w14:textId="77777777">
        <w:trPr>
          <w:trHeight w:val="620"/>
        </w:trPr>
        <w:tc>
          <w:tcPr>
            <w:tcW w:w="1474" w:type="dxa"/>
            <w:vAlign w:val="center"/>
          </w:tcPr>
          <w:p w:rsidR="005E2417" w:rsidP="00055F41" w:rsidRDefault="005E2417" w14:paraId="6301EDCF" w14:textId="77777777">
            <w:pPr>
              <w:pStyle w:val="Standard"/>
              <w:spacing w:line="240" w:lineRule="auto"/>
              <w:ind w:firstLine="0"/>
              <w:jc w:val="center"/>
            </w:pPr>
            <w:r>
              <w:t>TOTAL</w:t>
            </w:r>
          </w:p>
        </w:tc>
        <w:tc>
          <w:tcPr>
            <w:tcW w:w="1401" w:type="dxa"/>
            <w:vAlign w:val="center"/>
          </w:tcPr>
          <w:p w:rsidRPr="000013CE" w:rsidR="005E2417" w:rsidP="00055F41" w:rsidRDefault="005E2417" w14:paraId="5C0D0D77" w14:textId="77777777">
            <w:pPr>
              <w:pStyle w:val="Standard"/>
              <w:spacing w:line="240" w:lineRule="auto"/>
              <w:ind w:firstLine="0"/>
              <w:jc w:val="center"/>
              <w:rPr>
                <w:sz w:val="24"/>
                <w:szCs w:val="24"/>
              </w:rPr>
            </w:pPr>
            <w:r w:rsidRPr="000013CE">
              <w:rPr>
                <w:sz w:val="24"/>
                <w:szCs w:val="24"/>
              </w:rPr>
              <w:t>$7,787,563</w:t>
            </w:r>
          </w:p>
        </w:tc>
        <w:tc>
          <w:tcPr>
            <w:tcW w:w="1295" w:type="dxa"/>
            <w:vAlign w:val="center"/>
          </w:tcPr>
          <w:p w:rsidRPr="000013CE" w:rsidR="005E2417" w:rsidP="00055F41" w:rsidRDefault="005E2417" w14:paraId="7BCA8450" w14:textId="77777777">
            <w:pPr>
              <w:pStyle w:val="Standard"/>
              <w:spacing w:line="240" w:lineRule="auto"/>
              <w:ind w:firstLine="0"/>
              <w:jc w:val="center"/>
              <w:rPr>
                <w:sz w:val="24"/>
                <w:szCs w:val="24"/>
              </w:rPr>
            </w:pPr>
            <w:r w:rsidRPr="000013CE">
              <w:rPr>
                <w:sz w:val="24"/>
                <w:szCs w:val="24"/>
              </w:rPr>
              <w:t>$6,518,125</w:t>
            </w:r>
          </w:p>
        </w:tc>
        <w:tc>
          <w:tcPr>
            <w:tcW w:w="1295" w:type="dxa"/>
            <w:vAlign w:val="center"/>
          </w:tcPr>
          <w:p w:rsidRPr="000013CE" w:rsidR="005E2417" w:rsidP="00055F41" w:rsidRDefault="005E2417" w14:paraId="2342FB75" w14:textId="77777777">
            <w:pPr>
              <w:pStyle w:val="Standard"/>
              <w:spacing w:line="240" w:lineRule="auto"/>
              <w:ind w:firstLine="0"/>
              <w:jc w:val="center"/>
              <w:rPr>
                <w:sz w:val="24"/>
                <w:szCs w:val="24"/>
              </w:rPr>
            </w:pPr>
            <w:r w:rsidRPr="000013CE">
              <w:rPr>
                <w:sz w:val="24"/>
                <w:szCs w:val="24"/>
              </w:rPr>
              <w:t>$8,628,390</w:t>
            </w:r>
          </w:p>
        </w:tc>
        <w:tc>
          <w:tcPr>
            <w:tcW w:w="1295" w:type="dxa"/>
            <w:vAlign w:val="center"/>
          </w:tcPr>
          <w:p w:rsidRPr="000013CE" w:rsidR="005E2417" w:rsidP="00055F41" w:rsidRDefault="005E2417" w14:paraId="5BB57DDC" w14:textId="77777777">
            <w:pPr>
              <w:pStyle w:val="Standard"/>
              <w:spacing w:line="240" w:lineRule="auto"/>
              <w:ind w:firstLine="0"/>
              <w:jc w:val="center"/>
              <w:rPr>
                <w:sz w:val="24"/>
                <w:szCs w:val="24"/>
              </w:rPr>
            </w:pPr>
            <w:r w:rsidRPr="000013CE">
              <w:rPr>
                <w:sz w:val="24"/>
                <w:szCs w:val="24"/>
              </w:rPr>
              <w:t>$7,308,573</w:t>
            </w:r>
          </w:p>
        </w:tc>
        <w:tc>
          <w:tcPr>
            <w:tcW w:w="1295" w:type="dxa"/>
            <w:vAlign w:val="center"/>
          </w:tcPr>
          <w:p w:rsidRPr="000013CE" w:rsidR="005E2417" w:rsidP="00055F41" w:rsidRDefault="005E2417" w14:paraId="5CAA5044" w14:textId="77777777">
            <w:pPr>
              <w:pStyle w:val="Standard"/>
              <w:spacing w:line="240" w:lineRule="auto"/>
              <w:ind w:firstLine="0"/>
              <w:jc w:val="center"/>
              <w:rPr>
                <w:sz w:val="24"/>
                <w:szCs w:val="24"/>
              </w:rPr>
            </w:pPr>
            <w:r w:rsidRPr="000013CE">
              <w:rPr>
                <w:sz w:val="24"/>
                <w:szCs w:val="24"/>
              </w:rPr>
              <w:t>$8,726,741</w:t>
            </w:r>
          </w:p>
        </w:tc>
        <w:tc>
          <w:tcPr>
            <w:tcW w:w="1570" w:type="dxa"/>
            <w:vAlign w:val="center"/>
          </w:tcPr>
          <w:p w:rsidRPr="000013CE" w:rsidR="005E2417" w:rsidP="00055F41" w:rsidRDefault="005E2417" w14:paraId="0CD61766" w14:textId="77777777">
            <w:pPr>
              <w:pStyle w:val="Standard"/>
              <w:spacing w:line="240" w:lineRule="auto"/>
              <w:ind w:firstLine="0"/>
              <w:jc w:val="center"/>
              <w:rPr>
                <w:sz w:val="24"/>
                <w:szCs w:val="24"/>
              </w:rPr>
            </w:pPr>
            <w:r w:rsidRPr="000013CE">
              <w:rPr>
                <w:sz w:val="24"/>
                <w:szCs w:val="24"/>
              </w:rPr>
              <w:t>$9,250,468</w:t>
            </w:r>
          </w:p>
        </w:tc>
      </w:tr>
      <w:tr w:rsidR="00E7770D" w:rsidTr="00055F41" w14:paraId="41B7BB4B" w14:textId="77777777">
        <w:tc>
          <w:tcPr>
            <w:tcW w:w="1474" w:type="dxa"/>
            <w:vAlign w:val="center"/>
          </w:tcPr>
          <w:p w:rsidR="00E7770D" w:rsidP="00055F41" w:rsidRDefault="00E7770D" w14:paraId="45E76089" w14:textId="3AF72755">
            <w:pPr>
              <w:pStyle w:val="Standard"/>
              <w:spacing w:line="240" w:lineRule="auto"/>
              <w:ind w:firstLine="0"/>
              <w:jc w:val="center"/>
            </w:pPr>
            <w:r>
              <w:t>Percentage difference from prior column</w:t>
            </w:r>
          </w:p>
        </w:tc>
        <w:tc>
          <w:tcPr>
            <w:tcW w:w="1401" w:type="dxa"/>
            <w:vAlign w:val="center"/>
          </w:tcPr>
          <w:p w:rsidRPr="000013CE" w:rsidR="00E7770D" w:rsidP="00055F41" w:rsidRDefault="00E7770D" w14:paraId="586F46DA" w14:textId="77777777">
            <w:pPr>
              <w:pStyle w:val="Standard"/>
              <w:spacing w:line="240" w:lineRule="auto"/>
              <w:ind w:firstLine="0"/>
              <w:jc w:val="center"/>
              <w:rPr>
                <w:sz w:val="24"/>
                <w:szCs w:val="24"/>
              </w:rPr>
            </w:pPr>
          </w:p>
        </w:tc>
        <w:tc>
          <w:tcPr>
            <w:tcW w:w="1295" w:type="dxa"/>
            <w:vAlign w:val="center"/>
          </w:tcPr>
          <w:p w:rsidRPr="000013CE" w:rsidR="00E7770D" w:rsidP="00055F41" w:rsidRDefault="000A17EC" w14:paraId="3FFE064B" w14:textId="26B31560">
            <w:pPr>
              <w:pStyle w:val="Standard"/>
              <w:spacing w:line="240" w:lineRule="auto"/>
              <w:ind w:firstLine="0"/>
              <w:jc w:val="center"/>
              <w:rPr>
                <w:sz w:val="24"/>
                <w:szCs w:val="24"/>
              </w:rPr>
            </w:pPr>
            <w:r>
              <w:rPr>
                <w:sz w:val="24"/>
                <w:szCs w:val="24"/>
              </w:rPr>
              <w:t>-16%</w:t>
            </w:r>
          </w:p>
        </w:tc>
        <w:tc>
          <w:tcPr>
            <w:tcW w:w="1295" w:type="dxa"/>
            <w:vAlign w:val="center"/>
          </w:tcPr>
          <w:p w:rsidRPr="000013CE" w:rsidR="00E7770D" w:rsidP="00055F41" w:rsidRDefault="005225C7" w14:paraId="0F4430B5" w14:textId="150FD9F5">
            <w:pPr>
              <w:pStyle w:val="Standard"/>
              <w:spacing w:line="240" w:lineRule="auto"/>
              <w:ind w:firstLine="0"/>
              <w:jc w:val="center"/>
              <w:rPr>
                <w:sz w:val="24"/>
                <w:szCs w:val="24"/>
              </w:rPr>
            </w:pPr>
            <w:r>
              <w:rPr>
                <w:sz w:val="24"/>
                <w:szCs w:val="24"/>
              </w:rPr>
              <w:t>32%</w:t>
            </w:r>
          </w:p>
        </w:tc>
        <w:tc>
          <w:tcPr>
            <w:tcW w:w="1295" w:type="dxa"/>
            <w:vAlign w:val="center"/>
          </w:tcPr>
          <w:p w:rsidRPr="000013CE" w:rsidR="00E7770D" w:rsidP="00055F41" w:rsidRDefault="005225C7" w14:paraId="460D51D7" w14:textId="1C87BCD7">
            <w:pPr>
              <w:pStyle w:val="Standard"/>
              <w:spacing w:line="240" w:lineRule="auto"/>
              <w:ind w:firstLine="0"/>
              <w:jc w:val="center"/>
              <w:rPr>
                <w:sz w:val="24"/>
                <w:szCs w:val="24"/>
              </w:rPr>
            </w:pPr>
            <w:r>
              <w:rPr>
                <w:sz w:val="24"/>
                <w:szCs w:val="24"/>
              </w:rPr>
              <w:t>-15%</w:t>
            </w:r>
          </w:p>
        </w:tc>
        <w:tc>
          <w:tcPr>
            <w:tcW w:w="1295" w:type="dxa"/>
            <w:vAlign w:val="center"/>
          </w:tcPr>
          <w:p w:rsidRPr="000013CE" w:rsidR="00E7770D" w:rsidP="00055F41" w:rsidRDefault="00D05162" w14:paraId="080986E4" w14:textId="7FC2BBAE">
            <w:pPr>
              <w:pStyle w:val="Standard"/>
              <w:spacing w:line="240" w:lineRule="auto"/>
              <w:ind w:firstLine="0"/>
              <w:jc w:val="center"/>
              <w:rPr>
                <w:sz w:val="24"/>
                <w:szCs w:val="24"/>
              </w:rPr>
            </w:pPr>
            <w:r>
              <w:rPr>
                <w:sz w:val="24"/>
                <w:szCs w:val="24"/>
              </w:rPr>
              <w:t>21%</w:t>
            </w:r>
          </w:p>
        </w:tc>
        <w:tc>
          <w:tcPr>
            <w:tcW w:w="1570" w:type="dxa"/>
            <w:vAlign w:val="center"/>
          </w:tcPr>
          <w:p w:rsidRPr="000013CE" w:rsidR="00E7770D" w:rsidP="00055F41" w:rsidRDefault="00D05162" w14:paraId="70888DE0" w14:textId="5D5F5653">
            <w:pPr>
              <w:pStyle w:val="Standard"/>
              <w:spacing w:line="240" w:lineRule="auto"/>
              <w:ind w:firstLine="0"/>
              <w:jc w:val="center"/>
              <w:rPr>
                <w:sz w:val="24"/>
                <w:szCs w:val="24"/>
              </w:rPr>
            </w:pPr>
            <w:r>
              <w:rPr>
                <w:sz w:val="24"/>
                <w:szCs w:val="24"/>
              </w:rPr>
              <w:t>6%</w:t>
            </w:r>
          </w:p>
        </w:tc>
      </w:tr>
    </w:tbl>
    <w:p w:rsidRPr="003C76E9" w:rsidR="005E2417" w:rsidP="005E2417" w:rsidRDefault="005E2417" w14:paraId="6068895B" w14:textId="2A23E3C3">
      <w:pPr>
        <w:pStyle w:val="Standard"/>
        <w:rPr>
          <w:sz w:val="10"/>
          <w:szCs w:val="10"/>
        </w:rPr>
      </w:pPr>
    </w:p>
    <w:p w:rsidRPr="00591725" w:rsidR="009149DF" w:rsidP="009149DF" w:rsidRDefault="009149DF" w14:paraId="35F17797" w14:textId="40F40F52">
      <w:pPr>
        <w:pStyle w:val="Standard"/>
        <w:jc w:val="center"/>
        <w:rPr>
          <w:b/>
          <w:bCs/>
        </w:rPr>
      </w:pPr>
      <w:r w:rsidRPr="00591725">
        <w:rPr>
          <w:b/>
          <w:bCs/>
        </w:rPr>
        <w:t xml:space="preserve">Table </w:t>
      </w:r>
      <w:r>
        <w:rPr>
          <w:b/>
          <w:bCs/>
        </w:rPr>
        <w:t>5</w:t>
      </w:r>
    </w:p>
    <w:p w:rsidR="00E7770D" w:rsidP="009149DF" w:rsidRDefault="009149DF" w14:paraId="255C1DE0" w14:textId="620081D7">
      <w:pPr>
        <w:pStyle w:val="Standard"/>
        <w:jc w:val="center"/>
      </w:pPr>
      <w:r>
        <w:t xml:space="preserve">General Office/Downey Subaccounts </w:t>
      </w:r>
    </w:p>
    <w:tbl>
      <w:tblPr>
        <w:tblStyle w:val="TableGrid"/>
        <w:tblW w:w="0" w:type="auto"/>
        <w:tblLook w:val="04A0" w:firstRow="1" w:lastRow="0" w:firstColumn="1" w:lastColumn="0" w:noHBand="0" w:noVBand="1"/>
      </w:tblPr>
      <w:tblGrid>
        <w:gridCol w:w="1494"/>
        <w:gridCol w:w="1376"/>
        <w:gridCol w:w="1296"/>
        <w:gridCol w:w="1296"/>
        <w:gridCol w:w="1296"/>
        <w:gridCol w:w="1296"/>
        <w:gridCol w:w="1296"/>
      </w:tblGrid>
      <w:tr w:rsidR="00E7770D" w:rsidTr="00BE3FB0" w14:paraId="4CC4C785" w14:textId="77777777">
        <w:tc>
          <w:tcPr>
            <w:tcW w:w="1664" w:type="dxa"/>
          </w:tcPr>
          <w:p w:rsidR="00E7770D" w:rsidP="00055F41" w:rsidRDefault="00E7770D" w14:paraId="59F2D471" w14:textId="77777777">
            <w:pPr>
              <w:pStyle w:val="Standard"/>
              <w:spacing w:line="240" w:lineRule="auto"/>
              <w:ind w:firstLine="0"/>
            </w:pPr>
          </w:p>
        </w:tc>
        <w:tc>
          <w:tcPr>
            <w:tcW w:w="1346" w:type="dxa"/>
          </w:tcPr>
          <w:p w:rsidRPr="000013CE" w:rsidR="00E7770D" w:rsidP="00055F41" w:rsidRDefault="00E7770D" w14:paraId="53CCEA7C" w14:textId="77777777">
            <w:pPr>
              <w:pStyle w:val="Standard"/>
              <w:spacing w:line="240" w:lineRule="auto"/>
              <w:ind w:firstLine="0"/>
              <w:rPr>
                <w:sz w:val="24"/>
                <w:szCs w:val="24"/>
              </w:rPr>
            </w:pPr>
            <w:r w:rsidRPr="000013CE">
              <w:rPr>
                <w:sz w:val="24"/>
                <w:szCs w:val="24"/>
              </w:rPr>
              <w:t>2015 authorized</w:t>
            </w:r>
          </w:p>
        </w:tc>
        <w:tc>
          <w:tcPr>
            <w:tcW w:w="1268" w:type="dxa"/>
          </w:tcPr>
          <w:p w:rsidRPr="000013CE" w:rsidR="00E7770D" w:rsidP="00055F41" w:rsidRDefault="00E7770D" w14:paraId="774C856A" w14:textId="77777777">
            <w:pPr>
              <w:pStyle w:val="Standard"/>
              <w:spacing w:line="240" w:lineRule="auto"/>
              <w:ind w:firstLine="0"/>
              <w:rPr>
                <w:sz w:val="24"/>
                <w:szCs w:val="24"/>
              </w:rPr>
            </w:pPr>
            <w:r w:rsidRPr="000013CE">
              <w:rPr>
                <w:sz w:val="24"/>
                <w:szCs w:val="24"/>
              </w:rPr>
              <w:t>2015 recorded</w:t>
            </w:r>
          </w:p>
        </w:tc>
        <w:tc>
          <w:tcPr>
            <w:tcW w:w="1268" w:type="dxa"/>
          </w:tcPr>
          <w:p w:rsidRPr="000013CE" w:rsidR="00E7770D" w:rsidP="00055F41" w:rsidRDefault="00E7770D" w14:paraId="4DA722B3" w14:textId="77777777">
            <w:pPr>
              <w:pStyle w:val="Standard"/>
              <w:spacing w:line="240" w:lineRule="auto"/>
              <w:ind w:firstLine="0"/>
              <w:rPr>
                <w:sz w:val="24"/>
                <w:szCs w:val="24"/>
              </w:rPr>
            </w:pPr>
            <w:r w:rsidRPr="000013CE">
              <w:rPr>
                <w:sz w:val="24"/>
                <w:szCs w:val="24"/>
              </w:rPr>
              <w:t>2016 recorded</w:t>
            </w:r>
          </w:p>
        </w:tc>
        <w:tc>
          <w:tcPr>
            <w:tcW w:w="1268" w:type="dxa"/>
          </w:tcPr>
          <w:p w:rsidRPr="000013CE" w:rsidR="00E7770D" w:rsidP="00055F41" w:rsidRDefault="00E7770D" w14:paraId="1FEB1C26" w14:textId="77777777">
            <w:pPr>
              <w:pStyle w:val="Standard"/>
              <w:spacing w:line="240" w:lineRule="auto"/>
              <w:ind w:firstLine="0"/>
              <w:rPr>
                <w:sz w:val="24"/>
                <w:szCs w:val="24"/>
              </w:rPr>
            </w:pPr>
            <w:r w:rsidRPr="000013CE">
              <w:rPr>
                <w:sz w:val="24"/>
                <w:szCs w:val="24"/>
              </w:rPr>
              <w:t>2017 recorded</w:t>
            </w:r>
          </w:p>
        </w:tc>
        <w:tc>
          <w:tcPr>
            <w:tcW w:w="1268" w:type="dxa"/>
          </w:tcPr>
          <w:p w:rsidRPr="000013CE" w:rsidR="00E7770D" w:rsidP="00055F41" w:rsidRDefault="00E7770D" w14:paraId="19A39F98" w14:textId="77777777">
            <w:pPr>
              <w:pStyle w:val="Standard"/>
              <w:spacing w:line="240" w:lineRule="auto"/>
              <w:ind w:firstLine="0"/>
              <w:rPr>
                <w:sz w:val="24"/>
                <w:szCs w:val="24"/>
              </w:rPr>
            </w:pPr>
            <w:r w:rsidRPr="000013CE">
              <w:rPr>
                <w:sz w:val="24"/>
                <w:szCs w:val="24"/>
              </w:rPr>
              <w:t>2018 estimated</w:t>
            </w:r>
          </w:p>
        </w:tc>
        <w:tc>
          <w:tcPr>
            <w:tcW w:w="1268" w:type="dxa"/>
          </w:tcPr>
          <w:p w:rsidRPr="000013CE" w:rsidR="00E7770D" w:rsidP="00055F41" w:rsidRDefault="00E7770D" w14:paraId="352E5021" w14:textId="77777777">
            <w:pPr>
              <w:pStyle w:val="Standard"/>
              <w:spacing w:line="240" w:lineRule="auto"/>
              <w:ind w:firstLine="0"/>
              <w:rPr>
                <w:sz w:val="24"/>
                <w:szCs w:val="24"/>
              </w:rPr>
            </w:pPr>
            <w:r w:rsidRPr="000013CE">
              <w:rPr>
                <w:sz w:val="24"/>
                <w:szCs w:val="24"/>
              </w:rPr>
              <w:t>2019 proposed</w:t>
            </w:r>
          </w:p>
        </w:tc>
      </w:tr>
      <w:tr w:rsidR="00E7770D" w:rsidTr="00BE3FB0" w14:paraId="18F16FFF" w14:textId="77777777">
        <w:tc>
          <w:tcPr>
            <w:tcW w:w="1664" w:type="dxa"/>
          </w:tcPr>
          <w:p w:rsidR="00E7770D" w:rsidP="00055F41" w:rsidRDefault="00E7770D" w14:paraId="1C34F63A" w14:textId="77777777">
            <w:pPr>
              <w:pStyle w:val="Standard"/>
              <w:spacing w:line="240" w:lineRule="auto"/>
              <w:ind w:firstLine="0"/>
            </w:pPr>
            <w:r>
              <w:t>Subtotal O&amp;M</w:t>
            </w:r>
          </w:p>
        </w:tc>
        <w:tc>
          <w:tcPr>
            <w:tcW w:w="1346" w:type="dxa"/>
          </w:tcPr>
          <w:p w:rsidRPr="000013CE" w:rsidR="00E7770D" w:rsidP="00055F41" w:rsidRDefault="00E7770D" w14:paraId="36D6E204" w14:textId="77777777">
            <w:pPr>
              <w:pStyle w:val="Standard"/>
              <w:spacing w:line="240" w:lineRule="auto"/>
              <w:ind w:firstLine="0"/>
              <w:rPr>
                <w:sz w:val="24"/>
                <w:szCs w:val="24"/>
              </w:rPr>
            </w:pPr>
            <w:r>
              <w:rPr>
                <w:sz w:val="24"/>
                <w:szCs w:val="24"/>
              </w:rPr>
              <w:t>$659,458</w:t>
            </w:r>
          </w:p>
        </w:tc>
        <w:tc>
          <w:tcPr>
            <w:tcW w:w="1268" w:type="dxa"/>
          </w:tcPr>
          <w:p w:rsidRPr="000013CE" w:rsidR="00E7770D" w:rsidP="00055F41" w:rsidRDefault="00E7770D" w14:paraId="6CA99036" w14:textId="77777777">
            <w:pPr>
              <w:pStyle w:val="Standard"/>
              <w:spacing w:line="240" w:lineRule="auto"/>
              <w:ind w:firstLine="0"/>
              <w:rPr>
                <w:sz w:val="24"/>
                <w:szCs w:val="24"/>
              </w:rPr>
            </w:pPr>
            <w:r>
              <w:rPr>
                <w:sz w:val="24"/>
                <w:szCs w:val="24"/>
              </w:rPr>
              <w:t>$434,148</w:t>
            </w:r>
          </w:p>
        </w:tc>
        <w:tc>
          <w:tcPr>
            <w:tcW w:w="1268" w:type="dxa"/>
          </w:tcPr>
          <w:p w:rsidRPr="000013CE" w:rsidR="00E7770D" w:rsidP="00055F41" w:rsidRDefault="00E7770D" w14:paraId="400E62E0" w14:textId="77777777">
            <w:pPr>
              <w:pStyle w:val="Standard"/>
              <w:spacing w:line="240" w:lineRule="auto"/>
              <w:ind w:firstLine="0"/>
              <w:rPr>
                <w:sz w:val="24"/>
                <w:szCs w:val="24"/>
              </w:rPr>
            </w:pPr>
            <w:r>
              <w:rPr>
                <w:sz w:val="24"/>
                <w:szCs w:val="24"/>
              </w:rPr>
              <w:t>$463,419</w:t>
            </w:r>
          </w:p>
        </w:tc>
        <w:tc>
          <w:tcPr>
            <w:tcW w:w="1268" w:type="dxa"/>
          </w:tcPr>
          <w:p w:rsidRPr="000013CE" w:rsidR="00E7770D" w:rsidP="00055F41" w:rsidRDefault="00E7770D" w14:paraId="02F3FD93" w14:textId="77777777">
            <w:pPr>
              <w:pStyle w:val="Standard"/>
              <w:spacing w:line="240" w:lineRule="auto"/>
              <w:ind w:firstLine="0"/>
              <w:rPr>
                <w:sz w:val="24"/>
                <w:szCs w:val="24"/>
              </w:rPr>
            </w:pPr>
            <w:r>
              <w:rPr>
                <w:sz w:val="24"/>
                <w:szCs w:val="24"/>
              </w:rPr>
              <w:t>$438,308</w:t>
            </w:r>
          </w:p>
        </w:tc>
        <w:tc>
          <w:tcPr>
            <w:tcW w:w="1268" w:type="dxa"/>
          </w:tcPr>
          <w:p w:rsidRPr="000013CE" w:rsidR="00E7770D" w:rsidP="00055F41" w:rsidRDefault="00E7770D" w14:paraId="6553ADD7" w14:textId="77777777">
            <w:pPr>
              <w:pStyle w:val="Standard"/>
              <w:spacing w:line="240" w:lineRule="auto"/>
              <w:ind w:firstLine="0"/>
              <w:rPr>
                <w:sz w:val="24"/>
                <w:szCs w:val="24"/>
              </w:rPr>
            </w:pPr>
            <w:r>
              <w:rPr>
                <w:sz w:val="24"/>
                <w:szCs w:val="24"/>
              </w:rPr>
              <w:t>$499,185</w:t>
            </w:r>
          </w:p>
        </w:tc>
        <w:tc>
          <w:tcPr>
            <w:tcW w:w="1268" w:type="dxa"/>
          </w:tcPr>
          <w:p w:rsidRPr="000013CE" w:rsidR="00E7770D" w:rsidP="00055F41" w:rsidRDefault="00E7770D" w14:paraId="56410F36" w14:textId="77777777">
            <w:pPr>
              <w:pStyle w:val="Standard"/>
              <w:spacing w:line="240" w:lineRule="auto"/>
              <w:ind w:firstLine="0"/>
              <w:rPr>
                <w:sz w:val="24"/>
                <w:szCs w:val="24"/>
              </w:rPr>
            </w:pPr>
            <w:r>
              <w:rPr>
                <w:sz w:val="24"/>
                <w:szCs w:val="24"/>
              </w:rPr>
              <w:t>$510,384</w:t>
            </w:r>
          </w:p>
        </w:tc>
      </w:tr>
      <w:tr w:rsidR="00E7770D" w:rsidTr="00BE3FB0" w14:paraId="4C7AD511" w14:textId="77777777">
        <w:tc>
          <w:tcPr>
            <w:tcW w:w="1664" w:type="dxa"/>
          </w:tcPr>
          <w:p w:rsidR="00E7770D" w:rsidP="00055F41" w:rsidRDefault="00E7770D" w14:paraId="01625A44" w14:textId="77777777">
            <w:pPr>
              <w:pStyle w:val="Standard"/>
              <w:spacing w:line="240" w:lineRule="auto"/>
              <w:ind w:firstLine="0"/>
            </w:pPr>
            <w:r>
              <w:t>Subtotal A&amp;G payroll</w:t>
            </w:r>
          </w:p>
        </w:tc>
        <w:tc>
          <w:tcPr>
            <w:tcW w:w="1346" w:type="dxa"/>
          </w:tcPr>
          <w:p w:rsidRPr="000013CE" w:rsidR="00E7770D" w:rsidP="00055F41" w:rsidRDefault="00E7770D" w14:paraId="352D80E6" w14:textId="77777777">
            <w:pPr>
              <w:pStyle w:val="Standard"/>
              <w:spacing w:line="240" w:lineRule="auto"/>
              <w:ind w:firstLine="0"/>
              <w:rPr>
                <w:sz w:val="24"/>
                <w:szCs w:val="24"/>
              </w:rPr>
            </w:pPr>
            <w:r>
              <w:rPr>
                <w:sz w:val="24"/>
                <w:szCs w:val="24"/>
              </w:rPr>
              <w:t>$4,044,513</w:t>
            </w:r>
          </w:p>
        </w:tc>
        <w:tc>
          <w:tcPr>
            <w:tcW w:w="1268" w:type="dxa"/>
          </w:tcPr>
          <w:p w:rsidRPr="000013CE" w:rsidR="00E7770D" w:rsidP="00055F41" w:rsidRDefault="00E7770D" w14:paraId="2DB6D91D" w14:textId="77777777">
            <w:pPr>
              <w:pStyle w:val="Standard"/>
              <w:spacing w:line="240" w:lineRule="auto"/>
              <w:ind w:firstLine="0"/>
              <w:rPr>
                <w:sz w:val="24"/>
                <w:szCs w:val="24"/>
              </w:rPr>
            </w:pPr>
            <w:r>
              <w:rPr>
                <w:sz w:val="24"/>
                <w:szCs w:val="24"/>
              </w:rPr>
              <w:t>$3,689,493</w:t>
            </w:r>
          </w:p>
        </w:tc>
        <w:tc>
          <w:tcPr>
            <w:tcW w:w="1268" w:type="dxa"/>
          </w:tcPr>
          <w:p w:rsidRPr="000013CE" w:rsidR="00E7770D" w:rsidP="00055F41" w:rsidRDefault="00E7770D" w14:paraId="5AB3FF8B" w14:textId="77777777">
            <w:pPr>
              <w:pStyle w:val="Standard"/>
              <w:spacing w:line="240" w:lineRule="auto"/>
              <w:ind w:firstLine="0"/>
              <w:rPr>
                <w:sz w:val="24"/>
                <w:szCs w:val="24"/>
              </w:rPr>
            </w:pPr>
            <w:r>
              <w:rPr>
                <w:sz w:val="24"/>
                <w:szCs w:val="24"/>
              </w:rPr>
              <w:t>$3,349,038</w:t>
            </w:r>
          </w:p>
        </w:tc>
        <w:tc>
          <w:tcPr>
            <w:tcW w:w="1268" w:type="dxa"/>
          </w:tcPr>
          <w:p w:rsidRPr="000013CE" w:rsidR="00E7770D" w:rsidP="00055F41" w:rsidRDefault="00E7770D" w14:paraId="465F5D10" w14:textId="77777777">
            <w:pPr>
              <w:pStyle w:val="Standard"/>
              <w:spacing w:line="240" w:lineRule="auto"/>
              <w:ind w:firstLine="0"/>
              <w:rPr>
                <w:sz w:val="24"/>
                <w:szCs w:val="24"/>
              </w:rPr>
            </w:pPr>
            <w:r>
              <w:rPr>
                <w:sz w:val="24"/>
                <w:szCs w:val="24"/>
              </w:rPr>
              <w:t>$3,461, 022</w:t>
            </w:r>
          </w:p>
        </w:tc>
        <w:tc>
          <w:tcPr>
            <w:tcW w:w="1268" w:type="dxa"/>
          </w:tcPr>
          <w:p w:rsidRPr="000013CE" w:rsidR="00E7770D" w:rsidP="00055F41" w:rsidRDefault="00E7770D" w14:paraId="5381FDA3" w14:textId="77777777">
            <w:pPr>
              <w:pStyle w:val="Standard"/>
              <w:spacing w:line="240" w:lineRule="auto"/>
              <w:ind w:firstLine="0"/>
              <w:rPr>
                <w:sz w:val="24"/>
                <w:szCs w:val="24"/>
              </w:rPr>
            </w:pPr>
            <w:r>
              <w:rPr>
                <w:sz w:val="24"/>
                <w:szCs w:val="24"/>
              </w:rPr>
              <w:t>$5,256,961</w:t>
            </w:r>
          </w:p>
        </w:tc>
        <w:tc>
          <w:tcPr>
            <w:tcW w:w="1268" w:type="dxa"/>
          </w:tcPr>
          <w:p w:rsidRPr="000013CE" w:rsidR="00E7770D" w:rsidP="00055F41" w:rsidRDefault="00E7770D" w14:paraId="3CEC335A" w14:textId="77777777">
            <w:pPr>
              <w:pStyle w:val="Standard"/>
              <w:spacing w:line="240" w:lineRule="auto"/>
              <w:ind w:firstLine="0"/>
              <w:rPr>
                <w:sz w:val="24"/>
                <w:szCs w:val="24"/>
              </w:rPr>
            </w:pPr>
            <w:r>
              <w:rPr>
                <w:sz w:val="24"/>
                <w:szCs w:val="24"/>
              </w:rPr>
              <w:t>$5,520,455</w:t>
            </w:r>
          </w:p>
        </w:tc>
      </w:tr>
      <w:tr w:rsidR="00E7770D" w:rsidTr="00BE3FB0" w14:paraId="0CDB406F" w14:textId="77777777">
        <w:tc>
          <w:tcPr>
            <w:tcW w:w="1664" w:type="dxa"/>
          </w:tcPr>
          <w:p w:rsidR="00E7770D" w:rsidP="00055F41" w:rsidRDefault="00E7770D" w14:paraId="1F4CD10F" w14:textId="77777777">
            <w:pPr>
              <w:pStyle w:val="Standard"/>
              <w:spacing w:line="240" w:lineRule="auto"/>
              <w:ind w:firstLine="0"/>
            </w:pPr>
            <w:r>
              <w:t>Subtotal A&amp;G without payroll</w:t>
            </w:r>
          </w:p>
        </w:tc>
        <w:tc>
          <w:tcPr>
            <w:tcW w:w="1346" w:type="dxa"/>
          </w:tcPr>
          <w:p w:rsidRPr="000013CE" w:rsidR="00E7770D" w:rsidP="00055F41" w:rsidRDefault="00E7770D" w14:paraId="60FCE4CB" w14:textId="77777777">
            <w:pPr>
              <w:pStyle w:val="Standard"/>
              <w:spacing w:line="240" w:lineRule="auto"/>
              <w:ind w:firstLine="0"/>
              <w:rPr>
                <w:sz w:val="24"/>
                <w:szCs w:val="24"/>
              </w:rPr>
            </w:pPr>
            <w:r>
              <w:rPr>
                <w:sz w:val="24"/>
                <w:szCs w:val="24"/>
              </w:rPr>
              <w:t>$2,526,792</w:t>
            </w:r>
          </w:p>
        </w:tc>
        <w:tc>
          <w:tcPr>
            <w:tcW w:w="1268" w:type="dxa"/>
          </w:tcPr>
          <w:p w:rsidRPr="000013CE" w:rsidR="00E7770D" w:rsidP="00055F41" w:rsidRDefault="00E7770D" w14:paraId="60E2305D" w14:textId="77777777">
            <w:pPr>
              <w:pStyle w:val="Standard"/>
              <w:spacing w:line="240" w:lineRule="auto"/>
              <w:ind w:firstLine="0"/>
              <w:rPr>
                <w:sz w:val="24"/>
                <w:szCs w:val="24"/>
              </w:rPr>
            </w:pPr>
            <w:r>
              <w:rPr>
                <w:sz w:val="24"/>
                <w:szCs w:val="24"/>
              </w:rPr>
              <w:t>$1,882,657</w:t>
            </w:r>
          </w:p>
        </w:tc>
        <w:tc>
          <w:tcPr>
            <w:tcW w:w="1268" w:type="dxa"/>
          </w:tcPr>
          <w:p w:rsidRPr="000013CE" w:rsidR="00E7770D" w:rsidP="00055F41" w:rsidRDefault="00E7770D" w14:paraId="606639D9" w14:textId="77777777">
            <w:pPr>
              <w:pStyle w:val="Standard"/>
              <w:spacing w:line="240" w:lineRule="auto"/>
              <w:ind w:firstLine="0"/>
              <w:rPr>
                <w:sz w:val="24"/>
                <w:szCs w:val="24"/>
              </w:rPr>
            </w:pPr>
            <w:r>
              <w:rPr>
                <w:sz w:val="24"/>
                <w:szCs w:val="24"/>
              </w:rPr>
              <w:t>$4,293,886</w:t>
            </w:r>
          </w:p>
        </w:tc>
        <w:tc>
          <w:tcPr>
            <w:tcW w:w="1268" w:type="dxa"/>
          </w:tcPr>
          <w:p w:rsidRPr="000013CE" w:rsidR="00E7770D" w:rsidP="00055F41" w:rsidRDefault="00E7770D" w14:paraId="4CC62069" w14:textId="77777777">
            <w:pPr>
              <w:pStyle w:val="Standard"/>
              <w:spacing w:line="240" w:lineRule="auto"/>
              <w:ind w:firstLine="0"/>
              <w:rPr>
                <w:sz w:val="24"/>
                <w:szCs w:val="24"/>
              </w:rPr>
            </w:pPr>
            <w:r>
              <w:rPr>
                <w:sz w:val="24"/>
                <w:szCs w:val="24"/>
              </w:rPr>
              <w:t>$2,881,583</w:t>
            </w:r>
          </w:p>
        </w:tc>
        <w:tc>
          <w:tcPr>
            <w:tcW w:w="1268" w:type="dxa"/>
          </w:tcPr>
          <w:p w:rsidRPr="000013CE" w:rsidR="00E7770D" w:rsidP="00055F41" w:rsidRDefault="00E7770D" w14:paraId="67D6292B" w14:textId="77777777">
            <w:pPr>
              <w:pStyle w:val="Standard"/>
              <w:spacing w:line="240" w:lineRule="auto"/>
              <w:ind w:firstLine="0"/>
              <w:rPr>
                <w:sz w:val="24"/>
                <w:szCs w:val="24"/>
              </w:rPr>
            </w:pPr>
            <w:r>
              <w:rPr>
                <w:sz w:val="24"/>
                <w:szCs w:val="24"/>
              </w:rPr>
              <w:t>$2,468,933</w:t>
            </w:r>
          </w:p>
        </w:tc>
        <w:tc>
          <w:tcPr>
            <w:tcW w:w="1268" w:type="dxa"/>
          </w:tcPr>
          <w:p w:rsidRPr="000013CE" w:rsidR="00E7770D" w:rsidP="00055F41" w:rsidRDefault="00E7770D" w14:paraId="1DF64C56" w14:textId="77777777">
            <w:pPr>
              <w:pStyle w:val="Standard"/>
              <w:spacing w:line="240" w:lineRule="auto"/>
              <w:ind w:firstLine="0"/>
              <w:rPr>
                <w:sz w:val="24"/>
                <w:szCs w:val="24"/>
              </w:rPr>
            </w:pPr>
            <w:r>
              <w:rPr>
                <w:sz w:val="24"/>
                <w:szCs w:val="24"/>
              </w:rPr>
              <w:t>$2,540,664</w:t>
            </w:r>
          </w:p>
        </w:tc>
      </w:tr>
    </w:tbl>
    <w:p w:rsidRPr="003C76E9" w:rsidR="00E7770D" w:rsidP="00E7770D" w:rsidRDefault="00E7770D" w14:paraId="0C87518C" w14:textId="77777777">
      <w:pPr>
        <w:pStyle w:val="Standard"/>
        <w:rPr>
          <w:sz w:val="10"/>
          <w:szCs w:val="10"/>
        </w:rPr>
      </w:pPr>
    </w:p>
    <w:p w:rsidR="005E2417" w:rsidP="005E2417" w:rsidRDefault="005E2417" w14:paraId="256A498B" w14:textId="0C038C54">
      <w:pPr>
        <w:pStyle w:val="Standard"/>
      </w:pPr>
      <w:r>
        <w:t xml:space="preserve">Liberty’s witness </w:t>
      </w:r>
      <w:proofErr w:type="spellStart"/>
      <w:r>
        <w:t>Alario</w:t>
      </w:r>
      <w:proofErr w:type="spellEnd"/>
      <w:r>
        <w:t xml:space="preserve"> testified that Liberty’s acquisition will generate $5.4 million in cost efficiencies in 2019 for Liberty Park and Liberty Apple Valley combined. </w:t>
      </w:r>
      <w:r w:rsidR="00494BA7">
        <w:t xml:space="preserve">To make this calculation, he compares </w:t>
      </w:r>
      <w:r w:rsidR="00494BA7">
        <w:rPr>
          <w:u w:val="single"/>
        </w:rPr>
        <w:t xml:space="preserve">authorized </w:t>
      </w:r>
      <w:r w:rsidR="00494BA7">
        <w:t>costs from 2015</w:t>
      </w:r>
      <w:r w:rsidR="00601E88">
        <w:t xml:space="preserve"> (Liberty Apple Valley and the General Office/Downey’s test years), and</w:t>
      </w:r>
      <w:r w:rsidR="00BF602D">
        <w:t xml:space="preserve"> </w:t>
      </w:r>
      <w:r w:rsidR="00494BA7">
        <w:t>2016</w:t>
      </w:r>
      <w:r w:rsidR="00601E88">
        <w:t xml:space="preserve"> (Liberty Park’s test year)</w:t>
      </w:r>
      <w:r w:rsidR="00494BA7">
        <w:t xml:space="preserve"> and escalates by 3 percent until reaching the test year 2019</w:t>
      </w:r>
      <w:r>
        <w:t>.</w:t>
      </w:r>
      <w:r w:rsidR="00494BA7">
        <w:t xml:space="preserve"> This comparison tells us little, because Liberty</w:t>
      </w:r>
      <w:r w:rsidR="00286613">
        <w:t>’</w:t>
      </w:r>
      <w:r w:rsidR="00601E88">
        <w:t>s</w:t>
      </w:r>
      <w:r w:rsidR="009A4815">
        <w:t xml:space="preserve"> authorized costs in 2015/2016, based on data several years old, ended up being </w:t>
      </w:r>
      <w:r w:rsidR="00286613">
        <w:t>unrepresentative of</w:t>
      </w:r>
      <w:r w:rsidR="00494BA7">
        <w:t xml:space="preserve"> </w:t>
      </w:r>
      <w:r w:rsidR="00494BA7">
        <w:rPr>
          <w:u w:val="single"/>
        </w:rPr>
        <w:t>recorded</w:t>
      </w:r>
      <w:r w:rsidR="00494BA7">
        <w:t xml:space="preserve"> costs </w:t>
      </w:r>
      <w:r w:rsidR="009A4815">
        <w:t xml:space="preserve">in </w:t>
      </w:r>
      <w:r w:rsidR="00494BA7">
        <w:t xml:space="preserve">2015/2016 </w:t>
      </w:r>
      <w:r w:rsidR="009A4815">
        <w:t>and all subsequent years.</w:t>
      </w:r>
      <w:r w:rsidR="00494BA7">
        <w:t xml:space="preserve"> </w:t>
      </w:r>
      <w:r w:rsidR="00413279">
        <w:t xml:space="preserve">Liberty Apple Valley operated 11 percent below authorized for test year 2015, </w:t>
      </w:r>
      <w:r>
        <w:t xml:space="preserve">Liberty Park operated </w:t>
      </w:r>
      <w:r>
        <w:lastRenderedPageBreak/>
        <w:t>16</w:t>
      </w:r>
      <w:r w:rsidR="003C76E9">
        <w:t> </w:t>
      </w:r>
      <w:r>
        <w:t xml:space="preserve">percent below authorized for test year 2016, </w:t>
      </w:r>
      <w:r w:rsidR="00413279">
        <w:t xml:space="preserve">and </w:t>
      </w:r>
      <w:r>
        <w:t xml:space="preserve">the General Office operated 16 percent below authorized for test year 2015. </w:t>
      </w:r>
    </w:p>
    <w:p w:rsidR="005E2417" w:rsidP="005E2417" w:rsidRDefault="00172953" w14:paraId="79941908" w14:textId="4832FB1E">
      <w:pPr>
        <w:pStyle w:val="Standard"/>
      </w:pPr>
      <w:r>
        <w:t>A more apt comparison</w:t>
      </w:r>
      <w:r w:rsidR="00C1056B">
        <w:t xml:space="preserve"> </w:t>
      </w:r>
      <w:r>
        <w:t>is</w:t>
      </w:r>
      <w:r w:rsidR="002A6468">
        <w:t xml:space="preserve"> Liberty’</w:t>
      </w:r>
      <w:r w:rsidR="005D16F5">
        <w:t>s</w:t>
      </w:r>
      <w:r w:rsidR="002A6468">
        <w:t xml:space="preserve"> </w:t>
      </w:r>
      <w:r w:rsidRPr="002A6468">
        <w:rPr>
          <w:u w:val="single"/>
        </w:rPr>
        <w:t>recorded</w:t>
      </w:r>
      <w:r>
        <w:t xml:space="preserve"> </w:t>
      </w:r>
      <w:r w:rsidR="002A6468">
        <w:t xml:space="preserve">costs </w:t>
      </w:r>
      <w:r w:rsidR="003C5889">
        <w:t xml:space="preserve">before </w:t>
      </w:r>
      <w:r>
        <w:t xml:space="preserve">and after </w:t>
      </w:r>
      <w:r w:rsidR="003C5889">
        <w:t>the acquisition</w:t>
      </w:r>
      <w:r w:rsidR="002A6468">
        <w:t>,</w:t>
      </w:r>
      <w:r w:rsidR="005E2417">
        <w:t xml:space="preserve"> </w:t>
      </w:r>
      <w:r w:rsidR="00BF602D">
        <w:t xml:space="preserve">and </w:t>
      </w:r>
      <w:r>
        <w:t>Liberty’s recorded costs in 2015/2016 are available.</w:t>
      </w:r>
      <w:r w:rsidR="003C76E9">
        <w:t xml:space="preserve"> </w:t>
      </w:r>
      <w:r>
        <w:t xml:space="preserve">For the 2019 costs, we </w:t>
      </w:r>
      <w:r w:rsidR="002A6468">
        <w:t>escalate</w:t>
      </w:r>
      <w:r w:rsidR="005E2417">
        <w:t xml:space="preserve"> for two </w:t>
      </w:r>
      <w:r w:rsidR="003C5889">
        <w:t xml:space="preserve">(or three) </w:t>
      </w:r>
      <w:r w:rsidR="005E2417">
        <w:t xml:space="preserve">years to 2019. </w:t>
      </w:r>
      <w:r w:rsidR="003C76E9">
        <w:t xml:space="preserve"> </w:t>
      </w:r>
      <w:r w:rsidR="005E2417">
        <w:t xml:space="preserve">This approach </w:t>
      </w:r>
      <w:r w:rsidR="00407A97">
        <w:t>shows Liberty Apple Valley’s request for 2019</w:t>
      </w:r>
      <w:r w:rsidR="005E2417">
        <w:t xml:space="preserve"> </w:t>
      </w:r>
      <w:r w:rsidR="00407A97">
        <w:t>exceeds</w:t>
      </w:r>
      <w:r w:rsidR="005E2417">
        <w:t xml:space="preserve"> by $200,000 </w:t>
      </w:r>
      <w:r w:rsidR="00407A97">
        <w:t xml:space="preserve">Liberty Apple Valley’s spending before the acquisition (accounting for inflation.) For Liberty Park, their 2019 proposed costs save </w:t>
      </w:r>
      <w:r w:rsidR="005E2417">
        <w:t xml:space="preserve">$400,000 </w:t>
      </w:r>
      <w:r w:rsidR="00407A97">
        <w:t>compared to before the acquisition</w:t>
      </w:r>
      <w:r w:rsidR="005E2417">
        <w:t xml:space="preserve">. </w:t>
      </w:r>
      <w:r w:rsidR="003C76E9">
        <w:t xml:space="preserve"> </w:t>
      </w:r>
      <w:r w:rsidR="00407A97">
        <w:t xml:space="preserve">Neither comparison indicates much, if any savings, and not enough to </w:t>
      </w:r>
      <w:r w:rsidR="005E2417">
        <w:t xml:space="preserve">enough </w:t>
      </w:r>
      <w:r w:rsidR="00407A97">
        <w:t xml:space="preserve">to justify a jump in corporate overhead. </w:t>
      </w:r>
      <w:r w:rsidR="005E2417">
        <w:t xml:space="preserve">This exercise highlights that the corporate overhead proposed for 2019 is pushing the utility costs higher than should be expected based on historical </w:t>
      </w:r>
      <w:r w:rsidR="00E95832">
        <w:t>costs</w:t>
      </w:r>
      <w:r w:rsidR="005E2417">
        <w:t>.</w:t>
      </w:r>
    </w:p>
    <w:p w:rsidR="005E2417" w:rsidP="005E2417" w:rsidRDefault="00467D51" w14:paraId="4191494F" w14:textId="43ACD079">
      <w:pPr>
        <w:pStyle w:val="Standard"/>
      </w:pPr>
      <w:r>
        <w:t xml:space="preserve">Based on the foregoing, </w:t>
      </w:r>
      <w:r w:rsidR="00395BC8">
        <w:t>we reduce</w:t>
      </w:r>
      <w:r w:rsidR="00D23A98">
        <w:t>,</w:t>
      </w:r>
      <w:r w:rsidR="00395BC8">
        <w:t xml:space="preserve"> by two positions</w:t>
      </w:r>
      <w:r w:rsidR="00D23A98">
        <w:t>,</w:t>
      </w:r>
      <w:r w:rsidR="00395BC8">
        <w:t xml:space="preserve"> Libert</w:t>
      </w:r>
      <w:r w:rsidR="001159E0">
        <w:t>y’s requested</w:t>
      </w:r>
      <w:r w:rsidR="00395BC8">
        <w:t xml:space="preserve"> General Office payroll.</w:t>
      </w:r>
    </w:p>
    <w:p w:rsidR="00762374" w:rsidP="00F41B2E" w:rsidRDefault="00BF6EEC" w14:paraId="427EDB55" w14:textId="5FF5DAF7">
      <w:pPr>
        <w:pStyle w:val="Heading3"/>
      </w:pPr>
      <w:bookmarkStart w:name="_Toc46478783" w:id="35"/>
      <w:r>
        <w:t xml:space="preserve">Allocated </w:t>
      </w:r>
      <w:r w:rsidR="005B6644">
        <w:t>Costs</w:t>
      </w:r>
      <w:r w:rsidR="004B32FD">
        <w:t xml:space="preserve"> </w:t>
      </w:r>
      <w:r w:rsidR="00BF602D">
        <w:t>f</w:t>
      </w:r>
      <w:r w:rsidR="004B32FD">
        <w:t xml:space="preserve">rom Algonquin, LUC </w:t>
      </w:r>
      <w:r w:rsidR="003C76E9">
        <w:br/>
      </w:r>
      <w:r w:rsidR="004B32FD">
        <w:t>and LUSC to the General Office</w:t>
      </w:r>
      <w:r w:rsidR="00EE5E8E">
        <w:t>/Downey</w:t>
      </w:r>
      <w:bookmarkEnd w:id="35"/>
    </w:p>
    <w:p w:rsidR="005B6644" w:rsidP="005B6644" w:rsidRDefault="005B6644" w14:paraId="5923EE1D" w14:textId="312275BD">
      <w:pPr>
        <w:pStyle w:val="Standard"/>
      </w:pPr>
      <w:r>
        <w:t xml:space="preserve">After the revisions, agreements and settled issues, Liberty </w:t>
      </w:r>
      <w:r w:rsidR="00A54F18">
        <w:t xml:space="preserve">currently </w:t>
      </w:r>
      <w:r>
        <w:t>pr</w:t>
      </w:r>
      <w:r w:rsidR="00903795">
        <w:t>ojects</w:t>
      </w:r>
      <w:r>
        <w:t xml:space="preserve"> General Office</w:t>
      </w:r>
      <w:r w:rsidR="00172953">
        <w:t>/Downey</w:t>
      </w:r>
      <w:r>
        <w:t xml:space="preserve"> </w:t>
      </w:r>
      <w:r w:rsidR="000D2B50">
        <w:t>TY costs</w:t>
      </w:r>
      <w:r>
        <w:t xml:space="preserve"> of $9</w:t>
      </w:r>
      <w:r w:rsidR="0041482C">
        <w:t>.</w:t>
      </w:r>
      <w:r>
        <w:t>55</w:t>
      </w:r>
      <w:r w:rsidR="0041482C">
        <w:t>1</w:t>
      </w:r>
      <w:r>
        <w:t xml:space="preserve"> </w:t>
      </w:r>
      <w:r w:rsidR="00C57429">
        <w:t>million.</w:t>
      </w:r>
      <w:r w:rsidR="003C76E9">
        <w:t xml:space="preserve"> </w:t>
      </w:r>
      <w:r>
        <w:t>Most of these General Office</w:t>
      </w:r>
      <w:r w:rsidR="00172953">
        <w:t>/Downey</w:t>
      </w:r>
      <w:r>
        <w:t xml:space="preserve"> </w:t>
      </w:r>
      <w:r w:rsidR="00EE72B5">
        <w:t>project</w:t>
      </w:r>
      <w:r w:rsidR="00172953">
        <w:t>ion</w:t>
      </w:r>
      <w:r w:rsidR="00EE72B5">
        <w:t xml:space="preserve">s for </w:t>
      </w:r>
      <w:r w:rsidR="00A914D0">
        <w:t>TY</w:t>
      </w:r>
      <w:r>
        <w:t xml:space="preserve"> ($8</w:t>
      </w:r>
      <w:r w:rsidR="00823FCB">
        <w:t>.</w:t>
      </w:r>
      <w:r>
        <w:t>204 million)</w:t>
      </w:r>
      <w:r>
        <w:rPr>
          <w:rStyle w:val="FootnoteReference"/>
        </w:rPr>
        <w:footnoteReference w:id="39"/>
      </w:r>
      <w:r>
        <w:t xml:space="preserve"> </w:t>
      </w:r>
      <w:r w:rsidR="00903795">
        <w:t xml:space="preserve">are </w:t>
      </w:r>
      <w:r w:rsidR="00CB098B">
        <w:t>from shared services provided out of</w:t>
      </w:r>
      <w:r w:rsidR="00903795">
        <w:t xml:space="preserve"> Downey, and the remaining $1</w:t>
      </w:r>
      <w:r w:rsidR="00AC7DEA">
        <w:t>.</w:t>
      </w:r>
      <w:r w:rsidR="001E3B38">
        <w:t>32</w:t>
      </w:r>
      <w:r w:rsidR="00AC7DEA">
        <w:t>4</w:t>
      </w:r>
      <w:r w:rsidR="001E3B38">
        <w:t xml:space="preserve"> million </w:t>
      </w:r>
      <w:r w:rsidR="00E96827">
        <w:t xml:space="preserve">TY </w:t>
      </w:r>
      <w:r w:rsidR="00EE72B5">
        <w:t>project</w:t>
      </w:r>
      <w:r w:rsidR="00CB098B">
        <w:t>ions</w:t>
      </w:r>
      <w:r w:rsidR="00EE72B5">
        <w:t xml:space="preserve"> </w:t>
      </w:r>
      <w:r w:rsidR="00CB098B">
        <w:t xml:space="preserve">come from shared </w:t>
      </w:r>
      <w:r w:rsidR="00EC3057">
        <w:t xml:space="preserve">services at the </w:t>
      </w:r>
      <w:r w:rsidR="00930B05">
        <w:t>Algonquin, LUC, or LUSC</w:t>
      </w:r>
      <w:r w:rsidR="00EC3057">
        <w:t xml:space="preserve"> headquarters</w:t>
      </w:r>
      <w:r w:rsidR="00930B05">
        <w:t>.</w:t>
      </w:r>
      <w:r>
        <w:t xml:space="preserve"> </w:t>
      </w:r>
      <w:r w:rsidR="00EE72B5">
        <w:t xml:space="preserve">Liberty provides seven years </w:t>
      </w:r>
      <w:r w:rsidR="002948CB">
        <w:t xml:space="preserve">of historical data </w:t>
      </w:r>
      <w:r w:rsidR="00EE72B5">
        <w:t>for its General Office</w:t>
      </w:r>
      <w:r w:rsidR="00172953">
        <w:t>/Downey</w:t>
      </w:r>
      <w:r w:rsidR="00A54F18">
        <w:t>. However,</w:t>
      </w:r>
      <w:r w:rsidR="00EE72B5">
        <w:t xml:space="preserve"> </w:t>
      </w:r>
      <w:r w:rsidR="0012262F">
        <w:t>comparing the</w:t>
      </w:r>
      <w:r w:rsidR="00EE72B5">
        <w:t xml:space="preserve"> recorded data </w:t>
      </w:r>
      <w:r w:rsidR="00CB098B">
        <w:t xml:space="preserve">from 2015 or earlier </w:t>
      </w:r>
      <w:r w:rsidR="0012262F">
        <w:t xml:space="preserve">to the 2016 and 2017 recorded data </w:t>
      </w:r>
      <w:r w:rsidR="00D07C0E">
        <w:t xml:space="preserve">at the subaccount level </w:t>
      </w:r>
      <w:r w:rsidR="0012262F">
        <w:t>is not possible</w:t>
      </w:r>
      <w:r w:rsidR="00A54F18">
        <w:t>. That is</w:t>
      </w:r>
      <w:r w:rsidR="0012262F">
        <w:t xml:space="preserve"> </w:t>
      </w:r>
      <w:r w:rsidR="00CB098B">
        <w:lastRenderedPageBreak/>
        <w:t xml:space="preserve">because </w:t>
      </w:r>
      <w:r w:rsidR="004A6B38">
        <w:t>between 15-25</w:t>
      </w:r>
      <w:r w:rsidR="00E266F3">
        <w:t xml:space="preserve"> percent</w:t>
      </w:r>
      <w:r w:rsidR="004A6B38">
        <w:t xml:space="preserve"> of the recorded costs shifted </w:t>
      </w:r>
      <w:r w:rsidR="007F382C">
        <w:t xml:space="preserve">from subaccounts generated out of Downey </w:t>
      </w:r>
      <w:r w:rsidR="004A6B38">
        <w:t xml:space="preserve">to </w:t>
      </w:r>
      <w:r w:rsidR="007F382C">
        <w:t xml:space="preserve">subaccounts generated out of </w:t>
      </w:r>
      <w:r w:rsidR="0006387D">
        <w:t>Algonquin, LUC or LUSC</w:t>
      </w:r>
      <w:r w:rsidR="004A6B38">
        <w:t xml:space="preserve"> in 2016 and 2017</w:t>
      </w:r>
      <w:r w:rsidR="0006387D">
        <w:t xml:space="preserve">. For </w:t>
      </w:r>
      <w:r w:rsidR="00665CD3">
        <w:t>costs generated from Algonquin and LUC</w:t>
      </w:r>
      <w:r w:rsidR="004A6B38">
        <w:t xml:space="preserve">, </w:t>
      </w:r>
      <w:r w:rsidR="0006387D">
        <w:t>Liberty supplies only the</w:t>
      </w:r>
      <w:r w:rsidR="002948CB">
        <w:t xml:space="preserve"> 2016 and 2017 recorded dat</w:t>
      </w:r>
      <w:r w:rsidR="00877D25">
        <w:t>a</w:t>
      </w:r>
      <w:r w:rsidR="0006387D">
        <w:t xml:space="preserve">. </w:t>
      </w:r>
      <w:r w:rsidR="00665CD3">
        <w:t>For the LUSC</w:t>
      </w:r>
      <w:r w:rsidR="00FC7AE0">
        <w:t xml:space="preserve">-generated </w:t>
      </w:r>
      <w:r w:rsidR="00665CD3">
        <w:t>costs, Liberty supplie</w:t>
      </w:r>
      <w:r w:rsidR="003418ED">
        <w:t>s</w:t>
      </w:r>
      <w:r w:rsidR="00665CD3">
        <w:t xml:space="preserve"> only 2017 data.</w:t>
      </w:r>
    </w:p>
    <w:p w:rsidR="00A54F18" w:rsidP="00E5003B" w:rsidRDefault="006740AB" w14:paraId="67C1C801" w14:textId="6B3734EB">
      <w:pPr>
        <w:pStyle w:val="Standard"/>
      </w:pPr>
      <w:r>
        <w:t>T</w:t>
      </w:r>
      <w:r w:rsidR="00536098">
        <w:t>he Public Advocates Office</w:t>
      </w:r>
      <w:r>
        <w:t xml:space="preserve"> </w:t>
      </w:r>
      <w:r w:rsidR="00A54F18">
        <w:t>argues that it is</w:t>
      </w:r>
      <w:r>
        <w:t xml:space="preserve"> unreasonable </w:t>
      </w:r>
      <w:r w:rsidR="00A54F18">
        <w:t xml:space="preserve">for </w:t>
      </w:r>
      <w:r>
        <w:t>Liberty’s two-year average</w:t>
      </w:r>
      <w:r w:rsidR="00321D3D">
        <w:t xml:space="preserve"> </w:t>
      </w:r>
      <w:r>
        <w:t>to project future costs from Algonquin</w:t>
      </w:r>
      <w:r w:rsidR="009E4393">
        <w:t xml:space="preserve"> and</w:t>
      </w:r>
      <w:r>
        <w:t xml:space="preserve"> LUC.</w:t>
      </w:r>
      <w:r w:rsidR="00877D25">
        <w:rPr>
          <w:rStyle w:val="FootnoteReference"/>
        </w:rPr>
        <w:footnoteReference w:id="40"/>
      </w:r>
      <w:r>
        <w:t xml:space="preserve"> </w:t>
      </w:r>
      <w:r w:rsidR="00A54F18">
        <w:t>Specifically</w:t>
      </w:r>
      <w:r w:rsidR="00536098">
        <w:t xml:space="preserve">, </w:t>
      </w:r>
      <w:r w:rsidR="0074427E">
        <w:t xml:space="preserve">Algonquin </w:t>
      </w:r>
      <w:r w:rsidR="00A95B79">
        <w:t xml:space="preserve">and LUC </w:t>
      </w:r>
      <w:r w:rsidR="0074427E">
        <w:t xml:space="preserve">total </w:t>
      </w:r>
      <w:r w:rsidR="00321D3D">
        <w:t xml:space="preserve">shared </w:t>
      </w:r>
      <w:r w:rsidR="0074427E">
        <w:t xml:space="preserve">costs increased substantially </w:t>
      </w:r>
      <w:r w:rsidR="00502A1F">
        <w:t xml:space="preserve">in </w:t>
      </w:r>
      <w:r w:rsidR="0074427E">
        <w:t>2017</w:t>
      </w:r>
      <w:r w:rsidR="0021106A">
        <w:t xml:space="preserve">, with </w:t>
      </w:r>
      <w:r w:rsidR="00AE392C">
        <w:t>little explanation.</w:t>
      </w:r>
      <w:r w:rsidR="0074427E">
        <w:t xml:space="preserve"> </w:t>
      </w:r>
      <w:r w:rsidR="00536098">
        <w:t xml:space="preserve">Algonquin </w:t>
      </w:r>
      <w:r w:rsidR="005B49C5">
        <w:t>costs are</w:t>
      </w:r>
      <w:r w:rsidR="00536098">
        <w:t xml:space="preserve"> 34</w:t>
      </w:r>
      <w:r w:rsidR="00E266F3">
        <w:t xml:space="preserve"> percent</w:t>
      </w:r>
      <w:r w:rsidR="00536098">
        <w:t xml:space="preserve"> </w:t>
      </w:r>
      <w:r w:rsidR="005B49C5">
        <w:t xml:space="preserve">greater </w:t>
      </w:r>
      <w:r w:rsidR="008265B5">
        <w:t xml:space="preserve">in 2017 </w:t>
      </w:r>
      <w:r w:rsidR="005B49C5">
        <w:t>compared to</w:t>
      </w:r>
      <w:r w:rsidR="00536098">
        <w:t xml:space="preserve"> </w:t>
      </w:r>
      <w:r w:rsidR="00502A1F">
        <w:t>2016</w:t>
      </w:r>
      <w:r w:rsidR="000F75DA">
        <w:t>,</w:t>
      </w:r>
      <w:r w:rsidR="008265B5">
        <w:rPr>
          <w:rStyle w:val="FootnoteReference"/>
        </w:rPr>
        <w:footnoteReference w:id="41"/>
      </w:r>
      <w:r w:rsidR="008265B5">
        <w:t xml:space="preserve"> </w:t>
      </w:r>
      <w:r w:rsidR="00752893">
        <w:t xml:space="preserve"> </w:t>
      </w:r>
      <w:r w:rsidR="00DC5E2E">
        <w:t>LU</w:t>
      </w:r>
      <w:r w:rsidR="004F63F2">
        <w:t>C</w:t>
      </w:r>
      <w:r w:rsidR="00DC5E2E">
        <w:t xml:space="preserve"> </w:t>
      </w:r>
      <w:r w:rsidR="00536098">
        <w:t>is 15.6</w:t>
      </w:r>
      <w:r w:rsidR="00E266F3">
        <w:t xml:space="preserve"> percent</w:t>
      </w:r>
      <w:r w:rsidR="00536098">
        <w:t xml:space="preserve"> greater </w:t>
      </w:r>
      <w:r w:rsidR="00DC5E2E">
        <w:t>in 2017,</w:t>
      </w:r>
      <w:r w:rsidR="00DC5E2E">
        <w:rPr>
          <w:rStyle w:val="FootnoteReference"/>
        </w:rPr>
        <w:footnoteReference w:id="42"/>
      </w:r>
      <w:r w:rsidR="00DC5E2E">
        <w:t xml:space="preserve"> and </w:t>
      </w:r>
      <w:r w:rsidR="00B57C29">
        <w:t xml:space="preserve">two business units within LUC are </w:t>
      </w:r>
      <w:r w:rsidR="00536098">
        <w:t>17</w:t>
      </w:r>
      <w:r w:rsidR="001B0F85">
        <w:t> </w:t>
      </w:r>
      <w:r w:rsidR="00E266F3">
        <w:t>percent</w:t>
      </w:r>
      <w:r w:rsidR="00536098">
        <w:t xml:space="preserve"> and 41</w:t>
      </w:r>
      <w:r w:rsidR="00E266F3">
        <w:t xml:space="preserve"> percent</w:t>
      </w:r>
      <w:r w:rsidR="00B57C29">
        <w:t xml:space="preserve"> </w:t>
      </w:r>
      <w:r w:rsidR="003F4816">
        <w:t xml:space="preserve">greater </w:t>
      </w:r>
      <w:r w:rsidR="00B57C29">
        <w:t>in 2017.</w:t>
      </w:r>
      <w:r w:rsidR="00B57C29">
        <w:rPr>
          <w:rStyle w:val="FootnoteReference"/>
        </w:rPr>
        <w:footnoteReference w:id="43"/>
      </w:r>
      <w:r w:rsidR="00890020">
        <w:t xml:space="preserve"> </w:t>
      </w:r>
      <w:r w:rsidR="001B0F85">
        <w:t xml:space="preserve"> </w:t>
      </w:r>
    </w:p>
    <w:p w:rsidR="00A54F18" w:rsidP="00E5003B" w:rsidRDefault="00890020" w14:paraId="221C2532" w14:textId="5D873F6D">
      <w:pPr>
        <w:pStyle w:val="Standard"/>
      </w:pPr>
      <w:r>
        <w:t xml:space="preserve">The Public Advocates Office </w:t>
      </w:r>
      <w:r w:rsidR="003F4816">
        <w:t>attributes the increase to Liberty’s acquisition of Empire</w:t>
      </w:r>
      <w:r w:rsidR="002209E1">
        <w:t>, which doubled Liberty’s regulated revenue in 2017</w:t>
      </w:r>
      <w:r w:rsidR="003F4816">
        <w:t xml:space="preserve">. </w:t>
      </w:r>
      <w:r w:rsidR="00AF135C">
        <w:t xml:space="preserve">Reasoning that the increase should be attributed to Empire, the Public Advocates </w:t>
      </w:r>
      <w:r w:rsidR="001D0D0A">
        <w:t xml:space="preserve">Office </w:t>
      </w:r>
      <w:r w:rsidR="00AF135C">
        <w:t>excludes 2017 corporate</w:t>
      </w:r>
      <w:r>
        <w:t xml:space="preserve"> costs</w:t>
      </w:r>
      <w:r w:rsidR="00321D3D">
        <w:t xml:space="preserve"> from the forecast</w:t>
      </w:r>
      <w:r>
        <w:t xml:space="preserve"> and </w:t>
      </w:r>
      <w:r w:rsidR="00AF135C">
        <w:t xml:space="preserve">relies on 2016 recorded costs with a standard inflation factor to </w:t>
      </w:r>
      <w:r w:rsidR="005B4F9A">
        <w:t>forecast</w:t>
      </w:r>
      <w:r w:rsidR="00AF135C">
        <w:t xml:space="preserve"> the test year.</w:t>
      </w:r>
      <w:r w:rsidR="001B0F85">
        <w:t xml:space="preserve"> </w:t>
      </w:r>
    </w:p>
    <w:p w:rsidR="00536098" w:rsidP="00E5003B" w:rsidRDefault="00415482" w14:paraId="0BA468DB" w14:textId="167150B5">
      <w:pPr>
        <w:pStyle w:val="Standard"/>
      </w:pPr>
      <w:r>
        <w:t xml:space="preserve">While the Public Advocates Office correctly points out the lack of transparency and data into corporate costs, </w:t>
      </w:r>
      <w:r w:rsidR="006B4C3F">
        <w:t>using 2016 recorded costs adjusted for inflation is inapplicable</w:t>
      </w:r>
      <w:r>
        <w:t xml:space="preserve"> </w:t>
      </w:r>
      <w:r w:rsidR="00A10E0E">
        <w:t xml:space="preserve">for </w:t>
      </w:r>
      <w:r w:rsidR="00A54F18">
        <w:t>several</w:t>
      </w:r>
      <w:r w:rsidR="00A10E0E">
        <w:t xml:space="preserve"> reasons. </w:t>
      </w:r>
      <w:r w:rsidR="000D3F04">
        <w:t>B</w:t>
      </w:r>
      <w:r w:rsidR="00495B99">
        <w:t>ecause of corporate</w:t>
      </w:r>
      <w:r w:rsidR="006D1EDD">
        <w:t xml:space="preserve"> </w:t>
      </w:r>
      <w:r w:rsidR="006D1EDD">
        <w:lastRenderedPageBreak/>
        <w:t xml:space="preserve">restructuring, </w:t>
      </w:r>
      <w:r w:rsidR="00495B99">
        <w:t>costs that were previously embedded in subcategories have shift</w:t>
      </w:r>
      <w:r w:rsidR="00B74CA2">
        <w:t>ed</w:t>
      </w:r>
      <w:r w:rsidR="00495B99">
        <w:t xml:space="preserve"> beginning in 2016 to the catch-all category of Head Office (the term for indirect allocated costs from Algonquin, LUC and LUSC</w:t>
      </w:r>
      <w:r w:rsidR="006153D6">
        <w:t>)</w:t>
      </w:r>
      <w:r w:rsidR="00495B99">
        <w:t>. Trending costs by subaccount before and after 2016 becomes unreliable</w:t>
      </w:r>
      <w:r w:rsidR="006D1EDD">
        <w:t xml:space="preserve">. </w:t>
      </w:r>
      <w:r w:rsidR="000004A3">
        <w:t>T</w:t>
      </w:r>
      <w:r w:rsidR="00FA6DED">
        <w:t>hough Algonquin, LUC and LUSC costs jumped in 2017, the allocation to the General Office</w:t>
      </w:r>
      <w:r w:rsidR="00172953">
        <w:t>/Downey</w:t>
      </w:r>
      <w:r w:rsidR="00FA6DED">
        <w:t xml:space="preserve"> shrank</w:t>
      </w:r>
      <w:r w:rsidR="00E45693">
        <w:t xml:space="preserve">. In 2016, $3.6 million </w:t>
      </w:r>
      <w:r w:rsidR="00533CCD">
        <w:t xml:space="preserve">was allocated from </w:t>
      </w:r>
      <w:r w:rsidR="00E45693">
        <w:t xml:space="preserve">Algonquin, LUC and LUSC </w:t>
      </w:r>
      <w:r w:rsidR="00533CCD">
        <w:t>to the General Office</w:t>
      </w:r>
      <w:r w:rsidR="00E45693">
        <w:t xml:space="preserve">, </w:t>
      </w:r>
      <w:r w:rsidR="00533CCD">
        <w:t>compared to $2 million in 2017</w:t>
      </w:r>
      <w:r w:rsidR="00E45693">
        <w:t>.</w:t>
      </w:r>
    </w:p>
    <w:p w:rsidR="00F223DB" w:rsidP="005B6644" w:rsidRDefault="00D47E1E" w14:paraId="5774EB0C" w14:textId="1431F777">
      <w:pPr>
        <w:pStyle w:val="Standard"/>
      </w:pPr>
      <w:r>
        <w:t>We deny t</w:t>
      </w:r>
      <w:r w:rsidR="00137038">
        <w:t xml:space="preserve">he $100,068 in </w:t>
      </w:r>
      <w:r>
        <w:t>indirect costs from LUSC to the General Office</w:t>
      </w:r>
      <w:r w:rsidR="00172953">
        <w:t>/Downey</w:t>
      </w:r>
      <w:r>
        <w:t>.</w:t>
      </w:r>
      <w:r>
        <w:rPr>
          <w:rStyle w:val="FootnoteReference"/>
        </w:rPr>
        <w:footnoteReference w:id="44"/>
      </w:r>
      <w:r w:rsidR="001B0F85">
        <w:t xml:space="preserve"> </w:t>
      </w:r>
      <w:r w:rsidR="000D1CFD">
        <w:t xml:space="preserve">Within LUSC </w:t>
      </w:r>
      <w:r w:rsidR="0098427E">
        <w:t>are two</w:t>
      </w:r>
      <w:r w:rsidR="000D1CFD">
        <w:t xml:space="preserve"> </w:t>
      </w:r>
      <w:r w:rsidR="00290F6D">
        <w:t>business unit</w:t>
      </w:r>
      <w:r w:rsidR="0098427E">
        <w:t>s,</w:t>
      </w:r>
      <w:r w:rsidR="000D1CFD">
        <w:t xml:space="preserve"> called LABS-US</w:t>
      </w:r>
      <w:r w:rsidR="0098427E">
        <w:t xml:space="preserve"> and Liberty Corp.-US</w:t>
      </w:r>
      <w:r w:rsidR="000D1CFD">
        <w:t xml:space="preserve">. </w:t>
      </w:r>
    </w:p>
    <w:p w:rsidR="00A54F18" w:rsidP="005B6644" w:rsidRDefault="00522D51" w14:paraId="6EC6BFF6" w14:textId="57CEEFE4">
      <w:pPr>
        <w:pStyle w:val="Standard"/>
      </w:pPr>
      <w:r>
        <w:t>Liberty provided only 2017 costs for LUSC</w:t>
      </w:r>
      <w:r w:rsidR="00A54F18">
        <w:t>,</w:t>
      </w:r>
      <w:r>
        <w:t xml:space="preserve"> because LUSC is a</w:t>
      </w:r>
      <w:r w:rsidR="0085026D">
        <w:t>n</w:t>
      </w:r>
      <w:r>
        <w:t xml:space="preserve"> entity formed from the newly acquired Empire Utilities in 2017. Liberty explains that LUSC employs all U</w:t>
      </w:r>
      <w:r w:rsidR="00A54F18">
        <w:t xml:space="preserve">nited </w:t>
      </w:r>
      <w:r>
        <w:t>S</w:t>
      </w:r>
      <w:r w:rsidR="00A54F18">
        <w:t>tates</w:t>
      </w:r>
      <w:r>
        <w:t xml:space="preserve"> regulated utility employees </w:t>
      </w:r>
      <w:proofErr w:type="gramStart"/>
      <w:r>
        <w:t>with the exception of</w:t>
      </w:r>
      <w:proofErr w:type="gramEnd"/>
      <w:r>
        <w:t xml:space="preserve"> Liberty’s California employees, which calls into question the services provided </w:t>
      </w:r>
      <w:r w:rsidR="00C811B4">
        <w:t xml:space="preserve">by LUSC </w:t>
      </w:r>
      <w:r>
        <w:t>to the General Office</w:t>
      </w:r>
      <w:r w:rsidR="00172953">
        <w:t>/Downey</w:t>
      </w:r>
      <w:r>
        <w:t>.</w:t>
      </w:r>
      <w:r w:rsidR="001B0F85">
        <w:t xml:space="preserve"> </w:t>
      </w:r>
      <w:r>
        <w:t xml:space="preserve">To the extent LUSC also provides some shared services, it is unclear how those services listed </w:t>
      </w:r>
      <w:r w:rsidR="00C811B4">
        <w:t>(</w:t>
      </w:r>
      <w:r>
        <w:t>IT, compliance, regulatory and government relations, environmental health, safety and security, procurement and customer communication</w:t>
      </w:r>
      <w:r w:rsidR="00C811B4">
        <w:t>)</w:t>
      </w:r>
      <w:r>
        <w:t xml:space="preserve"> do or </w:t>
      </w:r>
      <w:r w:rsidR="001A0B94">
        <w:t>do</w:t>
      </w:r>
      <w:r>
        <w:t xml:space="preserve"> not overlap with the same shared services provided from LUC in the previous year, and how cost duplication was prevented.</w:t>
      </w:r>
      <w:r w:rsidR="001B0F85">
        <w:t xml:space="preserve"> </w:t>
      </w:r>
      <w:r w:rsidR="000D1CFD">
        <w:t xml:space="preserve"> </w:t>
      </w:r>
    </w:p>
    <w:p w:rsidR="00522D51" w:rsidP="005B6644" w:rsidRDefault="0098427E" w14:paraId="7DEF5E54" w14:textId="3B6A007B">
      <w:pPr>
        <w:pStyle w:val="Standard"/>
      </w:pPr>
      <w:r>
        <w:t xml:space="preserve">The second business unit within LUSC, Liberty Corp.-US, was formed even more recently than LABS-US and Liberty provided costs only from 2017 for </w:t>
      </w:r>
      <w:r w:rsidR="000D1CFD">
        <w:lastRenderedPageBreak/>
        <w:t>Liberty Corp.-US</w:t>
      </w:r>
      <w:r>
        <w:t>.</w:t>
      </w:r>
      <w:r w:rsidR="000D1CFD">
        <w:t>, Liberty’s documentation is insufficient</w:t>
      </w:r>
      <w:r w:rsidR="00F223DB">
        <w:t>,</w:t>
      </w:r>
      <w:r w:rsidR="00CF218D">
        <w:rPr>
          <w:rStyle w:val="FootnoteReference"/>
        </w:rPr>
        <w:footnoteReference w:id="45"/>
      </w:r>
      <w:r w:rsidR="000D1CFD">
        <w:t xml:space="preserve"> and Liberty’s </w:t>
      </w:r>
      <w:r w:rsidR="00DF57D3">
        <w:t>w</w:t>
      </w:r>
      <w:r w:rsidR="000D1CFD">
        <w:t>itness could not explain the basis for this request during the hearing.</w:t>
      </w:r>
      <w:r w:rsidR="000D1CFD">
        <w:rPr>
          <w:rStyle w:val="FootnoteReference"/>
        </w:rPr>
        <w:footnoteReference w:id="46"/>
      </w:r>
    </w:p>
    <w:p w:rsidR="005D4D26" w:rsidP="005B6644" w:rsidRDefault="004162A0" w14:paraId="39151CE6" w14:textId="000CFDCC">
      <w:pPr>
        <w:pStyle w:val="Standard"/>
      </w:pPr>
      <w:r>
        <w:t xml:space="preserve">Regarding allocation, Liberty relies upon Algonquin’s Cost Allocation Manual (CAM). Depending on the headquarters, </w:t>
      </w:r>
      <w:r w:rsidR="005D4D26">
        <w:t>a few factors</w:t>
      </w:r>
      <w:r>
        <w:t xml:space="preserve"> </w:t>
      </w:r>
      <w:r w:rsidR="003F0F29">
        <w:t xml:space="preserve">among several factors </w:t>
      </w:r>
      <w:r>
        <w:t>are chosen to average and allocate costs.</w:t>
      </w:r>
      <w:r w:rsidR="001B0F85">
        <w:t xml:space="preserve"> </w:t>
      </w:r>
      <w:r w:rsidR="003F0F29">
        <w:t>Liberty explains the relationship between the corporate function and the factors in its General Office Report.</w:t>
      </w:r>
      <w:r w:rsidR="00172953">
        <w:rPr>
          <w:rStyle w:val="FootnoteReference"/>
        </w:rPr>
        <w:footnoteReference w:id="47"/>
      </w:r>
      <w:r w:rsidR="003F0F29">
        <w:t xml:space="preserve"> </w:t>
      </w:r>
      <w:r w:rsidR="001B0F85">
        <w:t xml:space="preserve"> </w:t>
      </w:r>
      <w:r w:rsidR="00C811B4">
        <w:t>The b</w:t>
      </w:r>
      <w:r w:rsidR="005D4D26">
        <w:t>elow</w:t>
      </w:r>
      <w:r w:rsidR="00C811B4">
        <w:t xml:space="preserve"> table</w:t>
      </w:r>
      <w:r w:rsidR="005D4D26">
        <w:t xml:space="preserve"> shows Liberty’s requested factors per corporate office, based on 2017 company data.</w:t>
      </w:r>
    </w:p>
    <w:p w:rsidRPr="00591725" w:rsidR="009E6B3A" w:rsidP="001B0F85" w:rsidRDefault="009E6B3A" w14:paraId="29D4BBE4" w14:textId="6F3BEC8E">
      <w:pPr>
        <w:pStyle w:val="Standard"/>
        <w:keepNext/>
        <w:keepLines/>
        <w:jc w:val="center"/>
        <w:rPr>
          <w:b/>
          <w:bCs/>
        </w:rPr>
      </w:pPr>
      <w:r w:rsidRPr="00591725">
        <w:rPr>
          <w:b/>
          <w:bCs/>
        </w:rPr>
        <w:lastRenderedPageBreak/>
        <w:t xml:space="preserve">Table </w:t>
      </w:r>
      <w:r>
        <w:rPr>
          <w:b/>
          <w:bCs/>
        </w:rPr>
        <w:t>6</w:t>
      </w:r>
    </w:p>
    <w:p w:rsidR="00B831E4" w:rsidP="001B0F85" w:rsidRDefault="009E6B3A" w14:paraId="37A4D585" w14:textId="27525C6E">
      <w:pPr>
        <w:pStyle w:val="Standard"/>
        <w:keepNext/>
        <w:keepLines/>
        <w:jc w:val="center"/>
      </w:pPr>
      <w:r>
        <w:t>Corporate Allocation Factors Utiliz</w:t>
      </w:r>
      <w:r w:rsidRPr="007751E1">
        <w:t>ed</w:t>
      </w:r>
      <w:r w:rsidRPr="003B4BA5" w:rsidR="00B831E4">
        <w:rPr>
          <w:rStyle w:val="FootnoteReference"/>
        </w:rPr>
        <w:footnoteReference w:id="48"/>
      </w:r>
    </w:p>
    <w:tbl>
      <w:tblPr>
        <w:tblStyle w:val="TableGrid"/>
        <w:tblW w:w="9810" w:type="dxa"/>
        <w:tblInd w:w="-185" w:type="dxa"/>
        <w:tblLook w:val="04A0" w:firstRow="1" w:lastRow="0" w:firstColumn="1" w:lastColumn="0" w:noHBand="0" w:noVBand="1"/>
      </w:tblPr>
      <w:tblGrid>
        <w:gridCol w:w="2054"/>
        <w:gridCol w:w="1636"/>
        <w:gridCol w:w="2430"/>
        <w:gridCol w:w="1350"/>
        <w:gridCol w:w="2340"/>
      </w:tblGrid>
      <w:tr w:rsidR="00865596" w:rsidTr="001B0F85" w14:paraId="003750A0" w14:textId="77777777">
        <w:tc>
          <w:tcPr>
            <w:tcW w:w="2054" w:type="dxa"/>
          </w:tcPr>
          <w:p w:rsidR="00046386" w:rsidP="001B0F85" w:rsidRDefault="00046386" w14:paraId="1FB7A5C7" w14:textId="6B894AE2">
            <w:pPr>
              <w:pStyle w:val="Standard"/>
              <w:keepNext/>
              <w:keepLines/>
              <w:spacing w:line="240" w:lineRule="auto"/>
              <w:ind w:firstLine="0"/>
            </w:pPr>
            <w:r>
              <w:t>Corporate</w:t>
            </w:r>
            <w:r w:rsidR="00D04B7E">
              <w:t xml:space="preserve"> Headquarters</w:t>
            </w:r>
            <w:r>
              <w:t>:</w:t>
            </w:r>
          </w:p>
          <w:p w:rsidR="00046386" w:rsidP="001B0F85" w:rsidRDefault="00046386" w14:paraId="76F2D937" w14:textId="226C3788">
            <w:pPr>
              <w:pStyle w:val="Standard"/>
              <w:keepNext/>
              <w:keepLines/>
              <w:spacing w:line="240" w:lineRule="auto"/>
              <w:ind w:firstLine="0"/>
            </w:pPr>
          </w:p>
        </w:tc>
        <w:tc>
          <w:tcPr>
            <w:tcW w:w="1636" w:type="dxa"/>
            <w:vAlign w:val="center"/>
          </w:tcPr>
          <w:p w:rsidRPr="007F5504" w:rsidR="00046386" w:rsidP="001B0F85" w:rsidRDefault="00046386" w14:paraId="5D83FE47" w14:textId="3F7D2519">
            <w:pPr>
              <w:pStyle w:val="Standard"/>
              <w:keepNext/>
              <w:keepLines/>
              <w:spacing w:line="240" w:lineRule="auto"/>
              <w:ind w:firstLine="0"/>
              <w:jc w:val="center"/>
              <w:rPr>
                <w:b/>
                <w:bCs/>
              </w:rPr>
            </w:pPr>
            <w:r w:rsidRPr="007F5504">
              <w:rPr>
                <w:b/>
                <w:bCs/>
              </w:rPr>
              <w:t>Algonquin</w:t>
            </w:r>
          </w:p>
        </w:tc>
        <w:tc>
          <w:tcPr>
            <w:tcW w:w="2430" w:type="dxa"/>
            <w:vAlign w:val="center"/>
          </w:tcPr>
          <w:p w:rsidRPr="007F5504" w:rsidR="00046386" w:rsidP="001B0F85" w:rsidRDefault="00046386" w14:paraId="7092382F" w14:textId="770C0239">
            <w:pPr>
              <w:pStyle w:val="Standard"/>
              <w:keepNext/>
              <w:keepLines/>
              <w:spacing w:line="240" w:lineRule="auto"/>
              <w:ind w:firstLine="0"/>
              <w:jc w:val="center"/>
              <w:rPr>
                <w:b/>
                <w:bCs/>
              </w:rPr>
            </w:pPr>
            <w:r w:rsidRPr="007F5504">
              <w:rPr>
                <w:b/>
                <w:bCs/>
              </w:rPr>
              <w:t>Business service units within LUC and LUSC</w:t>
            </w:r>
          </w:p>
        </w:tc>
        <w:tc>
          <w:tcPr>
            <w:tcW w:w="1350" w:type="dxa"/>
            <w:vAlign w:val="center"/>
          </w:tcPr>
          <w:p w:rsidRPr="007F5504" w:rsidR="00046386" w:rsidP="001B0F85" w:rsidRDefault="00046386" w14:paraId="2BBEC7D4" w14:textId="203C3D3D">
            <w:pPr>
              <w:pStyle w:val="Standard"/>
              <w:keepNext/>
              <w:keepLines/>
              <w:spacing w:line="240" w:lineRule="auto"/>
              <w:ind w:firstLine="0"/>
              <w:jc w:val="center"/>
              <w:rPr>
                <w:b/>
                <w:bCs/>
              </w:rPr>
            </w:pPr>
            <w:r w:rsidRPr="007F5504">
              <w:rPr>
                <w:b/>
                <w:bCs/>
              </w:rPr>
              <w:t>LUC</w:t>
            </w:r>
          </w:p>
        </w:tc>
        <w:tc>
          <w:tcPr>
            <w:tcW w:w="2340" w:type="dxa"/>
            <w:vAlign w:val="center"/>
          </w:tcPr>
          <w:p w:rsidRPr="007F5504" w:rsidR="00046386" w:rsidP="001B0F85" w:rsidRDefault="00046386" w14:paraId="444FEAF2" w14:textId="1A43525E">
            <w:pPr>
              <w:pStyle w:val="Standard"/>
              <w:keepNext/>
              <w:keepLines/>
              <w:spacing w:line="240" w:lineRule="auto"/>
              <w:ind w:firstLine="0"/>
              <w:jc w:val="center"/>
              <w:rPr>
                <w:b/>
                <w:bCs/>
              </w:rPr>
            </w:pPr>
            <w:r w:rsidRPr="007F5504">
              <w:rPr>
                <w:b/>
                <w:bCs/>
              </w:rPr>
              <w:t>General Office in Downey</w:t>
            </w:r>
          </w:p>
        </w:tc>
      </w:tr>
      <w:tr w:rsidR="00865596" w:rsidTr="002D2B1A" w14:paraId="7A499510" w14:textId="77777777">
        <w:trPr>
          <w:trHeight w:val="764"/>
        </w:trPr>
        <w:tc>
          <w:tcPr>
            <w:tcW w:w="2054" w:type="dxa"/>
          </w:tcPr>
          <w:p w:rsidR="00D04B7E" w:rsidP="001B0F85" w:rsidRDefault="00D04B7E" w14:paraId="1122471A" w14:textId="1A53283E">
            <w:pPr>
              <w:pStyle w:val="Standard"/>
              <w:keepNext/>
              <w:keepLines/>
              <w:spacing w:line="240" w:lineRule="auto"/>
              <w:ind w:firstLine="0"/>
            </w:pPr>
            <w:proofErr w:type="gramStart"/>
            <w:r>
              <w:t>Factors</w:t>
            </w:r>
            <w:r w:rsidR="007F5504">
              <w:t xml:space="preserve">  Averaged</w:t>
            </w:r>
            <w:proofErr w:type="gramEnd"/>
            <w:r>
              <w:t>:</w:t>
            </w:r>
          </w:p>
        </w:tc>
        <w:tc>
          <w:tcPr>
            <w:tcW w:w="1636" w:type="dxa"/>
            <w:vAlign w:val="center"/>
          </w:tcPr>
          <w:p w:rsidR="00D04B7E" w:rsidP="001B0F85" w:rsidRDefault="00D04B7E" w14:paraId="6B0E5E60" w14:textId="77777777">
            <w:pPr>
              <w:pStyle w:val="Standard"/>
              <w:keepNext/>
              <w:keepLines/>
              <w:spacing w:line="240" w:lineRule="auto"/>
              <w:ind w:firstLine="0"/>
              <w:jc w:val="center"/>
            </w:pPr>
          </w:p>
        </w:tc>
        <w:tc>
          <w:tcPr>
            <w:tcW w:w="2430" w:type="dxa"/>
            <w:vAlign w:val="center"/>
          </w:tcPr>
          <w:p w:rsidR="00D04B7E" w:rsidP="001B0F85" w:rsidRDefault="00D04B7E" w14:paraId="21476FFB" w14:textId="77777777">
            <w:pPr>
              <w:pStyle w:val="Standard"/>
              <w:keepNext/>
              <w:keepLines/>
              <w:spacing w:line="240" w:lineRule="auto"/>
              <w:ind w:firstLine="0"/>
              <w:jc w:val="center"/>
            </w:pPr>
          </w:p>
        </w:tc>
        <w:tc>
          <w:tcPr>
            <w:tcW w:w="1350" w:type="dxa"/>
            <w:vAlign w:val="center"/>
          </w:tcPr>
          <w:p w:rsidR="00D04B7E" w:rsidP="001B0F85" w:rsidRDefault="00D04B7E" w14:paraId="4C9FA143" w14:textId="77777777">
            <w:pPr>
              <w:pStyle w:val="Standard"/>
              <w:keepNext/>
              <w:keepLines/>
              <w:spacing w:line="240" w:lineRule="auto"/>
              <w:ind w:firstLine="0"/>
              <w:jc w:val="center"/>
            </w:pPr>
          </w:p>
        </w:tc>
        <w:tc>
          <w:tcPr>
            <w:tcW w:w="2340" w:type="dxa"/>
            <w:vAlign w:val="center"/>
          </w:tcPr>
          <w:p w:rsidR="00D04B7E" w:rsidP="001B0F85" w:rsidRDefault="00D04B7E" w14:paraId="22FA6035" w14:textId="77777777">
            <w:pPr>
              <w:pStyle w:val="Standard"/>
              <w:keepNext/>
              <w:keepLines/>
              <w:spacing w:line="240" w:lineRule="auto"/>
              <w:ind w:firstLine="0"/>
              <w:jc w:val="center"/>
            </w:pPr>
          </w:p>
        </w:tc>
      </w:tr>
      <w:tr w:rsidR="00865596" w:rsidTr="002D2B1A" w14:paraId="585BBA45" w14:textId="77777777">
        <w:trPr>
          <w:trHeight w:val="737"/>
        </w:trPr>
        <w:tc>
          <w:tcPr>
            <w:tcW w:w="2054" w:type="dxa"/>
          </w:tcPr>
          <w:p w:rsidRPr="007F5504" w:rsidR="00046386" w:rsidP="001B0F85" w:rsidRDefault="00046386" w14:paraId="651CACBD" w14:textId="721E2E29">
            <w:pPr>
              <w:pStyle w:val="Standard"/>
              <w:keepNext/>
              <w:keepLines/>
              <w:spacing w:line="240" w:lineRule="auto"/>
              <w:ind w:firstLine="0"/>
              <w:rPr>
                <w:b/>
                <w:bCs/>
              </w:rPr>
            </w:pPr>
            <w:r w:rsidRPr="007F5504">
              <w:rPr>
                <w:b/>
                <w:bCs/>
              </w:rPr>
              <w:t>Employee Headcount</w:t>
            </w:r>
          </w:p>
        </w:tc>
        <w:tc>
          <w:tcPr>
            <w:tcW w:w="1636" w:type="dxa"/>
            <w:vAlign w:val="center"/>
          </w:tcPr>
          <w:p w:rsidR="00046386" w:rsidP="001B0F85" w:rsidRDefault="00046386" w14:paraId="181BCBB8" w14:textId="05DCE841">
            <w:pPr>
              <w:pStyle w:val="Standard"/>
              <w:keepNext/>
              <w:keepLines/>
              <w:spacing w:line="240" w:lineRule="auto"/>
              <w:ind w:firstLine="0"/>
              <w:jc w:val="center"/>
            </w:pPr>
            <w:r>
              <w:t>x</w:t>
            </w:r>
          </w:p>
        </w:tc>
        <w:tc>
          <w:tcPr>
            <w:tcW w:w="2430" w:type="dxa"/>
            <w:vAlign w:val="center"/>
          </w:tcPr>
          <w:p w:rsidR="00046386" w:rsidP="001B0F85" w:rsidRDefault="00046386" w14:paraId="06308EB0" w14:textId="22BE36D3">
            <w:pPr>
              <w:pStyle w:val="Standard"/>
              <w:keepNext/>
              <w:keepLines/>
              <w:spacing w:line="240" w:lineRule="auto"/>
              <w:ind w:firstLine="0"/>
              <w:jc w:val="center"/>
            </w:pPr>
            <w:r>
              <w:t>x</w:t>
            </w:r>
          </w:p>
        </w:tc>
        <w:tc>
          <w:tcPr>
            <w:tcW w:w="1350" w:type="dxa"/>
            <w:vAlign w:val="center"/>
          </w:tcPr>
          <w:p w:rsidR="00046386" w:rsidP="001B0F85" w:rsidRDefault="00F223DB" w14:paraId="7D6319C6" w14:textId="7EA239CD">
            <w:pPr>
              <w:pStyle w:val="Standard"/>
              <w:keepNext/>
              <w:keepLines/>
              <w:spacing w:line="240" w:lineRule="auto"/>
              <w:ind w:firstLine="0"/>
              <w:jc w:val="center"/>
            </w:pPr>
            <w:r>
              <w:t>X</w:t>
            </w:r>
          </w:p>
        </w:tc>
        <w:tc>
          <w:tcPr>
            <w:tcW w:w="2340" w:type="dxa"/>
            <w:vAlign w:val="center"/>
          </w:tcPr>
          <w:p w:rsidR="00046386" w:rsidP="001B0F85" w:rsidRDefault="00046386" w14:paraId="0EC6307C" w14:textId="23BBB040">
            <w:pPr>
              <w:pStyle w:val="Standard"/>
              <w:keepNext/>
              <w:keepLines/>
              <w:spacing w:line="240" w:lineRule="auto"/>
              <w:ind w:firstLine="0"/>
              <w:jc w:val="center"/>
            </w:pPr>
            <w:r>
              <w:t>x</w:t>
            </w:r>
          </w:p>
        </w:tc>
      </w:tr>
      <w:tr w:rsidR="00865596" w:rsidTr="002D2B1A" w14:paraId="5302524B" w14:textId="77777777">
        <w:trPr>
          <w:trHeight w:val="1088"/>
        </w:trPr>
        <w:tc>
          <w:tcPr>
            <w:tcW w:w="2054" w:type="dxa"/>
          </w:tcPr>
          <w:p w:rsidRPr="007F5504" w:rsidR="00046386" w:rsidP="001B0F85" w:rsidRDefault="00046386" w14:paraId="5205C394" w14:textId="49488F31">
            <w:pPr>
              <w:pStyle w:val="Standard"/>
              <w:keepNext/>
              <w:keepLines/>
              <w:spacing w:line="240" w:lineRule="auto"/>
              <w:ind w:firstLine="0"/>
              <w:rPr>
                <w:b/>
                <w:bCs/>
              </w:rPr>
            </w:pPr>
            <w:r w:rsidRPr="007F5504">
              <w:rPr>
                <w:b/>
                <w:bCs/>
              </w:rPr>
              <w:t>Employees located only in Oakville</w:t>
            </w:r>
          </w:p>
        </w:tc>
        <w:tc>
          <w:tcPr>
            <w:tcW w:w="1636" w:type="dxa"/>
            <w:vAlign w:val="center"/>
          </w:tcPr>
          <w:p w:rsidR="00046386" w:rsidP="001B0F85" w:rsidRDefault="00046386" w14:paraId="422CEECA" w14:textId="06C6AE3A">
            <w:pPr>
              <w:pStyle w:val="Standard"/>
              <w:keepNext/>
              <w:keepLines/>
              <w:spacing w:line="240" w:lineRule="auto"/>
              <w:ind w:firstLine="0"/>
              <w:jc w:val="center"/>
            </w:pPr>
            <w:r>
              <w:t>x</w:t>
            </w:r>
          </w:p>
        </w:tc>
        <w:tc>
          <w:tcPr>
            <w:tcW w:w="2430" w:type="dxa"/>
            <w:vAlign w:val="center"/>
          </w:tcPr>
          <w:p w:rsidR="00046386" w:rsidP="001B0F85" w:rsidRDefault="00046386" w14:paraId="69615858" w14:textId="764A08B4">
            <w:pPr>
              <w:pStyle w:val="Standard"/>
              <w:keepNext/>
              <w:keepLines/>
              <w:spacing w:line="240" w:lineRule="auto"/>
              <w:ind w:firstLine="0"/>
              <w:jc w:val="center"/>
            </w:pPr>
            <w:r>
              <w:t>x</w:t>
            </w:r>
          </w:p>
        </w:tc>
        <w:tc>
          <w:tcPr>
            <w:tcW w:w="1350" w:type="dxa"/>
            <w:vAlign w:val="center"/>
          </w:tcPr>
          <w:p w:rsidR="00046386" w:rsidP="001B0F85" w:rsidRDefault="00046386" w14:paraId="50D1960C" w14:textId="11E356E1">
            <w:pPr>
              <w:pStyle w:val="Standard"/>
              <w:keepNext/>
              <w:keepLines/>
              <w:spacing w:line="240" w:lineRule="auto"/>
              <w:ind w:firstLine="0"/>
              <w:jc w:val="center"/>
            </w:pPr>
          </w:p>
        </w:tc>
        <w:tc>
          <w:tcPr>
            <w:tcW w:w="2340" w:type="dxa"/>
            <w:vAlign w:val="center"/>
          </w:tcPr>
          <w:p w:rsidR="00046386" w:rsidP="001B0F85" w:rsidRDefault="00046386" w14:paraId="351B586D" w14:textId="77777777">
            <w:pPr>
              <w:pStyle w:val="Standard"/>
              <w:keepNext/>
              <w:keepLines/>
              <w:spacing w:line="240" w:lineRule="auto"/>
              <w:ind w:firstLine="0"/>
              <w:jc w:val="center"/>
            </w:pPr>
          </w:p>
        </w:tc>
      </w:tr>
      <w:tr w:rsidR="00865596" w:rsidTr="002D2B1A" w14:paraId="0DD8AE43" w14:textId="77777777">
        <w:trPr>
          <w:trHeight w:val="503"/>
        </w:trPr>
        <w:tc>
          <w:tcPr>
            <w:tcW w:w="2054" w:type="dxa"/>
          </w:tcPr>
          <w:p w:rsidRPr="007F5504" w:rsidR="00046386" w:rsidP="001B0F85" w:rsidRDefault="00046386" w14:paraId="1B1BD6E6" w14:textId="6B2B8998">
            <w:pPr>
              <w:pStyle w:val="Standard"/>
              <w:keepNext/>
              <w:keepLines/>
              <w:spacing w:line="240" w:lineRule="auto"/>
              <w:ind w:firstLine="0"/>
              <w:rPr>
                <w:b/>
                <w:bCs/>
              </w:rPr>
            </w:pPr>
            <w:r w:rsidRPr="007F5504">
              <w:rPr>
                <w:b/>
                <w:bCs/>
              </w:rPr>
              <w:t>Labor Expense</w:t>
            </w:r>
          </w:p>
        </w:tc>
        <w:tc>
          <w:tcPr>
            <w:tcW w:w="1636" w:type="dxa"/>
            <w:vAlign w:val="center"/>
          </w:tcPr>
          <w:p w:rsidR="00046386" w:rsidP="001B0F85" w:rsidRDefault="00046386" w14:paraId="160FEC41" w14:textId="77777777">
            <w:pPr>
              <w:pStyle w:val="Standard"/>
              <w:keepNext/>
              <w:keepLines/>
              <w:spacing w:line="240" w:lineRule="auto"/>
              <w:ind w:firstLine="0"/>
              <w:jc w:val="center"/>
            </w:pPr>
          </w:p>
        </w:tc>
        <w:tc>
          <w:tcPr>
            <w:tcW w:w="2430" w:type="dxa"/>
            <w:vAlign w:val="center"/>
          </w:tcPr>
          <w:p w:rsidR="00046386" w:rsidP="001B0F85" w:rsidRDefault="00046386" w14:paraId="1967D9CE" w14:textId="77777777">
            <w:pPr>
              <w:pStyle w:val="Standard"/>
              <w:keepNext/>
              <w:keepLines/>
              <w:spacing w:line="240" w:lineRule="auto"/>
              <w:ind w:firstLine="0"/>
              <w:jc w:val="center"/>
            </w:pPr>
          </w:p>
        </w:tc>
        <w:tc>
          <w:tcPr>
            <w:tcW w:w="1350" w:type="dxa"/>
            <w:vAlign w:val="center"/>
          </w:tcPr>
          <w:p w:rsidR="00046386" w:rsidP="001B0F85" w:rsidRDefault="00F223DB" w14:paraId="7BE74404" w14:textId="304AD1E8">
            <w:pPr>
              <w:pStyle w:val="Standard"/>
              <w:keepNext/>
              <w:keepLines/>
              <w:spacing w:line="240" w:lineRule="auto"/>
              <w:ind w:firstLine="0"/>
              <w:jc w:val="center"/>
            </w:pPr>
            <w:r>
              <w:t>X</w:t>
            </w:r>
          </w:p>
        </w:tc>
        <w:tc>
          <w:tcPr>
            <w:tcW w:w="2340" w:type="dxa"/>
            <w:vAlign w:val="center"/>
          </w:tcPr>
          <w:p w:rsidR="00046386" w:rsidP="001B0F85" w:rsidRDefault="00046386" w14:paraId="31F4817A" w14:textId="72654164">
            <w:pPr>
              <w:pStyle w:val="Standard"/>
              <w:keepNext/>
              <w:keepLines/>
              <w:spacing w:line="240" w:lineRule="auto"/>
              <w:ind w:firstLine="0"/>
              <w:jc w:val="center"/>
            </w:pPr>
            <w:r>
              <w:t>x</w:t>
            </w:r>
          </w:p>
        </w:tc>
      </w:tr>
      <w:tr w:rsidR="00865596" w:rsidTr="002D2B1A" w14:paraId="3DEA85C3" w14:textId="77777777">
        <w:trPr>
          <w:trHeight w:val="701"/>
        </w:trPr>
        <w:tc>
          <w:tcPr>
            <w:tcW w:w="2054" w:type="dxa"/>
          </w:tcPr>
          <w:p w:rsidRPr="007F5504" w:rsidR="00046386" w:rsidP="001B0F85" w:rsidRDefault="00046386" w14:paraId="4CA1FA8F" w14:textId="37B6641D">
            <w:pPr>
              <w:pStyle w:val="Standard"/>
              <w:keepNext/>
              <w:keepLines/>
              <w:spacing w:line="240" w:lineRule="auto"/>
              <w:ind w:firstLine="0"/>
              <w:rPr>
                <w:b/>
                <w:bCs/>
              </w:rPr>
            </w:pPr>
            <w:r w:rsidRPr="007F5504">
              <w:rPr>
                <w:b/>
                <w:bCs/>
              </w:rPr>
              <w:t>Non-labor expense</w:t>
            </w:r>
          </w:p>
        </w:tc>
        <w:tc>
          <w:tcPr>
            <w:tcW w:w="1636" w:type="dxa"/>
            <w:vAlign w:val="center"/>
          </w:tcPr>
          <w:p w:rsidR="00046386" w:rsidP="001B0F85" w:rsidRDefault="00046386" w14:paraId="7D161EF4" w14:textId="77777777">
            <w:pPr>
              <w:pStyle w:val="Standard"/>
              <w:keepNext/>
              <w:keepLines/>
              <w:spacing w:line="240" w:lineRule="auto"/>
              <w:ind w:firstLine="0"/>
              <w:jc w:val="center"/>
            </w:pPr>
          </w:p>
        </w:tc>
        <w:tc>
          <w:tcPr>
            <w:tcW w:w="2430" w:type="dxa"/>
            <w:vAlign w:val="center"/>
          </w:tcPr>
          <w:p w:rsidR="00046386" w:rsidP="001B0F85" w:rsidRDefault="00046386" w14:paraId="7AAFA7AF" w14:textId="77777777">
            <w:pPr>
              <w:pStyle w:val="Standard"/>
              <w:keepNext/>
              <w:keepLines/>
              <w:spacing w:line="240" w:lineRule="auto"/>
              <w:ind w:firstLine="0"/>
              <w:jc w:val="center"/>
            </w:pPr>
          </w:p>
        </w:tc>
        <w:tc>
          <w:tcPr>
            <w:tcW w:w="1350" w:type="dxa"/>
            <w:vAlign w:val="center"/>
          </w:tcPr>
          <w:p w:rsidR="00046386" w:rsidP="001B0F85" w:rsidRDefault="00F223DB" w14:paraId="54AE8321" w14:textId="1FA9BACB">
            <w:pPr>
              <w:pStyle w:val="Standard"/>
              <w:keepNext/>
              <w:keepLines/>
              <w:spacing w:line="240" w:lineRule="auto"/>
              <w:ind w:firstLine="0"/>
              <w:jc w:val="center"/>
            </w:pPr>
            <w:r>
              <w:t>X</w:t>
            </w:r>
          </w:p>
        </w:tc>
        <w:tc>
          <w:tcPr>
            <w:tcW w:w="2340" w:type="dxa"/>
            <w:vAlign w:val="center"/>
          </w:tcPr>
          <w:p w:rsidR="00046386" w:rsidP="001B0F85" w:rsidRDefault="00046386" w14:paraId="28D40A69" w14:textId="318A97BC">
            <w:pPr>
              <w:pStyle w:val="Standard"/>
              <w:keepNext/>
              <w:keepLines/>
              <w:spacing w:line="240" w:lineRule="auto"/>
              <w:ind w:firstLine="0"/>
              <w:jc w:val="center"/>
            </w:pPr>
            <w:r>
              <w:t>x</w:t>
            </w:r>
          </w:p>
        </w:tc>
      </w:tr>
      <w:tr w:rsidR="00865596" w:rsidTr="002D2B1A" w14:paraId="0404F793" w14:textId="77777777">
        <w:trPr>
          <w:trHeight w:val="422"/>
        </w:trPr>
        <w:tc>
          <w:tcPr>
            <w:tcW w:w="2054" w:type="dxa"/>
          </w:tcPr>
          <w:p w:rsidRPr="007F5504" w:rsidR="00046386" w:rsidP="001B0F85" w:rsidRDefault="00046386" w14:paraId="1CA52A6A" w14:textId="157F80C9">
            <w:pPr>
              <w:pStyle w:val="Standard"/>
              <w:keepNext/>
              <w:keepLines/>
              <w:spacing w:line="240" w:lineRule="auto"/>
              <w:ind w:firstLine="0"/>
              <w:rPr>
                <w:b/>
                <w:bCs/>
              </w:rPr>
            </w:pPr>
            <w:r w:rsidRPr="007F5504">
              <w:rPr>
                <w:b/>
                <w:bCs/>
              </w:rPr>
              <w:t>O&amp;M</w:t>
            </w:r>
          </w:p>
        </w:tc>
        <w:tc>
          <w:tcPr>
            <w:tcW w:w="1636" w:type="dxa"/>
            <w:vAlign w:val="center"/>
          </w:tcPr>
          <w:p w:rsidR="00046386" w:rsidP="001B0F85" w:rsidRDefault="00046386" w14:paraId="0758F86E" w14:textId="7C6463A5">
            <w:pPr>
              <w:pStyle w:val="Standard"/>
              <w:keepNext/>
              <w:keepLines/>
              <w:spacing w:line="240" w:lineRule="auto"/>
              <w:ind w:firstLine="0"/>
              <w:jc w:val="center"/>
            </w:pPr>
            <w:r>
              <w:t>x</w:t>
            </w:r>
          </w:p>
        </w:tc>
        <w:tc>
          <w:tcPr>
            <w:tcW w:w="2430" w:type="dxa"/>
            <w:vAlign w:val="center"/>
          </w:tcPr>
          <w:p w:rsidR="00046386" w:rsidP="001B0F85" w:rsidRDefault="00046386" w14:paraId="62B9FEA2" w14:textId="113CC93F">
            <w:pPr>
              <w:pStyle w:val="Standard"/>
              <w:keepNext/>
              <w:keepLines/>
              <w:spacing w:line="240" w:lineRule="auto"/>
              <w:ind w:firstLine="0"/>
              <w:jc w:val="center"/>
            </w:pPr>
            <w:r>
              <w:t>x</w:t>
            </w:r>
          </w:p>
        </w:tc>
        <w:tc>
          <w:tcPr>
            <w:tcW w:w="1350" w:type="dxa"/>
            <w:vAlign w:val="center"/>
          </w:tcPr>
          <w:p w:rsidR="00046386" w:rsidP="001B0F85" w:rsidRDefault="00046386" w14:paraId="7B3F5838" w14:textId="1BD2EC0E">
            <w:pPr>
              <w:pStyle w:val="Standard"/>
              <w:keepNext/>
              <w:keepLines/>
              <w:spacing w:line="240" w:lineRule="auto"/>
              <w:ind w:firstLine="0"/>
              <w:jc w:val="center"/>
            </w:pPr>
          </w:p>
        </w:tc>
        <w:tc>
          <w:tcPr>
            <w:tcW w:w="2340" w:type="dxa"/>
            <w:vAlign w:val="center"/>
          </w:tcPr>
          <w:p w:rsidR="00046386" w:rsidP="001B0F85" w:rsidRDefault="00046386" w14:paraId="4C6DFB78" w14:textId="77777777">
            <w:pPr>
              <w:pStyle w:val="Standard"/>
              <w:keepNext/>
              <w:keepLines/>
              <w:spacing w:line="240" w:lineRule="auto"/>
              <w:ind w:firstLine="0"/>
              <w:jc w:val="center"/>
            </w:pPr>
          </w:p>
        </w:tc>
      </w:tr>
      <w:tr w:rsidR="00865596" w:rsidTr="002D2B1A" w14:paraId="35F1077D" w14:textId="77777777">
        <w:trPr>
          <w:trHeight w:val="458"/>
        </w:trPr>
        <w:tc>
          <w:tcPr>
            <w:tcW w:w="2054" w:type="dxa"/>
          </w:tcPr>
          <w:p w:rsidRPr="007F5504" w:rsidR="00046386" w:rsidP="001B0F85" w:rsidRDefault="00046386" w14:paraId="62ED4D8F" w14:textId="4E32A53E">
            <w:pPr>
              <w:pStyle w:val="Standard"/>
              <w:keepNext/>
              <w:keepLines/>
              <w:spacing w:line="240" w:lineRule="auto"/>
              <w:ind w:firstLine="0"/>
              <w:rPr>
                <w:b/>
                <w:bCs/>
              </w:rPr>
            </w:pPr>
            <w:r w:rsidRPr="007F5504">
              <w:rPr>
                <w:b/>
                <w:bCs/>
              </w:rPr>
              <w:t>Revenue</w:t>
            </w:r>
          </w:p>
        </w:tc>
        <w:tc>
          <w:tcPr>
            <w:tcW w:w="1636" w:type="dxa"/>
            <w:vAlign w:val="center"/>
          </w:tcPr>
          <w:p w:rsidR="00046386" w:rsidP="001B0F85" w:rsidRDefault="00046386" w14:paraId="44C54FA0" w14:textId="324FAF0C">
            <w:pPr>
              <w:pStyle w:val="Standard"/>
              <w:keepNext/>
              <w:keepLines/>
              <w:spacing w:line="240" w:lineRule="auto"/>
              <w:ind w:firstLine="0"/>
              <w:jc w:val="center"/>
            </w:pPr>
            <w:r>
              <w:t>x</w:t>
            </w:r>
          </w:p>
        </w:tc>
        <w:tc>
          <w:tcPr>
            <w:tcW w:w="2430" w:type="dxa"/>
            <w:vAlign w:val="center"/>
          </w:tcPr>
          <w:p w:rsidR="00046386" w:rsidP="001B0F85" w:rsidRDefault="00046386" w14:paraId="51907EDC" w14:textId="64012012">
            <w:pPr>
              <w:pStyle w:val="Standard"/>
              <w:keepNext/>
              <w:keepLines/>
              <w:spacing w:line="240" w:lineRule="auto"/>
              <w:ind w:firstLine="0"/>
              <w:jc w:val="center"/>
            </w:pPr>
            <w:r>
              <w:t>x</w:t>
            </w:r>
          </w:p>
        </w:tc>
        <w:tc>
          <w:tcPr>
            <w:tcW w:w="1350" w:type="dxa"/>
            <w:vAlign w:val="center"/>
          </w:tcPr>
          <w:p w:rsidR="00046386" w:rsidP="001B0F85" w:rsidRDefault="00046386" w14:paraId="608C7D72" w14:textId="49900C3B">
            <w:pPr>
              <w:pStyle w:val="Standard"/>
              <w:keepNext/>
              <w:keepLines/>
              <w:spacing w:line="240" w:lineRule="auto"/>
              <w:ind w:firstLine="0"/>
              <w:jc w:val="center"/>
            </w:pPr>
          </w:p>
        </w:tc>
        <w:tc>
          <w:tcPr>
            <w:tcW w:w="2340" w:type="dxa"/>
            <w:vAlign w:val="center"/>
          </w:tcPr>
          <w:p w:rsidR="00046386" w:rsidP="001B0F85" w:rsidRDefault="00046386" w14:paraId="342957B2" w14:textId="77777777">
            <w:pPr>
              <w:pStyle w:val="Standard"/>
              <w:keepNext/>
              <w:keepLines/>
              <w:spacing w:line="240" w:lineRule="auto"/>
              <w:ind w:firstLine="0"/>
              <w:jc w:val="center"/>
            </w:pPr>
          </w:p>
        </w:tc>
      </w:tr>
      <w:tr w:rsidR="00865596" w:rsidTr="002D2B1A" w14:paraId="462677C8" w14:textId="77777777">
        <w:trPr>
          <w:trHeight w:val="386"/>
        </w:trPr>
        <w:tc>
          <w:tcPr>
            <w:tcW w:w="2054" w:type="dxa"/>
          </w:tcPr>
          <w:p w:rsidRPr="007F5504" w:rsidR="00046386" w:rsidP="001B0F85" w:rsidRDefault="00046386" w14:paraId="33038526" w14:textId="0E97AB97">
            <w:pPr>
              <w:pStyle w:val="Standard"/>
              <w:keepNext/>
              <w:keepLines/>
              <w:spacing w:line="240" w:lineRule="auto"/>
              <w:ind w:firstLine="0"/>
              <w:rPr>
                <w:b/>
                <w:bCs/>
              </w:rPr>
            </w:pPr>
            <w:r w:rsidRPr="007F5504">
              <w:rPr>
                <w:b/>
                <w:bCs/>
              </w:rPr>
              <w:t>Net Plant</w:t>
            </w:r>
          </w:p>
        </w:tc>
        <w:tc>
          <w:tcPr>
            <w:tcW w:w="1636" w:type="dxa"/>
            <w:vAlign w:val="center"/>
          </w:tcPr>
          <w:p w:rsidR="00046386" w:rsidP="001B0F85" w:rsidRDefault="00046386" w14:paraId="2917CC9C" w14:textId="35FB2DCF">
            <w:pPr>
              <w:pStyle w:val="Standard"/>
              <w:keepNext/>
              <w:keepLines/>
              <w:spacing w:line="240" w:lineRule="auto"/>
              <w:ind w:firstLine="0"/>
              <w:jc w:val="center"/>
            </w:pPr>
            <w:r>
              <w:t>x</w:t>
            </w:r>
          </w:p>
        </w:tc>
        <w:tc>
          <w:tcPr>
            <w:tcW w:w="2430" w:type="dxa"/>
            <w:vAlign w:val="center"/>
          </w:tcPr>
          <w:p w:rsidR="00046386" w:rsidP="001B0F85" w:rsidRDefault="00046386" w14:paraId="01C3C037" w14:textId="1A38367F">
            <w:pPr>
              <w:pStyle w:val="Standard"/>
              <w:keepNext/>
              <w:keepLines/>
              <w:spacing w:line="240" w:lineRule="auto"/>
              <w:ind w:firstLine="0"/>
              <w:jc w:val="center"/>
            </w:pPr>
            <w:r>
              <w:t>x</w:t>
            </w:r>
          </w:p>
        </w:tc>
        <w:tc>
          <w:tcPr>
            <w:tcW w:w="1350" w:type="dxa"/>
            <w:vAlign w:val="center"/>
          </w:tcPr>
          <w:p w:rsidR="00046386" w:rsidP="001B0F85" w:rsidRDefault="00F223DB" w14:paraId="1111534B" w14:textId="5466E16B">
            <w:pPr>
              <w:pStyle w:val="Standard"/>
              <w:keepNext/>
              <w:keepLines/>
              <w:spacing w:line="240" w:lineRule="auto"/>
              <w:ind w:firstLine="0"/>
              <w:jc w:val="center"/>
            </w:pPr>
            <w:r>
              <w:t>X</w:t>
            </w:r>
          </w:p>
        </w:tc>
        <w:tc>
          <w:tcPr>
            <w:tcW w:w="2340" w:type="dxa"/>
            <w:vAlign w:val="center"/>
          </w:tcPr>
          <w:p w:rsidR="00046386" w:rsidP="001B0F85" w:rsidRDefault="00046386" w14:paraId="1E39676F" w14:textId="2CEBCB42">
            <w:pPr>
              <w:pStyle w:val="Standard"/>
              <w:keepNext/>
              <w:keepLines/>
              <w:spacing w:line="240" w:lineRule="auto"/>
              <w:ind w:firstLine="0"/>
              <w:jc w:val="center"/>
            </w:pPr>
            <w:r>
              <w:t>x</w:t>
            </w:r>
          </w:p>
        </w:tc>
      </w:tr>
      <w:tr w:rsidR="00865596" w:rsidTr="002D2B1A" w14:paraId="7C4E1E83" w14:textId="77777777">
        <w:trPr>
          <w:trHeight w:val="782"/>
        </w:trPr>
        <w:tc>
          <w:tcPr>
            <w:tcW w:w="2054" w:type="dxa"/>
          </w:tcPr>
          <w:p w:rsidRPr="007F5504" w:rsidR="00046386" w:rsidP="001B0F85" w:rsidRDefault="00046386" w14:paraId="6ADE74A4" w14:textId="3370A98B">
            <w:pPr>
              <w:pStyle w:val="Standard"/>
              <w:keepNext/>
              <w:keepLines/>
              <w:spacing w:line="240" w:lineRule="auto"/>
              <w:ind w:firstLine="0"/>
              <w:rPr>
                <w:b/>
                <w:bCs/>
              </w:rPr>
            </w:pPr>
            <w:r w:rsidRPr="007F5504">
              <w:rPr>
                <w:b/>
                <w:bCs/>
              </w:rPr>
              <w:t>Capital Expenditure</w:t>
            </w:r>
          </w:p>
        </w:tc>
        <w:tc>
          <w:tcPr>
            <w:tcW w:w="1636" w:type="dxa"/>
            <w:vAlign w:val="center"/>
          </w:tcPr>
          <w:p w:rsidR="00046386" w:rsidP="001B0F85" w:rsidRDefault="00046386" w14:paraId="732D9C47" w14:textId="77777777">
            <w:pPr>
              <w:pStyle w:val="Standard"/>
              <w:keepNext/>
              <w:keepLines/>
              <w:spacing w:line="240" w:lineRule="auto"/>
              <w:ind w:firstLine="0"/>
              <w:jc w:val="center"/>
            </w:pPr>
          </w:p>
        </w:tc>
        <w:tc>
          <w:tcPr>
            <w:tcW w:w="2430" w:type="dxa"/>
            <w:vAlign w:val="center"/>
          </w:tcPr>
          <w:p w:rsidR="00046386" w:rsidP="001B0F85" w:rsidRDefault="00046386" w14:paraId="328D62BA" w14:textId="798F6573">
            <w:pPr>
              <w:pStyle w:val="Standard"/>
              <w:keepNext/>
              <w:keepLines/>
              <w:spacing w:line="240" w:lineRule="auto"/>
              <w:ind w:firstLine="0"/>
              <w:jc w:val="center"/>
            </w:pPr>
            <w:r>
              <w:t>x</w:t>
            </w:r>
          </w:p>
        </w:tc>
        <w:tc>
          <w:tcPr>
            <w:tcW w:w="1350" w:type="dxa"/>
            <w:vAlign w:val="center"/>
          </w:tcPr>
          <w:p w:rsidR="00046386" w:rsidP="001B0F85" w:rsidRDefault="00046386" w14:paraId="37D154CB" w14:textId="65C458E5">
            <w:pPr>
              <w:pStyle w:val="Standard"/>
              <w:keepNext/>
              <w:keepLines/>
              <w:spacing w:line="240" w:lineRule="auto"/>
              <w:ind w:firstLine="0"/>
              <w:jc w:val="center"/>
            </w:pPr>
          </w:p>
        </w:tc>
        <w:tc>
          <w:tcPr>
            <w:tcW w:w="2340" w:type="dxa"/>
            <w:vAlign w:val="center"/>
          </w:tcPr>
          <w:p w:rsidR="00046386" w:rsidP="001B0F85" w:rsidRDefault="00046386" w14:paraId="6D19F7F6" w14:textId="77777777">
            <w:pPr>
              <w:pStyle w:val="Standard"/>
              <w:keepNext/>
              <w:keepLines/>
              <w:spacing w:line="240" w:lineRule="auto"/>
              <w:ind w:firstLine="0"/>
              <w:jc w:val="center"/>
            </w:pPr>
          </w:p>
        </w:tc>
      </w:tr>
    </w:tbl>
    <w:p w:rsidRPr="001B0F85" w:rsidR="005D4D26" w:rsidP="005B6644" w:rsidRDefault="005D4D26" w14:paraId="4D3815DD" w14:textId="77777777">
      <w:pPr>
        <w:pStyle w:val="Standard"/>
        <w:rPr>
          <w:sz w:val="10"/>
          <w:szCs w:val="10"/>
        </w:rPr>
      </w:pPr>
    </w:p>
    <w:p w:rsidR="00BB0416" w:rsidP="005B6644" w:rsidRDefault="005F42BC" w14:paraId="65F3F595" w14:textId="1A257CFF">
      <w:pPr>
        <w:pStyle w:val="Standard"/>
      </w:pPr>
      <w:proofErr w:type="gramStart"/>
      <w:r>
        <w:t>With regard to</w:t>
      </w:r>
      <w:proofErr w:type="gramEnd"/>
      <w:r>
        <w:t xml:space="preserve"> LUC’s allocations</w:t>
      </w:r>
      <w:r w:rsidR="004162A0">
        <w:t xml:space="preserve">, Algonquin’s CAM </w:t>
      </w:r>
      <w:r w:rsidR="00F223DB">
        <w:t>provid</w:t>
      </w:r>
      <w:r w:rsidR="004162A0">
        <w:t xml:space="preserve">es double weight </w:t>
      </w:r>
      <w:r w:rsidR="009D76D1">
        <w:t>(40</w:t>
      </w:r>
      <w:r w:rsidR="00E266F3">
        <w:t xml:space="preserve"> percent</w:t>
      </w:r>
      <w:r w:rsidR="009D76D1">
        <w:t xml:space="preserve">) </w:t>
      </w:r>
      <w:r w:rsidR="004162A0">
        <w:t xml:space="preserve">to the </w:t>
      </w:r>
      <w:r>
        <w:t>customer count</w:t>
      </w:r>
      <w:r w:rsidR="004162A0">
        <w:t xml:space="preserve"> </w:t>
      </w:r>
      <w:r w:rsidR="009D76D1">
        <w:t>and 20</w:t>
      </w:r>
      <w:r w:rsidR="00E266F3">
        <w:t xml:space="preserve"> percent</w:t>
      </w:r>
      <w:r w:rsidR="009D76D1">
        <w:t xml:space="preserve"> </w:t>
      </w:r>
      <w:r>
        <w:t xml:space="preserve">each </w:t>
      </w:r>
      <w:r w:rsidR="009D76D1">
        <w:t>to the remaining three factors</w:t>
      </w:r>
      <w:r>
        <w:t xml:space="preserve"> of labor expense, non-labor expense and net plant</w:t>
      </w:r>
      <w:r w:rsidR="009D76D1">
        <w:t>.</w:t>
      </w:r>
      <w:r w:rsidR="002D2B1A">
        <w:t xml:space="preserve"> </w:t>
      </w:r>
      <w:r w:rsidR="00CB4A94">
        <w:t xml:space="preserve">The Public Advocates Office </w:t>
      </w:r>
      <w:r w:rsidR="00650B85">
        <w:t xml:space="preserve">asserts that </w:t>
      </w:r>
      <w:r w:rsidR="00AE018F">
        <w:t>the double weighting is arbitrary and recommends equal weight be given to each factor.</w:t>
      </w:r>
      <w:r w:rsidR="00650B85">
        <w:t xml:space="preserve"> </w:t>
      </w:r>
      <w:r w:rsidR="00D81177">
        <w:t>Liberty’s explanation, that “larger utilities require more time and management attention”</w:t>
      </w:r>
      <w:r w:rsidR="00D81177">
        <w:rPr>
          <w:rStyle w:val="FootnoteReference"/>
        </w:rPr>
        <w:footnoteReference w:id="49"/>
      </w:r>
      <w:r w:rsidR="00D81177">
        <w:t xml:space="preserve"> </w:t>
      </w:r>
      <w:r w:rsidR="00F223DB">
        <w:t xml:space="preserve">without further justification, </w:t>
      </w:r>
      <w:r w:rsidR="00D81177">
        <w:t xml:space="preserve">is </w:t>
      </w:r>
      <w:r w:rsidR="00D81177">
        <w:lastRenderedPageBreak/>
        <w:t>un</w:t>
      </w:r>
      <w:r w:rsidR="00F223DB">
        <w:t>persuasive</w:t>
      </w:r>
      <w:r w:rsidR="00D81177">
        <w:t xml:space="preserve"> as the size of the utility is gauged by several of the factors, not just customer count factor.</w:t>
      </w:r>
    </w:p>
    <w:p w:rsidR="00F223DB" w:rsidP="005B6644" w:rsidRDefault="00B56233" w14:paraId="08C8AE45" w14:textId="2B390E77">
      <w:pPr>
        <w:pStyle w:val="Standard"/>
      </w:pPr>
      <w:r>
        <w:t>Further complicating matters,</w:t>
      </w:r>
      <w:r w:rsidR="009D2877">
        <w:t xml:space="preserve"> Liberty uses the same </w:t>
      </w:r>
      <w:r w:rsidR="00BB0416">
        <w:t>four factors</w:t>
      </w:r>
      <w:r w:rsidR="009D2877">
        <w:t xml:space="preserve">, but equally weighted, </w:t>
      </w:r>
      <w:r w:rsidR="00BB0416">
        <w:t>when allocating General Office</w:t>
      </w:r>
      <w:r w:rsidR="00FB1BCF">
        <w:t>/Downey</w:t>
      </w:r>
      <w:r w:rsidR="00BB0416">
        <w:t xml:space="preserve"> </w:t>
      </w:r>
      <w:r w:rsidR="009D2877">
        <w:t>costs among the western region utilities</w:t>
      </w:r>
      <w:r w:rsidR="00D81177">
        <w:t xml:space="preserve">. </w:t>
      </w:r>
      <w:r w:rsidR="00D735EF">
        <w:t xml:space="preserve">The Commission’s </w:t>
      </w:r>
      <w:r w:rsidR="00223A7C">
        <w:t>Standard Practice Manual U-6-W</w:t>
      </w:r>
      <w:r w:rsidR="00223A7C">
        <w:rPr>
          <w:rStyle w:val="FootnoteReference"/>
        </w:rPr>
        <w:footnoteReference w:id="50"/>
      </w:r>
      <w:r w:rsidR="00223A7C">
        <w:t xml:space="preserve"> </w:t>
      </w:r>
      <w:r w:rsidR="000959E4">
        <w:t xml:space="preserve">allows for considerable judgement in choice and weighting of factors, </w:t>
      </w:r>
      <w:r w:rsidR="00FB1E27">
        <w:t>indicated by</w:t>
      </w:r>
      <w:r w:rsidR="00F223DB">
        <w:t>:</w:t>
      </w:r>
    </w:p>
    <w:p w:rsidR="002E4B9F" w:rsidP="00F223DB" w:rsidRDefault="005F57E2" w14:paraId="306A917F" w14:textId="14598412">
      <w:pPr>
        <w:pStyle w:val="Standard"/>
        <w:spacing w:line="240" w:lineRule="auto"/>
        <w:ind w:left="720" w:right="1260" w:firstLine="0"/>
      </w:pPr>
      <w:r>
        <w:t xml:space="preserve">Indirect general expenses which have a significant relationship to a </w:t>
      </w:r>
      <w:proofErr w:type="gramStart"/>
      <w:r>
        <w:t>particular factor</w:t>
      </w:r>
      <w:proofErr w:type="gramEnd"/>
      <w:r>
        <w:t xml:space="preserve">, such as pension expense to payroll, should be segregated and prorated on the basis of an appropriate single factor. </w:t>
      </w:r>
      <w:r w:rsidR="002D2B1A">
        <w:t xml:space="preserve"> </w:t>
      </w:r>
      <w:r w:rsidR="00FB1E27">
        <w:t>T</w:t>
      </w:r>
      <w:r w:rsidR="000959E4">
        <w:t>he remaining indirect expenses may be so general in nature as to require prorations based on a combination of several pertinent factors.</w:t>
      </w:r>
      <w:r w:rsidR="000959E4">
        <w:rPr>
          <w:rStyle w:val="FootnoteReference"/>
        </w:rPr>
        <w:footnoteReference w:id="51"/>
      </w:r>
      <w:r w:rsidR="00D735EF">
        <w:t xml:space="preserve"> </w:t>
      </w:r>
    </w:p>
    <w:p w:rsidR="00F223DB" w:rsidP="003B4BA5" w:rsidRDefault="00F223DB" w14:paraId="76C0432C" w14:textId="77777777">
      <w:pPr>
        <w:pStyle w:val="Standard"/>
        <w:spacing w:line="240" w:lineRule="auto"/>
        <w:ind w:left="720" w:right="1260" w:firstLine="0"/>
      </w:pPr>
    </w:p>
    <w:p w:rsidR="005B6644" w:rsidP="005B6644" w:rsidRDefault="002E4B9F" w14:paraId="1F45F064" w14:textId="445E2173">
      <w:pPr>
        <w:pStyle w:val="Standard"/>
      </w:pPr>
      <w:r>
        <w:t xml:space="preserve">We will not intrude on Liberty management’s judgement regarding the relationship between the factors and the shared services provided. </w:t>
      </w:r>
      <w:r w:rsidR="00BB0416">
        <w:t>For consistency</w:t>
      </w:r>
      <w:r w:rsidR="003829FA">
        <w:t xml:space="preserve"> however</w:t>
      </w:r>
      <w:r w:rsidR="00BB0416">
        <w:t>, we require Liberty to double-weight the customer count when allocating General Office</w:t>
      </w:r>
      <w:r w:rsidR="00FB1BCF">
        <w:t>/Downey</w:t>
      </w:r>
      <w:r w:rsidR="00BB0416">
        <w:t xml:space="preserve"> costs among the western region utilities</w:t>
      </w:r>
      <w:r w:rsidR="009B7A5F">
        <w:t>, and among the California operations</w:t>
      </w:r>
      <w:r w:rsidR="00BE6E0D">
        <w:t>.</w:t>
      </w:r>
      <w:r w:rsidR="002D2B1A">
        <w:t xml:space="preserve"> </w:t>
      </w:r>
      <w:r w:rsidR="003D3273">
        <w:t xml:space="preserve">The Public Advocates Office recommendations regarding equalizing and standardizing </w:t>
      </w:r>
      <w:r w:rsidR="009222DB">
        <w:t xml:space="preserve">any other </w:t>
      </w:r>
      <w:r w:rsidR="003D3273">
        <w:t>allocation factors are denied.</w:t>
      </w:r>
    </w:p>
    <w:p w:rsidR="0002420C" w:rsidP="005B6644" w:rsidRDefault="0002420C" w14:paraId="51E48362" w14:textId="63BD9AE1">
      <w:pPr>
        <w:pStyle w:val="Standard"/>
      </w:pPr>
      <w:r>
        <w:t xml:space="preserve">With this </w:t>
      </w:r>
      <w:r w:rsidR="00C73480">
        <w:t>revised weighting</w:t>
      </w:r>
      <w:r>
        <w:t>, the General Office</w:t>
      </w:r>
      <w:r w:rsidR="00FB1BCF">
        <w:t>/Downey</w:t>
      </w:r>
      <w:r>
        <w:t xml:space="preserve"> allocations </w:t>
      </w:r>
      <w:r w:rsidR="00C73480">
        <w:t>among</w:t>
      </w:r>
      <w:r>
        <w:t xml:space="preserve"> the Western Region utilities will change as follows:</w:t>
      </w:r>
    </w:p>
    <w:p w:rsidRPr="00591725" w:rsidR="00891066" w:rsidP="002D2B1A" w:rsidRDefault="00891066" w14:paraId="48A51152" w14:textId="10A44AF0">
      <w:pPr>
        <w:pStyle w:val="Standard"/>
        <w:keepNext/>
        <w:keepLines/>
        <w:jc w:val="center"/>
        <w:rPr>
          <w:b/>
          <w:bCs/>
        </w:rPr>
      </w:pPr>
      <w:r w:rsidRPr="00591725">
        <w:rPr>
          <w:b/>
          <w:bCs/>
        </w:rPr>
        <w:t xml:space="preserve">Table </w:t>
      </w:r>
      <w:r>
        <w:rPr>
          <w:b/>
          <w:bCs/>
        </w:rPr>
        <w:t>7</w:t>
      </w:r>
    </w:p>
    <w:p w:rsidR="00891066" w:rsidP="002D2B1A" w:rsidRDefault="00891066" w14:paraId="7F964696" w14:textId="355B3038">
      <w:pPr>
        <w:pStyle w:val="Standard"/>
        <w:keepNext/>
        <w:keepLines/>
        <w:jc w:val="center"/>
      </w:pPr>
      <w:r>
        <w:t>General Office/Downey Allocations to Western Region Utilities</w:t>
      </w:r>
    </w:p>
    <w:tbl>
      <w:tblPr>
        <w:tblW w:w="3230" w:type="dxa"/>
        <w:jc w:val="center"/>
        <w:tblLook w:val="04A0" w:firstRow="1" w:lastRow="0" w:firstColumn="1" w:lastColumn="0" w:noHBand="0" w:noVBand="1"/>
      </w:tblPr>
      <w:tblGrid>
        <w:gridCol w:w="1002"/>
        <w:gridCol w:w="1142"/>
        <w:gridCol w:w="1341"/>
      </w:tblGrid>
      <w:tr w:rsidRPr="002D2B1A" w:rsidR="0002420C" w:rsidTr="003B4BA5" w14:paraId="645AB48D" w14:textId="77777777">
        <w:trPr>
          <w:trHeight w:val="300"/>
          <w:jc w:val="center"/>
        </w:trPr>
        <w:tc>
          <w:tcPr>
            <w:tcW w:w="960" w:type="dxa"/>
            <w:tcBorders>
              <w:top w:val="nil"/>
              <w:left w:val="nil"/>
              <w:bottom w:val="single" w:color="auto" w:sz="4" w:space="0"/>
              <w:right w:val="nil"/>
            </w:tcBorders>
            <w:shd w:val="clear" w:color="auto" w:fill="auto"/>
            <w:noWrap/>
            <w:vAlign w:val="bottom"/>
            <w:hideMark/>
          </w:tcPr>
          <w:p w:rsidRPr="002D2B1A" w:rsidR="0002420C" w:rsidP="0002420C" w:rsidRDefault="0002420C" w14:paraId="15C5F4BF" w14:textId="77777777">
            <w:pPr>
              <w:spacing w:line="240" w:lineRule="auto"/>
              <w:ind w:firstLine="0"/>
              <w:rPr>
                <w:rFonts w:eastAsia="Times New Roman" w:cs="Times New Roman"/>
                <w:sz w:val="20"/>
                <w:szCs w:val="24"/>
              </w:rPr>
            </w:pPr>
          </w:p>
        </w:tc>
        <w:tc>
          <w:tcPr>
            <w:tcW w:w="2270" w:type="dxa"/>
            <w:gridSpan w:val="2"/>
            <w:tcBorders>
              <w:top w:val="nil"/>
              <w:left w:val="nil"/>
              <w:bottom w:val="single" w:color="auto" w:sz="4" w:space="0"/>
              <w:right w:val="nil"/>
            </w:tcBorders>
            <w:shd w:val="clear" w:color="auto" w:fill="auto"/>
            <w:noWrap/>
            <w:vAlign w:val="bottom"/>
            <w:hideMark/>
          </w:tcPr>
          <w:p w:rsidRPr="002D2B1A" w:rsidR="0002420C" w:rsidP="0002420C" w:rsidRDefault="0002420C" w14:paraId="664AF30A" w14:textId="77777777">
            <w:pPr>
              <w:spacing w:line="240" w:lineRule="auto"/>
              <w:ind w:firstLine="0"/>
              <w:rPr>
                <w:rFonts w:eastAsia="Times New Roman" w:cs="Calibri"/>
                <w:color w:val="000000"/>
                <w:sz w:val="22"/>
              </w:rPr>
            </w:pPr>
            <w:r w:rsidRPr="002D2B1A">
              <w:rPr>
                <w:rFonts w:eastAsia="Times New Roman" w:cs="Calibri"/>
                <w:color w:val="000000"/>
                <w:sz w:val="22"/>
              </w:rPr>
              <w:t>WEST REGION</w:t>
            </w:r>
          </w:p>
        </w:tc>
      </w:tr>
      <w:tr w:rsidRPr="002D2B1A" w:rsidR="0002420C" w:rsidTr="003B4BA5" w14:paraId="18E37760"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06CD70F9" w14:textId="77777777">
            <w:pPr>
              <w:spacing w:line="240" w:lineRule="auto"/>
              <w:ind w:firstLine="0"/>
              <w:rPr>
                <w:rFonts w:eastAsia="Times New Roman" w:cs="Calibri"/>
                <w:color w:val="000000"/>
                <w:sz w:val="22"/>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1273BB94" w14:textId="77777777">
            <w:pPr>
              <w:spacing w:line="240" w:lineRule="auto"/>
              <w:ind w:firstLine="0"/>
              <w:rPr>
                <w:rFonts w:eastAsia="Times New Roman" w:cs="Calibri"/>
                <w:color w:val="000000"/>
                <w:sz w:val="22"/>
              </w:rPr>
            </w:pPr>
            <w:r w:rsidRPr="002D2B1A">
              <w:rPr>
                <w:rFonts w:eastAsia="Times New Roman" w:cs="Calibri"/>
                <w:color w:val="000000"/>
                <w:sz w:val="22"/>
              </w:rPr>
              <w:t>Proposed</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7CEFDC4D" w14:textId="77777777">
            <w:pPr>
              <w:spacing w:line="240" w:lineRule="auto"/>
              <w:ind w:firstLine="0"/>
              <w:rPr>
                <w:rFonts w:eastAsia="Times New Roman" w:cs="Calibri"/>
                <w:color w:val="000000"/>
                <w:sz w:val="22"/>
              </w:rPr>
            </w:pPr>
            <w:r w:rsidRPr="002D2B1A">
              <w:rPr>
                <w:rFonts w:eastAsia="Times New Roman" w:cs="Calibri"/>
                <w:color w:val="000000"/>
                <w:sz w:val="22"/>
              </w:rPr>
              <w:t>Authorized</w:t>
            </w:r>
          </w:p>
        </w:tc>
      </w:tr>
      <w:tr w:rsidRPr="002D2B1A" w:rsidR="0002420C" w:rsidTr="003B4BA5" w14:paraId="780DAA8A"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69676C06" w14:textId="77777777">
            <w:pPr>
              <w:spacing w:line="240" w:lineRule="auto"/>
              <w:ind w:firstLine="0"/>
              <w:rPr>
                <w:rFonts w:eastAsia="Times New Roman" w:cs="Calibri"/>
                <w:color w:val="000000"/>
                <w:sz w:val="22"/>
              </w:rPr>
            </w:pPr>
            <w:proofErr w:type="spellStart"/>
            <w:r w:rsidRPr="002D2B1A">
              <w:rPr>
                <w:rFonts w:eastAsia="Times New Roman" w:cs="Calibri"/>
                <w:color w:val="000000"/>
                <w:sz w:val="22"/>
              </w:rPr>
              <w:t>Calpeco</w:t>
            </w:r>
            <w:proofErr w:type="spellEnd"/>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3FA80D54" w14:textId="6A7992AD">
            <w:pPr>
              <w:spacing w:line="240" w:lineRule="auto"/>
              <w:ind w:firstLine="0"/>
              <w:jc w:val="right"/>
              <w:rPr>
                <w:rFonts w:eastAsia="Times New Roman" w:cs="Calibri"/>
                <w:color w:val="000000"/>
                <w:sz w:val="22"/>
              </w:rPr>
            </w:pPr>
            <w:r w:rsidRPr="002D2B1A">
              <w:rPr>
                <w:rFonts w:eastAsia="Times New Roman" w:cs="Calibri"/>
                <w:color w:val="000000"/>
                <w:sz w:val="22"/>
              </w:rPr>
              <w:t>28.70</w:t>
            </w:r>
            <w:r w:rsidRPr="002D2B1A" w:rsidR="00E266F3">
              <w:rPr>
                <w:rFonts w:eastAsia="Times New Roman" w:cs="Calibri"/>
                <w:color w:val="000000"/>
                <w:sz w:val="22"/>
              </w:rPr>
              <w:t xml:space="preserve"> percent</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2D141F9E" w14:textId="058D9732">
            <w:pPr>
              <w:spacing w:line="240" w:lineRule="auto"/>
              <w:ind w:firstLine="0"/>
              <w:jc w:val="right"/>
              <w:rPr>
                <w:rFonts w:eastAsia="Times New Roman" w:cs="Calibri"/>
                <w:color w:val="000000"/>
                <w:sz w:val="22"/>
              </w:rPr>
            </w:pPr>
            <w:r w:rsidRPr="002D2B1A">
              <w:rPr>
                <w:rFonts w:eastAsia="Times New Roman" w:cs="Calibri"/>
                <w:color w:val="000000"/>
                <w:sz w:val="22"/>
              </w:rPr>
              <w:t>28.60</w:t>
            </w:r>
            <w:r w:rsidRPr="002D2B1A" w:rsidR="00E266F3">
              <w:rPr>
                <w:rFonts w:eastAsia="Times New Roman" w:cs="Calibri"/>
                <w:color w:val="000000"/>
                <w:sz w:val="22"/>
              </w:rPr>
              <w:t xml:space="preserve"> percent</w:t>
            </w:r>
          </w:p>
        </w:tc>
      </w:tr>
      <w:tr w:rsidRPr="002D2B1A" w:rsidR="0002420C" w:rsidTr="003B4BA5" w14:paraId="4897824E"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3F546E8A" w14:textId="77777777">
            <w:pPr>
              <w:spacing w:line="240" w:lineRule="auto"/>
              <w:ind w:firstLine="0"/>
              <w:rPr>
                <w:rFonts w:eastAsia="Times New Roman" w:cs="Calibri"/>
                <w:color w:val="000000"/>
                <w:sz w:val="22"/>
              </w:rPr>
            </w:pPr>
            <w:r w:rsidRPr="002D2B1A">
              <w:rPr>
                <w:rFonts w:eastAsia="Times New Roman" w:cs="Calibri"/>
                <w:color w:val="000000"/>
                <w:sz w:val="22"/>
              </w:rPr>
              <w:t>CB</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25216818" w14:textId="7CFD918B">
            <w:pPr>
              <w:spacing w:line="240" w:lineRule="auto"/>
              <w:ind w:firstLine="0"/>
              <w:jc w:val="right"/>
              <w:rPr>
                <w:rFonts w:eastAsia="Times New Roman" w:cs="Calibri"/>
                <w:color w:val="000000"/>
                <w:sz w:val="22"/>
              </w:rPr>
            </w:pPr>
            <w:r w:rsidRPr="002D2B1A">
              <w:rPr>
                <w:rFonts w:eastAsia="Times New Roman" w:cs="Calibri"/>
                <w:color w:val="000000"/>
                <w:sz w:val="22"/>
              </w:rPr>
              <w:t>19.85</w:t>
            </w:r>
            <w:r w:rsidRPr="002D2B1A" w:rsidR="00E266F3">
              <w:rPr>
                <w:rFonts w:eastAsia="Times New Roman" w:cs="Calibri"/>
                <w:color w:val="000000"/>
                <w:sz w:val="22"/>
              </w:rPr>
              <w:t xml:space="preserve"> percent</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0DA330E5" w14:textId="7F502153">
            <w:pPr>
              <w:spacing w:line="240" w:lineRule="auto"/>
              <w:ind w:firstLine="0"/>
              <w:jc w:val="right"/>
              <w:rPr>
                <w:rFonts w:eastAsia="Times New Roman" w:cs="Calibri"/>
                <w:color w:val="000000"/>
                <w:sz w:val="22"/>
              </w:rPr>
            </w:pPr>
            <w:r w:rsidRPr="002D2B1A">
              <w:rPr>
                <w:rFonts w:eastAsia="Times New Roman" w:cs="Calibri"/>
                <w:color w:val="000000"/>
                <w:sz w:val="22"/>
              </w:rPr>
              <w:t>19.00</w:t>
            </w:r>
            <w:r w:rsidRPr="002D2B1A" w:rsidR="00E266F3">
              <w:rPr>
                <w:rFonts w:eastAsia="Times New Roman" w:cs="Calibri"/>
                <w:color w:val="000000"/>
                <w:sz w:val="22"/>
              </w:rPr>
              <w:t xml:space="preserve"> percent</w:t>
            </w:r>
          </w:p>
        </w:tc>
      </w:tr>
      <w:tr w:rsidRPr="002D2B1A" w:rsidR="0002420C" w:rsidTr="003B4BA5" w14:paraId="7D275867"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776EBE41" w14:textId="77777777">
            <w:pPr>
              <w:spacing w:line="240" w:lineRule="auto"/>
              <w:ind w:firstLine="0"/>
              <w:rPr>
                <w:rFonts w:eastAsia="Times New Roman" w:cs="Calibri"/>
                <w:color w:val="000000"/>
                <w:sz w:val="22"/>
              </w:rPr>
            </w:pPr>
            <w:r w:rsidRPr="002D2B1A">
              <w:rPr>
                <w:rFonts w:eastAsia="Times New Roman" w:cs="Calibri"/>
                <w:color w:val="000000"/>
                <w:sz w:val="22"/>
              </w:rPr>
              <w:t>AVR-Dom</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6E85AE3C" w14:textId="796F94A9">
            <w:pPr>
              <w:spacing w:line="240" w:lineRule="auto"/>
              <w:ind w:firstLine="0"/>
              <w:jc w:val="right"/>
              <w:rPr>
                <w:rFonts w:eastAsia="Times New Roman" w:cs="Calibri"/>
                <w:color w:val="000000"/>
                <w:sz w:val="22"/>
              </w:rPr>
            </w:pPr>
            <w:r w:rsidRPr="002D2B1A">
              <w:rPr>
                <w:rFonts w:eastAsia="Times New Roman" w:cs="Calibri"/>
                <w:color w:val="000000"/>
                <w:sz w:val="22"/>
              </w:rPr>
              <w:t>14.93</w:t>
            </w:r>
            <w:r w:rsidRPr="002D2B1A" w:rsidR="00E266F3">
              <w:rPr>
                <w:rFonts w:eastAsia="Times New Roman" w:cs="Calibri"/>
                <w:color w:val="000000"/>
                <w:sz w:val="22"/>
              </w:rPr>
              <w:t xml:space="preserve"> percent</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197A1FEC" w14:textId="49D461D9">
            <w:pPr>
              <w:spacing w:line="240" w:lineRule="auto"/>
              <w:ind w:firstLine="0"/>
              <w:jc w:val="right"/>
              <w:rPr>
                <w:rFonts w:eastAsia="Times New Roman" w:cs="Calibri"/>
                <w:color w:val="000000"/>
                <w:sz w:val="22"/>
              </w:rPr>
            </w:pPr>
            <w:r w:rsidRPr="002D2B1A">
              <w:rPr>
                <w:rFonts w:eastAsia="Times New Roman" w:cs="Calibri"/>
                <w:color w:val="000000"/>
                <w:sz w:val="22"/>
              </w:rPr>
              <w:t>14.23</w:t>
            </w:r>
            <w:r w:rsidRPr="002D2B1A" w:rsidR="00E266F3">
              <w:rPr>
                <w:rFonts w:eastAsia="Times New Roman" w:cs="Calibri"/>
                <w:color w:val="000000"/>
                <w:sz w:val="22"/>
              </w:rPr>
              <w:t xml:space="preserve"> percent</w:t>
            </w:r>
          </w:p>
        </w:tc>
      </w:tr>
      <w:tr w:rsidRPr="002D2B1A" w:rsidR="0002420C" w:rsidTr="003B4BA5" w14:paraId="21CDB93B"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6977660B" w14:textId="77777777">
            <w:pPr>
              <w:spacing w:line="240" w:lineRule="auto"/>
              <w:ind w:firstLine="0"/>
              <w:rPr>
                <w:rFonts w:eastAsia="Times New Roman" w:cs="Calibri"/>
                <w:color w:val="000000"/>
                <w:sz w:val="22"/>
              </w:rPr>
            </w:pPr>
            <w:r w:rsidRPr="002D2B1A">
              <w:rPr>
                <w:rFonts w:eastAsia="Times New Roman" w:cs="Calibri"/>
                <w:color w:val="000000"/>
                <w:sz w:val="22"/>
              </w:rPr>
              <w:t>AVR-IRR</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2492B34D" w14:textId="599C7F86">
            <w:pPr>
              <w:spacing w:line="240" w:lineRule="auto"/>
              <w:ind w:firstLine="0"/>
              <w:jc w:val="right"/>
              <w:rPr>
                <w:rFonts w:eastAsia="Times New Roman" w:cs="Calibri"/>
                <w:color w:val="000000"/>
                <w:sz w:val="22"/>
              </w:rPr>
            </w:pPr>
            <w:r w:rsidRPr="002D2B1A">
              <w:rPr>
                <w:rFonts w:eastAsia="Times New Roman" w:cs="Calibri"/>
                <w:color w:val="000000"/>
                <w:sz w:val="22"/>
              </w:rPr>
              <w:t>0.08</w:t>
            </w:r>
            <w:r w:rsidRPr="002D2B1A" w:rsidR="00E266F3">
              <w:rPr>
                <w:rFonts w:eastAsia="Times New Roman" w:cs="Calibri"/>
                <w:color w:val="000000"/>
                <w:sz w:val="22"/>
              </w:rPr>
              <w:t xml:space="preserve"> percent</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2AF55BC1" w14:textId="03CE01CC">
            <w:pPr>
              <w:spacing w:line="240" w:lineRule="auto"/>
              <w:ind w:firstLine="0"/>
              <w:jc w:val="right"/>
              <w:rPr>
                <w:rFonts w:eastAsia="Times New Roman" w:cs="Calibri"/>
                <w:color w:val="000000"/>
                <w:sz w:val="22"/>
              </w:rPr>
            </w:pPr>
            <w:r w:rsidRPr="002D2B1A">
              <w:rPr>
                <w:rFonts w:eastAsia="Times New Roman" w:cs="Calibri"/>
                <w:color w:val="000000"/>
                <w:sz w:val="22"/>
              </w:rPr>
              <w:t>0.06</w:t>
            </w:r>
            <w:r w:rsidRPr="002D2B1A" w:rsidR="00E266F3">
              <w:rPr>
                <w:rFonts w:eastAsia="Times New Roman" w:cs="Calibri"/>
                <w:color w:val="000000"/>
                <w:sz w:val="22"/>
              </w:rPr>
              <w:t xml:space="preserve"> percent</w:t>
            </w:r>
          </w:p>
        </w:tc>
      </w:tr>
      <w:tr w:rsidRPr="002D2B1A" w:rsidR="0002420C" w:rsidTr="003B4BA5" w14:paraId="6E18EF3E"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6C47D629" w14:textId="77777777">
            <w:pPr>
              <w:spacing w:line="240" w:lineRule="auto"/>
              <w:ind w:firstLine="0"/>
              <w:rPr>
                <w:rFonts w:eastAsia="Times New Roman" w:cs="Calibri"/>
                <w:color w:val="000000"/>
                <w:sz w:val="22"/>
              </w:rPr>
            </w:pPr>
            <w:r w:rsidRPr="002D2B1A">
              <w:rPr>
                <w:rFonts w:eastAsia="Times New Roman" w:cs="Calibri"/>
                <w:color w:val="000000"/>
                <w:sz w:val="22"/>
              </w:rPr>
              <w:t>AVR-</w:t>
            </w:r>
            <w:proofErr w:type="spellStart"/>
            <w:r w:rsidRPr="002D2B1A">
              <w:rPr>
                <w:rFonts w:eastAsia="Times New Roman" w:cs="Calibri"/>
                <w:color w:val="000000"/>
                <w:sz w:val="22"/>
              </w:rPr>
              <w:t>Yer</w:t>
            </w:r>
            <w:proofErr w:type="spellEnd"/>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1AEFD8E9" w14:textId="39361EEC">
            <w:pPr>
              <w:spacing w:line="240" w:lineRule="auto"/>
              <w:ind w:firstLine="0"/>
              <w:jc w:val="right"/>
              <w:rPr>
                <w:rFonts w:eastAsia="Times New Roman" w:cs="Calibri"/>
                <w:color w:val="000000"/>
                <w:sz w:val="22"/>
              </w:rPr>
            </w:pPr>
            <w:r w:rsidRPr="002D2B1A">
              <w:rPr>
                <w:rFonts w:eastAsia="Times New Roman" w:cs="Calibri"/>
                <w:color w:val="000000"/>
                <w:sz w:val="22"/>
              </w:rPr>
              <w:t>0.21</w:t>
            </w:r>
            <w:r w:rsidRPr="002D2B1A" w:rsidR="00E266F3">
              <w:rPr>
                <w:rFonts w:eastAsia="Times New Roman" w:cs="Calibri"/>
                <w:color w:val="000000"/>
                <w:sz w:val="22"/>
              </w:rPr>
              <w:t xml:space="preserve"> percent</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7E61196A" w14:textId="654C23E2">
            <w:pPr>
              <w:spacing w:line="240" w:lineRule="auto"/>
              <w:ind w:firstLine="0"/>
              <w:jc w:val="right"/>
              <w:rPr>
                <w:rFonts w:eastAsia="Times New Roman" w:cs="Calibri"/>
                <w:color w:val="000000"/>
                <w:sz w:val="22"/>
              </w:rPr>
            </w:pPr>
            <w:r w:rsidRPr="002D2B1A">
              <w:rPr>
                <w:rFonts w:eastAsia="Times New Roman" w:cs="Calibri"/>
                <w:color w:val="000000"/>
                <w:sz w:val="22"/>
              </w:rPr>
              <w:t>0.20</w:t>
            </w:r>
            <w:r w:rsidRPr="002D2B1A" w:rsidR="00E266F3">
              <w:rPr>
                <w:rFonts w:eastAsia="Times New Roman" w:cs="Calibri"/>
                <w:color w:val="000000"/>
                <w:sz w:val="22"/>
              </w:rPr>
              <w:t xml:space="preserve"> percent</w:t>
            </w:r>
          </w:p>
        </w:tc>
      </w:tr>
      <w:tr w:rsidRPr="002D2B1A" w:rsidR="0002420C" w:rsidTr="003B4BA5" w14:paraId="7800BDE1"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4D9F018D" w14:textId="77777777">
            <w:pPr>
              <w:spacing w:line="240" w:lineRule="auto"/>
              <w:ind w:firstLine="0"/>
              <w:rPr>
                <w:rFonts w:eastAsia="Times New Roman" w:cs="Calibri"/>
                <w:color w:val="000000"/>
                <w:sz w:val="22"/>
              </w:rPr>
            </w:pPr>
            <w:r w:rsidRPr="002D2B1A">
              <w:rPr>
                <w:rFonts w:eastAsia="Times New Roman" w:cs="Calibri"/>
                <w:color w:val="000000"/>
                <w:sz w:val="22"/>
              </w:rPr>
              <w:t>Lib Water</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680B6AF1" w14:textId="48C644A2">
            <w:pPr>
              <w:spacing w:line="240" w:lineRule="auto"/>
              <w:ind w:firstLine="0"/>
              <w:jc w:val="right"/>
              <w:rPr>
                <w:rFonts w:eastAsia="Times New Roman" w:cs="Calibri"/>
                <w:color w:val="000000"/>
                <w:sz w:val="22"/>
              </w:rPr>
            </w:pPr>
            <w:r w:rsidRPr="002D2B1A">
              <w:rPr>
                <w:rFonts w:eastAsia="Times New Roman" w:cs="Calibri"/>
                <w:color w:val="000000"/>
                <w:sz w:val="22"/>
              </w:rPr>
              <w:t>36.23</w:t>
            </w:r>
            <w:r w:rsidRPr="002D2B1A" w:rsidR="00E266F3">
              <w:rPr>
                <w:rFonts w:eastAsia="Times New Roman" w:cs="Calibri"/>
                <w:color w:val="000000"/>
                <w:sz w:val="22"/>
              </w:rPr>
              <w:t xml:space="preserve"> percent</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02420C" w:rsidP="0002420C" w:rsidRDefault="0002420C" w14:paraId="19128EE6" w14:textId="39CAA168">
            <w:pPr>
              <w:spacing w:line="240" w:lineRule="auto"/>
              <w:ind w:firstLine="0"/>
              <w:jc w:val="right"/>
              <w:rPr>
                <w:rFonts w:eastAsia="Times New Roman" w:cs="Calibri"/>
                <w:color w:val="000000"/>
                <w:sz w:val="22"/>
              </w:rPr>
            </w:pPr>
            <w:r w:rsidRPr="002D2B1A">
              <w:rPr>
                <w:rFonts w:eastAsia="Times New Roman" w:cs="Calibri"/>
                <w:color w:val="000000"/>
                <w:sz w:val="22"/>
              </w:rPr>
              <w:t>37.90</w:t>
            </w:r>
            <w:r w:rsidRPr="002D2B1A" w:rsidR="00E266F3">
              <w:rPr>
                <w:rFonts w:eastAsia="Times New Roman" w:cs="Calibri"/>
                <w:color w:val="000000"/>
                <w:sz w:val="22"/>
              </w:rPr>
              <w:t xml:space="preserve"> percent</w:t>
            </w:r>
          </w:p>
        </w:tc>
      </w:tr>
      <w:tr w:rsidRPr="002D2B1A" w:rsidR="00C73480" w:rsidTr="003B4BA5" w14:paraId="0FD86770" w14:textId="77777777">
        <w:trPr>
          <w:trHeight w:val="300"/>
          <w:jc w:val="center"/>
        </w:trPr>
        <w:tc>
          <w:tcPr>
            <w:tcW w:w="960" w:type="dxa"/>
            <w:tcBorders>
              <w:top w:val="single" w:color="auto" w:sz="4" w:space="0"/>
              <w:left w:val="nil"/>
              <w:bottom w:val="nil"/>
              <w:right w:val="nil"/>
            </w:tcBorders>
            <w:shd w:val="clear" w:color="auto" w:fill="auto"/>
            <w:noWrap/>
            <w:vAlign w:val="bottom"/>
          </w:tcPr>
          <w:p w:rsidRPr="002D2B1A" w:rsidR="00C73480" w:rsidP="0002420C" w:rsidRDefault="00C73480" w14:paraId="23C0586A" w14:textId="7C04E4E9">
            <w:pPr>
              <w:spacing w:line="240" w:lineRule="auto"/>
              <w:ind w:firstLine="0"/>
              <w:rPr>
                <w:rFonts w:eastAsia="Times New Roman" w:cs="Calibri"/>
                <w:color w:val="000000"/>
                <w:sz w:val="22"/>
              </w:rPr>
            </w:pPr>
          </w:p>
        </w:tc>
        <w:tc>
          <w:tcPr>
            <w:tcW w:w="1066" w:type="dxa"/>
            <w:tcBorders>
              <w:top w:val="single" w:color="auto" w:sz="4" w:space="0"/>
              <w:left w:val="nil"/>
              <w:bottom w:val="nil"/>
              <w:right w:val="nil"/>
            </w:tcBorders>
            <w:shd w:val="clear" w:color="auto" w:fill="auto"/>
            <w:noWrap/>
            <w:vAlign w:val="bottom"/>
          </w:tcPr>
          <w:p w:rsidRPr="002D2B1A" w:rsidR="00C73480" w:rsidP="0002420C" w:rsidRDefault="00C73480" w14:paraId="250CA6DD" w14:textId="77777777">
            <w:pPr>
              <w:spacing w:line="240" w:lineRule="auto"/>
              <w:ind w:firstLine="0"/>
              <w:jc w:val="right"/>
              <w:rPr>
                <w:rFonts w:eastAsia="Times New Roman" w:cs="Calibri"/>
                <w:color w:val="000000"/>
                <w:sz w:val="22"/>
              </w:rPr>
            </w:pPr>
          </w:p>
        </w:tc>
        <w:tc>
          <w:tcPr>
            <w:tcW w:w="1204" w:type="dxa"/>
            <w:tcBorders>
              <w:top w:val="single" w:color="auto" w:sz="4" w:space="0"/>
              <w:left w:val="nil"/>
              <w:bottom w:val="nil"/>
              <w:right w:val="nil"/>
            </w:tcBorders>
            <w:shd w:val="clear" w:color="auto" w:fill="auto"/>
            <w:noWrap/>
            <w:vAlign w:val="bottom"/>
          </w:tcPr>
          <w:p w:rsidRPr="002D2B1A" w:rsidR="00C73480" w:rsidP="0002420C" w:rsidRDefault="00C73480" w14:paraId="716A2348" w14:textId="77777777">
            <w:pPr>
              <w:spacing w:line="240" w:lineRule="auto"/>
              <w:ind w:firstLine="0"/>
              <w:jc w:val="right"/>
              <w:rPr>
                <w:rFonts w:eastAsia="Times New Roman" w:cs="Calibri"/>
                <w:color w:val="000000"/>
                <w:sz w:val="22"/>
              </w:rPr>
            </w:pPr>
          </w:p>
        </w:tc>
      </w:tr>
    </w:tbl>
    <w:p w:rsidRPr="002D2B1A" w:rsidR="002D2B1A" w:rsidP="005B6644" w:rsidRDefault="002D2B1A" w14:paraId="48AC70D0" w14:textId="77777777">
      <w:pPr>
        <w:pStyle w:val="Standard"/>
        <w:rPr>
          <w:sz w:val="10"/>
          <w:szCs w:val="10"/>
        </w:rPr>
      </w:pPr>
    </w:p>
    <w:p w:rsidR="0002420C" w:rsidP="005B6644" w:rsidRDefault="00C73480" w14:paraId="38E705EC" w14:textId="337FCB71">
      <w:pPr>
        <w:pStyle w:val="Standard"/>
      </w:pPr>
      <w:r>
        <w:t>The General Office</w:t>
      </w:r>
      <w:r w:rsidR="008A61C2">
        <w:t>/Downey</w:t>
      </w:r>
      <w:r>
        <w:t xml:space="preserve"> allocations among the California utilities will change as follows:</w:t>
      </w:r>
    </w:p>
    <w:p w:rsidRPr="00591725" w:rsidR="00087692" w:rsidP="008B76A1" w:rsidRDefault="00087692" w14:paraId="6A156250" w14:textId="3AFEECAE">
      <w:pPr>
        <w:pStyle w:val="Standard"/>
        <w:jc w:val="center"/>
        <w:rPr>
          <w:b/>
          <w:bCs/>
        </w:rPr>
      </w:pPr>
      <w:r w:rsidRPr="00591725">
        <w:rPr>
          <w:b/>
          <w:bCs/>
        </w:rPr>
        <w:t xml:space="preserve">Table </w:t>
      </w:r>
      <w:r>
        <w:rPr>
          <w:b/>
          <w:bCs/>
        </w:rPr>
        <w:t>8</w:t>
      </w:r>
    </w:p>
    <w:p w:rsidR="00087692" w:rsidP="00087692" w:rsidRDefault="00087692" w14:paraId="516978C5" w14:textId="2860B364">
      <w:pPr>
        <w:pStyle w:val="Standard"/>
        <w:jc w:val="center"/>
      </w:pPr>
      <w:r>
        <w:t>General Office/Downey Allocations to California Utilities</w:t>
      </w:r>
    </w:p>
    <w:tbl>
      <w:tblPr>
        <w:tblW w:w="2880" w:type="dxa"/>
        <w:jc w:val="center"/>
        <w:tblLook w:val="04A0" w:firstRow="1" w:lastRow="0" w:firstColumn="1" w:lastColumn="0" w:noHBand="0" w:noVBand="1"/>
      </w:tblPr>
      <w:tblGrid>
        <w:gridCol w:w="1002"/>
        <w:gridCol w:w="1142"/>
        <w:gridCol w:w="1341"/>
      </w:tblGrid>
      <w:tr w:rsidRPr="002D2B1A" w:rsidR="00B70054" w:rsidTr="003B4BA5" w14:paraId="7F131093" w14:textId="77777777">
        <w:trPr>
          <w:trHeight w:val="300"/>
          <w:jc w:val="center"/>
        </w:trPr>
        <w:tc>
          <w:tcPr>
            <w:tcW w:w="960" w:type="dxa"/>
            <w:tcBorders>
              <w:top w:val="nil"/>
              <w:left w:val="nil"/>
              <w:bottom w:val="single" w:color="auto" w:sz="4" w:space="0"/>
              <w:right w:val="nil"/>
            </w:tcBorders>
            <w:shd w:val="clear" w:color="auto" w:fill="auto"/>
            <w:noWrap/>
            <w:vAlign w:val="bottom"/>
            <w:hideMark/>
          </w:tcPr>
          <w:p w:rsidRPr="002D2B1A" w:rsidR="00B70054" w:rsidP="00B70054" w:rsidRDefault="00B70054" w14:paraId="3881FB46" w14:textId="77777777">
            <w:pPr>
              <w:spacing w:line="240" w:lineRule="auto"/>
              <w:ind w:firstLine="0"/>
              <w:rPr>
                <w:rFonts w:eastAsia="Times New Roman" w:cs="Times New Roman"/>
                <w:sz w:val="20"/>
                <w:szCs w:val="24"/>
              </w:rPr>
            </w:pPr>
          </w:p>
        </w:tc>
        <w:tc>
          <w:tcPr>
            <w:tcW w:w="1920" w:type="dxa"/>
            <w:gridSpan w:val="2"/>
            <w:tcBorders>
              <w:top w:val="nil"/>
              <w:left w:val="nil"/>
              <w:bottom w:val="single" w:color="auto" w:sz="4" w:space="0"/>
              <w:right w:val="nil"/>
            </w:tcBorders>
            <w:shd w:val="clear" w:color="auto" w:fill="auto"/>
            <w:noWrap/>
            <w:vAlign w:val="bottom"/>
            <w:hideMark/>
          </w:tcPr>
          <w:p w:rsidRPr="002D2B1A" w:rsidR="00B70054" w:rsidP="00B70054" w:rsidRDefault="00B70054" w14:paraId="6D916D18" w14:textId="77777777">
            <w:pPr>
              <w:spacing w:line="240" w:lineRule="auto"/>
              <w:ind w:firstLine="0"/>
              <w:rPr>
                <w:rFonts w:eastAsia="Times New Roman" w:cs="Calibri"/>
                <w:color w:val="000000"/>
                <w:sz w:val="22"/>
              </w:rPr>
            </w:pPr>
            <w:r w:rsidRPr="002D2B1A">
              <w:rPr>
                <w:rFonts w:eastAsia="Times New Roman" w:cs="Calibri"/>
                <w:color w:val="000000"/>
                <w:sz w:val="22"/>
              </w:rPr>
              <w:t>CA OPERATIONS</w:t>
            </w:r>
          </w:p>
        </w:tc>
      </w:tr>
      <w:tr w:rsidRPr="002D2B1A" w:rsidR="00B70054" w:rsidTr="003B4BA5" w14:paraId="5ADEAF9D"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196FD61C" w14:textId="77777777">
            <w:pPr>
              <w:spacing w:line="240" w:lineRule="auto"/>
              <w:ind w:firstLine="0"/>
              <w:rPr>
                <w:rFonts w:eastAsia="Times New Roman" w:cs="Calibri"/>
                <w:color w:val="000000"/>
                <w:sz w:val="22"/>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7275A9A4" w14:textId="77777777">
            <w:pPr>
              <w:spacing w:line="240" w:lineRule="auto"/>
              <w:ind w:firstLine="0"/>
              <w:rPr>
                <w:rFonts w:eastAsia="Times New Roman" w:cs="Calibri"/>
                <w:color w:val="000000"/>
                <w:sz w:val="22"/>
              </w:rPr>
            </w:pPr>
            <w:r w:rsidRPr="002D2B1A">
              <w:rPr>
                <w:rFonts w:eastAsia="Times New Roman" w:cs="Calibri"/>
                <w:color w:val="000000"/>
                <w:sz w:val="22"/>
              </w:rPr>
              <w:t>Proposed</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26F9DEA2" w14:textId="77777777">
            <w:pPr>
              <w:spacing w:line="240" w:lineRule="auto"/>
              <w:ind w:firstLine="0"/>
              <w:rPr>
                <w:rFonts w:eastAsia="Times New Roman" w:cs="Calibri"/>
                <w:color w:val="000000"/>
                <w:sz w:val="22"/>
              </w:rPr>
            </w:pPr>
            <w:r w:rsidRPr="002D2B1A">
              <w:rPr>
                <w:rFonts w:eastAsia="Times New Roman" w:cs="Calibri"/>
                <w:color w:val="000000"/>
                <w:sz w:val="22"/>
              </w:rPr>
              <w:t>Authorized</w:t>
            </w:r>
          </w:p>
        </w:tc>
      </w:tr>
      <w:tr w:rsidRPr="002D2B1A" w:rsidR="00B70054" w:rsidTr="003B4BA5" w14:paraId="3F429E8D"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2C03EDCE" w14:textId="77777777">
            <w:pPr>
              <w:spacing w:line="240" w:lineRule="auto"/>
              <w:ind w:firstLine="0"/>
              <w:rPr>
                <w:rFonts w:eastAsia="Times New Roman" w:cs="Calibri"/>
                <w:color w:val="000000"/>
                <w:sz w:val="22"/>
              </w:rPr>
            </w:pPr>
            <w:proofErr w:type="spellStart"/>
            <w:r w:rsidRPr="002D2B1A">
              <w:rPr>
                <w:rFonts w:eastAsia="Times New Roman" w:cs="Calibri"/>
                <w:color w:val="000000"/>
                <w:sz w:val="22"/>
              </w:rPr>
              <w:t>Calpeco</w:t>
            </w:r>
            <w:proofErr w:type="spellEnd"/>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2DC6D486" w14:textId="4208828B">
            <w:pPr>
              <w:spacing w:line="240" w:lineRule="auto"/>
              <w:ind w:firstLine="0"/>
              <w:jc w:val="right"/>
              <w:rPr>
                <w:rFonts w:eastAsia="Times New Roman" w:cs="Calibri"/>
                <w:color w:val="000000"/>
                <w:sz w:val="22"/>
              </w:rPr>
            </w:pPr>
            <w:r w:rsidRPr="002D2B1A">
              <w:rPr>
                <w:rFonts w:eastAsia="Times New Roman" w:cs="Calibri"/>
                <w:color w:val="000000"/>
                <w:sz w:val="22"/>
              </w:rPr>
              <w:t>45.91</w:t>
            </w:r>
            <w:r w:rsidRPr="002D2B1A" w:rsidR="00E266F3">
              <w:rPr>
                <w:rFonts w:eastAsia="Times New Roman" w:cs="Calibri"/>
                <w:color w:val="000000"/>
                <w:sz w:val="22"/>
              </w:rPr>
              <w:t xml:space="preserve"> percent</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3FD3E69B" w14:textId="11E0DECD">
            <w:pPr>
              <w:spacing w:line="240" w:lineRule="auto"/>
              <w:ind w:firstLine="0"/>
              <w:jc w:val="right"/>
              <w:rPr>
                <w:rFonts w:eastAsia="Times New Roman" w:cs="Calibri"/>
                <w:color w:val="000000"/>
                <w:sz w:val="22"/>
              </w:rPr>
            </w:pPr>
            <w:r w:rsidRPr="002D2B1A">
              <w:rPr>
                <w:rFonts w:eastAsia="Times New Roman" w:cs="Calibri"/>
                <w:color w:val="000000"/>
                <w:sz w:val="22"/>
              </w:rPr>
              <w:t>46.90</w:t>
            </w:r>
            <w:r w:rsidRPr="002D2B1A" w:rsidR="00E266F3">
              <w:rPr>
                <w:rFonts w:eastAsia="Times New Roman" w:cs="Calibri"/>
                <w:color w:val="000000"/>
                <w:sz w:val="22"/>
              </w:rPr>
              <w:t xml:space="preserve"> percent</w:t>
            </w:r>
          </w:p>
        </w:tc>
      </w:tr>
      <w:tr w:rsidRPr="002D2B1A" w:rsidR="00B70054" w:rsidTr="003B4BA5" w14:paraId="3E9277E1"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79C963AE" w14:textId="77777777">
            <w:pPr>
              <w:spacing w:line="240" w:lineRule="auto"/>
              <w:ind w:firstLine="0"/>
              <w:rPr>
                <w:rFonts w:eastAsia="Times New Roman" w:cs="Calibri"/>
                <w:color w:val="000000"/>
                <w:sz w:val="22"/>
              </w:rPr>
            </w:pPr>
            <w:r w:rsidRPr="002D2B1A">
              <w:rPr>
                <w:rFonts w:eastAsia="Times New Roman" w:cs="Calibri"/>
                <w:color w:val="000000"/>
                <w:sz w:val="22"/>
              </w:rPr>
              <w:t>CB</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3E020FF5" w14:textId="1C10E028">
            <w:pPr>
              <w:spacing w:line="240" w:lineRule="auto"/>
              <w:ind w:firstLine="0"/>
              <w:jc w:val="right"/>
              <w:rPr>
                <w:rFonts w:eastAsia="Times New Roman" w:cs="Calibri"/>
                <w:color w:val="000000"/>
                <w:sz w:val="22"/>
              </w:rPr>
            </w:pPr>
            <w:r w:rsidRPr="002D2B1A">
              <w:rPr>
                <w:rFonts w:eastAsia="Times New Roman" w:cs="Calibri"/>
                <w:color w:val="000000"/>
                <w:sz w:val="22"/>
              </w:rPr>
              <w:t>30.57</w:t>
            </w:r>
            <w:r w:rsidRPr="002D2B1A" w:rsidR="00E266F3">
              <w:rPr>
                <w:rFonts w:eastAsia="Times New Roman" w:cs="Calibri"/>
                <w:color w:val="000000"/>
                <w:sz w:val="22"/>
              </w:rPr>
              <w:t xml:space="preserve"> percent</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702B0CAF" w14:textId="59D77AE0">
            <w:pPr>
              <w:spacing w:line="240" w:lineRule="auto"/>
              <w:ind w:firstLine="0"/>
              <w:jc w:val="right"/>
              <w:rPr>
                <w:rFonts w:eastAsia="Times New Roman" w:cs="Calibri"/>
                <w:color w:val="000000"/>
                <w:sz w:val="22"/>
              </w:rPr>
            </w:pPr>
            <w:r w:rsidRPr="002D2B1A">
              <w:rPr>
                <w:rFonts w:eastAsia="Times New Roman" w:cs="Calibri"/>
                <w:color w:val="000000"/>
                <w:sz w:val="22"/>
              </w:rPr>
              <w:t>30.09</w:t>
            </w:r>
            <w:r w:rsidRPr="002D2B1A" w:rsidR="00E266F3">
              <w:rPr>
                <w:rFonts w:eastAsia="Times New Roman" w:cs="Calibri"/>
                <w:color w:val="000000"/>
                <w:sz w:val="22"/>
              </w:rPr>
              <w:t xml:space="preserve"> percent</w:t>
            </w:r>
          </w:p>
        </w:tc>
      </w:tr>
      <w:tr w:rsidRPr="002D2B1A" w:rsidR="00B70054" w:rsidTr="003B4BA5" w14:paraId="1FF3FB03"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140DD892" w14:textId="77777777">
            <w:pPr>
              <w:spacing w:line="240" w:lineRule="auto"/>
              <w:ind w:firstLine="0"/>
              <w:rPr>
                <w:rFonts w:eastAsia="Times New Roman" w:cs="Calibri"/>
                <w:color w:val="000000"/>
                <w:sz w:val="22"/>
              </w:rPr>
            </w:pPr>
            <w:r w:rsidRPr="002D2B1A">
              <w:rPr>
                <w:rFonts w:eastAsia="Times New Roman" w:cs="Calibri"/>
                <w:color w:val="000000"/>
                <w:sz w:val="22"/>
              </w:rPr>
              <w:t>AVR-Dom</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723A06BE" w14:textId="05176D04">
            <w:pPr>
              <w:spacing w:line="240" w:lineRule="auto"/>
              <w:ind w:firstLine="0"/>
              <w:jc w:val="right"/>
              <w:rPr>
                <w:rFonts w:eastAsia="Times New Roman" w:cs="Calibri"/>
                <w:color w:val="000000"/>
                <w:sz w:val="22"/>
              </w:rPr>
            </w:pPr>
            <w:r w:rsidRPr="002D2B1A">
              <w:rPr>
                <w:rFonts w:eastAsia="Times New Roman" w:cs="Calibri"/>
                <w:color w:val="000000"/>
                <w:sz w:val="22"/>
              </w:rPr>
              <w:t>23.09</w:t>
            </w:r>
            <w:r w:rsidRPr="002D2B1A" w:rsidR="00E266F3">
              <w:rPr>
                <w:rFonts w:eastAsia="Times New Roman" w:cs="Calibri"/>
                <w:color w:val="000000"/>
                <w:sz w:val="22"/>
              </w:rPr>
              <w:t xml:space="preserve"> percent</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37219F95" w14:textId="080217ED">
            <w:pPr>
              <w:spacing w:line="240" w:lineRule="auto"/>
              <w:ind w:firstLine="0"/>
              <w:jc w:val="right"/>
              <w:rPr>
                <w:rFonts w:eastAsia="Times New Roman" w:cs="Calibri"/>
                <w:color w:val="000000"/>
                <w:sz w:val="22"/>
              </w:rPr>
            </w:pPr>
            <w:r w:rsidRPr="002D2B1A">
              <w:rPr>
                <w:rFonts w:eastAsia="Times New Roman" w:cs="Calibri"/>
                <w:color w:val="000000"/>
                <w:sz w:val="22"/>
              </w:rPr>
              <w:t>22.59</w:t>
            </w:r>
            <w:r w:rsidRPr="002D2B1A" w:rsidR="00E266F3">
              <w:rPr>
                <w:rFonts w:eastAsia="Times New Roman" w:cs="Calibri"/>
                <w:color w:val="000000"/>
                <w:sz w:val="22"/>
              </w:rPr>
              <w:t xml:space="preserve"> percent</w:t>
            </w:r>
          </w:p>
        </w:tc>
      </w:tr>
      <w:tr w:rsidRPr="002D2B1A" w:rsidR="00B70054" w:rsidTr="003B4BA5" w14:paraId="2FA36C7C"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6DF15A6F" w14:textId="77777777">
            <w:pPr>
              <w:spacing w:line="240" w:lineRule="auto"/>
              <w:ind w:firstLine="0"/>
              <w:rPr>
                <w:rFonts w:eastAsia="Times New Roman" w:cs="Calibri"/>
                <w:color w:val="000000"/>
                <w:sz w:val="22"/>
              </w:rPr>
            </w:pPr>
            <w:r w:rsidRPr="002D2B1A">
              <w:rPr>
                <w:rFonts w:eastAsia="Times New Roman" w:cs="Calibri"/>
                <w:color w:val="000000"/>
                <w:sz w:val="22"/>
              </w:rPr>
              <w:t>AVR-IRR</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5F2744F1" w14:textId="2397CA3F">
            <w:pPr>
              <w:spacing w:line="240" w:lineRule="auto"/>
              <w:ind w:firstLine="0"/>
              <w:jc w:val="right"/>
              <w:rPr>
                <w:rFonts w:eastAsia="Times New Roman" w:cs="Calibri"/>
                <w:color w:val="000000"/>
                <w:sz w:val="22"/>
              </w:rPr>
            </w:pPr>
            <w:r w:rsidRPr="002D2B1A">
              <w:rPr>
                <w:rFonts w:eastAsia="Times New Roman" w:cs="Calibri"/>
                <w:color w:val="000000"/>
                <w:sz w:val="22"/>
              </w:rPr>
              <w:t>0.11</w:t>
            </w:r>
            <w:r w:rsidRPr="002D2B1A" w:rsidR="00E266F3">
              <w:rPr>
                <w:rFonts w:eastAsia="Times New Roman" w:cs="Calibri"/>
                <w:color w:val="000000"/>
                <w:sz w:val="22"/>
              </w:rPr>
              <w:t xml:space="preserve"> percent</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008CABB2" w14:textId="75E41766">
            <w:pPr>
              <w:spacing w:line="240" w:lineRule="auto"/>
              <w:ind w:firstLine="0"/>
              <w:jc w:val="right"/>
              <w:rPr>
                <w:rFonts w:eastAsia="Times New Roman" w:cs="Calibri"/>
                <w:color w:val="000000"/>
                <w:sz w:val="22"/>
              </w:rPr>
            </w:pPr>
            <w:r w:rsidRPr="002D2B1A">
              <w:rPr>
                <w:rFonts w:eastAsia="Times New Roman" w:cs="Calibri"/>
                <w:color w:val="000000"/>
                <w:sz w:val="22"/>
              </w:rPr>
              <w:t>0.09</w:t>
            </w:r>
            <w:r w:rsidRPr="002D2B1A" w:rsidR="00E266F3">
              <w:rPr>
                <w:rFonts w:eastAsia="Times New Roman" w:cs="Calibri"/>
                <w:color w:val="000000"/>
                <w:sz w:val="22"/>
              </w:rPr>
              <w:t xml:space="preserve"> percent</w:t>
            </w:r>
          </w:p>
        </w:tc>
      </w:tr>
      <w:tr w:rsidRPr="002D2B1A" w:rsidR="00B70054" w:rsidTr="003B4BA5" w14:paraId="503D9A76"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2B8599F4" w14:textId="77777777">
            <w:pPr>
              <w:spacing w:line="240" w:lineRule="auto"/>
              <w:ind w:firstLine="0"/>
              <w:rPr>
                <w:rFonts w:eastAsia="Times New Roman" w:cs="Calibri"/>
                <w:color w:val="000000"/>
                <w:sz w:val="22"/>
              </w:rPr>
            </w:pPr>
            <w:r w:rsidRPr="002D2B1A">
              <w:rPr>
                <w:rFonts w:eastAsia="Times New Roman" w:cs="Calibri"/>
                <w:color w:val="000000"/>
                <w:sz w:val="22"/>
              </w:rPr>
              <w:t>AVR-</w:t>
            </w:r>
            <w:proofErr w:type="spellStart"/>
            <w:r w:rsidRPr="002D2B1A">
              <w:rPr>
                <w:rFonts w:eastAsia="Times New Roman" w:cs="Calibri"/>
                <w:color w:val="000000"/>
                <w:sz w:val="22"/>
              </w:rPr>
              <w:t>Yer</w:t>
            </w:r>
            <w:proofErr w:type="spellEnd"/>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3F7000DE" w14:textId="454FC935">
            <w:pPr>
              <w:spacing w:line="240" w:lineRule="auto"/>
              <w:ind w:firstLine="0"/>
              <w:jc w:val="right"/>
              <w:rPr>
                <w:rFonts w:eastAsia="Times New Roman" w:cs="Calibri"/>
                <w:color w:val="000000"/>
                <w:sz w:val="22"/>
              </w:rPr>
            </w:pPr>
            <w:r w:rsidRPr="002D2B1A">
              <w:rPr>
                <w:rFonts w:eastAsia="Times New Roman" w:cs="Calibri"/>
                <w:color w:val="000000"/>
                <w:sz w:val="22"/>
              </w:rPr>
              <w:t>0.32</w:t>
            </w:r>
            <w:r w:rsidRPr="002D2B1A" w:rsidR="00E266F3">
              <w:rPr>
                <w:rFonts w:eastAsia="Times New Roman" w:cs="Calibri"/>
                <w:color w:val="000000"/>
                <w:sz w:val="22"/>
              </w:rPr>
              <w:t xml:space="preserve"> percent</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B70054" w:rsidP="00B70054" w:rsidRDefault="00B70054" w14:paraId="46DE10F6" w14:textId="504BAB97">
            <w:pPr>
              <w:spacing w:line="240" w:lineRule="auto"/>
              <w:ind w:firstLine="0"/>
              <w:jc w:val="right"/>
              <w:rPr>
                <w:rFonts w:eastAsia="Times New Roman" w:cs="Calibri"/>
                <w:color w:val="000000"/>
                <w:sz w:val="22"/>
              </w:rPr>
            </w:pPr>
            <w:r w:rsidRPr="002D2B1A">
              <w:rPr>
                <w:rFonts w:eastAsia="Times New Roman" w:cs="Calibri"/>
                <w:color w:val="000000"/>
                <w:sz w:val="22"/>
              </w:rPr>
              <w:t>0.32</w:t>
            </w:r>
            <w:r w:rsidRPr="002D2B1A" w:rsidR="00E266F3">
              <w:rPr>
                <w:rFonts w:eastAsia="Times New Roman" w:cs="Calibri"/>
                <w:color w:val="000000"/>
                <w:sz w:val="22"/>
              </w:rPr>
              <w:t xml:space="preserve"> percent</w:t>
            </w:r>
          </w:p>
        </w:tc>
      </w:tr>
    </w:tbl>
    <w:p w:rsidRPr="005B6644" w:rsidR="00C73480" w:rsidP="005B6644" w:rsidRDefault="00C73480" w14:paraId="25E83E36" w14:textId="77777777">
      <w:pPr>
        <w:pStyle w:val="Standard"/>
      </w:pPr>
    </w:p>
    <w:p w:rsidR="004F0CF0" w:rsidP="00290F6D" w:rsidRDefault="004B32FD" w14:paraId="0066F95E" w14:textId="51E6D0BB">
      <w:pPr>
        <w:pStyle w:val="Heading3"/>
      </w:pPr>
      <w:bookmarkStart w:name="_Toc46478784" w:id="36"/>
      <w:r>
        <w:t xml:space="preserve">Direct </w:t>
      </w:r>
      <w:r w:rsidR="004F0CF0">
        <w:t>Cost</w:t>
      </w:r>
      <w:r w:rsidR="00D451B9">
        <w:t>s from Algonquin, LUC and LUSC to the General Office</w:t>
      </w:r>
      <w:bookmarkEnd w:id="36"/>
    </w:p>
    <w:p w:rsidR="002A265E" w:rsidP="00D451B9" w:rsidRDefault="00D451B9" w14:paraId="51313CED" w14:textId="220EEF35">
      <w:pPr>
        <w:pStyle w:val="Standard"/>
      </w:pPr>
      <w:r>
        <w:t>The Public Advocates Office recommends disallow</w:t>
      </w:r>
      <w:r w:rsidR="001F3989">
        <w:t>ing</w:t>
      </w:r>
      <w:r>
        <w:t xml:space="preserve"> the entire $1,427,628 in direct costs requested by Liberty</w:t>
      </w:r>
      <w:r w:rsidR="00DE0B8C">
        <w:t>, asserting that the cost efficiencies and economies of scale from the acquisition have not materialized.</w:t>
      </w:r>
      <w:r w:rsidR="002D2B1A">
        <w:t xml:space="preserve"> </w:t>
      </w:r>
      <w:r w:rsidR="00301C47">
        <w:t xml:space="preserve">The Public Advocates Office is correct that corporate overhead, as captured in the total </w:t>
      </w:r>
      <w:r w:rsidR="00301C47">
        <w:lastRenderedPageBreak/>
        <w:t>General Office</w:t>
      </w:r>
      <w:r w:rsidR="0020325F">
        <w:t>/Downey</w:t>
      </w:r>
      <w:r w:rsidR="00301C47">
        <w:t xml:space="preserve"> </w:t>
      </w:r>
      <w:r w:rsidR="00A8021F">
        <w:t>2017 recorded costs and 2018 and 2019 projected costs</w:t>
      </w:r>
      <w:r w:rsidR="00301C47">
        <w:t>, has continually increased since the acquisition</w:t>
      </w:r>
      <w:r w:rsidR="00B36530">
        <w:t xml:space="preserve"> ($7.3 million in 2017, $8.9 million in 2018, $9.4 million in 2019)</w:t>
      </w:r>
      <w:r w:rsidR="00301C47">
        <w:t xml:space="preserve">. </w:t>
      </w:r>
      <w:r w:rsidR="00F223DB">
        <w:t>There is no</w:t>
      </w:r>
      <w:r w:rsidR="00301C47">
        <w:t xml:space="preserve"> evidence of offsetting efficiencies and savings in overall operations</w:t>
      </w:r>
      <w:r w:rsidR="00F223DB">
        <w:t xml:space="preserve">. </w:t>
      </w:r>
    </w:p>
    <w:p w:rsidRPr="00CD44BC" w:rsidR="00D451B9" w:rsidP="00D451B9" w:rsidRDefault="00F223DB" w14:paraId="7ECFCA4F" w14:textId="2AEE9D6C">
      <w:pPr>
        <w:pStyle w:val="Standard"/>
      </w:pPr>
      <w:r>
        <w:t>We therefore</w:t>
      </w:r>
      <w:r w:rsidR="00EF079E">
        <w:t xml:space="preserve"> approve </w:t>
      </w:r>
      <w:r w:rsidRPr="003B4BA5" w:rsidR="00B36530">
        <w:t>$</w:t>
      </w:r>
      <w:r w:rsidRPr="003B4BA5" w:rsidR="009855DC">
        <w:t>1,268,697</w:t>
      </w:r>
      <w:r w:rsidR="00B36530">
        <w:t xml:space="preserve"> million </w:t>
      </w:r>
      <w:r w:rsidR="00EF079E">
        <w:t xml:space="preserve">in direct costs </w:t>
      </w:r>
      <w:r w:rsidR="00B36530">
        <w:t xml:space="preserve">for TY 2019, an </w:t>
      </w:r>
      <w:r w:rsidRPr="003B4BA5" w:rsidR="00E82AFA">
        <w:t>11</w:t>
      </w:r>
      <w:r w:rsidR="00B36530">
        <w:t xml:space="preserve"> percent reduction from Liberty’s request.</w:t>
      </w:r>
      <w:r w:rsidR="00301C47">
        <w:t xml:space="preserve"> </w:t>
      </w:r>
      <w:r w:rsidR="00B36530">
        <w:t>Such reduction is reasonable while a blanket reduction of $1,427,628 as recommended by the Public Advocates Office is a blunt approach and is not based upon a discussion of the types of costs that would be disallowed.</w:t>
      </w:r>
      <w:r w:rsidR="002D2B1A">
        <w:t xml:space="preserve"> </w:t>
      </w:r>
      <w:r w:rsidR="00B36530">
        <w:t xml:space="preserve">Unlike the allocated costs from the Head Office discussed in Section </w:t>
      </w:r>
      <w:r w:rsidRPr="003B4BA5" w:rsidR="00CC6146">
        <w:t>4.2.2</w:t>
      </w:r>
      <w:r w:rsidR="00B36530">
        <w:t xml:space="preserve"> above, </w:t>
      </w:r>
      <w:r w:rsidR="00C748FA">
        <w:t>the directly allocated costs are clearly identified and categorized by cost centers, business units and subaccount</w:t>
      </w:r>
      <w:r w:rsidR="00301C47">
        <w:t xml:space="preserve">, </w:t>
      </w:r>
      <w:r w:rsidR="00B36530">
        <w:t>and</w:t>
      </w:r>
      <w:r w:rsidR="00C748FA">
        <w:t xml:space="preserve"> easily connected to the General Office operations prior to the acquisition.</w:t>
      </w:r>
      <w:r w:rsidR="00B36530">
        <w:t xml:space="preserve"> For the most part, they are consistent with historical spending at the subaccount level.</w:t>
      </w:r>
      <w:r w:rsidR="00C748FA">
        <w:t xml:space="preserve"> </w:t>
      </w:r>
      <w:r w:rsidR="0047541D">
        <w:t>We adjust these only to incorporate the 2</w:t>
      </w:r>
      <w:r w:rsidR="002A265E">
        <w:t>-</w:t>
      </w:r>
      <w:r w:rsidR="0047541D">
        <w:t>year average for the Audit and Income Taxes in Outside Services, and to apply the agreed upon inflation factors.</w:t>
      </w:r>
      <w:r w:rsidR="002D2B1A">
        <w:t xml:space="preserve"> </w:t>
      </w:r>
      <w:r w:rsidR="0047541D">
        <w:t>This changes the direct costs from</w:t>
      </w:r>
      <w:r w:rsidR="00301C47">
        <w:t xml:space="preserve"> Algonquin, LUC and LUSC to the General Office</w:t>
      </w:r>
      <w:r w:rsidR="0020325F">
        <w:t>/Downey</w:t>
      </w:r>
      <w:r w:rsidR="0047541D">
        <w:t xml:space="preserve"> to $1,278,998.</w:t>
      </w:r>
    </w:p>
    <w:p w:rsidR="009C52AB" w:rsidP="00F41B2E" w:rsidRDefault="00B061E7" w14:paraId="545428E9" w14:textId="434848CD">
      <w:pPr>
        <w:pStyle w:val="Heading3"/>
      </w:pPr>
      <w:bookmarkStart w:name="_Toc46478785" w:id="37"/>
      <w:r>
        <w:t>New General Office Position Requests</w:t>
      </w:r>
      <w:bookmarkEnd w:id="37"/>
    </w:p>
    <w:p w:rsidR="001739BC" w:rsidP="001739BC" w:rsidRDefault="001739BC" w14:paraId="18803D3D" w14:textId="433A76D8">
      <w:pPr>
        <w:pStyle w:val="Standard"/>
      </w:pPr>
      <w:r>
        <w:t xml:space="preserve">We deny Liberty’s request for two new positions for its General Office: </w:t>
      </w:r>
      <w:r w:rsidR="002D2B1A">
        <w:t xml:space="preserve"> </w:t>
      </w:r>
      <w:r>
        <w:t>Director of Government Relations and Director of Financial Planning and Analysis.</w:t>
      </w:r>
      <w:r w:rsidR="002D2B1A">
        <w:t xml:space="preserve"> </w:t>
      </w:r>
      <w:r>
        <w:t xml:space="preserve">If these positions were granted, Liberty would </w:t>
      </w:r>
      <w:r w:rsidR="002473C6">
        <w:t xml:space="preserve">return to </w:t>
      </w:r>
      <w:r w:rsidR="002B4434">
        <w:t xml:space="preserve">overall </w:t>
      </w:r>
      <w:r w:rsidR="002473C6">
        <w:t>staffing levels prior to the acquis</w:t>
      </w:r>
      <w:r w:rsidR="00C32C3A">
        <w:t>i</w:t>
      </w:r>
      <w:r w:rsidR="002473C6">
        <w:t>tion</w:t>
      </w:r>
      <w:r>
        <w:t xml:space="preserve">, eliminating all the savings from these vacated and unrenewed positions. </w:t>
      </w:r>
      <w:proofErr w:type="gramStart"/>
      <w:r w:rsidR="002B4434">
        <w:t>In essence</w:t>
      </w:r>
      <w:r w:rsidR="004D77A7">
        <w:t>,</w:t>
      </w:r>
      <w:r w:rsidR="002B4434">
        <w:t xml:space="preserve"> Liberty</w:t>
      </w:r>
      <w:r w:rsidR="004D77A7">
        <w:t>’s</w:t>
      </w:r>
      <w:proofErr w:type="gramEnd"/>
      <w:r w:rsidR="002B4434">
        <w:t xml:space="preserve"> proposals shift positions from Liberty Park and Liberty Apple Valley to the General Office, to </w:t>
      </w:r>
      <w:r w:rsidR="000D52EE">
        <w:t>fulfill corporate responsibilities rather than to benefit Liberty Park and Liberty Apple Valley</w:t>
      </w:r>
      <w:r w:rsidR="00B86E33">
        <w:t xml:space="preserve"> directly</w:t>
      </w:r>
      <w:r w:rsidR="000D52EE">
        <w:t>.</w:t>
      </w:r>
      <w:r>
        <w:t xml:space="preserve"> </w:t>
      </w:r>
    </w:p>
    <w:p w:rsidR="00C64872" w:rsidP="001739BC" w:rsidRDefault="00DE3307" w14:paraId="1BF8AC00" w14:textId="34EE27C4">
      <w:pPr>
        <w:pStyle w:val="Standard"/>
      </w:pPr>
      <w:r>
        <w:lastRenderedPageBreak/>
        <w:t xml:space="preserve">Liberty Park explains that its test year request is a reduction of three positions compared to the last authorized head count, and Liberty Apple Valley reports a reduction of one position in its current request. </w:t>
      </w:r>
      <w:r w:rsidR="00D81825">
        <w:t xml:space="preserve">Liberty also requested </w:t>
      </w:r>
      <w:r w:rsidR="00C64872">
        <w:t xml:space="preserve">seven new positions </w:t>
      </w:r>
      <w:r w:rsidR="00D81825">
        <w:t>for its General Office</w:t>
      </w:r>
      <w:r w:rsidR="004D77A7">
        <w:t>/Downey</w:t>
      </w:r>
      <w:r w:rsidR="00D81825">
        <w:t>, t</w:t>
      </w:r>
      <w:r w:rsidR="00D52E88">
        <w:t>wo</w:t>
      </w:r>
      <w:r w:rsidR="00D81825">
        <w:t xml:space="preserve"> of which the Public Advocates Office challenge</w:t>
      </w:r>
      <w:r w:rsidR="00D52E88">
        <w:t>s as duplicative and unnecessary</w:t>
      </w:r>
      <w:r w:rsidR="00D81825">
        <w:t xml:space="preserve">. </w:t>
      </w:r>
    </w:p>
    <w:p w:rsidR="00527285" w:rsidP="001739BC" w:rsidRDefault="00C64872" w14:paraId="3DA73787" w14:textId="77D36262">
      <w:pPr>
        <w:pStyle w:val="Standard"/>
      </w:pPr>
      <w:r>
        <w:t xml:space="preserve">Witness </w:t>
      </w:r>
      <w:proofErr w:type="spellStart"/>
      <w:r>
        <w:t>Alario</w:t>
      </w:r>
      <w:proofErr w:type="spellEnd"/>
      <w:r>
        <w:t xml:space="preserve"> explains that the Director-Government relations would be a corporate position reporting to the Algonquin Chief Executive Office and would not be based locally in California. For the Director-Financial Planning &amp; Analysis position, he explains the necessity is due to “the increased post acquisition workload resulting from Liberty Apple Valley and Liberty Park Water becoming subsidiaries of a much larger and public traded company” and continues that financial reports are due monthly to the corporate management team and to respond to corporate requests.</w:t>
      </w:r>
      <w:r>
        <w:rPr>
          <w:rStyle w:val="FootnoteReference"/>
        </w:rPr>
        <w:footnoteReference w:id="52"/>
      </w:r>
      <w:r w:rsidR="002D2B1A">
        <w:t xml:space="preserve"> </w:t>
      </w:r>
      <w:r w:rsidR="00527285">
        <w:t>Liberty’s application shows that the reduced headcount dedicated to Liberty Park and Liberty Apple Valley would be made up by the increased headcount at the General Office</w:t>
      </w:r>
      <w:r w:rsidR="009A44CE">
        <w:t>/Downey</w:t>
      </w:r>
      <w:r w:rsidR="00527285">
        <w:t xml:space="preserve"> if its request were approved.</w:t>
      </w:r>
    </w:p>
    <w:p w:rsidRPr="00591725" w:rsidR="00902279" w:rsidP="002D2B1A" w:rsidRDefault="00902279" w14:paraId="29B34AE3" w14:textId="06B39235">
      <w:pPr>
        <w:pStyle w:val="Standard"/>
        <w:keepNext/>
        <w:keepLines/>
        <w:jc w:val="center"/>
        <w:rPr>
          <w:b/>
          <w:bCs/>
        </w:rPr>
      </w:pPr>
      <w:r w:rsidRPr="00591725">
        <w:rPr>
          <w:b/>
          <w:bCs/>
        </w:rPr>
        <w:t xml:space="preserve">Table </w:t>
      </w:r>
      <w:r>
        <w:rPr>
          <w:b/>
          <w:bCs/>
        </w:rPr>
        <w:t>9</w:t>
      </w:r>
    </w:p>
    <w:p w:rsidR="00902279" w:rsidP="002D2B1A" w:rsidRDefault="00902279" w14:paraId="5E4CB12B" w14:textId="4CDDD052">
      <w:pPr>
        <w:pStyle w:val="Standard"/>
        <w:keepNext/>
        <w:keepLines/>
        <w:jc w:val="center"/>
      </w:pPr>
      <w:r>
        <w:t>Total Positions, Historical and</w:t>
      </w:r>
      <w:r w:rsidR="00826422">
        <w:t xml:space="preserve"> Proposed</w:t>
      </w:r>
    </w:p>
    <w:tbl>
      <w:tblPr>
        <w:tblStyle w:val="TableGrid"/>
        <w:tblW w:w="0" w:type="auto"/>
        <w:jc w:val="center"/>
        <w:tblLook w:val="04A0" w:firstRow="1" w:lastRow="0" w:firstColumn="1" w:lastColumn="0" w:noHBand="0" w:noVBand="1"/>
      </w:tblPr>
      <w:tblGrid>
        <w:gridCol w:w="1545"/>
        <w:gridCol w:w="1311"/>
        <w:gridCol w:w="1311"/>
        <w:gridCol w:w="1311"/>
        <w:gridCol w:w="954"/>
        <w:gridCol w:w="1522"/>
      </w:tblGrid>
      <w:tr w:rsidR="004863B5" w:rsidTr="00860265" w14:paraId="74F6F8EB" w14:textId="77777777">
        <w:trPr>
          <w:jc w:val="center"/>
        </w:trPr>
        <w:tc>
          <w:tcPr>
            <w:tcW w:w="1545" w:type="dxa"/>
            <w:vAlign w:val="center"/>
          </w:tcPr>
          <w:p w:rsidR="004863B5" w:rsidP="002D2B1A" w:rsidRDefault="004863B5" w14:paraId="4297B341" w14:textId="77777777">
            <w:pPr>
              <w:pStyle w:val="Standard"/>
              <w:keepNext/>
              <w:keepLines/>
              <w:spacing w:line="240" w:lineRule="auto"/>
              <w:ind w:firstLine="0"/>
              <w:jc w:val="center"/>
            </w:pPr>
          </w:p>
        </w:tc>
        <w:tc>
          <w:tcPr>
            <w:tcW w:w="1311" w:type="dxa"/>
            <w:vAlign w:val="center"/>
          </w:tcPr>
          <w:p w:rsidRPr="002D2B1A" w:rsidR="004863B5" w:rsidP="002D2B1A" w:rsidRDefault="004863B5" w14:paraId="50C49E74" w14:textId="41B1C24B">
            <w:pPr>
              <w:pStyle w:val="Standard"/>
              <w:keepNext/>
              <w:keepLines/>
              <w:spacing w:line="240" w:lineRule="auto"/>
              <w:ind w:firstLine="0"/>
              <w:jc w:val="center"/>
              <w:rPr>
                <w:b/>
                <w:bCs/>
              </w:rPr>
            </w:pPr>
            <w:r w:rsidRPr="002D2B1A">
              <w:rPr>
                <w:b/>
                <w:bCs/>
              </w:rPr>
              <w:t>2015 rec</w:t>
            </w:r>
          </w:p>
        </w:tc>
        <w:tc>
          <w:tcPr>
            <w:tcW w:w="1311" w:type="dxa"/>
            <w:vAlign w:val="center"/>
          </w:tcPr>
          <w:p w:rsidRPr="002D2B1A" w:rsidR="004863B5" w:rsidP="002D2B1A" w:rsidRDefault="004863B5" w14:paraId="21FF99D1" w14:textId="05781E40">
            <w:pPr>
              <w:pStyle w:val="Standard"/>
              <w:keepNext/>
              <w:keepLines/>
              <w:spacing w:line="240" w:lineRule="auto"/>
              <w:ind w:firstLine="0"/>
              <w:jc w:val="center"/>
              <w:rPr>
                <w:b/>
                <w:bCs/>
              </w:rPr>
            </w:pPr>
            <w:r w:rsidRPr="002D2B1A">
              <w:rPr>
                <w:b/>
                <w:bCs/>
              </w:rPr>
              <w:t>2016 rec</w:t>
            </w:r>
          </w:p>
        </w:tc>
        <w:tc>
          <w:tcPr>
            <w:tcW w:w="1311" w:type="dxa"/>
            <w:vAlign w:val="center"/>
          </w:tcPr>
          <w:p w:rsidRPr="002D2B1A" w:rsidR="004863B5" w:rsidP="002D2B1A" w:rsidRDefault="004863B5" w14:paraId="65BC99F3" w14:textId="540CDCCB">
            <w:pPr>
              <w:pStyle w:val="Standard"/>
              <w:keepNext/>
              <w:keepLines/>
              <w:spacing w:line="240" w:lineRule="auto"/>
              <w:ind w:firstLine="0"/>
              <w:jc w:val="center"/>
              <w:rPr>
                <w:b/>
                <w:bCs/>
              </w:rPr>
            </w:pPr>
            <w:r w:rsidRPr="002D2B1A">
              <w:rPr>
                <w:b/>
                <w:bCs/>
              </w:rPr>
              <w:t>2017 rec</w:t>
            </w:r>
          </w:p>
        </w:tc>
        <w:tc>
          <w:tcPr>
            <w:tcW w:w="954" w:type="dxa"/>
            <w:vAlign w:val="center"/>
          </w:tcPr>
          <w:p w:rsidRPr="002D2B1A" w:rsidR="004863B5" w:rsidP="002D2B1A" w:rsidRDefault="004863B5" w14:paraId="0F6AF3DE" w14:textId="342F5FEF">
            <w:pPr>
              <w:pStyle w:val="Standard"/>
              <w:keepNext/>
              <w:keepLines/>
              <w:spacing w:line="240" w:lineRule="auto"/>
              <w:ind w:firstLine="0"/>
              <w:jc w:val="center"/>
              <w:rPr>
                <w:b/>
                <w:bCs/>
              </w:rPr>
            </w:pPr>
            <w:r w:rsidRPr="002D2B1A">
              <w:rPr>
                <w:b/>
                <w:bCs/>
              </w:rPr>
              <w:t>2018</w:t>
            </w:r>
          </w:p>
        </w:tc>
        <w:tc>
          <w:tcPr>
            <w:tcW w:w="1522" w:type="dxa"/>
            <w:vAlign w:val="center"/>
          </w:tcPr>
          <w:p w:rsidRPr="002D2B1A" w:rsidR="004863B5" w:rsidP="002D2B1A" w:rsidRDefault="004F75EC" w14:paraId="151A5767" w14:textId="26AB0C0D">
            <w:pPr>
              <w:pStyle w:val="Standard"/>
              <w:keepNext/>
              <w:keepLines/>
              <w:spacing w:line="240" w:lineRule="auto"/>
              <w:ind w:firstLine="0"/>
              <w:jc w:val="center"/>
              <w:rPr>
                <w:b/>
                <w:bCs/>
              </w:rPr>
            </w:pPr>
            <w:r w:rsidRPr="002D2B1A">
              <w:rPr>
                <w:b/>
                <w:bCs/>
              </w:rPr>
              <w:t xml:space="preserve">Proposed </w:t>
            </w:r>
            <w:r w:rsidRPr="002D2B1A" w:rsidR="00902279">
              <w:rPr>
                <w:b/>
                <w:bCs/>
              </w:rPr>
              <w:t xml:space="preserve">TY </w:t>
            </w:r>
            <w:r w:rsidRPr="002D2B1A" w:rsidR="004863B5">
              <w:rPr>
                <w:b/>
                <w:bCs/>
              </w:rPr>
              <w:t>2019</w:t>
            </w:r>
          </w:p>
        </w:tc>
      </w:tr>
      <w:tr w:rsidR="004863B5" w:rsidTr="00860265" w14:paraId="33F1401F" w14:textId="77777777">
        <w:trPr>
          <w:jc w:val="center"/>
        </w:trPr>
        <w:tc>
          <w:tcPr>
            <w:tcW w:w="1545" w:type="dxa"/>
            <w:vAlign w:val="center"/>
          </w:tcPr>
          <w:p w:rsidR="004863B5" w:rsidP="002D2B1A" w:rsidRDefault="004863B5" w14:paraId="41B84B61" w14:textId="0E39AB75">
            <w:pPr>
              <w:pStyle w:val="Standard"/>
              <w:spacing w:line="240" w:lineRule="auto"/>
              <w:ind w:firstLine="0"/>
              <w:jc w:val="center"/>
            </w:pPr>
            <w:r>
              <w:t>Liberty Park</w:t>
            </w:r>
          </w:p>
        </w:tc>
        <w:tc>
          <w:tcPr>
            <w:tcW w:w="1311" w:type="dxa"/>
            <w:vAlign w:val="center"/>
          </w:tcPr>
          <w:p w:rsidRPr="003B4BA5" w:rsidR="004863B5" w:rsidP="002D2B1A" w:rsidRDefault="004863B5" w14:paraId="56309364" w14:textId="7A2A1E81">
            <w:pPr>
              <w:pStyle w:val="Standard"/>
              <w:spacing w:line="240" w:lineRule="auto"/>
              <w:ind w:firstLine="0"/>
              <w:jc w:val="center"/>
            </w:pPr>
            <w:r w:rsidRPr="003B4BA5">
              <w:t>43</w:t>
            </w:r>
          </w:p>
        </w:tc>
        <w:tc>
          <w:tcPr>
            <w:tcW w:w="1311" w:type="dxa"/>
            <w:vAlign w:val="center"/>
          </w:tcPr>
          <w:p w:rsidRPr="003B4BA5" w:rsidR="004863B5" w:rsidP="002D2B1A" w:rsidRDefault="004863B5" w14:paraId="2093444A" w14:textId="264DBC3D">
            <w:pPr>
              <w:pStyle w:val="Standard"/>
              <w:spacing w:line="240" w:lineRule="auto"/>
              <w:ind w:firstLine="0"/>
              <w:jc w:val="center"/>
            </w:pPr>
            <w:r w:rsidRPr="003B4BA5">
              <w:t>43</w:t>
            </w:r>
          </w:p>
        </w:tc>
        <w:tc>
          <w:tcPr>
            <w:tcW w:w="1311" w:type="dxa"/>
            <w:vAlign w:val="center"/>
          </w:tcPr>
          <w:p w:rsidRPr="003B4BA5" w:rsidR="004863B5" w:rsidP="002D2B1A" w:rsidRDefault="004863B5" w14:paraId="4CAF8002" w14:textId="6F4262CD">
            <w:pPr>
              <w:pStyle w:val="Standard"/>
              <w:spacing w:line="240" w:lineRule="auto"/>
              <w:ind w:firstLine="0"/>
              <w:jc w:val="center"/>
            </w:pPr>
            <w:r w:rsidRPr="003B4BA5">
              <w:t>42</w:t>
            </w:r>
          </w:p>
        </w:tc>
        <w:tc>
          <w:tcPr>
            <w:tcW w:w="954" w:type="dxa"/>
            <w:vAlign w:val="center"/>
          </w:tcPr>
          <w:p w:rsidR="004863B5" w:rsidP="002D2B1A" w:rsidRDefault="004863B5" w14:paraId="03CE9E41" w14:textId="704505E0">
            <w:pPr>
              <w:pStyle w:val="Standard"/>
              <w:spacing w:line="240" w:lineRule="auto"/>
              <w:ind w:firstLine="0"/>
              <w:jc w:val="center"/>
            </w:pPr>
            <w:r>
              <w:t>--</w:t>
            </w:r>
          </w:p>
        </w:tc>
        <w:tc>
          <w:tcPr>
            <w:tcW w:w="1522" w:type="dxa"/>
            <w:vAlign w:val="center"/>
          </w:tcPr>
          <w:p w:rsidR="004863B5" w:rsidP="002D2B1A" w:rsidRDefault="004863B5" w14:paraId="2899C8B4" w14:textId="36DAE31A">
            <w:pPr>
              <w:pStyle w:val="Standard"/>
              <w:spacing w:line="240" w:lineRule="auto"/>
              <w:ind w:firstLine="0"/>
              <w:jc w:val="center"/>
            </w:pPr>
            <w:r>
              <w:t>46</w:t>
            </w:r>
          </w:p>
        </w:tc>
      </w:tr>
      <w:tr w:rsidR="004863B5" w:rsidTr="00860265" w14:paraId="4579A04A" w14:textId="77777777">
        <w:trPr>
          <w:jc w:val="center"/>
        </w:trPr>
        <w:tc>
          <w:tcPr>
            <w:tcW w:w="1545" w:type="dxa"/>
            <w:vAlign w:val="center"/>
          </w:tcPr>
          <w:p w:rsidR="004863B5" w:rsidP="002D2B1A" w:rsidRDefault="004863B5" w14:paraId="4935A2A1" w14:textId="56023A63">
            <w:pPr>
              <w:pStyle w:val="Standard"/>
              <w:spacing w:line="240" w:lineRule="auto"/>
              <w:ind w:firstLine="0"/>
              <w:jc w:val="center"/>
            </w:pPr>
            <w:r>
              <w:t>Liberty Apple Valley</w:t>
            </w:r>
          </w:p>
        </w:tc>
        <w:tc>
          <w:tcPr>
            <w:tcW w:w="1311" w:type="dxa"/>
            <w:vAlign w:val="center"/>
          </w:tcPr>
          <w:p w:rsidRPr="003B4BA5" w:rsidR="004863B5" w:rsidP="002D2B1A" w:rsidRDefault="008002B3" w14:paraId="29ACE244" w14:textId="4DB8E580">
            <w:pPr>
              <w:pStyle w:val="Standard"/>
              <w:spacing w:line="240" w:lineRule="auto"/>
              <w:ind w:firstLine="0"/>
              <w:jc w:val="center"/>
            </w:pPr>
            <w:r w:rsidRPr="003B4BA5">
              <w:t>4</w:t>
            </w:r>
            <w:r w:rsidR="000F046E">
              <w:t>1</w:t>
            </w:r>
          </w:p>
        </w:tc>
        <w:tc>
          <w:tcPr>
            <w:tcW w:w="1311" w:type="dxa"/>
            <w:vAlign w:val="center"/>
          </w:tcPr>
          <w:p w:rsidRPr="003B4BA5" w:rsidR="004863B5" w:rsidP="002D2B1A" w:rsidRDefault="008002B3" w14:paraId="68711421" w14:textId="1CB8C749">
            <w:pPr>
              <w:pStyle w:val="Standard"/>
              <w:spacing w:line="240" w:lineRule="auto"/>
              <w:ind w:firstLine="0"/>
              <w:jc w:val="center"/>
            </w:pPr>
            <w:r w:rsidRPr="003B4BA5">
              <w:t>4</w:t>
            </w:r>
            <w:r w:rsidR="000F046E">
              <w:t>1</w:t>
            </w:r>
          </w:p>
        </w:tc>
        <w:tc>
          <w:tcPr>
            <w:tcW w:w="1311" w:type="dxa"/>
            <w:vAlign w:val="center"/>
          </w:tcPr>
          <w:p w:rsidRPr="003B4BA5" w:rsidR="004863B5" w:rsidP="002D2B1A" w:rsidRDefault="00303446" w14:paraId="551E367D" w14:textId="659BA293">
            <w:pPr>
              <w:pStyle w:val="Standard"/>
              <w:spacing w:line="240" w:lineRule="auto"/>
              <w:ind w:firstLine="0"/>
              <w:jc w:val="center"/>
            </w:pPr>
            <w:r w:rsidRPr="003B4BA5">
              <w:t>4</w:t>
            </w:r>
            <w:r w:rsidR="000F046E">
              <w:t>1</w:t>
            </w:r>
          </w:p>
        </w:tc>
        <w:tc>
          <w:tcPr>
            <w:tcW w:w="954" w:type="dxa"/>
            <w:vAlign w:val="center"/>
          </w:tcPr>
          <w:p w:rsidR="004863B5" w:rsidP="002D2B1A" w:rsidRDefault="004863B5" w14:paraId="031D46F6" w14:textId="488D6801">
            <w:pPr>
              <w:pStyle w:val="Standard"/>
              <w:spacing w:line="240" w:lineRule="auto"/>
              <w:ind w:firstLine="0"/>
              <w:jc w:val="center"/>
            </w:pPr>
            <w:r>
              <w:t>--</w:t>
            </w:r>
          </w:p>
        </w:tc>
        <w:tc>
          <w:tcPr>
            <w:tcW w:w="1522" w:type="dxa"/>
            <w:vAlign w:val="center"/>
          </w:tcPr>
          <w:p w:rsidR="004863B5" w:rsidP="002D2B1A" w:rsidRDefault="00303446" w14:paraId="1537EDE9" w14:textId="49B69092">
            <w:pPr>
              <w:pStyle w:val="Standard"/>
              <w:spacing w:line="240" w:lineRule="auto"/>
              <w:ind w:firstLine="0"/>
              <w:jc w:val="center"/>
            </w:pPr>
            <w:r>
              <w:t>4</w:t>
            </w:r>
            <w:r w:rsidR="00AC5686">
              <w:t>3</w:t>
            </w:r>
          </w:p>
        </w:tc>
      </w:tr>
      <w:tr w:rsidR="004863B5" w:rsidTr="00860265" w14:paraId="484D6554" w14:textId="77777777">
        <w:trPr>
          <w:jc w:val="center"/>
        </w:trPr>
        <w:tc>
          <w:tcPr>
            <w:tcW w:w="1545" w:type="dxa"/>
            <w:vAlign w:val="center"/>
          </w:tcPr>
          <w:p w:rsidR="004863B5" w:rsidP="002D2B1A" w:rsidRDefault="004863B5" w14:paraId="66072015" w14:textId="5DD09B8A">
            <w:pPr>
              <w:pStyle w:val="Standard"/>
              <w:spacing w:line="240" w:lineRule="auto"/>
              <w:ind w:firstLine="0"/>
              <w:jc w:val="center"/>
            </w:pPr>
            <w:r>
              <w:lastRenderedPageBreak/>
              <w:t>Liberty General Office</w:t>
            </w:r>
          </w:p>
        </w:tc>
        <w:tc>
          <w:tcPr>
            <w:tcW w:w="1311" w:type="dxa"/>
            <w:vAlign w:val="center"/>
          </w:tcPr>
          <w:p w:rsidR="004863B5" w:rsidP="002D2B1A" w:rsidRDefault="004863B5" w14:paraId="3A66A05E" w14:textId="02B4345C">
            <w:pPr>
              <w:pStyle w:val="Standard"/>
              <w:spacing w:line="240" w:lineRule="auto"/>
              <w:ind w:firstLine="0"/>
              <w:jc w:val="center"/>
            </w:pPr>
            <w:r>
              <w:t>27</w:t>
            </w:r>
          </w:p>
        </w:tc>
        <w:tc>
          <w:tcPr>
            <w:tcW w:w="1311" w:type="dxa"/>
            <w:vAlign w:val="center"/>
          </w:tcPr>
          <w:p w:rsidR="004863B5" w:rsidP="002D2B1A" w:rsidRDefault="004863B5" w14:paraId="0E230EB8" w14:textId="557C473B">
            <w:pPr>
              <w:pStyle w:val="Standard"/>
              <w:spacing w:line="240" w:lineRule="auto"/>
              <w:ind w:firstLine="0"/>
              <w:jc w:val="center"/>
            </w:pPr>
            <w:r>
              <w:t>22</w:t>
            </w:r>
          </w:p>
        </w:tc>
        <w:tc>
          <w:tcPr>
            <w:tcW w:w="1311" w:type="dxa"/>
            <w:vAlign w:val="center"/>
          </w:tcPr>
          <w:p w:rsidR="004863B5" w:rsidP="002D2B1A" w:rsidRDefault="004863B5" w14:paraId="71F850C7" w14:textId="052B995A">
            <w:pPr>
              <w:pStyle w:val="Standard"/>
              <w:spacing w:line="240" w:lineRule="auto"/>
              <w:ind w:firstLine="0"/>
              <w:jc w:val="center"/>
            </w:pPr>
            <w:r>
              <w:t>23</w:t>
            </w:r>
          </w:p>
        </w:tc>
        <w:tc>
          <w:tcPr>
            <w:tcW w:w="954" w:type="dxa"/>
            <w:vAlign w:val="center"/>
          </w:tcPr>
          <w:p w:rsidR="004863B5" w:rsidP="002D2B1A" w:rsidRDefault="004863B5" w14:paraId="5E3FDB60" w14:textId="29CEB1CB">
            <w:pPr>
              <w:pStyle w:val="Standard"/>
              <w:spacing w:line="240" w:lineRule="auto"/>
              <w:ind w:firstLine="0"/>
              <w:jc w:val="center"/>
            </w:pPr>
            <w:r>
              <w:t>--</w:t>
            </w:r>
          </w:p>
        </w:tc>
        <w:tc>
          <w:tcPr>
            <w:tcW w:w="1522" w:type="dxa"/>
            <w:vAlign w:val="center"/>
          </w:tcPr>
          <w:p w:rsidR="004863B5" w:rsidP="002D2B1A" w:rsidRDefault="004863B5" w14:paraId="52CFE018" w14:textId="5F8A2B4C">
            <w:pPr>
              <w:pStyle w:val="Standard"/>
              <w:spacing w:line="240" w:lineRule="auto"/>
              <w:ind w:firstLine="0"/>
              <w:jc w:val="center"/>
            </w:pPr>
            <w:r>
              <w:t>31 (requested)</w:t>
            </w:r>
          </w:p>
        </w:tc>
      </w:tr>
      <w:tr w:rsidR="004863B5" w:rsidTr="00860265" w14:paraId="798ED7E5" w14:textId="77777777">
        <w:trPr>
          <w:jc w:val="center"/>
        </w:trPr>
        <w:tc>
          <w:tcPr>
            <w:tcW w:w="1545" w:type="dxa"/>
            <w:vAlign w:val="center"/>
          </w:tcPr>
          <w:p w:rsidR="004863B5" w:rsidP="002D2B1A" w:rsidRDefault="004863B5" w14:paraId="14FB6523" w14:textId="6FEE3F57">
            <w:pPr>
              <w:pStyle w:val="Standard"/>
              <w:spacing w:line="240" w:lineRule="auto"/>
              <w:ind w:firstLine="0"/>
              <w:jc w:val="center"/>
            </w:pPr>
            <w:r>
              <w:t>Liberty General Office Authorized</w:t>
            </w:r>
          </w:p>
        </w:tc>
        <w:tc>
          <w:tcPr>
            <w:tcW w:w="1311" w:type="dxa"/>
            <w:vAlign w:val="center"/>
          </w:tcPr>
          <w:p w:rsidR="004863B5" w:rsidP="002D2B1A" w:rsidRDefault="004863B5" w14:paraId="0B63AB1F" w14:textId="77777777">
            <w:pPr>
              <w:pStyle w:val="Standard"/>
              <w:spacing w:line="240" w:lineRule="auto"/>
              <w:ind w:firstLine="0"/>
              <w:jc w:val="center"/>
            </w:pPr>
          </w:p>
        </w:tc>
        <w:tc>
          <w:tcPr>
            <w:tcW w:w="1311" w:type="dxa"/>
            <w:vAlign w:val="center"/>
          </w:tcPr>
          <w:p w:rsidR="004863B5" w:rsidP="002D2B1A" w:rsidRDefault="004863B5" w14:paraId="09A888CA" w14:textId="77777777">
            <w:pPr>
              <w:pStyle w:val="Standard"/>
              <w:spacing w:line="240" w:lineRule="auto"/>
              <w:ind w:firstLine="0"/>
              <w:jc w:val="center"/>
            </w:pPr>
          </w:p>
        </w:tc>
        <w:tc>
          <w:tcPr>
            <w:tcW w:w="1311" w:type="dxa"/>
            <w:vAlign w:val="center"/>
          </w:tcPr>
          <w:p w:rsidR="004863B5" w:rsidP="002D2B1A" w:rsidRDefault="004863B5" w14:paraId="219451EA" w14:textId="77777777">
            <w:pPr>
              <w:pStyle w:val="Standard"/>
              <w:spacing w:line="240" w:lineRule="auto"/>
              <w:ind w:firstLine="0"/>
              <w:jc w:val="center"/>
            </w:pPr>
          </w:p>
        </w:tc>
        <w:tc>
          <w:tcPr>
            <w:tcW w:w="954" w:type="dxa"/>
            <w:vAlign w:val="center"/>
          </w:tcPr>
          <w:p w:rsidR="004863B5" w:rsidP="002D2B1A" w:rsidRDefault="004863B5" w14:paraId="52173365" w14:textId="77777777">
            <w:pPr>
              <w:pStyle w:val="Standard"/>
              <w:spacing w:line="240" w:lineRule="auto"/>
              <w:ind w:firstLine="0"/>
              <w:jc w:val="center"/>
            </w:pPr>
          </w:p>
        </w:tc>
        <w:tc>
          <w:tcPr>
            <w:tcW w:w="1522" w:type="dxa"/>
            <w:vAlign w:val="center"/>
          </w:tcPr>
          <w:p w:rsidR="004863B5" w:rsidP="002D2B1A" w:rsidRDefault="004863B5" w14:paraId="5F1B806B" w14:textId="3E946B7A">
            <w:pPr>
              <w:pStyle w:val="Standard"/>
              <w:spacing w:line="240" w:lineRule="auto"/>
              <w:ind w:firstLine="0"/>
              <w:jc w:val="center"/>
            </w:pPr>
            <w:r>
              <w:t>29</w:t>
            </w:r>
          </w:p>
        </w:tc>
      </w:tr>
      <w:tr w:rsidR="004863B5" w:rsidTr="00860265" w14:paraId="46CFB67D" w14:textId="77777777">
        <w:trPr>
          <w:jc w:val="center"/>
        </w:trPr>
        <w:tc>
          <w:tcPr>
            <w:tcW w:w="1545" w:type="dxa"/>
            <w:vAlign w:val="center"/>
          </w:tcPr>
          <w:p w:rsidR="004863B5" w:rsidP="002D2B1A" w:rsidRDefault="004863B5" w14:paraId="1033CDEF" w14:textId="19D3FFF8">
            <w:pPr>
              <w:pStyle w:val="Standard"/>
              <w:spacing w:line="240" w:lineRule="auto"/>
              <w:ind w:firstLine="0"/>
              <w:jc w:val="center"/>
            </w:pPr>
            <w:r>
              <w:t xml:space="preserve">TOTAL </w:t>
            </w:r>
          </w:p>
        </w:tc>
        <w:tc>
          <w:tcPr>
            <w:tcW w:w="1311" w:type="dxa"/>
            <w:vAlign w:val="center"/>
          </w:tcPr>
          <w:p w:rsidR="004863B5" w:rsidP="002D2B1A" w:rsidRDefault="00146E63" w14:paraId="2E6FF4C2" w14:textId="5F54A3D3">
            <w:pPr>
              <w:pStyle w:val="Standard"/>
              <w:spacing w:line="240" w:lineRule="auto"/>
              <w:ind w:firstLine="0"/>
              <w:jc w:val="center"/>
            </w:pPr>
            <w:r>
              <w:t xml:space="preserve">111 </w:t>
            </w:r>
            <w:r w:rsidR="004863B5">
              <w:t>recorded, end-of-year</w:t>
            </w:r>
          </w:p>
        </w:tc>
        <w:tc>
          <w:tcPr>
            <w:tcW w:w="1311" w:type="dxa"/>
            <w:vAlign w:val="center"/>
          </w:tcPr>
          <w:p w:rsidR="004863B5" w:rsidP="002D2B1A" w:rsidRDefault="00CB7574" w14:paraId="180D9364" w14:textId="50074A5B">
            <w:pPr>
              <w:pStyle w:val="Standard"/>
              <w:spacing w:line="240" w:lineRule="auto"/>
              <w:ind w:firstLine="0"/>
              <w:jc w:val="center"/>
            </w:pPr>
            <w:r>
              <w:t>10</w:t>
            </w:r>
            <w:r w:rsidR="004863B5">
              <w:t>6 recorded, end-of-year</w:t>
            </w:r>
          </w:p>
        </w:tc>
        <w:tc>
          <w:tcPr>
            <w:tcW w:w="1311" w:type="dxa"/>
            <w:vAlign w:val="center"/>
          </w:tcPr>
          <w:p w:rsidR="004863B5" w:rsidP="002D2B1A" w:rsidRDefault="00666169" w14:paraId="5BDC1FCB" w14:textId="0ED418C7">
            <w:pPr>
              <w:pStyle w:val="Standard"/>
              <w:spacing w:line="240" w:lineRule="auto"/>
              <w:ind w:firstLine="0"/>
              <w:jc w:val="center"/>
            </w:pPr>
            <w:r>
              <w:t>10</w:t>
            </w:r>
            <w:r w:rsidR="004863B5">
              <w:t>6 recorded, end-of-year</w:t>
            </w:r>
          </w:p>
        </w:tc>
        <w:tc>
          <w:tcPr>
            <w:tcW w:w="954" w:type="dxa"/>
            <w:vAlign w:val="center"/>
          </w:tcPr>
          <w:p w:rsidR="004863B5" w:rsidP="002D2B1A" w:rsidRDefault="004863B5" w14:paraId="26BC9EFE" w14:textId="238DDB57">
            <w:pPr>
              <w:pStyle w:val="Standard"/>
              <w:spacing w:line="240" w:lineRule="auto"/>
              <w:ind w:firstLine="0"/>
              <w:jc w:val="center"/>
            </w:pPr>
            <w:r>
              <w:t>--</w:t>
            </w:r>
          </w:p>
        </w:tc>
        <w:tc>
          <w:tcPr>
            <w:tcW w:w="1522" w:type="dxa"/>
            <w:vAlign w:val="center"/>
          </w:tcPr>
          <w:p w:rsidR="004863B5" w:rsidP="002D2B1A" w:rsidRDefault="00D4400E" w14:paraId="2D2C2D7F" w14:textId="18B123FC">
            <w:pPr>
              <w:pStyle w:val="Standard"/>
              <w:spacing w:line="240" w:lineRule="auto"/>
              <w:ind w:firstLine="0"/>
              <w:jc w:val="center"/>
            </w:pPr>
            <w:r>
              <w:t>119</w:t>
            </w:r>
            <w:r w:rsidR="004863B5">
              <w:t xml:space="preserve"> authorized</w:t>
            </w:r>
          </w:p>
        </w:tc>
      </w:tr>
    </w:tbl>
    <w:p w:rsidRPr="002D2B1A" w:rsidR="00527285" w:rsidP="001739BC" w:rsidRDefault="00527285" w14:paraId="7DCDFE38" w14:textId="53157C0A">
      <w:pPr>
        <w:pStyle w:val="Standard"/>
        <w:rPr>
          <w:sz w:val="10"/>
          <w:szCs w:val="10"/>
        </w:rPr>
      </w:pPr>
    </w:p>
    <w:p w:rsidR="00C64872" w:rsidP="00C64872" w:rsidRDefault="00C64872" w14:paraId="5B3BA08B" w14:textId="0372532D">
      <w:pPr>
        <w:pStyle w:val="Standard"/>
      </w:pPr>
      <w:r>
        <w:t xml:space="preserve">We approve five new positions: </w:t>
      </w:r>
      <w:r w:rsidR="002D2B1A">
        <w:t xml:space="preserve"> </w:t>
      </w:r>
      <w:r>
        <w:t>1) President-West Region, 2) Vice President-Customer Experience, 3) Director-Customer Care, 4) Diversity Coordinator, 5) Engineering Technician-1. We deny Liberty’s request to authorize new positions for Director-Government Relations and Director</w:t>
      </w:r>
      <w:r w:rsidR="002D2B1A">
        <w:noBreakHyphen/>
      </w:r>
      <w:r>
        <w:t>Financial Planning &amp; Analysis as these are duplicative.</w:t>
      </w:r>
    </w:p>
    <w:p w:rsidR="005859A1" w:rsidP="00F41B2E" w:rsidRDefault="005859A1" w14:paraId="2C3F8684" w14:textId="143234B3">
      <w:pPr>
        <w:pStyle w:val="Heading3"/>
      </w:pPr>
      <w:bookmarkStart w:name="_Toc46478786" w:id="38"/>
      <w:r>
        <w:t>Vacancy Savings</w:t>
      </w:r>
      <w:bookmarkEnd w:id="38"/>
    </w:p>
    <w:p w:rsidRPr="005859A1" w:rsidR="005859A1" w:rsidP="005859A1" w:rsidRDefault="00E97187" w14:paraId="651C6AE0" w14:textId="199D9B01">
      <w:pPr>
        <w:pStyle w:val="Standard"/>
      </w:pPr>
      <w:r>
        <w:t>We approve vacancy savings</w:t>
      </w:r>
      <w:r w:rsidR="00C64872">
        <w:t xml:space="preserve"> </w:t>
      </w:r>
      <w:r w:rsidR="006A138D">
        <w:t xml:space="preserve">in the TY </w:t>
      </w:r>
      <w:r w:rsidR="004614AE">
        <w:t xml:space="preserve">based on its vacancy </w:t>
      </w:r>
      <w:r w:rsidR="006A138D">
        <w:t>rates</w:t>
      </w:r>
      <w:r w:rsidR="004614AE">
        <w:t xml:space="preserve"> in 2017. </w:t>
      </w:r>
      <w:r w:rsidR="002D2B1A">
        <w:t xml:space="preserve"> </w:t>
      </w:r>
      <w:r w:rsidR="004614AE">
        <w:t xml:space="preserve">Liberty </w:t>
      </w:r>
      <w:r w:rsidR="006A138D">
        <w:t xml:space="preserve">explains that historical </w:t>
      </w:r>
      <w:r w:rsidR="004614AE">
        <w:t xml:space="preserve">vacancy </w:t>
      </w:r>
      <w:r w:rsidR="006A138D">
        <w:t>rates</w:t>
      </w:r>
      <w:r w:rsidR="004614AE">
        <w:t xml:space="preserve"> on the basis that vacancies in the years 2015, 2016 and 2017 are not representative due to the acquisition and resultant corporate restructuring. The Public Advocates Office argues that a forecast of 100</w:t>
      </w:r>
      <w:r w:rsidR="0066504D">
        <w:t xml:space="preserve"> percent</w:t>
      </w:r>
      <w:r w:rsidR="004614AE">
        <w:t xml:space="preserve"> filled positions is highly unlikely.</w:t>
      </w:r>
      <w:r w:rsidR="0066504D">
        <w:t xml:space="preserve"> </w:t>
      </w:r>
      <w:r w:rsidR="004614AE">
        <w:t>It is not reasonable to assume Liberty will maintain 100</w:t>
      </w:r>
      <w:r w:rsidR="0066504D">
        <w:t xml:space="preserve"> percent</w:t>
      </w:r>
      <w:r w:rsidR="004614AE">
        <w:t xml:space="preserve"> employment of all authorized positions through the entire rate case cycle.</w:t>
      </w:r>
      <w:r w:rsidR="0066504D">
        <w:t xml:space="preserve"> </w:t>
      </w:r>
      <w:r w:rsidR="004614AE">
        <w:t xml:space="preserve">Because 2017 is </w:t>
      </w:r>
      <w:r w:rsidR="00C64872">
        <w:t xml:space="preserve">the </w:t>
      </w:r>
      <w:r w:rsidR="004614AE">
        <w:t xml:space="preserve">only historical year data available that is entirely post-acquisition, </w:t>
      </w:r>
      <w:r w:rsidR="00467D90">
        <w:t>this is likely to be most representative of future vacancy rates and we utilize this year for the TY 2019. Therefore, Liberty Apple Valley’s 0</w:t>
      </w:r>
      <w:r w:rsidR="0066504D">
        <w:t xml:space="preserve"> percent</w:t>
      </w:r>
      <w:r w:rsidR="00467D90">
        <w:t xml:space="preserve"> vacancy rate, Liberty Park’s 2.21</w:t>
      </w:r>
      <w:r w:rsidR="0066504D">
        <w:t xml:space="preserve"> percent</w:t>
      </w:r>
      <w:r w:rsidR="00467D90">
        <w:t xml:space="preserve"> and the General Office/Downey vacancy rate of 4.07</w:t>
      </w:r>
      <w:r w:rsidR="0066504D">
        <w:t xml:space="preserve"> percent</w:t>
      </w:r>
      <w:r w:rsidR="00467D90">
        <w:t xml:space="preserve"> is utilized in establishing payroll forecast and associated payroll burdens for TY 2019.</w:t>
      </w:r>
    </w:p>
    <w:p w:rsidR="00F41B2E" w:rsidP="00F41B2E" w:rsidRDefault="00F41B2E" w14:paraId="572C1B74" w14:textId="40E1A9E5">
      <w:pPr>
        <w:pStyle w:val="Heading3"/>
      </w:pPr>
      <w:bookmarkStart w:name="_Toc46478787" w:id="39"/>
      <w:r>
        <w:lastRenderedPageBreak/>
        <w:t>Employee Bonus/Incentives</w:t>
      </w:r>
      <w:bookmarkEnd w:id="39"/>
    </w:p>
    <w:p w:rsidR="002A265E" w:rsidP="00F41B2E" w:rsidRDefault="001032E6" w14:paraId="565BA100" w14:textId="072B33C9">
      <w:pPr>
        <w:pStyle w:val="Standard"/>
      </w:pPr>
      <w:r>
        <w:t xml:space="preserve">Liberty’s request for bonuses and incentives </w:t>
      </w:r>
      <w:r w:rsidR="001230FD">
        <w:t xml:space="preserve">is reasonable to the extent that the </w:t>
      </w:r>
      <w:r w:rsidR="00E46047">
        <w:t>compensation</w:t>
      </w:r>
      <w:r w:rsidR="00E452A6">
        <w:t xml:space="preserve"> </w:t>
      </w:r>
      <w:r>
        <w:t xml:space="preserve">for their workforce </w:t>
      </w:r>
      <w:r w:rsidR="001230FD">
        <w:t>is</w:t>
      </w:r>
      <w:r>
        <w:t xml:space="preserve"> in line with industry averages.</w:t>
      </w:r>
      <w:r w:rsidR="0066504D">
        <w:t xml:space="preserve"> </w:t>
      </w:r>
      <w:r>
        <w:t>Liberty</w:t>
      </w:r>
      <w:r w:rsidR="00E46047">
        <w:t xml:space="preserve"> explains its compensation structure as a combination of base pay and performance incentives, and that this structure motivates its workforce to achieve goals leading to greater efficiency, increased </w:t>
      </w:r>
      <w:proofErr w:type="gramStart"/>
      <w:r w:rsidR="00E46047">
        <w:t>safety</w:t>
      </w:r>
      <w:proofErr w:type="gramEnd"/>
      <w:r w:rsidR="00E46047">
        <w:t xml:space="preserve"> and improved customer service. Liberty justifies its proposed pay, including base pay and performance incentives, with comparisons to industry averages.</w:t>
      </w:r>
      <w:r w:rsidR="0066504D">
        <w:t xml:space="preserve"> </w:t>
      </w:r>
      <w:r w:rsidR="00E46047">
        <w:t>According to Liberty, the comparisons show Liberty’s proposed pay for its general workforce are just below industry averages by 0.1</w:t>
      </w:r>
      <w:r w:rsidR="0066504D">
        <w:t xml:space="preserve"> percent</w:t>
      </w:r>
      <w:r w:rsidR="00E46047">
        <w:t>, and Liberty’s proposed pay for its executives at the corporate office are 7.4</w:t>
      </w:r>
      <w:r w:rsidR="0066504D">
        <w:t xml:space="preserve"> percent</w:t>
      </w:r>
      <w:r w:rsidR="00E46047">
        <w:t xml:space="preserve"> below industry averages. </w:t>
      </w:r>
      <w:r w:rsidR="0066504D">
        <w:t xml:space="preserve"> </w:t>
      </w:r>
    </w:p>
    <w:p w:rsidR="002A265E" w:rsidP="00F41B2E" w:rsidRDefault="00E46047" w14:paraId="79EEB24E" w14:textId="3895C229">
      <w:pPr>
        <w:pStyle w:val="Standard"/>
      </w:pPr>
      <w:r>
        <w:t xml:space="preserve">Liberty’s theory of aligning its pay with industry averages is reasonable, </w:t>
      </w:r>
      <w:r w:rsidR="00422853">
        <w:t>but Liberty’s adjustments to the industry averages are not</w:t>
      </w:r>
      <w:r w:rsidR="00D64A94">
        <w:t>.</w:t>
      </w:r>
      <w:r>
        <w:t xml:space="preserve"> </w:t>
      </w:r>
      <w:r w:rsidR="0066504D">
        <w:t xml:space="preserve"> </w:t>
      </w:r>
      <w:r w:rsidR="00D64A94">
        <w:t xml:space="preserve">As </w:t>
      </w:r>
      <w:r w:rsidR="002A265E">
        <w:t>not</w:t>
      </w:r>
      <w:r w:rsidR="00D64A94">
        <w:t>ed by the Public Advocates Office, Liberty</w:t>
      </w:r>
      <w:r w:rsidR="001032E6">
        <w:t xml:space="preserve"> </w:t>
      </w:r>
      <w:r w:rsidR="00D64A94">
        <w:t>in</w:t>
      </w:r>
      <w:r w:rsidR="00422853">
        <w:t>creases</w:t>
      </w:r>
      <w:r w:rsidR="001032E6">
        <w:t xml:space="preserve"> the industry averages by 3</w:t>
      </w:r>
      <w:r w:rsidR="00E266F3">
        <w:t xml:space="preserve"> percent</w:t>
      </w:r>
      <w:r w:rsidR="001032E6">
        <w:t xml:space="preserve"> </w:t>
      </w:r>
      <w:r w:rsidR="00D64A94">
        <w:t xml:space="preserve">to </w:t>
      </w:r>
      <w:r w:rsidR="00422853">
        <w:t>inflate</w:t>
      </w:r>
      <w:r w:rsidR="00D64A94">
        <w:t xml:space="preserve"> 2017 pay</w:t>
      </w:r>
      <w:r w:rsidR="00422853">
        <w:t xml:space="preserve"> rates to 2018,</w:t>
      </w:r>
      <w:r w:rsidR="00D64A94">
        <w:t xml:space="preserve"> </w:t>
      </w:r>
      <w:r w:rsidR="001032E6">
        <w:t xml:space="preserve">and </w:t>
      </w:r>
      <w:r w:rsidR="00422853">
        <w:t xml:space="preserve">by </w:t>
      </w:r>
      <w:r w:rsidR="001032E6">
        <w:t>10</w:t>
      </w:r>
      <w:r w:rsidR="00E266F3">
        <w:t xml:space="preserve"> percent</w:t>
      </w:r>
      <w:r w:rsidR="00422853">
        <w:t xml:space="preserve"> to account for pay differentials due to geography</w:t>
      </w:r>
      <w:r w:rsidR="001032E6">
        <w:t xml:space="preserve">. </w:t>
      </w:r>
      <w:r w:rsidR="00422853">
        <w:t xml:space="preserve">Liberty should only have used the standard inflation factor </w:t>
      </w:r>
      <w:r w:rsidR="00DE71AC">
        <w:t xml:space="preserve">agreed upon by Liberty and the Public Advocates Office, and </w:t>
      </w:r>
      <w:r w:rsidR="008F1A15">
        <w:t>Liberty should not have increased the averages by a 10 percent</w:t>
      </w:r>
      <w:r w:rsidR="00DE71AC">
        <w:t xml:space="preserve"> differential due to geography. The industry surveys are based on broad samples that include California companies</w:t>
      </w:r>
      <w:r w:rsidR="00DE71AC">
        <w:rPr>
          <w:rStyle w:val="FootnoteReference"/>
        </w:rPr>
        <w:footnoteReference w:id="53"/>
      </w:r>
      <w:r w:rsidR="00DE71AC">
        <w:t xml:space="preserve"> and companies with wide ranging locations.</w:t>
      </w:r>
      <w:r w:rsidR="00173327">
        <w:rPr>
          <w:rStyle w:val="FootnoteReference"/>
        </w:rPr>
        <w:footnoteReference w:id="54"/>
      </w:r>
      <w:r w:rsidR="00CD63D5">
        <w:t xml:space="preserve"> </w:t>
      </w:r>
      <w:r w:rsidR="004012A6">
        <w:t>The very breadth of the market surveys, acknowledged by both parties,</w:t>
      </w:r>
      <w:r w:rsidR="004012A6">
        <w:rPr>
          <w:rStyle w:val="FootnoteReference"/>
        </w:rPr>
        <w:footnoteReference w:id="55"/>
      </w:r>
      <w:r w:rsidR="004012A6">
        <w:t xml:space="preserve"> is reason not to make further adjustments.</w:t>
      </w:r>
      <w:r w:rsidR="001032E6">
        <w:t xml:space="preserve"> </w:t>
      </w:r>
      <w:r w:rsidR="00CD63D5">
        <w:t xml:space="preserve"> </w:t>
      </w:r>
    </w:p>
    <w:p w:rsidR="00F41B2E" w:rsidP="00F41B2E" w:rsidRDefault="008F1A15" w14:paraId="643284F5" w14:textId="004D8D43">
      <w:pPr>
        <w:pStyle w:val="Standard"/>
      </w:pPr>
      <w:r>
        <w:lastRenderedPageBreak/>
        <w:t>When r</w:t>
      </w:r>
      <w:r w:rsidR="001032E6">
        <w:t>ecalculating</w:t>
      </w:r>
      <w:r>
        <w:t xml:space="preserve"> the industry averages for Liberty’s general workforce,</w:t>
      </w:r>
      <w:r w:rsidR="001032E6">
        <w:t xml:space="preserve"> based on a 2</w:t>
      </w:r>
      <w:r w:rsidR="00E266F3">
        <w:t xml:space="preserve"> percent</w:t>
      </w:r>
      <w:r w:rsidR="001032E6">
        <w:t xml:space="preserve"> inflation factor and removing the 10</w:t>
      </w:r>
      <w:r w:rsidR="00E266F3">
        <w:t xml:space="preserve"> percent</w:t>
      </w:r>
      <w:r w:rsidR="001032E6">
        <w:t xml:space="preserve"> </w:t>
      </w:r>
      <w:r w:rsidR="00E452A6">
        <w:t xml:space="preserve">geographic </w:t>
      </w:r>
      <w:r>
        <w:t xml:space="preserve">differential, the Public Advocates Office </w:t>
      </w:r>
      <w:proofErr w:type="gramStart"/>
      <w:r w:rsidR="002A265E">
        <w:t>argues</w:t>
      </w:r>
      <w:proofErr w:type="gramEnd"/>
      <w:r w:rsidR="002A265E">
        <w:t xml:space="preserve"> and we agree that</w:t>
      </w:r>
      <w:r>
        <w:t xml:space="preserve"> Liberty proposed compensation would exceed market rates by 9.2 percent.</w:t>
      </w:r>
      <w:r w:rsidR="001C5257">
        <w:t xml:space="preserve"> </w:t>
      </w:r>
      <w:r w:rsidR="002A265E">
        <w:t>Under the circumstances, w</w:t>
      </w:r>
      <w:r w:rsidR="001C5257">
        <w:t xml:space="preserve">e cannot approve the total amount of incentive pay proposed by Liberty because it would make Liberty compensation exceed market averages. </w:t>
      </w:r>
      <w:r w:rsidR="00CD63D5">
        <w:t xml:space="preserve"> </w:t>
      </w:r>
      <w:r w:rsidR="001C5257">
        <w:t>Instead, we approve total incentive pay for Liberty Park of $102,504, for Liberty Apple Valley of $113,868 and for the General Office/Downey of $314,248.</w:t>
      </w:r>
    </w:p>
    <w:p w:rsidR="001032E6" w:rsidP="001032E6" w:rsidRDefault="001032E6" w14:paraId="53CBF606" w14:textId="6549A7D6">
      <w:pPr>
        <w:pStyle w:val="Heading3"/>
      </w:pPr>
      <w:bookmarkStart w:name="_Toc46478788" w:id="40"/>
      <w:r>
        <w:t>Medical</w:t>
      </w:r>
      <w:r w:rsidR="00054BDA">
        <w:t>, Dental, Vision and Worker’s Compensation</w:t>
      </w:r>
      <w:r w:rsidR="00CD02D3">
        <w:t xml:space="preserve"> </w:t>
      </w:r>
      <w:r>
        <w:t>Insurance</w:t>
      </w:r>
      <w:bookmarkEnd w:id="40"/>
    </w:p>
    <w:p w:rsidR="002A265E" w:rsidP="001032E6" w:rsidRDefault="00CF4823" w14:paraId="3251F588" w14:textId="716C9B1A">
      <w:pPr>
        <w:pStyle w:val="Standard"/>
      </w:pPr>
      <w:r>
        <w:t>Liberty</w:t>
      </w:r>
      <w:r w:rsidR="005D0F41">
        <w:t xml:space="preserve"> incorporate</w:t>
      </w:r>
      <w:r>
        <w:t>s</w:t>
      </w:r>
      <w:r w:rsidR="005D0F41">
        <w:t xml:space="preserve"> the most recent </w:t>
      </w:r>
      <w:r w:rsidR="00C11736">
        <w:t>data</w:t>
      </w:r>
      <w:r w:rsidR="005D0F41">
        <w:t xml:space="preserve"> available on actual </w:t>
      </w:r>
      <w:r w:rsidR="001B56B5">
        <w:t xml:space="preserve">medical </w:t>
      </w:r>
      <w:r w:rsidR="005D0F41">
        <w:t xml:space="preserve">insurance premiums </w:t>
      </w:r>
      <w:r w:rsidR="005E1C2A">
        <w:t xml:space="preserve">changes </w:t>
      </w:r>
      <w:r w:rsidR="001B56B5">
        <w:t>of 6.5</w:t>
      </w:r>
      <w:r w:rsidR="00CD63D5">
        <w:t xml:space="preserve"> percent</w:t>
      </w:r>
      <w:r w:rsidR="001B56B5">
        <w:t xml:space="preserve"> </w:t>
      </w:r>
      <w:r w:rsidR="005E1C2A">
        <w:t>between</w:t>
      </w:r>
      <w:r w:rsidR="005D0F41">
        <w:t xml:space="preserve"> 2017 and 2018 to forecast insurance costs. The Public Advocates Office utilizes a </w:t>
      </w:r>
      <w:r w:rsidR="00C11736">
        <w:t>five-year</w:t>
      </w:r>
      <w:r w:rsidR="005D0F41">
        <w:t xml:space="preserve"> average between 2013-2017 and escalates based on a standard inflation factor.</w:t>
      </w:r>
      <w:r w:rsidR="00CD63D5">
        <w:t xml:space="preserve"> </w:t>
      </w:r>
      <w:r w:rsidR="005D0F41">
        <w:t>More recent health care costs are the best predictor of future health care costs</w:t>
      </w:r>
      <w:r w:rsidR="002A265E">
        <w:t>;</w:t>
      </w:r>
      <w:r>
        <w:t xml:space="preserve"> therefore</w:t>
      </w:r>
      <w:r w:rsidR="002A265E">
        <w:t>,</w:t>
      </w:r>
      <w:r>
        <w:t xml:space="preserve"> we adopt Liberty’s forecast.</w:t>
      </w:r>
      <w:r w:rsidR="005D0F41">
        <w:t xml:space="preserve"> </w:t>
      </w:r>
    </w:p>
    <w:p w:rsidR="002A265E" w:rsidP="001032E6" w:rsidRDefault="002A265E" w14:paraId="24DC8AC3" w14:textId="5B81F815">
      <w:pPr>
        <w:pStyle w:val="Standard"/>
      </w:pPr>
      <w:r>
        <w:t>The p</w:t>
      </w:r>
      <w:r w:rsidR="00321D01">
        <w:t>arties also disagree over</w:t>
      </w:r>
      <w:r w:rsidR="005D0F41">
        <w:t xml:space="preserve"> </w:t>
      </w:r>
      <w:r w:rsidR="00985A14">
        <w:t xml:space="preserve">whether to base the change </w:t>
      </w:r>
      <w:r w:rsidR="005D0F41">
        <w:t>on the employee-paid portion, the employer-paid portion, or the full premium charged by the health care providers.</w:t>
      </w:r>
      <w:r w:rsidR="00CD63D5">
        <w:t xml:space="preserve"> </w:t>
      </w:r>
      <w:r w:rsidR="005D0F41">
        <w:t>The point of comparing actuals is to forecast how much costs will rise absent inflation.</w:t>
      </w:r>
      <w:r w:rsidR="00CD63D5">
        <w:t xml:space="preserve"> </w:t>
      </w:r>
      <w:r w:rsidR="005D0F41">
        <w:t xml:space="preserve">Therefore, comparing actual premiums, rather than a portion of employee or employer paid, is most likely to capture the overall rise in costs. Furthermore, the “class of coverage” chosen by each employee is an important factor in forecasting costs, as premiums will vary based upon the choices of the employees. </w:t>
      </w:r>
      <w:r w:rsidR="00CD63D5">
        <w:t xml:space="preserve"> </w:t>
      </w:r>
    </w:p>
    <w:p w:rsidR="001032E6" w:rsidP="001032E6" w:rsidRDefault="00F97439" w14:paraId="7AC5AF59" w14:textId="2409127C">
      <w:pPr>
        <w:pStyle w:val="Standard"/>
      </w:pPr>
      <w:r>
        <w:t xml:space="preserve">We </w:t>
      </w:r>
      <w:r w:rsidR="002A265E">
        <w:t xml:space="preserve">therefore </w:t>
      </w:r>
      <w:r>
        <w:t>direct</w:t>
      </w:r>
      <w:r w:rsidR="005D0F41">
        <w:t xml:space="preserve"> </w:t>
      </w:r>
      <w:r>
        <w:t>Liberty to apply the methodology of utilizing the change between 2017 to 2018 to forecast</w:t>
      </w:r>
      <w:r w:rsidR="005D0F41">
        <w:t xml:space="preserve"> dental, vision</w:t>
      </w:r>
      <w:r w:rsidR="00C64872">
        <w:t>,</w:t>
      </w:r>
      <w:r w:rsidR="005D0F41">
        <w:t xml:space="preserve"> and worker’s </w:t>
      </w:r>
      <w:r w:rsidR="005D0F41">
        <w:lastRenderedPageBreak/>
        <w:t>comp</w:t>
      </w:r>
      <w:r w:rsidR="00C64872">
        <w:t>ensation</w:t>
      </w:r>
      <w:r w:rsidR="005D0F41">
        <w:t xml:space="preserve"> </w:t>
      </w:r>
      <w:r>
        <w:t>costs in the TY</w:t>
      </w:r>
      <w:r w:rsidR="005D0F41">
        <w:t>.</w:t>
      </w:r>
      <w:r w:rsidR="00CD63D5">
        <w:t xml:space="preserve"> </w:t>
      </w:r>
      <w:r w:rsidR="005D0F41">
        <w:t xml:space="preserve">As the Public Advocates Office </w:t>
      </w:r>
      <w:r w:rsidR="00B066D8">
        <w:t>has demonstrated</w:t>
      </w:r>
      <w:r w:rsidR="005D0F41">
        <w:t>, there is no historical increase in these costs (absent inflation)</w:t>
      </w:r>
      <w:r w:rsidR="00B066D8">
        <w:t>;</w:t>
      </w:r>
      <w:r w:rsidR="005D0F41">
        <w:t xml:space="preserve"> therefore</w:t>
      </w:r>
      <w:r w:rsidR="00B066D8">
        <w:t>,</w:t>
      </w:r>
      <w:r w:rsidR="005D0F41">
        <w:t xml:space="preserve"> </w:t>
      </w:r>
      <w:r w:rsidR="00C64872">
        <w:t xml:space="preserve">consistent with </w:t>
      </w:r>
      <w:r w:rsidR="005D0F41">
        <w:t>Liberty’s own methodology, no increase should be expected in the Test Year.</w:t>
      </w:r>
    </w:p>
    <w:p w:rsidR="001D6D4F" w:rsidP="001D6D4F" w:rsidRDefault="001F1F46" w14:paraId="68E0CAAB" w14:textId="2079A95F">
      <w:pPr>
        <w:pStyle w:val="Heading3"/>
      </w:pPr>
      <w:bookmarkStart w:name="_Toc46478789" w:id="41"/>
      <w:r>
        <w:t xml:space="preserve">Liberty Apple Valley, </w:t>
      </w:r>
      <w:r w:rsidR="001D6D4F">
        <w:t>Group Pension</w:t>
      </w:r>
      <w:bookmarkEnd w:id="41"/>
    </w:p>
    <w:p w:rsidR="001D6D4F" w:rsidP="001D6D4F" w:rsidRDefault="001D6D4F" w14:paraId="0FE5D979" w14:textId="0851B0EE">
      <w:pPr>
        <w:pStyle w:val="Standard"/>
      </w:pPr>
      <w:r>
        <w:t xml:space="preserve">The Liberty Apple Valley request for $58,798 for group pension expense is approved as </w:t>
      </w:r>
      <w:r w:rsidR="00284699">
        <w:t xml:space="preserve">the proposed costs are </w:t>
      </w:r>
      <w:r w:rsidR="0027207C">
        <w:t>a substantial reduction from historic group pension expense</w:t>
      </w:r>
      <w:r w:rsidR="00D67639">
        <w:t>.</w:t>
      </w:r>
      <w:r w:rsidR="00CD63D5">
        <w:t xml:space="preserve"> </w:t>
      </w:r>
      <w:r>
        <w:t xml:space="preserve">The Public Advocates Office </w:t>
      </w:r>
      <w:r w:rsidR="00D67639">
        <w:t xml:space="preserve">initial recommendation was based on a misunderstanding of how the TY 2019 forecast is based upon implementation of a more cost-effective cash balance pension plan for </w:t>
      </w:r>
      <w:proofErr w:type="gramStart"/>
      <w:r w:rsidR="00D67639">
        <w:t>the majority of</w:t>
      </w:r>
      <w:proofErr w:type="gramEnd"/>
      <w:r w:rsidR="00D67639">
        <w:t xml:space="preserve"> employees</w:t>
      </w:r>
      <w:r w:rsidR="00552604">
        <w:t>.</w:t>
      </w:r>
      <w:r w:rsidR="00CD63D5">
        <w:t xml:space="preserve"> </w:t>
      </w:r>
      <w:r w:rsidR="003A641B">
        <w:t xml:space="preserve">Liberty’s reference to pending its 2018 Actuarial Report was misleading since the TY forecast does not depend upon this report, but </w:t>
      </w:r>
      <w:r w:rsidR="00552604">
        <w:t xml:space="preserve">Liberty </w:t>
      </w:r>
      <w:r w:rsidR="003A641B">
        <w:t>subsequently provided clarification in rebuttal testimony and hearings</w:t>
      </w:r>
      <w:r>
        <w:t>.</w:t>
      </w:r>
    </w:p>
    <w:p w:rsidR="006A7BDD" w:rsidP="006A7BDD" w:rsidRDefault="006A7BDD" w14:paraId="5A00068E" w14:textId="4FB8ED30">
      <w:pPr>
        <w:pStyle w:val="Heading2"/>
      </w:pPr>
      <w:bookmarkStart w:name="_Toc46478790" w:id="42"/>
      <w:r>
        <w:t xml:space="preserve">Balancing and Memorandum Accounts Related </w:t>
      </w:r>
      <w:r w:rsidR="00EE4515">
        <w:t>to</w:t>
      </w:r>
      <w:r>
        <w:t xml:space="preserve"> Expenses</w:t>
      </w:r>
      <w:bookmarkEnd w:id="42"/>
    </w:p>
    <w:p w:rsidR="0023112E" w:rsidP="006A7BDD" w:rsidRDefault="0023112E" w14:paraId="43665B26" w14:textId="5E6E34DB">
      <w:pPr>
        <w:pStyle w:val="Heading3"/>
      </w:pPr>
      <w:bookmarkStart w:name="_Toc46478791" w:id="43"/>
      <w:r>
        <w:t>Conservation Expense One-Way Balancing Account</w:t>
      </w:r>
      <w:bookmarkEnd w:id="43"/>
      <w:r>
        <w:t xml:space="preserve"> </w:t>
      </w:r>
    </w:p>
    <w:p w:rsidR="003916F7" w:rsidP="0023112E" w:rsidRDefault="0067439B" w14:paraId="32401BB7" w14:textId="7F496487">
      <w:pPr>
        <w:pStyle w:val="Standard"/>
      </w:pPr>
      <w:r>
        <w:t xml:space="preserve">Liberty Park’s last two </w:t>
      </w:r>
      <w:r w:rsidR="005C4A27">
        <w:t>GRCs</w:t>
      </w:r>
      <w:r>
        <w:t xml:space="preserve"> (2013-2015, and 2016-2018) approved a one</w:t>
      </w:r>
      <w:r w:rsidR="00CD63D5">
        <w:noBreakHyphen/>
      </w:r>
      <w:r>
        <w:t xml:space="preserve">way balancing account, setting </w:t>
      </w:r>
      <w:r w:rsidR="00B066D8">
        <w:t xml:space="preserve">the </w:t>
      </w:r>
      <w:r>
        <w:t>upper limit on conservation expenses that could be recovered from ratepayers</w:t>
      </w:r>
      <w:r w:rsidR="004736CA">
        <w:t xml:space="preserve"> of $425,000</w:t>
      </w:r>
      <w:r>
        <w:t>.</w:t>
      </w:r>
      <w:r w:rsidR="0088050C">
        <w:rPr>
          <w:rStyle w:val="FootnoteReference"/>
        </w:rPr>
        <w:footnoteReference w:id="56"/>
      </w:r>
      <w:r>
        <w:t xml:space="preserve"> </w:t>
      </w:r>
      <w:r w:rsidR="005C4A27">
        <w:t xml:space="preserve">Similarly, Liberty Apple Valley’s last </w:t>
      </w:r>
      <w:r w:rsidR="00B94E40">
        <w:t xml:space="preserve">two </w:t>
      </w:r>
      <w:r w:rsidR="005C4A27">
        <w:t>GRC</w:t>
      </w:r>
      <w:r w:rsidR="00B94E40">
        <w:t>s (2012-2014 and 2015-2017)</w:t>
      </w:r>
      <w:r w:rsidR="005C4A27">
        <w:t xml:space="preserve"> also approved a one-way balancing account, setting an upper limit on conservation expenses that could be recovered from ratepayers of $</w:t>
      </w:r>
      <w:r w:rsidR="00E509AD">
        <w:t>344,066</w:t>
      </w:r>
      <w:r w:rsidR="005C4A27">
        <w:t>.</w:t>
      </w:r>
      <w:r w:rsidR="005C4A27">
        <w:rPr>
          <w:rStyle w:val="FootnoteReference"/>
        </w:rPr>
        <w:footnoteReference w:id="57"/>
      </w:r>
      <w:r w:rsidR="005C4A27">
        <w:t xml:space="preserve"> </w:t>
      </w:r>
      <w:r w:rsidR="003916F7">
        <w:t>Th</w:t>
      </w:r>
      <w:r w:rsidR="00B066D8">
        <w:t>e</w:t>
      </w:r>
      <w:r w:rsidR="003916F7">
        <w:t xml:space="preserve"> balancing accounts </w:t>
      </w:r>
      <w:r w:rsidR="009B4C04">
        <w:t xml:space="preserve">from prior GRCs </w:t>
      </w:r>
      <w:r w:rsidR="00B066D8">
        <w:t xml:space="preserve">are </w:t>
      </w:r>
      <w:r w:rsidR="003916F7">
        <w:t>closed</w:t>
      </w:r>
      <w:r w:rsidR="009B4C04">
        <w:t xml:space="preserve"> and new Conservation Expense One-Way Balancing Accounts for the 2019-2021 GRC cycle are established</w:t>
      </w:r>
      <w:r w:rsidR="003916F7">
        <w:t xml:space="preserve">, which is reasonable as conservation </w:t>
      </w:r>
      <w:r w:rsidR="009B4C04">
        <w:t>spending must be dedicated exclusively for this purpose</w:t>
      </w:r>
      <w:r w:rsidR="003916F7">
        <w:t xml:space="preserve">. </w:t>
      </w:r>
      <w:r w:rsidR="009B4C04">
        <w:t xml:space="preserve">Liberty’s recorded </w:t>
      </w:r>
      <w:r w:rsidR="009B4C04">
        <w:lastRenderedPageBreak/>
        <w:t>spending over the past five years has been less than the approved budgets, demonstrating that conservation is indeed becoming part of business-as-usual. In fact</w:t>
      </w:r>
      <w:r w:rsidR="003916F7">
        <w:t>, over the three</w:t>
      </w:r>
      <w:r w:rsidR="00B066D8">
        <w:t>-</w:t>
      </w:r>
      <w:r w:rsidR="003916F7">
        <w:t>year period of 2016-2018, Liberty Park spent less than one</w:t>
      </w:r>
      <w:r w:rsidR="00CD63D5">
        <w:noBreakHyphen/>
      </w:r>
      <w:r w:rsidR="003916F7">
        <w:t>quarter of what was allotted through the balancing account.</w:t>
      </w:r>
      <w:r w:rsidR="003916F7">
        <w:rPr>
          <w:rStyle w:val="FootnoteReference"/>
        </w:rPr>
        <w:footnoteReference w:id="58"/>
      </w:r>
      <w:r w:rsidR="009B4C04">
        <w:t xml:space="preserve"> Nevertheless, out of an abundance of caution, this decision continues to authorize dedicated funding to be spent on conservation. The one-way balancing account ensures the funds will be spent as expected or returned to ratepayers.</w:t>
      </w:r>
    </w:p>
    <w:p w:rsidR="0023112E" w:rsidP="0023112E" w:rsidRDefault="0067439B" w14:paraId="0CE16C7C" w14:textId="3DA29E75">
      <w:pPr>
        <w:pStyle w:val="Standard"/>
      </w:pPr>
      <w:r>
        <w:t>In accordance with the agreement of the parties,</w:t>
      </w:r>
      <w:r w:rsidR="0072001A">
        <w:rPr>
          <w:rStyle w:val="FootnoteReference"/>
        </w:rPr>
        <w:footnoteReference w:id="59"/>
      </w:r>
      <w:r>
        <w:t xml:space="preserve"> </w:t>
      </w:r>
      <w:r w:rsidR="003916F7">
        <w:t>Liberty Park and Liberty Apple Valley should</w:t>
      </w:r>
      <w:r>
        <w:t xml:space="preserve"> </w:t>
      </w:r>
      <w:r w:rsidR="00193A74">
        <w:t xml:space="preserve">submit </w:t>
      </w:r>
      <w:r>
        <w:t xml:space="preserve">a Tier 2 </w:t>
      </w:r>
      <w:r w:rsidR="00792560">
        <w:t>A</w:t>
      </w:r>
      <w:r>
        <w:t xml:space="preserve">dvice </w:t>
      </w:r>
      <w:r w:rsidR="00792560">
        <w:t>L</w:t>
      </w:r>
      <w:r>
        <w:t>etter</w:t>
      </w:r>
      <w:r w:rsidR="003916F7">
        <w:t>s</w:t>
      </w:r>
      <w:r>
        <w:t xml:space="preserve"> requesting </w:t>
      </w:r>
      <w:r w:rsidR="003916F7">
        <w:t xml:space="preserve">approval and </w:t>
      </w:r>
      <w:r>
        <w:t>resolution of the balance</w:t>
      </w:r>
      <w:r w:rsidR="003916F7">
        <w:t>s</w:t>
      </w:r>
      <w:r>
        <w:t xml:space="preserve"> in th</w:t>
      </w:r>
      <w:r w:rsidR="003916F7">
        <w:t>eir Conservation Expense One-Way Balancing Accounts</w:t>
      </w:r>
      <w:r w:rsidR="009B4C04">
        <w:t xml:space="preserve"> for the prior GRC cycles</w:t>
      </w:r>
      <w:r w:rsidR="00B94972">
        <w:t>. The</w:t>
      </w:r>
      <w:r w:rsidR="0072001A">
        <w:t xml:space="preserve"> Public Advocates Office </w:t>
      </w:r>
      <w:r w:rsidR="00B94972">
        <w:t>will then</w:t>
      </w:r>
      <w:r w:rsidR="0072001A">
        <w:t xml:space="preserve"> audit of expenses in the account</w:t>
      </w:r>
      <w:r w:rsidR="00B94972">
        <w:t>s</w:t>
      </w:r>
      <w:r w:rsidR="0072001A">
        <w:t xml:space="preserve">, </w:t>
      </w:r>
      <w:r w:rsidR="00B94972">
        <w:t>and Liberty</w:t>
      </w:r>
      <w:r w:rsidR="0072001A">
        <w:t xml:space="preserve"> should promptly refund to ratepayers </w:t>
      </w:r>
      <w:r w:rsidR="00B94972">
        <w:t>any</w:t>
      </w:r>
      <w:r w:rsidR="0072001A">
        <w:t xml:space="preserve"> verified amount</w:t>
      </w:r>
      <w:r w:rsidR="00B94972">
        <w:t>s</w:t>
      </w:r>
      <w:r w:rsidR="0072001A">
        <w:t xml:space="preserve"> </w:t>
      </w:r>
      <w:proofErr w:type="spellStart"/>
      <w:r w:rsidR="00B94972">
        <w:t>overcollected</w:t>
      </w:r>
      <w:proofErr w:type="spellEnd"/>
      <w:r w:rsidR="00B94972">
        <w:t xml:space="preserve"> from ratepayers</w:t>
      </w:r>
      <w:r w:rsidR="0072001A">
        <w:t xml:space="preserve">. </w:t>
      </w:r>
    </w:p>
    <w:p w:rsidR="000F25F0" w:rsidP="006A7BDD" w:rsidRDefault="000F25F0" w14:paraId="7B172A6C" w14:textId="1306D745">
      <w:pPr>
        <w:pStyle w:val="Heading3"/>
      </w:pPr>
      <w:bookmarkStart w:name="_Toc46478792" w:id="44"/>
      <w:r>
        <w:t>2014 Water Conservation Memorandum Account</w:t>
      </w:r>
      <w:bookmarkEnd w:id="44"/>
    </w:p>
    <w:p w:rsidRPr="000F25F0" w:rsidR="000F25F0" w:rsidP="000F25F0" w:rsidRDefault="00F23E53" w14:paraId="087D3641" w14:textId="67653F1C">
      <w:pPr>
        <w:pStyle w:val="Standard"/>
      </w:pPr>
      <w:r>
        <w:t xml:space="preserve">In accordance with the recommendations of </w:t>
      </w:r>
      <w:r w:rsidR="005F4705">
        <w:t>the</w:t>
      </w:r>
      <w:r>
        <w:t xml:space="preserve"> parties</w:t>
      </w:r>
      <w:r w:rsidR="005F4705">
        <w:t>,</w:t>
      </w:r>
      <w:r>
        <w:rPr>
          <w:rStyle w:val="FootnoteReference"/>
        </w:rPr>
        <w:footnoteReference w:id="60"/>
      </w:r>
      <w:r>
        <w:t xml:space="preserve"> the balances as of December 31, 2017 in </w:t>
      </w:r>
      <w:r w:rsidR="00D770A3">
        <w:t>Liberty’s 2014 Water Conservation Memorandum</w:t>
      </w:r>
      <w:r>
        <w:t xml:space="preserve"> </w:t>
      </w:r>
      <w:r w:rsidR="00D770A3">
        <w:t>A</w:t>
      </w:r>
      <w:r>
        <w:t>ccounts should be transferred to the Consolidation Expense Balancing Account</w:t>
      </w:r>
      <w:r w:rsidR="00B066D8">
        <w:t>,</w:t>
      </w:r>
      <w:r>
        <w:t xml:space="preserve"> and Liberty should close its 2014 Water Conservation </w:t>
      </w:r>
      <w:r w:rsidR="00012088">
        <w:t>Memorandum</w:t>
      </w:r>
      <w:r>
        <w:t xml:space="preserve"> accounts.</w:t>
      </w:r>
      <w:r w:rsidR="00CD63D5">
        <w:t xml:space="preserve"> </w:t>
      </w:r>
      <w:r>
        <w:t xml:space="preserve">The </w:t>
      </w:r>
      <w:r w:rsidR="00736644">
        <w:t>purpose of th</w:t>
      </w:r>
      <w:r w:rsidR="00012088">
        <w:t>ese</w:t>
      </w:r>
      <w:r w:rsidR="00736644">
        <w:t xml:space="preserve"> account</w:t>
      </w:r>
      <w:r w:rsidR="00012088">
        <w:t>s</w:t>
      </w:r>
      <w:r w:rsidR="00736644">
        <w:t xml:space="preserve"> </w:t>
      </w:r>
      <w:r w:rsidR="00012088">
        <w:t>wa</w:t>
      </w:r>
      <w:r w:rsidR="00736644">
        <w:t>s to track the incremental expenses incurred by Liber</w:t>
      </w:r>
      <w:r>
        <w:t>t</w:t>
      </w:r>
      <w:r w:rsidR="00736644">
        <w:t xml:space="preserve">y to </w:t>
      </w:r>
      <w:r>
        <w:t xml:space="preserve">implement mandatory rationing as directed by the Governor’s </w:t>
      </w:r>
      <w:r>
        <w:lastRenderedPageBreak/>
        <w:t xml:space="preserve">Drought Emergency Declaration data January 17, 2014, Executive Order date April 25, 2014. In the event of a future declared drought emergency that required conservation not foreseen, Liberty </w:t>
      </w:r>
      <w:r w:rsidR="00B066D8">
        <w:t>may</w:t>
      </w:r>
      <w:r>
        <w:t xml:space="preserve"> request new memorandum accounts specific to the new drought emergency.</w:t>
      </w:r>
    </w:p>
    <w:p w:rsidR="006A7BDD" w:rsidP="006A7BDD" w:rsidRDefault="006A7BDD" w14:paraId="47C81DED" w14:textId="4EF4A644">
      <w:pPr>
        <w:pStyle w:val="Heading3"/>
      </w:pPr>
      <w:bookmarkStart w:name="_Toc46478793" w:id="45"/>
      <w:r>
        <w:t>Heath Care Balancing Account</w:t>
      </w:r>
      <w:r w:rsidR="00736644">
        <w:t>s</w:t>
      </w:r>
      <w:bookmarkEnd w:id="45"/>
    </w:p>
    <w:p w:rsidR="006A7BDD" w:rsidP="006A7BDD" w:rsidRDefault="006A7BDD" w14:paraId="6330F8D8" w14:textId="32330A96">
      <w:pPr>
        <w:pStyle w:val="Standard"/>
      </w:pPr>
      <w:r>
        <w:t>Liberty</w:t>
      </w:r>
      <w:r w:rsidR="00C65372">
        <w:t xml:space="preserve"> Apple Valley</w:t>
      </w:r>
      <w:r>
        <w:t xml:space="preserve">’s request to </w:t>
      </w:r>
      <w:r w:rsidR="00C65372">
        <w:t>renew its Employee and Retiree Healthcare Balancing Account and Liberty Park’s request to establish a</w:t>
      </w:r>
      <w:r w:rsidR="00B066D8">
        <w:t>n</w:t>
      </w:r>
      <w:r>
        <w:t xml:space="preserve"> Employee and Retiree Healthcare Balancing Account is denied. </w:t>
      </w:r>
      <w:r w:rsidR="00BA0841">
        <w:t xml:space="preserve">As asserted by the Public Advocates Office, health care costs have </w:t>
      </w:r>
      <w:proofErr w:type="gramStart"/>
      <w:r w:rsidR="00BA0841">
        <w:t>stabilized</w:t>
      </w:r>
      <w:proofErr w:type="gramEnd"/>
      <w:r w:rsidR="00BA0841">
        <w:t xml:space="preserve"> and </w:t>
      </w:r>
      <w:r>
        <w:t xml:space="preserve">projected healthcare costs are included in the revenue requirement. </w:t>
      </w:r>
    </w:p>
    <w:p w:rsidRPr="007B2707" w:rsidR="006A7BDD" w:rsidP="006A7BDD" w:rsidRDefault="006A7BDD" w14:paraId="68C757F3" w14:textId="77777777">
      <w:pPr>
        <w:pStyle w:val="standard0"/>
        <w:rPr>
          <w:rFonts w:ascii="Book Antiqua" w:hAnsi="Book Antiqua"/>
        </w:rPr>
      </w:pPr>
      <w:r w:rsidRPr="007B2707">
        <w:rPr>
          <w:rFonts w:ascii="Book Antiqua" w:hAnsi="Book Antiqua"/>
        </w:rPr>
        <w:t>Balancing accounts are appropriate when the following conditions are met:</w:t>
      </w:r>
      <w:r w:rsidRPr="007B2707">
        <w:rPr>
          <w:rStyle w:val="FootnoteReference"/>
          <w:rFonts w:ascii="Book Antiqua" w:hAnsi="Book Antiqua"/>
        </w:rPr>
        <w:footnoteReference w:id="61"/>
      </w:r>
    </w:p>
    <w:p w:rsidRPr="007B2707" w:rsidR="006A7BDD" w:rsidP="006A7BDD" w:rsidRDefault="006A7BDD" w14:paraId="4285EB2E" w14:textId="77777777">
      <w:pPr>
        <w:pStyle w:val="Quote1"/>
        <w:numPr>
          <w:ilvl w:val="0"/>
          <w:numId w:val="14"/>
        </w:numPr>
        <w:tabs>
          <w:tab w:val="clear" w:pos="1800"/>
          <w:tab w:val="num" w:pos="1080"/>
        </w:tabs>
        <w:spacing w:before="0" w:after="120"/>
        <w:ind w:left="1080" w:right="1440"/>
        <w:rPr>
          <w:rFonts w:ascii="Book Antiqua" w:hAnsi="Book Antiqua"/>
        </w:rPr>
      </w:pPr>
      <w:r w:rsidRPr="007B2707">
        <w:rPr>
          <w:rFonts w:ascii="Book Antiqua" w:hAnsi="Book Antiqua"/>
        </w:rPr>
        <w:t xml:space="preserve">The expense is caused by an event of an exceptional nature that is not under the utility’s </w:t>
      </w:r>
      <w:proofErr w:type="gramStart"/>
      <w:r w:rsidRPr="007B2707">
        <w:rPr>
          <w:rFonts w:ascii="Book Antiqua" w:hAnsi="Book Antiqua"/>
        </w:rPr>
        <w:t>control;</w:t>
      </w:r>
      <w:proofErr w:type="gramEnd"/>
    </w:p>
    <w:p w:rsidRPr="007B2707" w:rsidR="006A7BDD" w:rsidP="006A7BDD" w:rsidRDefault="006A7BDD" w14:paraId="269C1EC0" w14:textId="77777777">
      <w:pPr>
        <w:pStyle w:val="Quote1"/>
        <w:numPr>
          <w:ilvl w:val="0"/>
          <w:numId w:val="14"/>
        </w:numPr>
        <w:tabs>
          <w:tab w:val="clear" w:pos="1800"/>
          <w:tab w:val="num" w:pos="1080"/>
        </w:tabs>
        <w:spacing w:before="0" w:after="120"/>
        <w:ind w:left="1080" w:right="1440"/>
        <w:rPr>
          <w:rFonts w:ascii="Book Antiqua" w:hAnsi="Book Antiqua"/>
        </w:rPr>
      </w:pPr>
      <w:r w:rsidRPr="007B2707">
        <w:rPr>
          <w:rFonts w:ascii="Book Antiqua" w:hAnsi="Book Antiqua"/>
        </w:rPr>
        <w:t xml:space="preserve">The expense cannot have been reasonably foreseen in the utility’s last GRC and will occur before the utility’s next scheduled rate </w:t>
      </w:r>
      <w:proofErr w:type="gramStart"/>
      <w:r w:rsidRPr="007B2707">
        <w:rPr>
          <w:rFonts w:ascii="Book Antiqua" w:hAnsi="Book Antiqua"/>
        </w:rPr>
        <w:t>case;</w:t>
      </w:r>
      <w:proofErr w:type="gramEnd"/>
    </w:p>
    <w:p w:rsidRPr="007B2707" w:rsidR="006A7BDD" w:rsidP="006A7BDD" w:rsidRDefault="006A7BDD" w14:paraId="4E5479D3" w14:textId="77777777">
      <w:pPr>
        <w:pStyle w:val="Quote1"/>
        <w:numPr>
          <w:ilvl w:val="0"/>
          <w:numId w:val="14"/>
        </w:numPr>
        <w:tabs>
          <w:tab w:val="clear" w:pos="1800"/>
          <w:tab w:val="num" w:pos="1080"/>
        </w:tabs>
        <w:spacing w:before="0" w:after="120"/>
        <w:ind w:left="1080" w:right="1440"/>
        <w:rPr>
          <w:rFonts w:ascii="Book Antiqua" w:hAnsi="Book Antiqua"/>
        </w:rPr>
      </w:pPr>
      <w:r w:rsidRPr="007B2707">
        <w:rPr>
          <w:rFonts w:ascii="Book Antiqua" w:hAnsi="Book Antiqua"/>
        </w:rPr>
        <w:t>The expense is of a substantial nature in the amount of money involved; and</w:t>
      </w:r>
    </w:p>
    <w:p w:rsidRPr="007B2707" w:rsidR="006A7BDD" w:rsidP="006A7BDD" w:rsidRDefault="006A7BDD" w14:paraId="19D277D6" w14:textId="1C6F7C38">
      <w:pPr>
        <w:pStyle w:val="Quote1"/>
        <w:numPr>
          <w:ilvl w:val="0"/>
          <w:numId w:val="14"/>
        </w:numPr>
        <w:tabs>
          <w:tab w:val="clear" w:pos="1800"/>
          <w:tab w:val="num" w:pos="1080"/>
        </w:tabs>
        <w:spacing w:before="0" w:after="120"/>
        <w:ind w:left="1080" w:right="1440"/>
        <w:rPr>
          <w:rFonts w:ascii="Book Antiqua" w:hAnsi="Book Antiqua"/>
        </w:rPr>
      </w:pPr>
      <w:r w:rsidRPr="007B2707">
        <w:rPr>
          <w:rFonts w:ascii="Book Antiqua" w:hAnsi="Book Antiqua"/>
        </w:rPr>
        <w:t>The ratepayers will benefit by the memorandum account treatment.</w:t>
      </w:r>
      <w:r w:rsidRPr="007B2707" w:rsidR="005129E3">
        <w:rPr>
          <w:rStyle w:val="FootnoteReference"/>
          <w:rFonts w:ascii="Book Antiqua" w:hAnsi="Book Antiqua"/>
        </w:rPr>
        <w:footnoteReference w:id="62"/>
      </w:r>
    </w:p>
    <w:p w:rsidR="006A7BDD" w:rsidP="006A7BDD" w:rsidRDefault="006A7BDD" w14:paraId="3A4BFA99" w14:textId="7D128959">
      <w:pPr>
        <w:pStyle w:val="Standard"/>
      </w:pPr>
      <w:r>
        <w:t xml:space="preserve">To the degree that costs are outside of utility control, and there would be a public interest in equalizing any cost overages or </w:t>
      </w:r>
      <w:proofErr w:type="spellStart"/>
      <w:r>
        <w:t>underages</w:t>
      </w:r>
      <w:proofErr w:type="spellEnd"/>
      <w:r>
        <w:t xml:space="preserve">, a balancing account should be established. As shown by Liberty’s recorded health care expenses in </w:t>
      </w:r>
      <w:r>
        <w:lastRenderedPageBreak/>
        <w:t>the recorded period 2013-2017, these conditions do not apply.</w:t>
      </w:r>
      <w:r w:rsidR="00CD63D5">
        <w:t xml:space="preserve"> </w:t>
      </w:r>
      <w:r>
        <w:t>Liberty can significantly influence health care expenses particularly under its much larger corporate structure. In fact, negotiating health care contracts is one of the areas in which a larger corporate structure should be able to exert more control of costs.</w:t>
      </w:r>
    </w:p>
    <w:p w:rsidR="00586F3E" w:rsidP="00586F3E" w:rsidRDefault="00693191" w14:paraId="7B743ABB" w14:textId="3ECCE601">
      <w:pPr>
        <w:pStyle w:val="Heading1"/>
      </w:pPr>
      <w:bookmarkStart w:name="_Toc46478794" w:id="46"/>
      <w:bookmarkStart w:name="_Toc8123721" w:id="47"/>
      <w:r>
        <w:t>Rate Base</w:t>
      </w:r>
      <w:bookmarkEnd w:id="46"/>
    </w:p>
    <w:p w:rsidR="00CC03A9" w:rsidP="00D81F79" w:rsidRDefault="00751A51" w14:paraId="5F07E0E4" w14:textId="3CBEF5A3">
      <w:pPr>
        <w:pStyle w:val="Standard"/>
      </w:pPr>
      <w:r>
        <w:t xml:space="preserve">In accordance </w:t>
      </w:r>
      <w:r w:rsidR="00804FED">
        <w:t xml:space="preserve">with </w:t>
      </w:r>
      <w:r>
        <w:t xml:space="preserve">the Water Rate Case Plan, the Commission approves two TYs for rate base. </w:t>
      </w:r>
      <w:r w:rsidR="002F6162">
        <w:t xml:space="preserve">We approve a </w:t>
      </w:r>
      <w:r w:rsidR="00CC03A9">
        <w:t xml:space="preserve">2019 </w:t>
      </w:r>
      <w:r w:rsidR="002F6162">
        <w:t xml:space="preserve">TY rate base of </w:t>
      </w:r>
      <w:r w:rsidRPr="00C62B3F" w:rsidR="00FA378E">
        <w:t>$</w:t>
      </w:r>
      <w:r w:rsidR="00FA378E">
        <w:t>7</w:t>
      </w:r>
      <w:r w:rsidR="00F30A7E">
        <w:t>5,358,917</w:t>
      </w:r>
      <w:r w:rsidR="00FA378E">
        <w:t xml:space="preserve"> </w:t>
      </w:r>
      <w:r w:rsidR="002F6162">
        <w:t xml:space="preserve">for Liberty Apple Valley and </w:t>
      </w:r>
      <w:r w:rsidRPr="00C62B3F" w:rsidR="00FA378E">
        <w:t>$98,</w:t>
      </w:r>
      <w:r w:rsidR="00FA378E">
        <w:t>4</w:t>
      </w:r>
      <w:r w:rsidR="005A11C1">
        <w:t>46,568</w:t>
      </w:r>
      <w:r w:rsidR="00FA378E">
        <w:t xml:space="preserve"> </w:t>
      </w:r>
      <w:r w:rsidR="002F6162">
        <w:t>for Liberty Park</w:t>
      </w:r>
      <w:r>
        <w:t>,</w:t>
      </w:r>
      <w:r w:rsidR="002F6162">
        <w:t xml:space="preserve"> </w:t>
      </w:r>
      <w:r w:rsidR="00CC03A9">
        <w:t xml:space="preserve">and we approve a 2020 TY rate base of </w:t>
      </w:r>
      <w:r w:rsidRPr="003B4BA5" w:rsidR="00CC03A9">
        <w:t>$</w:t>
      </w:r>
      <w:r w:rsidRPr="003B4BA5" w:rsidR="00FD63AB">
        <w:t>82,521,219</w:t>
      </w:r>
      <w:r w:rsidRPr="00CC179F" w:rsidR="00CC03A9">
        <w:t xml:space="preserve"> for Liberty Apple Valley and </w:t>
      </w:r>
      <w:r w:rsidRPr="003B4BA5" w:rsidR="00CC03A9">
        <w:t>$</w:t>
      </w:r>
      <w:r w:rsidRPr="003B4BA5" w:rsidR="009A7B6A">
        <w:t>105,859,898</w:t>
      </w:r>
      <w:r w:rsidR="00CC03A9">
        <w:t xml:space="preserve"> for Liberty Park. </w:t>
      </w:r>
    </w:p>
    <w:p w:rsidR="00586F3E" w:rsidP="00D81F79" w:rsidRDefault="002C75F8" w14:paraId="34FE1D9B" w14:textId="4B3D4D54">
      <w:pPr>
        <w:pStyle w:val="Standard"/>
      </w:pPr>
      <w:r>
        <w:t xml:space="preserve">Liberty proposes </w:t>
      </w:r>
      <w:r w:rsidR="00B248EA">
        <w:t xml:space="preserve">new capital projects </w:t>
      </w:r>
      <w:r>
        <w:t>to maintain and improve the infrastructure to provide customers with service</w:t>
      </w:r>
      <w:r w:rsidR="00F04D26">
        <w:t>, which in turn generates associated depreciation and tax expenses.</w:t>
      </w:r>
      <w:r w:rsidR="00B248EA">
        <w:t xml:space="preserve"> When Liberty Apple Valley’s </w:t>
      </w:r>
      <w:r w:rsidR="0008090E">
        <w:t xml:space="preserve">proposals for new </w:t>
      </w:r>
      <w:r w:rsidR="00B248EA">
        <w:t xml:space="preserve">projects are added to existing infrastructure, the total value of the assets </w:t>
      </w:r>
      <w:r w:rsidR="00592517">
        <w:t xml:space="preserve">making up </w:t>
      </w:r>
      <w:r w:rsidR="00862123">
        <w:t>the rate base (after depreciation)</w:t>
      </w:r>
      <w:r w:rsidR="0008090E">
        <w:t xml:space="preserve"> for TY 2019</w:t>
      </w:r>
      <w:r w:rsidR="00862123">
        <w:t xml:space="preserve"> </w:t>
      </w:r>
      <w:r w:rsidR="007B2707">
        <w:t>is</w:t>
      </w:r>
      <w:r w:rsidR="00862123">
        <w:t xml:space="preserve"> $77.2</w:t>
      </w:r>
      <w:r w:rsidR="00951590">
        <w:t> </w:t>
      </w:r>
      <w:r w:rsidR="00862123">
        <w:t>million.</w:t>
      </w:r>
      <w:r w:rsidR="00951590">
        <w:t xml:space="preserve"> </w:t>
      </w:r>
      <w:r w:rsidR="00862123">
        <w:t xml:space="preserve">The Public Advocates Office argues that not all proposed new investment is justified and recommends </w:t>
      </w:r>
      <w:r w:rsidR="0008090E">
        <w:t xml:space="preserve">TY 2019 </w:t>
      </w:r>
      <w:r w:rsidR="007B2707">
        <w:t xml:space="preserve">rate base of </w:t>
      </w:r>
      <w:r w:rsidR="00862123">
        <w:t>$72.6 million</w:t>
      </w:r>
      <w:r w:rsidR="00804FED">
        <w:t xml:space="preserve"> for Liberty Apple Valley</w:t>
      </w:r>
      <w:r w:rsidR="00862123">
        <w:t>.</w:t>
      </w:r>
      <w:r w:rsidR="00951590">
        <w:t xml:space="preserve"> </w:t>
      </w:r>
      <w:r w:rsidR="00862123">
        <w:t xml:space="preserve">Liberty Park proposes a </w:t>
      </w:r>
      <w:r w:rsidR="0008090E">
        <w:t xml:space="preserve">TY 2019 </w:t>
      </w:r>
      <w:r w:rsidR="00862123">
        <w:t xml:space="preserve">rate base of $101 million, while the Public Advocates Office recommends </w:t>
      </w:r>
      <w:r w:rsidR="000E01E7">
        <w:t xml:space="preserve">a </w:t>
      </w:r>
      <w:r w:rsidR="0008090E">
        <w:t xml:space="preserve">TY 2019 </w:t>
      </w:r>
      <w:r w:rsidR="00862123">
        <w:t>rate base of $94.5 million.</w:t>
      </w:r>
      <w:r w:rsidR="0044590F">
        <w:t xml:space="preserve"> </w:t>
      </w:r>
    </w:p>
    <w:p w:rsidR="0044590F" w:rsidP="00D81F79" w:rsidRDefault="00F04D26" w14:paraId="56B04A7F" w14:textId="09CC75DF">
      <w:pPr>
        <w:pStyle w:val="Standard"/>
      </w:pPr>
      <w:r>
        <w:t>Costs driven by the rate base</w:t>
      </w:r>
      <w:r w:rsidR="00200F9C">
        <w:t xml:space="preserve">, </w:t>
      </w:r>
      <w:r>
        <w:t>including the</w:t>
      </w:r>
      <w:r w:rsidR="00200F9C">
        <w:t xml:space="preserve"> return </w:t>
      </w:r>
      <w:r>
        <w:t xml:space="preserve">to investors, depreciation, and tax expense, </w:t>
      </w:r>
      <w:r w:rsidR="00CA0057">
        <w:t>account fo</w:t>
      </w:r>
      <w:r w:rsidR="004F5F0A">
        <w:t>r around half</w:t>
      </w:r>
      <w:r w:rsidR="00200F9C">
        <w:t xml:space="preserve"> of each company’s total revenue requirement.</w:t>
      </w:r>
      <w:r w:rsidR="004F5F0A">
        <w:rPr>
          <w:rStyle w:val="FootnoteReference"/>
        </w:rPr>
        <w:footnoteReference w:id="63"/>
      </w:r>
      <w:r w:rsidR="00200F9C">
        <w:t xml:space="preserve"> </w:t>
      </w:r>
      <w:r w:rsidR="00951590">
        <w:t xml:space="preserve"> </w:t>
      </w:r>
      <w:r w:rsidR="00E004B3">
        <w:t xml:space="preserve">When including these carrying costs </w:t>
      </w:r>
      <w:r w:rsidR="00804FED">
        <w:t>associated with</w:t>
      </w:r>
      <w:r w:rsidR="00E004B3">
        <w:t xml:space="preserve"> the rate base, </w:t>
      </w:r>
      <w:r w:rsidR="00200F9C">
        <w:t>Liberty Apple Valley’s difference</w:t>
      </w:r>
      <w:r w:rsidR="004F5F0A">
        <w:t>s</w:t>
      </w:r>
      <w:r w:rsidR="00200F9C">
        <w:t xml:space="preserve"> with the Public Advocates Office amount to a $</w:t>
      </w:r>
      <w:r w:rsidR="009D7679">
        <w:t>457</w:t>
      </w:r>
      <w:r w:rsidR="00200F9C">
        <w:t xml:space="preserve">,000 difference </w:t>
      </w:r>
      <w:r w:rsidR="009D7679">
        <w:t>in the TY 2019 revenue requirement.</w:t>
      </w:r>
      <w:r w:rsidR="00200F9C">
        <w:t xml:space="preserve"> Liberty </w:t>
      </w:r>
      <w:r w:rsidR="00200F9C">
        <w:lastRenderedPageBreak/>
        <w:t>Park’s difference with the Public Advocates Office amount to a $</w:t>
      </w:r>
      <w:r w:rsidR="009D7679">
        <w:t>907,000</w:t>
      </w:r>
      <w:r w:rsidR="00200F9C">
        <w:t xml:space="preserve"> difference </w:t>
      </w:r>
      <w:r w:rsidR="009D7679">
        <w:t>in the TY 2019 revenue requirement.</w:t>
      </w:r>
    </w:p>
    <w:p w:rsidR="006529EA" w:rsidP="00D81F79" w:rsidRDefault="006529EA" w14:paraId="581AC127" w14:textId="03D2A423">
      <w:pPr>
        <w:pStyle w:val="Standard"/>
      </w:pPr>
      <w:r>
        <w:t>Capital investments are the basis of Liberty’s ability to provide safe and reliable water to its customers, and we consider Liberty’s record of water quality and customer service in conjunction with the</w:t>
      </w:r>
      <w:r w:rsidR="00B066D8">
        <w:t>se</w:t>
      </w:r>
      <w:r>
        <w:t xml:space="preserve"> capital requests. Both Liberty Park and Liberty Apple Valley </w:t>
      </w:r>
      <w:r w:rsidR="00F40D6A">
        <w:t>have met all state water quality standards</w:t>
      </w:r>
      <w:r>
        <w:t xml:space="preserve"> and have met service quality standards established by the Commission’s General Order</w:t>
      </w:r>
      <w:r w:rsidR="003E7B48">
        <w:t xml:space="preserve"> (GO)</w:t>
      </w:r>
      <w:r>
        <w:t xml:space="preserve"> 103-A.</w:t>
      </w:r>
    </w:p>
    <w:p w:rsidR="008D38C3" w:rsidP="00586F3E" w:rsidRDefault="00B00814" w14:paraId="1469B09C" w14:textId="06BA59AF">
      <w:pPr>
        <w:pStyle w:val="Heading2"/>
      </w:pPr>
      <w:bookmarkStart w:name="_Toc46478795" w:id="48"/>
      <w:r>
        <w:t>A</w:t>
      </w:r>
      <w:r w:rsidR="002B6866">
        <w:t>dvanced Metering Infrastructure (AMI)</w:t>
      </w:r>
      <w:r>
        <w:t xml:space="preserve"> and A</w:t>
      </w:r>
      <w:r w:rsidR="002B6866">
        <w:t xml:space="preserve">dvanced </w:t>
      </w:r>
      <w:r>
        <w:t>M</w:t>
      </w:r>
      <w:r w:rsidR="002B6866">
        <w:t xml:space="preserve">eter </w:t>
      </w:r>
      <w:r>
        <w:t>R</w:t>
      </w:r>
      <w:r w:rsidR="002B6866">
        <w:t>eading (AMR)</w:t>
      </w:r>
      <w:bookmarkEnd w:id="48"/>
    </w:p>
    <w:p w:rsidRPr="007B2707" w:rsidR="00743D67" w:rsidP="0044521C" w:rsidRDefault="00743D67" w14:paraId="405C6A43" w14:textId="756EA901">
      <w:pPr>
        <w:pStyle w:val="standard0"/>
        <w:rPr>
          <w:rFonts w:ascii="Book Antiqua" w:hAnsi="Book Antiqua"/>
        </w:rPr>
      </w:pPr>
      <w:r w:rsidRPr="007B2707">
        <w:rPr>
          <w:rFonts w:ascii="Book Antiqua" w:hAnsi="Book Antiqua"/>
        </w:rPr>
        <w:t xml:space="preserve">We authorize the replacement of registers and meters as necessary for Liberty Apple Valley and Liberty Park </w:t>
      </w:r>
      <w:r w:rsidRPr="007B2707" w:rsidR="005259FE">
        <w:rPr>
          <w:rFonts w:ascii="Book Antiqua" w:hAnsi="Book Antiqua"/>
        </w:rPr>
        <w:t>and deny</w:t>
      </w:r>
      <w:r w:rsidRPr="007B2707">
        <w:rPr>
          <w:rFonts w:ascii="Book Antiqua" w:hAnsi="Book Antiqua"/>
        </w:rPr>
        <w:t xml:space="preserve"> </w:t>
      </w:r>
      <w:r w:rsidRPr="007B2707" w:rsidR="005259FE">
        <w:rPr>
          <w:rFonts w:ascii="Book Antiqua" w:hAnsi="Book Antiqua"/>
        </w:rPr>
        <w:t>Liberty’s proposed</w:t>
      </w:r>
      <w:r w:rsidR="007B2707">
        <w:rPr>
          <w:rFonts w:ascii="Book Antiqua" w:hAnsi="Book Antiqua"/>
        </w:rPr>
        <w:t xml:space="preserve"> cost recovery for its</w:t>
      </w:r>
      <w:r w:rsidRPr="007B2707">
        <w:rPr>
          <w:rFonts w:ascii="Book Antiqua" w:hAnsi="Book Antiqua"/>
        </w:rPr>
        <w:t xml:space="preserve"> transition from Advanced Meter Reading (AMR) to Advanced Meter</w:t>
      </w:r>
      <w:r w:rsidRPr="007B2707" w:rsidR="00F35FDF">
        <w:rPr>
          <w:rFonts w:ascii="Book Antiqua" w:hAnsi="Book Antiqua"/>
        </w:rPr>
        <w:t>ing</w:t>
      </w:r>
      <w:r w:rsidRPr="007B2707">
        <w:rPr>
          <w:rFonts w:ascii="Book Antiqua" w:hAnsi="Book Antiqua"/>
        </w:rPr>
        <w:t xml:space="preserve"> Infrastructure (AMI). </w:t>
      </w:r>
    </w:p>
    <w:p w:rsidR="001B486C" w:rsidP="00E56CCF" w:rsidRDefault="00B00814" w14:paraId="15591ED2" w14:textId="7A43B43C">
      <w:pPr>
        <w:pStyle w:val="standard0"/>
        <w:rPr>
          <w:rFonts w:ascii="Book Antiqua" w:hAnsi="Book Antiqua"/>
        </w:rPr>
      </w:pPr>
      <w:r w:rsidRPr="007B2707">
        <w:rPr>
          <w:rFonts w:ascii="Book Antiqua" w:hAnsi="Book Antiqua"/>
        </w:rPr>
        <w:t xml:space="preserve">Liberty proposes </w:t>
      </w:r>
      <w:r w:rsidRPr="007B2707" w:rsidR="00615E66">
        <w:rPr>
          <w:rFonts w:ascii="Book Antiqua" w:hAnsi="Book Antiqua"/>
        </w:rPr>
        <w:t xml:space="preserve">replacing </w:t>
      </w:r>
      <w:r w:rsidRPr="007B2707" w:rsidR="00CD1B0C">
        <w:rPr>
          <w:rFonts w:ascii="Book Antiqua" w:hAnsi="Book Antiqua"/>
        </w:rPr>
        <w:t>its</w:t>
      </w:r>
      <w:r w:rsidRPr="007B2707" w:rsidR="00615E66">
        <w:rPr>
          <w:rFonts w:ascii="Book Antiqua" w:hAnsi="Book Antiqua"/>
        </w:rPr>
        <w:t xml:space="preserve"> current AMR meters with </w:t>
      </w:r>
      <w:r w:rsidRPr="007B2707" w:rsidR="0082188C">
        <w:rPr>
          <w:rFonts w:ascii="Book Antiqua" w:hAnsi="Book Antiqua"/>
        </w:rPr>
        <w:t>a new</w:t>
      </w:r>
      <w:r w:rsidRPr="007B2707" w:rsidR="00615E66">
        <w:rPr>
          <w:rFonts w:ascii="Book Antiqua" w:hAnsi="Book Antiqua"/>
        </w:rPr>
        <w:t xml:space="preserve"> AMI </w:t>
      </w:r>
      <w:r w:rsidRPr="007B2707" w:rsidR="0082188C">
        <w:rPr>
          <w:rFonts w:ascii="Book Antiqua" w:hAnsi="Book Antiqua"/>
        </w:rPr>
        <w:t>system</w:t>
      </w:r>
      <w:r w:rsidRPr="007B2707" w:rsidR="00CD1B0C">
        <w:rPr>
          <w:rFonts w:ascii="Book Antiqua" w:hAnsi="Book Antiqua"/>
        </w:rPr>
        <w:t xml:space="preserve">, composed of new meters, and an electronic communications infrastructure, over a </w:t>
      </w:r>
      <w:proofErr w:type="gramStart"/>
      <w:r w:rsidRPr="007B2707" w:rsidR="00CD1B0C">
        <w:rPr>
          <w:rFonts w:ascii="Book Antiqua" w:hAnsi="Book Antiqua"/>
        </w:rPr>
        <w:t>seven year</w:t>
      </w:r>
      <w:proofErr w:type="gramEnd"/>
      <w:r w:rsidRPr="007B2707" w:rsidR="00CD1B0C">
        <w:rPr>
          <w:rFonts w:ascii="Book Antiqua" w:hAnsi="Book Antiqua"/>
        </w:rPr>
        <w:t xml:space="preserve"> period</w:t>
      </w:r>
      <w:r w:rsidRPr="007B2707" w:rsidR="0082188C">
        <w:rPr>
          <w:rFonts w:ascii="Book Antiqua" w:hAnsi="Book Antiqua"/>
        </w:rPr>
        <w:t xml:space="preserve">. To support this recommendation, Liberty </w:t>
      </w:r>
      <w:r w:rsidRPr="007B2707" w:rsidR="00062B61">
        <w:rPr>
          <w:rFonts w:ascii="Book Antiqua" w:hAnsi="Book Antiqua"/>
        </w:rPr>
        <w:t xml:space="preserve">compared the cost of maintaining its AMR system to installing a new AMI system over 20 years. </w:t>
      </w:r>
      <w:r w:rsidRPr="007B2707" w:rsidR="00656726">
        <w:rPr>
          <w:rFonts w:ascii="Book Antiqua" w:hAnsi="Book Antiqua"/>
        </w:rPr>
        <w:t>Liberty Apple Valley’s initial analysis estimated AMI would cost the company $5.6 million more than AMR over twenty years, and Liberty Park’s initial analysis estimated AMI would cost the company $1.8</w:t>
      </w:r>
      <w:r w:rsidR="00217B56">
        <w:rPr>
          <w:rFonts w:ascii="Book Antiqua" w:hAnsi="Book Antiqua"/>
        </w:rPr>
        <w:t> </w:t>
      </w:r>
      <w:r w:rsidRPr="007B2707" w:rsidR="00656726">
        <w:rPr>
          <w:rFonts w:ascii="Book Antiqua" w:hAnsi="Book Antiqua"/>
        </w:rPr>
        <w:t xml:space="preserve">million more than AMR over twenty years. </w:t>
      </w:r>
      <w:r w:rsidR="00217B56">
        <w:rPr>
          <w:rFonts w:ascii="Book Antiqua" w:hAnsi="Book Antiqua"/>
        </w:rPr>
        <w:t xml:space="preserve"> </w:t>
      </w:r>
    </w:p>
    <w:p w:rsidRPr="007B2707" w:rsidR="00E56CCF" w:rsidP="00E56CCF" w:rsidRDefault="00656726" w14:paraId="520DC9E7" w14:textId="41395BAB">
      <w:pPr>
        <w:pStyle w:val="standard0"/>
        <w:rPr>
          <w:rFonts w:ascii="Book Antiqua" w:hAnsi="Book Antiqua"/>
        </w:rPr>
      </w:pPr>
      <w:r w:rsidRPr="007B2707">
        <w:rPr>
          <w:rFonts w:ascii="Book Antiqua" w:hAnsi="Book Antiqua"/>
        </w:rPr>
        <w:t xml:space="preserve">At </w:t>
      </w:r>
      <w:r w:rsidRPr="007B2707" w:rsidR="00FE0056">
        <w:rPr>
          <w:rFonts w:ascii="Book Antiqua" w:hAnsi="Book Antiqua"/>
        </w:rPr>
        <w:t xml:space="preserve">the </w:t>
      </w:r>
      <w:r w:rsidRPr="007B2707">
        <w:rPr>
          <w:rFonts w:ascii="Book Antiqua" w:hAnsi="Book Antiqua"/>
        </w:rPr>
        <w:t xml:space="preserve">Public Advocates </w:t>
      </w:r>
      <w:r w:rsidRPr="007B2707" w:rsidR="00FE0056">
        <w:rPr>
          <w:rFonts w:ascii="Book Antiqua" w:hAnsi="Book Antiqua"/>
        </w:rPr>
        <w:t>Office request</w:t>
      </w:r>
      <w:r w:rsidRPr="007B2707">
        <w:rPr>
          <w:rFonts w:ascii="Book Antiqua" w:hAnsi="Book Antiqua"/>
        </w:rPr>
        <w:t>, Liberty revised its analysis to compare the cost difference to ratepayers, rather than the company</w:t>
      </w:r>
      <w:r w:rsidRPr="007B2707" w:rsidR="001E69A2">
        <w:rPr>
          <w:rFonts w:ascii="Book Antiqua" w:hAnsi="Book Antiqua"/>
        </w:rPr>
        <w:t xml:space="preserve">, </w:t>
      </w:r>
      <w:r w:rsidRPr="007B2707" w:rsidR="00887F1F">
        <w:rPr>
          <w:rFonts w:ascii="Book Antiqua" w:hAnsi="Book Antiqua"/>
        </w:rPr>
        <w:t>to</w:t>
      </w:r>
      <w:r w:rsidRPr="007B2707" w:rsidR="001E69A2">
        <w:rPr>
          <w:rFonts w:ascii="Book Antiqua" w:hAnsi="Book Antiqua"/>
        </w:rPr>
        <w:t xml:space="preserve"> </w:t>
      </w:r>
      <w:r w:rsidRPr="007B2707" w:rsidR="0037387E">
        <w:rPr>
          <w:rFonts w:ascii="Book Antiqua" w:hAnsi="Book Antiqua"/>
        </w:rPr>
        <w:t>include</w:t>
      </w:r>
      <w:r w:rsidRPr="007B2707" w:rsidR="001E69A2">
        <w:rPr>
          <w:rFonts w:ascii="Book Antiqua" w:hAnsi="Book Antiqua"/>
        </w:rPr>
        <w:t xml:space="preserve"> </w:t>
      </w:r>
      <w:r w:rsidRPr="007B2707" w:rsidR="0037387E">
        <w:rPr>
          <w:rFonts w:ascii="Book Antiqua" w:hAnsi="Book Antiqua"/>
        </w:rPr>
        <w:t>increased costs ratepayers would face such</w:t>
      </w:r>
      <w:r w:rsidRPr="007B2707" w:rsidR="001E69A2">
        <w:rPr>
          <w:rFonts w:ascii="Book Antiqua" w:hAnsi="Book Antiqua"/>
        </w:rPr>
        <w:t xml:space="preserve"> </w:t>
      </w:r>
      <w:r w:rsidRPr="007B2707" w:rsidR="0037387E">
        <w:rPr>
          <w:rFonts w:ascii="Book Antiqua" w:hAnsi="Book Antiqua"/>
        </w:rPr>
        <w:t xml:space="preserve">as the </w:t>
      </w:r>
      <w:r w:rsidRPr="007B2707" w:rsidR="001E69A2">
        <w:rPr>
          <w:rFonts w:ascii="Book Antiqua" w:hAnsi="Book Antiqua"/>
        </w:rPr>
        <w:t>return on the capital investment</w:t>
      </w:r>
      <w:r w:rsidRPr="007B2707" w:rsidR="00887F1F">
        <w:rPr>
          <w:rFonts w:ascii="Book Antiqua" w:hAnsi="Book Antiqua"/>
        </w:rPr>
        <w:t>, depreciation,</w:t>
      </w:r>
      <w:r w:rsidRPr="007B2707" w:rsidR="001E69A2">
        <w:rPr>
          <w:rFonts w:ascii="Book Antiqua" w:hAnsi="Book Antiqua"/>
        </w:rPr>
        <w:t xml:space="preserve"> and tax impacts.</w:t>
      </w:r>
      <w:r w:rsidRPr="007B2707" w:rsidR="00FE79C3">
        <w:rPr>
          <w:rFonts w:ascii="Book Antiqua" w:hAnsi="Book Antiqua"/>
        </w:rPr>
        <w:t xml:space="preserve"> Liberty’s revised analysis show</w:t>
      </w:r>
      <w:r w:rsidRPr="007B2707" w:rsidR="00D0619E">
        <w:rPr>
          <w:rFonts w:ascii="Book Antiqua" w:hAnsi="Book Antiqua"/>
        </w:rPr>
        <w:t>s</w:t>
      </w:r>
      <w:r w:rsidRPr="007B2707" w:rsidR="00FE79C3">
        <w:rPr>
          <w:rFonts w:ascii="Book Antiqua" w:hAnsi="Book Antiqua"/>
        </w:rPr>
        <w:t xml:space="preserve"> AMI </w:t>
      </w:r>
      <w:r w:rsidRPr="007B2707" w:rsidR="00FE79C3">
        <w:rPr>
          <w:rFonts w:ascii="Book Antiqua" w:hAnsi="Book Antiqua"/>
        </w:rPr>
        <w:lastRenderedPageBreak/>
        <w:t xml:space="preserve">costing </w:t>
      </w:r>
      <w:r w:rsidRPr="007B2707" w:rsidR="00D0619E">
        <w:rPr>
          <w:rFonts w:ascii="Book Antiqua" w:hAnsi="Book Antiqua"/>
        </w:rPr>
        <w:t xml:space="preserve">Liberty Apple Valley ratepayers </w:t>
      </w:r>
      <w:r w:rsidRPr="007B2707">
        <w:rPr>
          <w:rFonts w:ascii="Book Antiqua" w:hAnsi="Book Antiqua"/>
        </w:rPr>
        <w:t xml:space="preserve">$4.3 million </w:t>
      </w:r>
      <w:r w:rsidRPr="007B2707" w:rsidR="00FE79C3">
        <w:rPr>
          <w:rFonts w:ascii="Book Antiqua" w:hAnsi="Book Antiqua"/>
        </w:rPr>
        <w:t>more than AMR</w:t>
      </w:r>
      <w:r w:rsidRPr="007B2707">
        <w:rPr>
          <w:rFonts w:ascii="Book Antiqua" w:hAnsi="Book Antiqua"/>
        </w:rPr>
        <w:t xml:space="preserve">, and </w:t>
      </w:r>
      <w:r w:rsidRPr="007B2707" w:rsidR="0037387E">
        <w:rPr>
          <w:rFonts w:ascii="Book Antiqua" w:hAnsi="Book Antiqua"/>
        </w:rPr>
        <w:t xml:space="preserve">costing </w:t>
      </w:r>
      <w:r w:rsidRPr="007B2707" w:rsidR="00D0619E">
        <w:rPr>
          <w:rFonts w:ascii="Book Antiqua" w:hAnsi="Book Antiqua"/>
        </w:rPr>
        <w:t xml:space="preserve">Liberty Park ratepayers </w:t>
      </w:r>
      <w:r w:rsidRPr="007B2707">
        <w:rPr>
          <w:rFonts w:ascii="Book Antiqua" w:hAnsi="Book Antiqua"/>
        </w:rPr>
        <w:t xml:space="preserve">$6.6 million </w:t>
      </w:r>
      <w:r w:rsidRPr="007B2707" w:rsidR="00FE79C3">
        <w:rPr>
          <w:rFonts w:ascii="Book Antiqua" w:hAnsi="Book Antiqua"/>
        </w:rPr>
        <w:t>more</w:t>
      </w:r>
      <w:r w:rsidRPr="007B2707">
        <w:rPr>
          <w:rFonts w:ascii="Book Antiqua" w:hAnsi="Book Antiqua"/>
        </w:rPr>
        <w:t>.</w:t>
      </w:r>
      <w:r w:rsidRPr="007B2707" w:rsidR="00E664BD">
        <w:rPr>
          <w:rStyle w:val="FootnoteReference"/>
          <w:rFonts w:ascii="Book Antiqua" w:hAnsi="Book Antiqua"/>
        </w:rPr>
        <w:footnoteReference w:id="64"/>
      </w:r>
      <w:r w:rsidRPr="007B2707">
        <w:rPr>
          <w:rFonts w:ascii="Book Antiqua" w:hAnsi="Book Antiqua"/>
        </w:rPr>
        <w:t xml:space="preserve"> </w:t>
      </w:r>
      <w:r w:rsidRPr="007B2707" w:rsidR="00D0619E">
        <w:rPr>
          <w:rFonts w:ascii="Book Antiqua" w:hAnsi="Book Antiqua"/>
        </w:rPr>
        <w:t>Despite AMI being a costlier option</w:t>
      </w:r>
      <w:r w:rsidRPr="007B2707" w:rsidR="00E56CCF">
        <w:rPr>
          <w:rFonts w:ascii="Book Antiqua" w:hAnsi="Book Antiqua"/>
        </w:rPr>
        <w:t xml:space="preserve"> for ratepayers</w:t>
      </w:r>
      <w:r w:rsidRPr="007B2707" w:rsidR="00D0619E">
        <w:rPr>
          <w:rFonts w:ascii="Book Antiqua" w:hAnsi="Book Antiqua"/>
        </w:rPr>
        <w:t xml:space="preserve">, Liberty </w:t>
      </w:r>
      <w:r w:rsidRPr="007B2707" w:rsidR="00E56CCF">
        <w:rPr>
          <w:rFonts w:ascii="Book Antiqua" w:hAnsi="Book Antiqua"/>
        </w:rPr>
        <w:t xml:space="preserve">recommends AMI because of </w:t>
      </w:r>
      <w:r w:rsidRPr="007B2707" w:rsidR="00847D34">
        <w:rPr>
          <w:rFonts w:ascii="Book Antiqua" w:hAnsi="Book Antiqua"/>
        </w:rPr>
        <w:t>the potential</w:t>
      </w:r>
      <w:r w:rsidRPr="007B2707" w:rsidR="00E56CCF">
        <w:rPr>
          <w:rFonts w:ascii="Book Antiqua" w:hAnsi="Book Antiqua"/>
        </w:rPr>
        <w:t xml:space="preserve"> benefits to customers, the companies, water conservation and the environment</w:t>
      </w:r>
      <w:r w:rsidRPr="007B2707" w:rsidR="002C603A">
        <w:rPr>
          <w:rFonts w:ascii="Book Antiqua" w:hAnsi="Book Antiqua"/>
        </w:rPr>
        <w:t xml:space="preserve">, </w:t>
      </w:r>
      <w:r w:rsidRPr="007B2707" w:rsidR="003E2191">
        <w:rPr>
          <w:rFonts w:ascii="Book Antiqua" w:hAnsi="Book Antiqua"/>
        </w:rPr>
        <w:t xml:space="preserve">although </w:t>
      </w:r>
      <w:r w:rsidRPr="007B2707" w:rsidR="002C603A">
        <w:rPr>
          <w:rFonts w:ascii="Book Antiqua" w:hAnsi="Book Antiqua"/>
        </w:rPr>
        <w:t xml:space="preserve">Liberty </w:t>
      </w:r>
      <w:r w:rsidRPr="007B2707" w:rsidR="003C4856">
        <w:rPr>
          <w:rFonts w:ascii="Book Antiqua" w:hAnsi="Book Antiqua"/>
        </w:rPr>
        <w:t>does not</w:t>
      </w:r>
      <w:r w:rsidRPr="007B2707" w:rsidR="002C603A">
        <w:rPr>
          <w:rFonts w:ascii="Book Antiqua" w:hAnsi="Book Antiqua"/>
        </w:rPr>
        <w:t xml:space="preserve"> quantify these benefits.</w:t>
      </w:r>
      <w:r w:rsidRPr="007B2707" w:rsidR="00E56CCF">
        <w:rPr>
          <w:rFonts w:ascii="Book Antiqua" w:hAnsi="Book Antiqua"/>
        </w:rPr>
        <w:t xml:space="preserve"> </w:t>
      </w:r>
      <w:r w:rsidRPr="007B2707" w:rsidR="00847D34">
        <w:rPr>
          <w:rFonts w:ascii="Book Antiqua" w:hAnsi="Book Antiqua"/>
        </w:rPr>
        <w:t xml:space="preserve">The conservation benefits that come from the ability to monitor and respond quickly to changes water usage, both for customers and the company, </w:t>
      </w:r>
      <w:r w:rsidRPr="007B2707" w:rsidR="00E56CCF">
        <w:rPr>
          <w:rFonts w:ascii="Book Antiqua" w:hAnsi="Book Antiqua"/>
        </w:rPr>
        <w:t>are the reason the Commission requires Class A water companies to propose AMI in their GRC applications.</w:t>
      </w:r>
      <w:r w:rsidRPr="007B2707" w:rsidR="00E56CCF">
        <w:rPr>
          <w:rStyle w:val="FootnoteReference"/>
          <w:rFonts w:ascii="Book Antiqua" w:hAnsi="Book Antiqua"/>
        </w:rPr>
        <w:footnoteReference w:id="65"/>
      </w:r>
    </w:p>
    <w:p w:rsidRPr="007B2707" w:rsidR="00154EB5" w:rsidP="00154EB5" w:rsidRDefault="00847D34" w14:paraId="3B216F2B" w14:textId="38B47723">
      <w:pPr>
        <w:pStyle w:val="standard0"/>
        <w:rPr>
          <w:rFonts w:ascii="Book Antiqua" w:hAnsi="Book Antiqua"/>
        </w:rPr>
      </w:pPr>
      <w:r w:rsidRPr="007B2707">
        <w:rPr>
          <w:rFonts w:ascii="Book Antiqua" w:hAnsi="Book Antiqua"/>
        </w:rPr>
        <w:t xml:space="preserve">The Public Advocates Office estimate of AMI </w:t>
      </w:r>
      <w:r w:rsidRPr="007B2707" w:rsidR="00A01BDE">
        <w:rPr>
          <w:rFonts w:ascii="Book Antiqua" w:hAnsi="Book Antiqua"/>
        </w:rPr>
        <w:t xml:space="preserve">ratepayer </w:t>
      </w:r>
      <w:r w:rsidRPr="007B2707">
        <w:rPr>
          <w:rFonts w:ascii="Book Antiqua" w:hAnsi="Book Antiqua"/>
        </w:rPr>
        <w:t xml:space="preserve">costs </w:t>
      </w:r>
      <w:proofErr w:type="gramStart"/>
      <w:r w:rsidRPr="007B2707">
        <w:rPr>
          <w:rFonts w:ascii="Book Antiqua" w:hAnsi="Book Antiqua"/>
        </w:rPr>
        <w:t>in excess of</w:t>
      </w:r>
      <w:proofErr w:type="gramEnd"/>
      <w:r w:rsidRPr="007B2707">
        <w:rPr>
          <w:rFonts w:ascii="Book Antiqua" w:hAnsi="Book Antiqua"/>
        </w:rPr>
        <w:t xml:space="preserve"> AMR</w:t>
      </w:r>
      <w:r w:rsidRPr="007B2707" w:rsidR="000B5CA6">
        <w:rPr>
          <w:rFonts w:ascii="Book Antiqua" w:hAnsi="Book Antiqua"/>
        </w:rPr>
        <w:t xml:space="preserve"> is more than twice as much as Liberty</w:t>
      </w:r>
      <w:r w:rsidRPr="007B2707" w:rsidR="00A01BDE">
        <w:rPr>
          <w:rFonts w:ascii="Book Antiqua" w:hAnsi="Book Antiqua"/>
        </w:rPr>
        <w:t xml:space="preserve"> Apple Valley’s</w:t>
      </w:r>
      <w:r w:rsidRPr="007B2707" w:rsidR="000B5CA6">
        <w:rPr>
          <w:rFonts w:ascii="Book Antiqua" w:hAnsi="Book Antiqua"/>
        </w:rPr>
        <w:t xml:space="preserve"> estimate</w:t>
      </w:r>
      <w:r w:rsidRPr="007B2707" w:rsidR="00A01BDE">
        <w:rPr>
          <w:rFonts w:ascii="Book Antiqua" w:hAnsi="Book Antiqua"/>
        </w:rPr>
        <w:t xml:space="preserve">, and </w:t>
      </w:r>
      <w:r w:rsidRPr="007B2707" w:rsidR="009662DC">
        <w:rPr>
          <w:rFonts w:ascii="Book Antiqua" w:hAnsi="Book Antiqua"/>
        </w:rPr>
        <w:t>30</w:t>
      </w:r>
      <w:r w:rsidR="00217B56">
        <w:rPr>
          <w:rFonts w:ascii="Book Antiqua" w:hAnsi="Book Antiqua"/>
        </w:rPr>
        <w:noBreakHyphen/>
      </w:r>
      <w:r w:rsidRPr="007B2707" w:rsidR="009662DC">
        <w:rPr>
          <w:rFonts w:ascii="Book Antiqua" w:hAnsi="Book Antiqua"/>
        </w:rPr>
        <w:t>50</w:t>
      </w:r>
      <w:r w:rsidR="00217B56">
        <w:rPr>
          <w:rFonts w:ascii="Book Antiqua" w:hAnsi="Book Antiqua"/>
        </w:rPr>
        <w:t> </w:t>
      </w:r>
      <w:r w:rsidRPr="007B2707" w:rsidR="00E266F3">
        <w:rPr>
          <w:rFonts w:ascii="Book Antiqua" w:hAnsi="Book Antiqua"/>
        </w:rPr>
        <w:t>percent</w:t>
      </w:r>
      <w:r w:rsidRPr="007B2707" w:rsidR="009662DC">
        <w:rPr>
          <w:rFonts w:ascii="Book Antiqua" w:hAnsi="Book Antiqua"/>
        </w:rPr>
        <w:t xml:space="preserve"> greater than Liberty Park’s estimate</w:t>
      </w:r>
      <w:r w:rsidRPr="007B2707" w:rsidR="000B5CA6">
        <w:rPr>
          <w:rFonts w:ascii="Book Antiqua" w:hAnsi="Book Antiqua"/>
        </w:rPr>
        <w:t>.</w:t>
      </w:r>
      <w:r w:rsidR="00217B56">
        <w:rPr>
          <w:rFonts w:ascii="Book Antiqua" w:hAnsi="Book Antiqua"/>
        </w:rPr>
        <w:t xml:space="preserve"> </w:t>
      </w:r>
      <w:r w:rsidRPr="007B2707" w:rsidR="000B5CA6">
        <w:rPr>
          <w:rFonts w:ascii="Book Antiqua" w:hAnsi="Book Antiqua"/>
        </w:rPr>
        <w:t xml:space="preserve">The Public Advocates Offices </w:t>
      </w:r>
      <w:r w:rsidRPr="007B2707" w:rsidR="00B92573">
        <w:rPr>
          <w:rFonts w:ascii="Book Antiqua" w:hAnsi="Book Antiqua"/>
        </w:rPr>
        <w:t xml:space="preserve">asserts </w:t>
      </w:r>
      <w:r w:rsidRPr="007B2707" w:rsidR="000B5CA6">
        <w:rPr>
          <w:rFonts w:ascii="Book Antiqua" w:hAnsi="Book Antiqua"/>
        </w:rPr>
        <w:t>that AMI would cost Liberty Apple</w:t>
      </w:r>
      <w:r w:rsidRPr="007B2707" w:rsidR="009662DC">
        <w:rPr>
          <w:rFonts w:ascii="Book Antiqua" w:hAnsi="Book Antiqua"/>
        </w:rPr>
        <w:t xml:space="preserve"> </w:t>
      </w:r>
      <w:r w:rsidRPr="007B2707" w:rsidR="000B5CA6">
        <w:rPr>
          <w:rFonts w:ascii="Book Antiqua" w:hAnsi="Book Antiqua"/>
        </w:rPr>
        <w:t>Valley ratepayers $10.1 to $11.6</w:t>
      </w:r>
      <w:r w:rsidR="00217B56">
        <w:rPr>
          <w:rFonts w:ascii="Book Antiqua" w:hAnsi="Book Antiqua"/>
        </w:rPr>
        <w:t> </w:t>
      </w:r>
      <w:r w:rsidRPr="007B2707" w:rsidR="000B5CA6">
        <w:rPr>
          <w:rFonts w:ascii="Book Antiqua" w:hAnsi="Book Antiqua"/>
        </w:rPr>
        <w:t xml:space="preserve">million more, and Liberty Park ratepayers $8.8 to $10.3 million more, than AMR over twenty years. </w:t>
      </w:r>
      <w:r w:rsidRPr="007B2707" w:rsidR="00887F1F">
        <w:rPr>
          <w:rFonts w:ascii="Book Antiqua" w:hAnsi="Book Antiqua"/>
        </w:rPr>
        <w:t xml:space="preserve">The Public Advocates Office </w:t>
      </w:r>
      <w:r w:rsidR="001B486C">
        <w:rPr>
          <w:rFonts w:ascii="Book Antiqua" w:hAnsi="Book Antiqua"/>
        </w:rPr>
        <w:t>points to</w:t>
      </w:r>
      <w:r w:rsidRPr="007B2707" w:rsidR="00875914">
        <w:rPr>
          <w:rFonts w:ascii="Book Antiqua" w:hAnsi="Book Antiqua"/>
        </w:rPr>
        <w:t xml:space="preserve"> ratepayer impacts that Liberty omits, such as overhead costs and the cost of prematurely retiring AMR meters. The Public Advocates Office also </w:t>
      </w:r>
      <w:r w:rsidR="001B486C">
        <w:rPr>
          <w:rFonts w:ascii="Book Antiqua" w:hAnsi="Book Antiqua"/>
        </w:rPr>
        <w:t>suggest</w:t>
      </w:r>
      <w:r w:rsidRPr="007B2707" w:rsidR="00875914">
        <w:rPr>
          <w:rFonts w:ascii="Book Antiqua" w:hAnsi="Book Antiqua"/>
        </w:rPr>
        <w:t xml:space="preserve">s that the AMI meters would have the same failure rate as the existing AMR meters, and their estimate </w:t>
      </w:r>
      <w:r w:rsidR="001B486C">
        <w:rPr>
          <w:rFonts w:ascii="Book Antiqua" w:hAnsi="Book Antiqua"/>
        </w:rPr>
        <w:t>is</w:t>
      </w:r>
      <w:r w:rsidRPr="007B2707" w:rsidR="001B486C">
        <w:rPr>
          <w:rFonts w:ascii="Book Antiqua" w:hAnsi="Book Antiqua"/>
        </w:rPr>
        <w:t xml:space="preserve"> </w:t>
      </w:r>
      <w:r w:rsidRPr="007B2707" w:rsidR="00875914">
        <w:rPr>
          <w:rFonts w:ascii="Book Antiqua" w:hAnsi="Book Antiqua"/>
        </w:rPr>
        <w:t>between $2-$4 million for battery replacement costs.</w:t>
      </w:r>
      <w:r w:rsidRPr="007B2707" w:rsidR="00154EB5">
        <w:rPr>
          <w:rFonts w:ascii="Book Antiqua" w:hAnsi="Book Antiqua"/>
        </w:rPr>
        <w:t xml:space="preserve"> The Public Advocates Office accepts and includes Liberty’s savings estimates associated with AMI, both the quantified dollar savings</w:t>
      </w:r>
      <w:r w:rsidRPr="007B2707" w:rsidR="00154EB5">
        <w:rPr>
          <w:rStyle w:val="FootnoteReference"/>
          <w:rFonts w:ascii="Book Antiqua" w:hAnsi="Book Antiqua"/>
        </w:rPr>
        <w:footnoteReference w:id="66"/>
      </w:r>
      <w:r w:rsidRPr="007B2707" w:rsidR="00154EB5">
        <w:rPr>
          <w:rFonts w:ascii="Book Antiqua" w:hAnsi="Book Antiqua"/>
        </w:rPr>
        <w:t xml:space="preserve"> </w:t>
      </w:r>
      <w:r w:rsidRPr="007B2707" w:rsidR="00C40D3B">
        <w:rPr>
          <w:rFonts w:ascii="Book Antiqua" w:hAnsi="Book Antiqua"/>
        </w:rPr>
        <w:t>and</w:t>
      </w:r>
      <w:r w:rsidRPr="007B2707" w:rsidR="00154EB5">
        <w:rPr>
          <w:rFonts w:ascii="Book Antiqua" w:hAnsi="Book Antiqua"/>
        </w:rPr>
        <w:t xml:space="preserve"> </w:t>
      </w:r>
      <w:r w:rsidRPr="007B2707" w:rsidR="00C40D3B">
        <w:rPr>
          <w:rFonts w:ascii="Book Antiqua" w:hAnsi="Book Antiqua"/>
        </w:rPr>
        <w:t>unquantified</w:t>
      </w:r>
      <w:r w:rsidRPr="007B2707" w:rsidR="00154EB5">
        <w:rPr>
          <w:rFonts w:ascii="Book Antiqua" w:hAnsi="Book Antiqua"/>
        </w:rPr>
        <w:t xml:space="preserve"> benefits. </w:t>
      </w:r>
    </w:p>
    <w:p w:rsidR="001E27C2" w:rsidP="00F34CE8" w:rsidRDefault="004E2C90" w14:paraId="5E769068" w14:textId="67B255D3">
      <w:pPr>
        <w:pStyle w:val="Standard"/>
      </w:pPr>
      <w:r>
        <w:lastRenderedPageBreak/>
        <w:t xml:space="preserve">Liberty proposed AMI in accordance with </w:t>
      </w:r>
      <w:r w:rsidR="001B486C">
        <w:t xml:space="preserve">the directives set forth in </w:t>
      </w:r>
      <w:r w:rsidRPr="001B486C" w:rsidR="001B486C">
        <w:t>D.16-12-026</w:t>
      </w:r>
      <w:r>
        <w:t>, but th</w:t>
      </w:r>
      <w:r w:rsidR="001B486C">
        <w:t xml:space="preserve">at </w:t>
      </w:r>
      <w:r>
        <w:t xml:space="preserve">decision also </w:t>
      </w:r>
      <w:r w:rsidR="001B486C">
        <w:t xml:space="preserve">provides directives </w:t>
      </w:r>
      <w:r>
        <w:t>to consider the proposals compared to other options to meet the Commission and the state’s</w:t>
      </w:r>
      <w:r w:rsidR="001E27C2">
        <w:t xml:space="preserve"> </w:t>
      </w:r>
      <w:r>
        <w:t>conservation policy objectives</w:t>
      </w:r>
      <w:r w:rsidR="001B486C">
        <w:t>, as follows:</w:t>
      </w:r>
    </w:p>
    <w:p w:rsidR="001E27C2" w:rsidP="001E27C2" w:rsidRDefault="001E27C2" w14:paraId="551CD199" w14:textId="6ACABC3E">
      <w:pPr>
        <w:pStyle w:val="BlockQuote"/>
      </w:pPr>
      <w:r w:rsidRPr="0063687E">
        <w:t xml:space="preserve">This </w:t>
      </w:r>
      <w:r>
        <w:t>D</w:t>
      </w:r>
      <w:r w:rsidRPr="0063687E">
        <w:t xml:space="preserve">ecision orders </w:t>
      </w:r>
      <w:r>
        <w:t xml:space="preserve">Class A </w:t>
      </w:r>
      <w:r w:rsidRPr="0063687E">
        <w:t xml:space="preserve">water utilities </w:t>
      </w:r>
      <w:r>
        <w:t>to</w:t>
      </w:r>
      <w:r w:rsidRPr="0063687E">
        <w:t xml:space="preserve"> propose AMI deployment in their upcoming GRC applications</w:t>
      </w:r>
      <w:r>
        <w:t xml:space="preserve"> though a</w:t>
      </w:r>
      <w:r w:rsidRPr="0063687E">
        <w:t xml:space="preserve"> phase-in </w:t>
      </w:r>
      <w:r>
        <w:t xml:space="preserve">to </w:t>
      </w:r>
      <w:r w:rsidRPr="0063687E">
        <w:t xml:space="preserve">AMI over one or two rate case cycles for conversion of existing customer analog meters to AMI.  Those proposals will be assessed for consistency with the principles of: </w:t>
      </w:r>
      <w:r>
        <w:t xml:space="preserve"> </w:t>
      </w:r>
      <w:r w:rsidRPr="0063687E">
        <w:t xml:space="preserve">flexibility to address utility and district circumstances, equity, conservation signals to promote sustainability with a directive to address outlier customer behavior, and </w:t>
      </w:r>
      <w:r>
        <w:t>action to increase data availability</w:t>
      </w:r>
      <w:r w:rsidRPr="0063687E">
        <w:t xml:space="preserve"> and use for customer and system use.  They will also be assessed for their contribution to leak, backflow, and theft detection, and ability to enable action to address those issues.</w:t>
      </w:r>
      <w:r>
        <w:t xml:space="preserve">  </w:t>
      </w:r>
      <w:r w:rsidRPr="0063687E">
        <w:t xml:space="preserve">Those </w:t>
      </w:r>
      <w:r>
        <w:t xml:space="preserve">AMI </w:t>
      </w:r>
      <w:r w:rsidRPr="0063687E">
        <w:t xml:space="preserve">proposals may identify districts or areas where the existing or anticipated communications infrastructure and other factors indicate that AMR would be substantially more cost-effective than </w:t>
      </w:r>
      <w:proofErr w:type="gramStart"/>
      <w:r w:rsidRPr="0063687E">
        <w:t>AMI, and</w:t>
      </w:r>
      <w:proofErr w:type="gramEnd"/>
      <w:r w:rsidRPr="0063687E">
        <w:t xml:space="preserve"> </w:t>
      </w:r>
      <w:r>
        <w:t xml:space="preserve">deploy </w:t>
      </w:r>
      <w:r w:rsidRPr="0063687E">
        <w:t xml:space="preserve">AMR </w:t>
      </w:r>
      <w:r>
        <w:t>if</w:t>
      </w:r>
      <w:r w:rsidRPr="0063687E">
        <w:t xml:space="preserve"> comparable leak detection</w:t>
      </w:r>
      <w:r>
        <w:t xml:space="preserve"> </w:t>
      </w:r>
      <w:r w:rsidRPr="0063687E">
        <w:t>a</w:t>
      </w:r>
      <w:r>
        <w:t>nd data communication benefits can be achieved.</w:t>
      </w:r>
      <w:r>
        <w:rPr>
          <w:rStyle w:val="FootnoteReference"/>
        </w:rPr>
        <w:footnoteReference w:id="67"/>
      </w:r>
    </w:p>
    <w:p w:rsidR="001B486C" w:rsidP="001E27C2" w:rsidRDefault="001B486C" w14:paraId="7EA494C6" w14:textId="77777777">
      <w:pPr>
        <w:pStyle w:val="BlockQuote"/>
      </w:pPr>
    </w:p>
    <w:p w:rsidR="00910455" w:rsidP="00910455" w:rsidRDefault="001E27C2" w14:paraId="70B143AD" w14:textId="15808A0E">
      <w:pPr>
        <w:pStyle w:val="Standard"/>
      </w:pPr>
      <w:r>
        <w:t xml:space="preserve">AMI must be considered reasonable </w:t>
      </w:r>
      <w:proofErr w:type="gramStart"/>
      <w:r>
        <w:t>in light of</w:t>
      </w:r>
      <w:proofErr w:type="gramEnd"/>
      <w:r>
        <w:t xml:space="preserve"> the unique circumstances of the service area and the impact on those who will fund the system. Liberty’s unique circumstances are that it</w:t>
      </w:r>
      <w:r w:rsidR="004E2C90">
        <w:t xml:space="preserve"> has relatively recently finished its upgrade to AMR</w:t>
      </w:r>
      <w:r w:rsidR="0071149B">
        <w:t xml:space="preserve"> and its analysis cannot monetarily justify the cost of another capital project at this time. It is possible that Liberty Apple Valley and Liberty Park have yet to fully exploit AMR for all the potential conservation benefits, because their testimony does not explore this, despite the </w:t>
      </w:r>
      <w:r w:rsidR="00910455">
        <w:t xml:space="preserve">Commission’s instruction for utilities to consider the difference in cost-effectiveness between AMR and AMI, as well as </w:t>
      </w:r>
      <w:r w:rsidR="00910455">
        <w:lastRenderedPageBreak/>
        <w:t xml:space="preserve">differences in leak detection and data communication benefits between the two technologies. </w:t>
      </w:r>
    </w:p>
    <w:p w:rsidR="00467CFE" w:rsidP="00910455" w:rsidRDefault="00467CFE" w14:paraId="462139F5" w14:textId="0695463D">
      <w:pPr>
        <w:pStyle w:val="Standard"/>
      </w:pPr>
      <w:r>
        <w:t xml:space="preserve">As the Public Advocates Office points out, </w:t>
      </w:r>
      <w:r w:rsidR="00115BD3">
        <w:t>Liberty</w:t>
      </w:r>
      <w:r w:rsidR="00910455">
        <w:t xml:space="preserve">’s calculation of </w:t>
      </w:r>
      <w:r>
        <w:t>the ratepayer burden from AMI omits three significant costs:</w:t>
      </w:r>
      <w:r w:rsidR="00910455">
        <w:t xml:space="preserve"> </w:t>
      </w:r>
    </w:p>
    <w:p w:rsidR="00467CFE" w:rsidP="00217B56" w:rsidRDefault="00FC71BB" w14:paraId="4C476CAE" w14:textId="77777777">
      <w:pPr>
        <w:pStyle w:val="Standard"/>
        <w:numPr>
          <w:ilvl w:val="0"/>
          <w:numId w:val="17"/>
        </w:numPr>
        <w:spacing w:after="120" w:line="240" w:lineRule="auto"/>
        <w:ind w:left="1080" w:right="1440"/>
      </w:pPr>
      <w:r>
        <w:t xml:space="preserve">cost of </w:t>
      </w:r>
      <w:r w:rsidR="003D74BC">
        <w:t xml:space="preserve">prematurely retiring </w:t>
      </w:r>
      <w:r w:rsidR="00910455">
        <w:t xml:space="preserve">AMR </w:t>
      </w:r>
      <w:proofErr w:type="gramStart"/>
      <w:r w:rsidR="00910455">
        <w:t>meters</w:t>
      </w:r>
      <w:r w:rsidR="00467CFE">
        <w:t>;</w:t>
      </w:r>
      <w:proofErr w:type="gramEnd"/>
    </w:p>
    <w:p w:rsidR="00467CFE" w:rsidP="00217B56" w:rsidRDefault="00467CFE" w14:paraId="60B4D938" w14:textId="26D50D0D">
      <w:pPr>
        <w:pStyle w:val="Standard"/>
        <w:numPr>
          <w:ilvl w:val="0"/>
          <w:numId w:val="17"/>
        </w:numPr>
        <w:spacing w:after="120" w:line="240" w:lineRule="auto"/>
        <w:ind w:left="1080" w:right="1440"/>
      </w:pPr>
      <w:r>
        <w:t xml:space="preserve">overhead from corporate offices that would </w:t>
      </w:r>
      <w:r w:rsidR="003B0BF7">
        <w:t>impact allocations because allocation factors include net plant</w:t>
      </w:r>
      <w:r>
        <w:t xml:space="preserve"> and expenses;</w:t>
      </w:r>
      <w:r w:rsidR="001B486C">
        <w:t xml:space="preserve"> and</w:t>
      </w:r>
    </w:p>
    <w:p w:rsidR="00467CFE" w:rsidP="00217B56" w:rsidRDefault="00467CFE" w14:paraId="23B1A1D2" w14:textId="77777777">
      <w:pPr>
        <w:pStyle w:val="Standard"/>
        <w:numPr>
          <w:ilvl w:val="0"/>
          <w:numId w:val="17"/>
        </w:numPr>
        <w:spacing w:after="120" w:line="240" w:lineRule="auto"/>
        <w:ind w:left="1080" w:right="1440"/>
      </w:pPr>
      <w:r>
        <w:t>appropriate depreciation rates.</w:t>
      </w:r>
    </w:p>
    <w:p w:rsidR="00E722C9" w:rsidP="00467CFE" w:rsidRDefault="00035F57" w14:paraId="43D29015" w14:textId="2507C45B">
      <w:pPr>
        <w:pStyle w:val="Standard"/>
      </w:pPr>
      <w:r>
        <w:t xml:space="preserve">Liberty’s consultant </w:t>
      </w:r>
      <w:r w:rsidR="00910455">
        <w:t xml:space="preserve">report </w:t>
      </w:r>
      <w:r w:rsidR="00467CFE">
        <w:t>admits</w:t>
      </w:r>
      <w:r w:rsidR="00910455">
        <w:t xml:space="preserve"> </w:t>
      </w:r>
      <w:r w:rsidR="001519C8">
        <w:t>“Business case estimates are net; they do not include burden on capital, contingency, or cost allocations via the four</w:t>
      </w:r>
      <w:r w:rsidR="008C75B6">
        <w:noBreakHyphen/>
      </w:r>
      <w:r w:rsidR="001519C8">
        <w:t xml:space="preserve">factor method.” </w:t>
      </w:r>
      <w:r w:rsidR="00335B50">
        <w:t>In its revision, Liberty includes</w:t>
      </w:r>
      <w:r w:rsidR="00467CFE">
        <w:t xml:space="preserve"> the capital burden but </w:t>
      </w:r>
      <w:r w:rsidR="00335B50">
        <w:t xml:space="preserve">does not include </w:t>
      </w:r>
      <w:r w:rsidR="00467CFE">
        <w:t xml:space="preserve">the cost of prematurely retiring functioning AMR meters, nor the overhead </w:t>
      </w:r>
      <w:r w:rsidR="00335B50">
        <w:t>and contingency</w:t>
      </w:r>
      <w:r w:rsidR="00467CFE">
        <w:t>.</w:t>
      </w:r>
      <w:r w:rsidR="00910455">
        <w:t xml:space="preserve"> </w:t>
      </w:r>
      <w:r w:rsidR="00335B50">
        <w:t>Nor does Liberty address the reasons for these omissions.</w:t>
      </w:r>
      <w:r w:rsidR="008C75B6">
        <w:t xml:space="preserve"> </w:t>
      </w:r>
      <w:r w:rsidR="00AE30AA">
        <w:t xml:space="preserve">In its Reply Brief, </w:t>
      </w:r>
      <w:r w:rsidR="00910455">
        <w:t>Liberty</w:t>
      </w:r>
      <w:r w:rsidR="00AE30AA">
        <w:t xml:space="preserve"> </w:t>
      </w:r>
      <w:r w:rsidR="00467CFE">
        <w:t xml:space="preserve">does </w:t>
      </w:r>
      <w:r w:rsidR="00AE30AA">
        <w:t>defend</w:t>
      </w:r>
      <w:r w:rsidR="00467CFE">
        <w:t xml:space="preserve"> its use of one depreciation rate as</w:t>
      </w:r>
      <w:r w:rsidR="00910455">
        <w:t xml:space="preserve"> simplifying approach</w:t>
      </w:r>
      <w:r w:rsidR="00AE30AA">
        <w:t>, also contending that its use of one depreciation rate</w:t>
      </w:r>
      <w:r w:rsidR="00910455">
        <w:t xml:space="preserve"> does not make much of a difference</w:t>
      </w:r>
      <w:r w:rsidR="00467CFE">
        <w:t>.</w:t>
      </w:r>
      <w:r w:rsidR="008C75B6">
        <w:t xml:space="preserve"> </w:t>
      </w:r>
    </w:p>
    <w:p w:rsidR="0071359C" w:rsidP="00467CFE" w:rsidRDefault="00AE30AA" w14:paraId="41A4B6D3" w14:textId="3604A18A">
      <w:pPr>
        <w:pStyle w:val="Standard"/>
      </w:pPr>
      <w:r>
        <w:t>Liberty’s contentions about one depreciation rate contentions</w:t>
      </w:r>
      <w:r w:rsidR="00467CFE">
        <w:t xml:space="preserve"> </w:t>
      </w:r>
      <w:r>
        <w:t>are</w:t>
      </w:r>
      <w:r w:rsidR="00467CFE">
        <w:t xml:space="preserve"> </w:t>
      </w:r>
      <w:r w:rsidR="00335B50">
        <w:t>incorrect</w:t>
      </w:r>
      <w:r w:rsidR="00467CFE">
        <w:t>, as it takes very little effort to add an additional depreciat</w:t>
      </w:r>
      <w:r w:rsidR="00BF5F46">
        <w:t>ion</w:t>
      </w:r>
      <w:r w:rsidR="00467CFE">
        <w:t xml:space="preserve"> rate and doing so does increase the ratepayer burden</w:t>
      </w:r>
      <w:r w:rsidR="00910455">
        <w:t>.</w:t>
      </w:r>
    </w:p>
    <w:p w:rsidRPr="007B2707" w:rsidR="00564412" w:rsidP="00D81F79" w:rsidRDefault="00873E82" w14:paraId="2FB122E1" w14:textId="6E48CDD3">
      <w:pPr>
        <w:pStyle w:val="standard0"/>
        <w:rPr>
          <w:rFonts w:ascii="Book Antiqua" w:hAnsi="Book Antiqua"/>
        </w:rPr>
      </w:pPr>
      <w:r w:rsidRPr="007B2707">
        <w:rPr>
          <w:rFonts w:ascii="Book Antiqua" w:hAnsi="Book Antiqua"/>
        </w:rPr>
        <w:t>The last question is whether the anticipated indirect and intangible benefits might tip the scales in favor of AMI</w:t>
      </w:r>
      <w:r w:rsidRPr="007B2707" w:rsidR="00ED5777">
        <w:rPr>
          <w:rFonts w:ascii="Book Antiqua" w:hAnsi="Book Antiqua"/>
        </w:rPr>
        <w:t>.</w:t>
      </w:r>
      <w:r w:rsidRPr="007B2707">
        <w:rPr>
          <w:rFonts w:ascii="Book Antiqua" w:hAnsi="Book Antiqua"/>
        </w:rPr>
        <w:t xml:space="preserve"> </w:t>
      </w:r>
      <w:r w:rsidRPr="007B2707" w:rsidR="00F62463">
        <w:rPr>
          <w:rFonts w:ascii="Book Antiqua" w:hAnsi="Book Antiqua"/>
        </w:rPr>
        <w:t>There is nothing</w:t>
      </w:r>
      <w:r w:rsidR="00791ACC">
        <w:rPr>
          <w:rFonts w:ascii="Book Antiqua" w:hAnsi="Book Antiqua"/>
        </w:rPr>
        <w:t xml:space="preserve"> in the record</w:t>
      </w:r>
      <w:r w:rsidRPr="007B2707" w:rsidR="00F62463">
        <w:rPr>
          <w:rFonts w:ascii="Book Antiqua" w:hAnsi="Book Antiqua"/>
        </w:rPr>
        <w:t xml:space="preserve"> to convince us that potential </w:t>
      </w:r>
      <w:r w:rsidR="00791ACC">
        <w:rPr>
          <w:rFonts w:ascii="Book Antiqua" w:hAnsi="Book Antiqua"/>
        </w:rPr>
        <w:t xml:space="preserve">unquantified </w:t>
      </w:r>
      <w:r w:rsidRPr="007B2707" w:rsidR="00F62463">
        <w:rPr>
          <w:rFonts w:ascii="Book Antiqua" w:hAnsi="Book Antiqua"/>
        </w:rPr>
        <w:t>benefits</w:t>
      </w:r>
      <w:r w:rsidR="004769D0">
        <w:rPr>
          <w:rFonts w:ascii="Book Antiqua" w:hAnsi="Book Antiqua"/>
        </w:rPr>
        <w:t xml:space="preserve"> from AMI</w:t>
      </w:r>
      <w:r w:rsidRPr="007B2707" w:rsidR="00F62463">
        <w:rPr>
          <w:rFonts w:ascii="Book Antiqua" w:hAnsi="Book Antiqua"/>
        </w:rPr>
        <w:t xml:space="preserve"> might approach </w:t>
      </w:r>
      <w:r w:rsidRPr="007B2707" w:rsidR="00F27739">
        <w:rPr>
          <w:rFonts w:ascii="Book Antiqua" w:hAnsi="Book Antiqua"/>
        </w:rPr>
        <w:t>even Liberty’s low estimate</w:t>
      </w:r>
      <w:r w:rsidRPr="007B2707" w:rsidR="00F62463">
        <w:rPr>
          <w:rFonts w:ascii="Book Antiqua" w:hAnsi="Book Antiqua"/>
        </w:rPr>
        <w:t xml:space="preserve"> </w:t>
      </w:r>
      <w:r w:rsidR="004769D0">
        <w:rPr>
          <w:rFonts w:ascii="Book Antiqua" w:hAnsi="Book Antiqua"/>
        </w:rPr>
        <w:t>of</w:t>
      </w:r>
      <w:r w:rsidRPr="007B2707" w:rsidR="004769D0">
        <w:rPr>
          <w:rFonts w:ascii="Book Antiqua" w:hAnsi="Book Antiqua"/>
        </w:rPr>
        <w:t xml:space="preserve"> </w:t>
      </w:r>
      <w:r w:rsidRPr="007B2707" w:rsidR="00F62463">
        <w:rPr>
          <w:rFonts w:ascii="Book Antiqua" w:hAnsi="Book Antiqua"/>
        </w:rPr>
        <w:t>additional ratepayer costs.</w:t>
      </w:r>
      <w:r w:rsidR="008C75B6">
        <w:rPr>
          <w:rFonts w:ascii="Book Antiqua" w:hAnsi="Book Antiqua"/>
        </w:rPr>
        <w:t xml:space="preserve"> </w:t>
      </w:r>
      <w:r w:rsidRPr="007B2707" w:rsidR="00F62463">
        <w:rPr>
          <w:rFonts w:ascii="Book Antiqua" w:hAnsi="Book Antiqua"/>
        </w:rPr>
        <w:t>It</w:t>
      </w:r>
      <w:r w:rsidRPr="007B2707" w:rsidR="0020627C">
        <w:rPr>
          <w:rFonts w:ascii="Book Antiqua" w:hAnsi="Book Antiqua"/>
        </w:rPr>
        <w:t xml:space="preserve"> appears that several of the benefits</w:t>
      </w:r>
      <w:r w:rsidR="004769D0">
        <w:rPr>
          <w:rFonts w:ascii="Book Antiqua" w:hAnsi="Book Antiqua"/>
        </w:rPr>
        <w:t xml:space="preserve"> attributed to AMI</w:t>
      </w:r>
      <w:r w:rsidRPr="007B2707" w:rsidR="0020627C">
        <w:rPr>
          <w:rFonts w:ascii="Book Antiqua" w:hAnsi="Book Antiqua"/>
        </w:rPr>
        <w:t xml:space="preserve"> may be possible even under the status quo of AMR. </w:t>
      </w:r>
      <w:r w:rsidR="008C75B6">
        <w:rPr>
          <w:rFonts w:ascii="Book Antiqua" w:hAnsi="Book Antiqua"/>
        </w:rPr>
        <w:t xml:space="preserve"> </w:t>
      </w:r>
      <w:r w:rsidRPr="007B2707" w:rsidR="0020627C">
        <w:rPr>
          <w:rFonts w:ascii="Book Antiqua" w:hAnsi="Book Antiqua"/>
        </w:rPr>
        <w:t xml:space="preserve">Specifically, moving customers to electronic billing and to online service requests </w:t>
      </w:r>
      <w:r w:rsidRPr="007B2707" w:rsidR="0020627C">
        <w:rPr>
          <w:rFonts w:ascii="Book Antiqua" w:hAnsi="Book Antiqua"/>
        </w:rPr>
        <w:lastRenderedPageBreak/>
        <w:t>is not dependent upon AMI. Similarly, conservation may be aided by AMI but can still be improved even with AMR.</w:t>
      </w:r>
    </w:p>
    <w:p w:rsidR="00717ABD" w:rsidP="00717ABD" w:rsidRDefault="00717ABD" w14:paraId="3F71EB25" w14:textId="7ADD0D23">
      <w:pPr>
        <w:pStyle w:val="Heading3"/>
      </w:pPr>
      <w:bookmarkStart w:name="_Toc46478796" w:id="50"/>
      <w:r>
        <w:t>AMR Maintenance and Repair</w:t>
      </w:r>
      <w:bookmarkEnd w:id="50"/>
      <w:r w:rsidR="0085230E">
        <w:t xml:space="preserve"> </w:t>
      </w:r>
    </w:p>
    <w:p w:rsidR="00E536D6" w:rsidP="00F80A55" w:rsidRDefault="00E536D6" w14:paraId="398B3B79" w14:textId="61E90EDB">
      <w:pPr>
        <w:pStyle w:val="Standard"/>
      </w:pPr>
      <w:r>
        <w:t>It is most cost effective for Liberty Apple Valley and Liberty Park to repair failed meters by replacing the register of the meters, because meters are under warranty for twenty years.</w:t>
      </w:r>
      <w:r w:rsidR="008C75B6">
        <w:t xml:space="preserve"> </w:t>
      </w:r>
      <w:r w:rsidR="00235D77">
        <w:t xml:space="preserve">We </w:t>
      </w:r>
      <w:r w:rsidR="00E722C9">
        <w:t xml:space="preserve">therefore </w:t>
      </w:r>
      <w:r w:rsidR="00235D77">
        <w:t>a</w:t>
      </w:r>
      <w:r w:rsidR="00E722C9">
        <w:t>dopt</w:t>
      </w:r>
      <w:r w:rsidR="00235D77">
        <w:t xml:space="preserve"> the Public Advocates Office 2019 estimate for register replacement of $698,230 for Liberty Park and $520,062 for Liberty Apple Valley because it utilizes the warranty and saves ratepayers money. </w:t>
      </w:r>
    </w:p>
    <w:p w:rsidR="00F54574" w:rsidP="00F54574" w:rsidRDefault="00717ABD" w14:paraId="328D7FA1" w14:textId="67EA5323">
      <w:pPr>
        <w:pStyle w:val="Standard"/>
      </w:pPr>
      <w:r>
        <w:t>Independent of whether AMI is approved, Liberty must continue to maintain and repairs its existing meters.</w:t>
      </w:r>
      <w:r>
        <w:rPr>
          <w:rStyle w:val="FootnoteReference"/>
        </w:rPr>
        <w:footnoteReference w:id="68"/>
      </w:r>
      <w:r>
        <w:t xml:space="preserve"> </w:t>
      </w:r>
      <w:r w:rsidR="00703D47">
        <w:t xml:space="preserve">Liberty states that older AMR meters must be replaced due to age, battery failure, register failure, damage and customer downsize requests. The Public Advocates Office </w:t>
      </w:r>
      <w:r w:rsidR="00E722C9">
        <w:t>contend</w:t>
      </w:r>
      <w:r w:rsidR="00703D47">
        <w:t>s that the registers in the AMR meters are failing at a rapid rate, much earlier than the 20</w:t>
      </w:r>
      <w:r w:rsidR="00E722C9">
        <w:t>-</w:t>
      </w:r>
      <w:r w:rsidR="00703D47">
        <w:t>year expected life. Liberty Park’s fail</w:t>
      </w:r>
      <w:r w:rsidR="00D120BB">
        <w:t>ed registers</w:t>
      </w:r>
      <w:r w:rsidR="00703D47">
        <w:t xml:space="preserve"> in 2012, 2013 and 204 were less than 10 years old on average</w:t>
      </w:r>
      <w:r w:rsidR="00D120BB">
        <w:t xml:space="preserve">, and all of Liberty Apple Valley’s failed registers were less than 10 years old on average. </w:t>
      </w:r>
      <w:r w:rsidR="00F54574">
        <w:t xml:space="preserve">Liberty requests replacement for any registers failing before 10 years and whole meter replacement for registers failing after 10 years, citing the difference in the warranty coverage for the registers. </w:t>
      </w:r>
      <w:r w:rsidR="008C75B6">
        <w:t xml:space="preserve"> </w:t>
      </w:r>
      <w:r w:rsidR="00F54574">
        <w:t>Before 10 years, the warranty replaces the register for free, and</w:t>
      </w:r>
      <w:r w:rsidRPr="00F54574" w:rsidR="00F54574">
        <w:t xml:space="preserve"> </w:t>
      </w:r>
      <w:r w:rsidR="00F54574">
        <w:t>offers a prorated discount on replacement registers in meters between years 11</w:t>
      </w:r>
      <w:r w:rsidR="008C75B6">
        <w:noBreakHyphen/>
      </w:r>
      <w:r w:rsidR="00F54574">
        <w:t xml:space="preserve">20. </w:t>
      </w:r>
    </w:p>
    <w:p w:rsidR="00E722C9" w:rsidP="004A4E2F" w:rsidRDefault="00A9556E" w14:paraId="27D1C330" w14:textId="0E41E6EC">
      <w:pPr>
        <w:pStyle w:val="Standard"/>
      </w:pPr>
      <w:r>
        <w:t xml:space="preserve">Liberty differs from the Public Advocates Office in its approach to </w:t>
      </w:r>
      <w:r w:rsidR="00717ABD">
        <w:t xml:space="preserve">battery failures in meters older than ten years. Liberty proposes installing new meters, </w:t>
      </w:r>
      <w:r>
        <w:t xml:space="preserve">reasoning that the labor cost to repair or replace the meter is the same, and the </w:t>
      </w:r>
      <w:r>
        <w:lastRenderedPageBreak/>
        <w:t>only difference is the cost of the equipment.</w:t>
      </w:r>
      <w:r w:rsidR="008C75B6">
        <w:t xml:space="preserve"> </w:t>
      </w:r>
      <w:r>
        <w:t>The</w:t>
      </w:r>
      <w:r w:rsidR="00717ABD">
        <w:t xml:space="preserve"> Public Advocates Office</w:t>
      </w:r>
      <w:r>
        <w:t xml:space="preserve"> understands that the labor cost is the same and yet</w:t>
      </w:r>
      <w:r w:rsidR="00717ABD">
        <w:t xml:space="preserve"> recomm</w:t>
      </w:r>
      <w:r w:rsidR="009F4E46">
        <w:t>ends replacing the register instead of installing a new meter</w:t>
      </w:r>
      <w:r>
        <w:t xml:space="preserve">, based on an average estimated </w:t>
      </w:r>
      <w:r w:rsidR="004A4E2F">
        <w:t>replacement</w:t>
      </w:r>
      <w:r>
        <w:t xml:space="preserve"> cost of $67.76 compared to the $281.69 for a new meter. </w:t>
      </w:r>
      <w:r w:rsidR="004A4E2F">
        <w:t xml:space="preserve">Liberty provides no reason to forgo the register savings. </w:t>
      </w:r>
      <w:r w:rsidR="00703D47">
        <w:t xml:space="preserve">We would have expected Liberty to compare the expected life of the new meter to the life of the meter with a replaced register, but Liberty </w:t>
      </w:r>
      <w:r w:rsidR="00E722C9">
        <w:t xml:space="preserve">has </w:t>
      </w:r>
      <w:r w:rsidR="00703D47">
        <w:t xml:space="preserve">not </w:t>
      </w:r>
      <w:r w:rsidR="00E722C9">
        <w:t>provided</w:t>
      </w:r>
      <w:r w:rsidR="00703D47">
        <w:t xml:space="preserve"> this information. </w:t>
      </w:r>
    </w:p>
    <w:p w:rsidR="00703D47" w:rsidP="004A4E2F" w:rsidRDefault="004A4E2F" w14:paraId="2C194B20" w14:textId="1144A429">
      <w:pPr>
        <w:pStyle w:val="Standard"/>
      </w:pPr>
      <w:r>
        <w:t xml:space="preserve">Based on the rapid failure rate of the registers in the meters and without any evidence to the contrary, </w:t>
      </w:r>
      <w:r w:rsidR="00F80A55">
        <w:t xml:space="preserve">there is </w:t>
      </w:r>
      <w:r w:rsidR="005D6843">
        <w:t>no information indicating</w:t>
      </w:r>
      <w:r>
        <w:t xml:space="preserve"> that new meters would last longer than those with replaced registers to merit the extra cost of new meters.</w:t>
      </w:r>
    </w:p>
    <w:p w:rsidR="00F976D1" w:rsidP="00F976D1" w:rsidRDefault="00634909" w14:paraId="4131F5E8" w14:textId="115A63C2">
      <w:pPr>
        <w:pStyle w:val="Standard"/>
      </w:pPr>
      <w:r>
        <w:t xml:space="preserve">Park’s </w:t>
      </w:r>
      <w:r w:rsidR="00F976D1">
        <w:t xml:space="preserve">AMR meter installation began approximately fifteen years ago and was completed between three to seven years ago as shown in Table </w:t>
      </w:r>
      <w:r w:rsidR="00056E3A">
        <w:t>10</w:t>
      </w:r>
      <w:r w:rsidR="00F976D1">
        <w:t xml:space="preserve"> below.</w:t>
      </w:r>
      <w:r w:rsidR="00335B50">
        <w:t xml:space="preserve"> </w:t>
      </w:r>
    </w:p>
    <w:p w:rsidRPr="00591725" w:rsidR="00962692" w:rsidP="008C75B6" w:rsidRDefault="00962692" w14:paraId="3072D0C0" w14:textId="7865108F">
      <w:pPr>
        <w:pStyle w:val="Standard"/>
        <w:keepNext/>
        <w:keepLines/>
        <w:ind w:firstLine="0"/>
        <w:jc w:val="center"/>
        <w:rPr>
          <w:b/>
          <w:bCs/>
        </w:rPr>
      </w:pPr>
      <w:r w:rsidRPr="00591725">
        <w:rPr>
          <w:b/>
          <w:bCs/>
        </w:rPr>
        <w:lastRenderedPageBreak/>
        <w:t xml:space="preserve">Table </w:t>
      </w:r>
      <w:r>
        <w:rPr>
          <w:b/>
          <w:bCs/>
        </w:rPr>
        <w:t>10</w:t>
      </w:r>
    </w:p>
    <w:p w:rsidR="0070160C" w:rsidP="008C75B6" w:rsidRDefault="0070160C" w14:paraId="6888D5A2" w14:textId="7B9D6640">
      <w:pPr>
        <w:pStyle w:val="Standard"/>
        <w:keepNext/>
        <w:keepLines/>
        <w:spacing w:line="240" w:lineRule="auto"/>
        <w:ind w:firstLine="0"/>
        <w:jc w:val="center"/>
      </w:pPr>
      <w:r>
        <w:t>Liberty Apple Valley</w:t>
      </w:r>
      <w:r w:rsidR="008A688E">
        <w:rPr>
          <w:rStyle w:val="FootnoteReference"/>
        </w:rPr>
        <w:footnoteReference w:id="69"/>
      </w:r>
    </w:p>
    <w:p w:rsidR="00F976D1" w:rsidP="008C75B6" w:rsidRDefault="00F976D1" w14:paraId="34B3A484" w14:textId="189007D3">
      <w:pPr>
        <w:pStyle w:val="Standard"/>
        <w:keepNext/>
        <w:keepLines/>
        <w:ind w:firstLine="0"/>
        <w:jc w:val="center"/>
      </w:pPr>
      <w:r>
        <w:t>AMR Meter Installation</w:t>
      </w:r>
      <w:r w:rsidR="0070160C">
        <w:t>, Failure Rate, Anticipated Repairs in TY</w:t>
      </w:r>
    </w:p>
    <w:tbl>
      <w:tblPr>
        <w:tblStyle w:val="TableGrid"/>
        <w:tblW w:w="0" w:type="auto"/>
        <w:jc w:val="center"/>
        <w:tblLook w:val="04A0" w:firstRow="1" w:lastRow="0" w:firstColumn="1" w:lastColumn="0" w:noHBand="0" w:noVBand="1"/>
      </w:tblPr>
      <w:tblGrid>
        <w:gridCol w:w="1515"/>
        <w:gridCol w:w="1892"/>
        <w:gridCol w:w="1730"/>
        <w:gridCol w:w="1892"/>
      </w:tblGrid>
      <w:tr w:rsidR="00C06B4F" w:rsidTr="008C75B6" w14:paraId="3F97CD65" w14:textId="77777777">
        <w:trPr>
          <w:jc w:val="center"/>
        </w:trPr>
        <w:tc>
          <w:tcPr>
            <w:tcW w:w="1515" w:type="dxa"/>
          </w:tcPr>
          <w:p w:rsidR="00C06B4F" w:rsidP="008C75B6" w:rsidRDefault="00C06B4F" w14:paraId="6ABB309F" w14:textId="77777777">
            <w:pPr>
              <w:pStyle w:val="Standard"/>
              <w:keepNext/>
              <w:keepLines/>
              <w:spacing w:line="240" w:lineRule="auto"/>
              <w:ind w:firstLine="0"/>
            </w:pPr>
            <w:r>
              <w:t>Installation Year</w:t>
            </w:r>
          </w:p>
        </w:tc>
        <w:tc>
          <w:tcPr>
            <w:tcW w:w="1892" w:type="dxa"/>
          </w:tcPr>
          <w:p w:rsidR="00C06B4F" w:rsidP="008C75B6" w:rsidRDefault="00C06B4F" w14:paraId="2A452758" w14:textId="3E11262A">
            <w:pPr>
              <w:pStyle w:val="Standard"/>
              <w:keepNext/>
              <w:keepLines/>
              <w:spacing w:line="240" w:lineRule="auto"/>
              <w:ind w:firstLine="0"/>
            </w:pPr>
            <w:r>
              <w:t>New Installation</w:t>
            </w:r>
          </w:p>
        </w:tc>
        <w:tc>
          <w:tcPr>
            <w:tcW w:w="1730" w:type="dxa"/>
          </w:tcPr>
          <w:p w:rsidR="00C06B4F" w:rsidP="008C75B6" w:rsidRDefault="00C06B4F" w14:paraId="3A031DCE" w14:textId="7B790AE9">
            <w:pPr>
              <w:pStyle w:val="Standard"/>
              <w:keepNext/>
              <w:keepLines/>
              <w:spacing w:line="240" w:lineRule="auto"/>
              <w:ind w:firstLine="0"/>
            </w:pPr>
            <w:r>
              <w:t>Actual Failures</w:t>
            </w:r>
          </w:p>
        </w:tc>
        <w:tc>
          <w:tcPr>
            <w:tcW w:w="1892" w:type="dxa"/>
          </w:tcPr>
          <w:p w:rsidR="00C06B4F" w:rsidP="008C75B6" w:rsidRDefault="00681425" w14:paraId="249B4293" w14:textId="0F0A47E4">
            <w:pPr>
              <w:pStyle w:val="Standard"/>
              <w:keepNext/>
              <w:keepLines/>
              <w:spacing w:line="240" w:lineRule="auto"/>
              <w:ind w:firstLine="0"/>
            </w:pPr>
            <w:r>
              <w:t>Planned</w:t>
            </w:r>
            <w:r w:rsidR="00C06B4F">
              <w:t xml:space="preserve"> Repair</w:t>
            </w:r>
            <w:r>
              <w:t>s</w:t>
            </w:r>
            <w:r w:rsidR="00C06B4F">
              <w:t xml:space="preserve"> or Replacement</w:t>
            </w:r>
            <w:r>
              <w:t>s</w:t>
            </w:r>
          </w:p>
        </w:tc>
      </w:tr>
      <w:tr w:rsidR="00C06B4F" w:rsidTr="008C75B6" w14:paraId="488B2747" w14:textId="77777777">
        <w:trPr>
          <w:jc w:val="center"/>
        </w:trPr>
        <w:tc>
          <w:tcPr>
            <w:tcW w:w="1515" w:type="dxa"/>
          </w:tcPr>
          <w:p w:rsidR="00C06B4F" w:rsidP="008C75B6" w:rsidRDefault="00C06B4F" w14:paraId="245DF0B4" w14:textId="77777777">
            <w:pPr>
              <w:pStyle w:val="Standard"/>
              <w:keepNext/>
              <w:keepLines/>
              <w:spacing w:line="240" w:lineRule="auto"/>
              <w:ind w:firstLine="0"/>
            </w:pPr>
            <w:r>
              <w:t>2006</w:t>
            </w:r>
          </w:p>
        </w:tc>
        <w:tc>
          <w:tcPr>
            <w:tcW w:w="1892" w:type="dxa"/>
          </w:tcPr>
          <w:p w:rsidR="00C06B4F" w:rsidP="008C75B6" w:rsidRDefault="00C06B4F" w14:paraId="42E7E6AF" w14:textId="77777777">
            <w:pPr>
              <w:pStyle w:val="Standard"/>
              <w:keepNext/>
              <w:keepLines/>
              <w:spacing w:line="240" w:lineRule="auto"/>
              <w:ind w:firstLine="0"/>
            </w:pPr>
            <w:r>
              <w:t>2,146</w:t>
            </w:r>
          </w:p>
        </w:tc>
        <w:tc>
          <w:tcPr>
            <w:tcW w:w="1730" w:type="dxa"/>
          </w:tcPr>
          <w:p w:rsidR="00C06B4F" w:rsidP="008C75B6" w:rsidRDefault="00C06B4F" w14:paraId="55899161" w14:textId="77777777">
            <w:pPr>
              <w:pStyle w:val="Standard"/>
              <w:keepNext/>
              <w:keepLines/>
              <w:spacing w:line="240" w:lineRule="auto"/>
              <w:ind w:firstLine="0"/>
            </w:pPr>
          </w:p>
        </w:tc>
        <w:tc>
          <w:tcPr>
            <w:tcW w:w="1892" w:type="dxa"/>
          </w:tcPr>
          <w:p w:rsidR="00C06B4F" w:rsidP="008C75B6" w:rsidRDefault="00C06B4F" w14:paraId="199B0CDC" w14:textId="60C91813">
            <w:pPr>
              <w:pStyle w:val="Standard"/>
              <w:keepNext/>
              <w:keepLines/>
              <w:spacing w:line="240" w:lineRule="auto"/>
              <w:ind w:firstLine="0"/>
            </w:pPr>
          </w:p>
        </w:tc>
      </w:tr>
      <w:tr w:rsidR="00C06B4F" w:rsidTr="008C75B6" w14:paraId="5A46AD82" w14:textId="77777777">
        <w:trPr>
          <w:jc w:val="center"/>
        </w:trPr>
        <w:tc>
          <w:tcPr>
            <w:tcW w:w="1515" w:type="dxa"/>
          </w:tcPr>
          <w:p w:rsidR="00C06B4F" w:rsidP="008C75B6" w:rsidRDefault="00C06B4F" w14:paraId="1D6EB36D" w14:textId="77777777">
            <w:pPr>
              <w:pStyle w:val="Standard"/>
              <w:keepNext/>
              <w:keepLines/>
              <w:ind w:firstLine="0"/>
            </w:pPr>
            <w:r>
              <w:t>2007</w:t>
            </w:r>
          </w:p>
        </w:tc>
        <w:tc>
          <w:tcPr>
            <w:tcW w:w="1892" w:type="dxa"/>
          </w:tcPr>
          <w:p w:rsidR="00C06B4F" w:rsidP="008C75B6" w:rsidRDefault="00C06B4F" w14:paraId="3AE60DE7" w14:textId="77777777">
            <w:pPr>
              <w:pStyle w:val="Standard"/>
              <w:keepNext/>
              <w:keepLines/>
              <w:ind w:firstLine="0"/>
            </w:pPr>
            <w:r>
              <w:t>2,401</w:t>
            </w:r>
          </w:p>
        </w:tc>
        <w:tc>
          <w:tcPr>
            <w:tcW w:w="1730" w:type="dxa"/>
          </w:tcPr>
          <w:p w:rsidR="00C06B4F" w:rsidP="008C75B6" w:rsidRDefault="00C06B4F" w14:paraId="26B01E54" w14:textId="77777777">
            <w:pPr>
              <w:pStyle w:val="Standard"/>
              <w:keepNext/>
              <w:keepLines/>
              <w:ind w:firstLine="0"/>
            </w:pPr>
          </w:p>
        </w:tc>
        <w:tc>
          <w:tcPr>
            <w:tcW w:w="1892" w:type="dxa"/>
          </w:tcPr>
          <w:p w:rsidR="00C06B4F" w:rsidP="008C75B6" w:rsidRDefault="00C06B4F" w14:paraId="4D8833F6" w14:textId="22E78A98">
            <w:pPr>
              <w:pStyle w:val="Standard"/>
              <w:keepNext/>
              <w:keepLines/>
              <w:ind w:firstLine="0"/>
            </w:pPr>
          </w:p>
        </w:tc>
      </w:tr>
      <w:tr w:rsidR="00C06B4F" w:rsidTr="008C75B6" w14:paraId="26855C44" w14:textId="77777777">
        <w:trPr>
          <w:jc w:val="center"/>
        </w:trPr>
        <w:tc>
          <w:tcPr>
            <w:tcW w:w="1515" w:type="dxa"/>
          </w:tcPr>
          <w:p w:rsidR="00C06B4F" w:rsidP="008C75B6" w:rsidRDefault="00C06B4F" w14:paraId="647B3675" w14:textId="77777777">
            <w:pPr>
              <w:pStyle w:val="Standard"/>
              <w:keepNext/>
              <w:keepLines/>
              <w:ind w:firstLine="0"/>
            </w:pPr>
            <w:r>
              <w:t>2008</w:t>
            </w:r>
          </w:p>
        </w:tc>
        <w:tc>
          <w:tcPr>
            <w:tcW w:w="1892" w:type="dxa"/>
          </w:tcPr>
          <w:p w:rsidR="00C06B4F" w:rsidP="008C75B6" w:rsidRDefault="00C06B4F" w14:paraId="65E5055C" w14:textId="77777777">
            <w:pPr>
              <w:pStyle w:val="Standard"/>
              <w:keepNext/>
              <w:keepLines/>
              <w:ind w:firstLine="0"/>
            </w:pPr>
            <w:r>
              <w:t>2,772</w:t>
            </w:r>
          </w:p>
        </w:tc>
        <w:tc>
          <w:tcPr>
            <w:tcW w:w="1730" w:type="dxa"/>
          </w:tcPr>
          <w:p w:rsidR="00C06B4F" w:rsidP="008C75B6" w:rsidRDefault="00C06B4F" w14:paraId="1E0B98FA" w14:textId="77777777">
            <w:pPr>
              <w:pStyle w:val="Standard"/>
              <w:keepNext/>
              <w:keepLines/>
              <w:ind w:firstLine="0"/>
            </w:pPr>
          </w:p>
        </w:tc>
        <w:tc>
          <w:tcPr>
            <w:tcW w:w="1892" w:type="dxa"/>
          </w:tcPr>
          <w:p w:rsidR="00C06B4F" w:rsidP="008C75B6" w:rsidRDefault="00C06B4F" w14:paraId="3DF880A4" w14:textId="1E220582">
            <w:pPr>
              <w:pStyle w:val="Standard"/>
              <w:keepNext/>
              <w:keepLines/>
              <w:ind w:firstLine="0"/>
            </w:pPr>
          </w:p>
        </w:tc>
      </w:tr>
      <w:tr w:rsidR="00C06B4F" w:rsidTr="008C75B6" w14:paraId="1D5F3D63" w14:textId="77777777">
        <w:trPr>
          <w:jc w:val="center"/>
        </w:trPr>
        <w:tc>
          <w:tcPr>
            <w:tcW w:w="1515" w:type="dxa"/>
          </w:tcPr>
          <w:p w:rsidR="00C06B4F" w:rsidP="008C75B6" w:rsidRDefault="00C06B4F" w14:paraId="65316934" w14:textId="77777777">
            <w:pPr>
              <w:pStyle w:val="Standard"/>
              <w:keepNext/>
              <w:keepLines/>
              <w:ind w:firstLine="0"/>
            </w:pPr>
            <w:r>
              <w:t>2009</w:t>
            </w:r>
          </w:p>
        </w:tc>
        <w:tc>
          <w:tcPr>
            <w:tcW w:w="1892" w:type="dxa"/>
          </w:tcPr>
          <w:p w:rsidR="00C06B4F" w:rsidP="008C75B6" w:rsidRDefault="00C06B4F" w14:paraId="339DE6B1" w14:textId="77777777">
            <w:pPr>
              <w:pStyle w:val="Standard"/>
              <w:keepNext/>
              <w:keepLines/>
              <w:ind w:firstLine="0"/>
            </w:pPr>
            <w:r>
              <w:t>2,807</w:t>
            </w:r>
          </w:p>
        </w:tc>
        <w:tc>
          <w:tcPr>
            <w:tcW w:w="1730" w:type="dxa"/>
          </w:tcPr>
          <w:p w:rsidR="00C06B4F" w:rsidP="008C75B6" w:rsidRDefault="00C06B4F" w14:paraId="4BA7DA95" w14:textId="77777777">
            <w:pPr>
              <w:pStyle w:val="Standard"/>
              <w:keepNext/>
              <w:keepLines/>
              <w:ind w:firstLine="0"/>
            </w:pPr>
          </w:p>
        </w:tc>
        <w:tc>
          <w:tcPr>
            <w:tcW w:w="1892" w:type="dxa"/>
          </w:tcPr>
          <w:p w:rsidR="00C06B4F" w:rsidP="008C75B6" w:rsidRDefault="00C06B4F" w14:paraId="01796E82" w14:textId="02CEB8D4">
            <w:pPr>
              <w:pStyle w:val="Standard"/>
              <w:keepNext/>
              <w:keepLines/>
              <w:ind w:firstLine="0"/>
            </w:pPr>
          </w:p>
        </w:tc>
      </w:tr>
      <w:tr w:rsidR="00C06B4F" w:rsidTr="008C75B6" w14:paraId="277B9E32" w14:textId="77777777">
        <w:trPr>
          <w:jc w:val="center"/>
        </w:trPr>
        <w:tc>
          <w:tcPr>
            <w:tcW w:w="1515" w:type="dxa"/>
          </w:tcPr>
          <w:p w:rsidR="00C06B4F" w:rsidP="008C75B6" w:rsidRDefault="00C06B4F" w14:paraId="69C2AE48" w14:textId="77777777">
            <w:pPr>
              <w:pStyle w:val="Standard"/>
              <w:keepNext/>
              <w:keepLines/>
              <w:ind w:firstLine="0"/>
            </w:pPr>
            <w:r>
              <w:t>2010</w:t>
            </w:r>
          </w:p>
        </w:tc>
        <w:tc>
          <w:tcPr>
            <w:tcW w:w="1892" w:type="dxa"/>
          </w:tcPr>
          <w:p w:rsidR="00C06B4F" w:rsidP="008C75B6" w:rsidRDefault="00C06B4F" w14:paraId="6CA4E1E6" w14:textId="77777777">
            <w:pPr>
              <w:pStyle w:val="Standard"/>
              <w:keepNext/>
              <w:keepLines/>
              <w:ind w:firstLine="0"/>
            </w:pPr>
            <w:r>
              <w:t>2,718</w:t>
            </w:r>
          </w:p>
        </w:tc>
        <w:tc>
          <w:tcPr>
            <w:tcW w:w="1730" w:type="dxa"/>
          </w:tcPr>
          <w:p w:rsidR="00C06B4F" w:rsidP="008C75B6" w:rsidRDefault="00C06B4F" w14:paraId="0C7B1FB5" w14:textId="77777777">
            <w:pPr>
              <w:pStyle w:val="Standard"/>
              <w:keepNext/>
              <w:keepLines/>
              <w:ind w:firstLine="0"/>
            </w:pPr>
          </w:p>
        </w:tc>
        <w:tc>
          <w:tcPr>
            <w:tcW w:w="1892" w:type="dxa"/>
          </w:tcPr>
          <w:p w:rsidR="00C06B4F" w:rsidP="008C75B6" w:rsidRDefault="00C06B4F" w14:paraId="6A7C0CA3" w14:textId="11CC955F">
            <w:pPr>
              <w:pStyle w:val="Standard"/>
              <w:keepNext/>
              <w:keepLines/>
              <w:ind w:firstLine="0"/>
            </w:pPr>
          </w:p>
        </w:tc>
      </w:tr>
      <w:tr w:rsidR="00C06B4F" w:rsidTr="008C75B6" w14:paraId="49E98147" w14:textId="77777777">
        <w:trPr>
          <w:jc w:val="center"/>
        </w:trPr>
        <w:tc>
          <w:tcPr>
            <w:tcW w:w="1515" w:type="dxa"/>
          </w:tcPr>
          <w:p w:rsidR="00C06B4F" w:rsidP="008C75B6" w:rsidRDefault="00C06B4F" w14:paraId="4C70A8CC" w14:textId="77777777">
            <w:pPr>
              <w:pStyle w:val="Standard"/>
              <w:keepNext/>
              <w:keepLines/>
              <w:ind w:firstLine="0"/>
            </w:pPr>
            <w:r>
              <w:t>2011</w:t>
            </w:r>
          </w:p>
        </w:tc>
        <w:tc>
          <w:tcPr>
            <w:tcW w:w="1892" w:type="dxa"/>
          </w:tcPr>
          <w:p w:rsidR="00C06B4F" w:rsidP="008C75B6" w:rsidRDefault="00C06B4F" w14:paraId="190882A3" w14:textId="77777777">
            <w:pPr>
              <w:pStyle w:val="Standard"/>
              <w:keepNext/>
              <w:keepLines/>
              <w:ind w:firstLine="0"/>
            </w:pPr>
            <w:r>
              <w:t>2,715</w:t>
            </w:r>
          </w:p>
        </w:tc>
        <w:tc>
          <w:tcPr>
            <w:tcW w:w="1730" w:type="dxa"/>
          </w:tcPr>
          <w:p w:rsidR="00C06B4F" w:rsidP="008C75B6" w:rsidRDefault="00C06B4F" w14:paraId="76886999" w14:textId="77777777">
            <w:pPr>
              <w:pStyle w:val="Standard"/>
              <w:keepNext/>
              <w:keepLines/>
              <w:ind w:firstLine="0"/>
            </w:pPr>
          </w:p>
        </w:tc>
        <w:tc>
          <w:tcPr>
            <w:tcW w:w="1892" w:type="dxa"/>
          </w:tcPr>
          <w:p w:rsidR="00C06B4F" w:rsidP="008C75B6" w:rsidRDefault="00C06B4F" w14:paraId="6A48103C" w14:textId="29259361">
            <w:pPr>
              <w:pStyle w:val="Standard"/>
              <w:keepNext/>
              <w:keepLines/>
              <w:ind w:firstLine="0"/>
            </w:pPr>
          </w:p>
        </w:tc>
      </w:tr>
      <w:tr w:rsidR="00C06B4F" w:rsidTr="008C75B6" w14:paraId="02D254B6" w14:textId="77777777">
        <w:trPr>
          <w:jc w:val="center"/>
        </w:trPr>
        <w:tc>
          <w:tcPr>
            <w:tcW w:w="1515" w:type="dxa"/>
          </w:tcPr>
          <w:p w:rsidR="00C06B4F" w:rsidP="008C75B6" w:rsidRDefault="00C06B4F" w14:paraId="1E116486" w14:textId="77777777">
            <w:pPr>
              <w:pStyle w:val="Standard"/>
              <w:keepNext/>
              <w:keepLines/>
              <w:ind w:firstLine="0"/>
            </w:pPr>
            <w:r>
              <w:t>2012</w:t>
            </w:r>
          </w:p>
        </w:tc>
        <w:tc>
          <w:tcPr>
            <w:tcW w:w="1892" w:type="dxa"/>
          </w:tcPr>
          <w:p w:rsidR="00C06B4F" w:rsidP="008C75B6" w:rsidRDefault="00C06B4F" w14:paraId="1C4A3974" w14:textId="77777777">
            <w:pPr>
              <w:pStyle w:val="Standard"/>
              <w:keepNext/>
              <w:keepLines/>
              <w:ind w:firstLine="0"/>
            </w:pPr>
            <w:r>
              <w:t>1,809</w:t>
            </w:r>
          </w:p>
        </w:tc>
        <w:tc>
          <w:tcPr>
            <w:tcW w:w="1730" w:type="dxa"/>
          </w:tcPr>
          <w:p w:rsidR="00C06B4F" w:rsidP="008C75B6" w:rsidRDefault="00C06B4F" w14:paraId="668AE9A2" w14:textId="77777777">
            <w:pPr>
              <w:pStyle w:val="Standard"/>
              <w:keepNext/>
              <w:keepLines/>
              <w:ind w:firstLine="0"/>
            </w:pPr>
          </w:p>
        </w:tc>
        <w:tc>
          <w:tcPr>
            <w:tcW w:w="1892" w:type="dxa"/>
          </w:tcPr>
          <w:p w:rsidR="00C06B4F" w:rsidP="008C75B6" w:rsidRDefault="00C06B4F" w14:paraId="7A31EB87" w14:textId="364137AF">
            <w:pPr>
              <w:pStyle w:val="Standard"/>
              <w:keepNext/>
              <w:keepLines/>
              <w:ind w:firstLine="0"/>
            </w:pPr>
          </w:p>
        </w:tc>
      </w:tr>
      <w:tr w:rsidR="00C06B4F" w:rsidTr="008C75B6" w14:paraId="6E88AF0C" w14:textId="77777777">
        <w:trPr>
          <w:jc w:val="center"/>
        </w:trPr>
        <w:tc>
          <w:tcPr>
            <w:tcW w:w="1515" w:type="dxa"/>
          </w:tcPr>
          <w:p w:rsidR="00C06B4F" w:rsidP="008C75B6" w:rsidRDefault="00C06B4F" w14:paraId="5A087653" w14:textId="77777777">
            <w:pPr>
              <w:pStyle w:val="Standard"/>
              <w:keepNext/>
              <w:keepLines/>
              <w:ind w:firstLine="0"/>
            </w:pPr>
            <w:r>
              <w:t>2013</w:t>
            </w:r>
          </w:p>
        </w:tc>
        <w:tc>
          <w:tcPr>
            <w:tcW w:w="1892" w:type="dxa"/>
          </w:tcPr>
          <w:p w:rsidR="00C06B4F" w:rsidP="008C75B6" w:rsidRDefault="00C06B4F" w14:paraId="11B02E71" w14:textId="77777777">
            <w:pPr>
              <w:pStyle w:val="Standard"/>
              <w:keepNext/>
              <w:keepLines/>
              <w:ind w:firstLine="0"/>
            </w:pPr>
            <w:r>
              <w:t>1,914</w:t>
            </w:r>
          </w:p>
        </w:tc>
        <w:tc>
          <w:tcPr>
            <w:tcW w:w="1730" w:type="dxa"/>
          </w:tcPr>
          <w:p w:rsidR="00C06B4F" w:rsidP="008C75B6" w:rsidRDefault="00C06B4F" w14:paraId="2EF258D4" w14:textId="77777777">
            <w:pPr>
              <w:pStyle w:val="Standard"/>
              <w:keepNext/>
              <w:keepLines/>
              <w:ind w:firstLine="0"/>
            </w:pPr>
          </w:p>
        </w:tc>
        <w:tc>
          <w:tcPr>
            <w:tcW w:w="1892" w:type="dxa"/>
          </w:tcPr>
          <w:p w:rsidR="00C06B4F" w:rsidP="008C75B6" w:rsidRDefault="00C06B4F" w14:paraId="22468433" w14:textId="74A1B891">
            <w:pPr>
              <w:pStyle w:val="Standard"/>
              <w:keepNext/>
              <w:keepLines/>
              <w:ind w:firstLine="0"/>
            </w:pPr>
          </w:p>
        </w:tc>
      </w:tr>
      <w:tr w:rsidR="00C06B4F" w:rsidTr="008C75B6" w14:paraId="5720BFDD" w14:textId="77777777">
        <w:trPr>
          <w:jc w:val="center"/>
        </w:trPr>
        <w:tc>
          <w:tcPr>
            <w:tcW w:w="1515" w:type="dxa"/>
          </w:tcPr>
          <w:p w:rsidR="00C06B4F" w:rsidP="00F976D1" w:rsidRDefault="00C06B4F" w14:paraId="0CB04364" w14:textId="77777777">
            <w:pPr>
              <w:pStyle w:val="Standard"/>
              <w:ind w:firstLine="0"/>
            </w:pPr>
            <w:r>
              <w:t>2014</w:t>
            </w:r>
          </w:p>
        </w:tc>
        <w:tc>
          <w:tcPr>
            <w:tcW w:w="1892" w:type="dxa"/>
          </w:tcPr>
          <w:p w:rsidR="00C06B4F" w:rsidP="00F976D1" w:rsidRDefault="00C06B4F" w14:paraId="611619AF" w14:textId="77777777">
            <w:pPr>
              <w:pStyle w:val="Standard"/>
              <w:ind w:firstLine="0"/>
            </w:pPr>
            <w:r>
              <w:t>n/a</w:t>
            </w:r>
          </w:p>
        </w:tc>
        <w:tc>
          <w:tcPr>
            <w:tcW w:w="1730" w:type="dxa"/>
          </w:tcPr>
          <w:p w:rsidR="00C06B4F" w:rsidP="00F976D1" w:rsidRDefault="00C06B4F" w14:paraId="27E43DEB" w14:textId="77777777">
            <w:pPr>
              <w:pStyle w:val="Standard"/>
              <w:ind w:firstLine="0"/>
            </w:pPr>
          </w:p>
        </w:tc>
        <w:tc>
          <w:tcPr>
            <w:tcW w:w="1892" w:type="dxa"/>
          </w:tcPr>
          <w:p w:rsidR="00C06B4F" w:rsidP="00F976D1" w:rsidRDefault="00C06B4F" w14:paraId="7A28370F" w14:textId="65E02131">
            <w:pPr>
              <w:pStyle w:val="Standard"/>
              <w:ind w:firstLine="0"/>
            </w:pPr>
          </w:p>
        </w:tc>
      </w:tr>
      <w:tr w:rsidR="00C06B4F" w:rsidTr="008C75B6" w14:paraId="42637FC8" w14:textId="77777777">
        <w:trPr>
          <w:jc w:val="center"/>
        </w:trPr>
        <w:tc>
          <w:tcPr>
            <w:tcW w:w="1515" w:type="dxa"/>
          </w:tcPr>
          <w:p w:rsidR="00C06B4F" w:rsidP="00F976D1" w:rsidRDefault="00C06B4F" w14:paraId="1E6D6637" w14:textId="77777777">
            <w:pPr>
              <w:pStyle w:val="Standard"/>
              <w:ind w:firstLine="0"/>
            </w:pPr>
            <w:r>
              <w:t>2015</w:t>
            </w:r>
          </w:p>
        </w:tc>
        <w:tc>
          <w:tcPr>
            <w:tcW w:w="1892" w:type="dxa"/>
          </w:tcPr>
          <w:p w:rsidR="00C06B4F" w:rsidP="00F976D1" w:rsidRDefault="00C06B4F" w14:paraId="65F71928" w14:textId="77777777">
            <w:pPr>
              <w:pStyle w:val="Standard"/>
              <w:ind w:firstLine="0"/>
            </w:pPr>
            <w:r>
              <w:t>n/a</w:t>
            </w:r>
          </w:p>
        </w:tc>
        <w:tc>
          <w:tcPr>
            <w:tcW w:w="1730" w:type="dxa"/>
          </w:tcPr>
          <w:p w:rsidR="00C06B4F" w:rsidP="00F976D1" w:rsidRDefault="00DA30B4" w14:paraId="538CF0D1" w14:textId="504BE9B6">
            <w:pPr>
              <w:pStyle w:val="Standard"/>
              <w:ind w:firstLine="0"/>
            </w:pPr>
            <w:r>
              <w:t>97</w:t>
            </w:r>
          </w:p>
        </w:tc>
        <w:tc>
          <w:tcPr>
            <w:tcW w:w="1892" w:type="dxa"/>
          </w:tcPr>
          <w:p w:rsidR="00C06B4F" w:rsidP="00F976D1" w:rsidRDefault="00C06B4F" w14:paraId="60FF613C" w14:textId="71233934">
            <w:pPr>
              <w:pStyle w:val="Standard"/>
              <w:ind w:firstLine="0"/>
            </w:pPr>
          </w:p>
        </w:tc>
      </w:tr>
      <w:tr w:rsidR="00C06B4F" w:rsidTr="008C75B6" w14:paraId="79B821AB" w14:textId="77777777">
        <w:trPr>
          <w:jc w:val="center"/>
        </w:trPr>
        <w:tc>
          <w:tcPr>
            <w:tcW w:w="1515" w:type="dxa"/>
          </w:tcPr>
          <w:p w:rsidR="00C06B4F" w:rsidP="00F976D1" w:rsidRDefault="00C06B4F" w14:paraId="7E2A053A" w14:textId="77777777">
            <w:pPr>
              <w:pStyle w:val="Standard"/>
              <w:ind w:firstLine="0"/>
            </w:pPr>
            <w:r>
              <w:t>2016</w:t>
            </w:r>
          </w:p>
        </w:tc>
        <w:tc>
          <w:tcPr>
            <w:tcW w:w="1892" w:type="dxa"/>
          </w:tcPr>
          <w:p w:rsidR="00C06B4F" w:rsidP="00F976D1" w:rsidRDefault="00C06B4F" w14:paraId="2D177FA7" w14:textId="77777777">
            <w:pPr>
              <w:pStyle w:val="Standard"/>
              <w:ind w:firstLine="0"/>
            </w:pPr>
            <w:r>
              <w:t>n/a</w:t>
            </w:r>
          </w:p>
        </w:tc>
        <w:tc>
          <w:tcPr>
            <w:tcW w:w="1730" w:type="dxa"/>
          </w:tcPr>
          <w:p w:rsidR="00C06B4F" w:rsidP="00F976D1" w:rsidRDefault="002400EB" w14:paraId="7988EDA0" w14:textId="784FE030">
            <w:pPr>
              <w:pStyle w:val="Standard"/>
              <w:ind w:firstLine="0"/>
            </w:pPr>
            <w:r>
              <w:t>5</w:t>
            </w:r>
            <w:r w:rsidR="00DA30B4">
              <w:t>7</w:t>
            </w:r>
          </w:p>
        </w:tc>
        <w:tc>
          <w:tcPr>
            <w:tcW w:w="1892" w:type="dxa"/>
          </w:tcPr>
          <w:p w:rsidR="00C06B4F" w:rsidP="00F976D1" w:rsidRDefault="00C06B4F" w14:paraId="151109AA" w14:textId="5BB9FD7E">
            <w:pPr>
              <w:pStyle w:val="Standard"/>
              <w:ind w:firstLine="0"/>
            </w:pPr>
          </w:p>
        </w:tc>
      </w:tr>
      <w:tr w:rsidR="00C06B4F" w:rsidTr="008C75B6" w14:paraId="503E116B" w14:textId="77777777">
        <w:trPr>
          <w:jc w:val="center"/>
        </w:trPr>
        <w:tc>
          <w:tcPr>
            <w:tcW w:w="1515" w:type="dxa"/>
          </w:tcPr>
          <w:p w:rsidR="00C06B4F" w:rsidP="00F976D1" w:rsidRDefault="00C06B4F" w14:paraId="27F0A5DE" w14:textId="77777777">
            <w:pPr>
              <w:pStyle w:val="Standard"/>
              <w:ind w:firstLine="0"/>
            </w:pPr>
            <w:r>
              <w:t>2017</w:t>
            </w:r>
          </w:p>
        </w:tc>
        <w:tc>
          <w:tcPr>
            <w:tcW w:w="1892" w:type="dxa"/>
          </w:tcPr>
          <w:p w:rsidR="00C06B4F" w:rsidP="00F976D1" w:rsidRDefault="00C06B4F" w14:paraId="5617FC28" w14:textId="77777777">
            <w:pPr>
              <w:pStyle w:val="Standard"/>
              <w:ind w:firstLine="0"/>
            </w:pPr>
            <w:r>
              <w:t>n/a</w:t>
            </w:r>
          </w:p>
        </w:tc>
        <w:tc>
          <w:tcPr>
            <w:tcW w:w="1730" w:type="dxa"/>
          </w:tcPr>
          <w:p w:rsidR="00C06B4F" w:rsidP="00F976D1" w:rsidRDefault="00DA30B4" w14:paraId="71316172" w14:textId="244A8A0D">
            <w:pPr>
              <w:pStyle w:val="Standard"/>
              <w:ind w:firstLine="0"/>
            </w:pPr>
            <w:r>
              <w:t>367</w:t>
            </w:r>
          </w:p>
        </w:tc>
        <w:tc>
          <w:tcPr>
            <w:tcW w:w="1892" w:type="dxa"/>
          </w:tcPr>
          <w:p w:rsidR="00C06B4F" w:rsidP="00F976D1" w:rsidRDefault="00C06B4F" w14:paraId="0E74473B" w14:textId="13369CB8">
            <w:pPr>
              <w:pStyle w:val="Standard"/>
              <w:ind w:firstLine="0"/>
            </w:pPr>
          </w:p>
        </w:tc>
      </w:tr>
      <w:tr w:rsidR="00C06B4F" w:rsidTr="008C75B6" w14:paraId="59C3052F" w14:textId="77777777">
        <w:trPr>
          <w:jc w:val="center"/>
        </w:trPr>
        <w:tc>
          <w:tcPr>
            <w:tcW w:w="1515" w:type="dxa"/>
          </w:tcPr>
          <w:p w:rsidR="00C06B4F" w:rsidP="00F976D1" w:rsidRDefault="00C06B4F" w14:paraId="782F13C1" w14:textId="78EC5735">
            <w:pPr>
              <w:pStyle w:val="Standard"/>
              <w:ind w:firstLine="0"/>
            </w:pPr>
            <w:r>
              <w:t>2018</w:t>
            </w:r>
          </w:p>
        </w:tc>
        <w:tc>
          <w:tcPr>
            <w:tcW w:w="1892" w:type="dxa"/>
          </w:tcPr>
          <w:p w:rsidR="00C06B4F" w:rsidP="00F976D1" w:rsidRDefault="00C06B4F" w14:paraId="4115C3CE" w14:textId="6A4F8C28">
            <w:pPr>
              <w:pStyle w:val="Standard"/>
              <w:ind w:firstLine="0"/>
            </w:pPr>
          </w:p>
        </w:tc>
        <w:tc>
          <w:tcPr>
            <w:tcW w:w="1730" w:type="dxa"/>
          </w:tcPr>
          <w:p w:rsidR="00C06B4F" w:rsidP="00F976D1" w:rsidRDefault="00C06B4F" w14:paraId="7B0596DD" w14:textId="77777777">
            <w:pPr>
              <w:pStyle w:val="Standard"/>
              <w:ind w:firstLine="0"/>
            </w:pPr>
          </w:p>
        </w:tc>
        <w:tc>
          <w:tcPr>
            <w:tcW w:w="1892" w:type="dxa"/>
          </w:tcPr>
          <w:p w:rsidR="00C06B4F" w:rsidP="00F976D1" w:rsidRDefault="008E06EC" w14:paraId="2079A51B" w14:textId="2138467D">
            <w:pPr>
              <w:pStyle w:val="Standard"/>
              <w:ind w:firstLine="0"/>
            </w:pPr>
            <w:r>
              <w:t>2,500</w:t>
            </w:r>
          </w:p>
        </w:tc>
      </w:tr>
      <w:tr w:rsidR="00C06B4F" w:rsidTr="008C75B6" w14:paraId="31CF587C" w14:textId="77777777">
        <w:trPr>
          <w:jc w:val="center"/>
        </w:trPr>
        <w:tc>
          <w:tcPr>
            <w:tcW w:w="1515" w:type="dxa"/>
          </w:tcPr>
          <w:p w:rsidR="00C06B4F" w:rsidP="00F976D1" w:rsidRDefault="00C06B4F" w14:paraId="7D9BB372" w14:textId="42DCE577">
            <w:pPr>
              <w:pStyle w:val="Standard"/>
              <w:ind w:firstLine="0"/>
            </w:pPr>
            <w:r>
              <w:t>2019</w:t>
            </w:r>
          </w:p>
        </w:tc>
        <w:tc>
          <w:tcPr>
            <w:tcW w:w="1892" w:type="dxa"/>
          </w:tcPr>
          <w:p w:rsidR="00C06B4F" w:rsidP="00F976D1" w:rsidRDefault="00C06B4F" w14:paraId="594025D5" w14:textId="77777777">
            <w:pPr>
              <w:pStyle w:val="Standard"/>
              <w:ind w:firstLine="0"/>
            </w:pPr>
          </w:p>
        </w:tc>
        <w:tc>
          <w:tcPr>
            <w:tcW w:w="1730" w:type="dxa"/>
          </w:tcPr>
          <w:p w:rsidR="00C06B4F" w:rsidP="00F976D1" w:rsidRDefault="00C06B4F" w14:paraId="0CF83B51" w14:textId="77777777">
            <w:pPr>
              <w:pStyle w:val="Standard"/>
              <w:ind w:firstLine="0"/>
            </w:pPr>
          </w:p>
        </w:tc>
        <w:tc>
          <w:tcPr>
            <w:tcW w:w="1892" w:type="dxa"/>
          </w:tcPr>
          <w:p w:rsidR="00C06B4F" w:rsidP="00F976D1" w:rsidRDefault="008E06EC" w14:paraId="2A084B39" w14:textId="1035092E">
            <w:pPr>
              <w:pStyle w:val="Standard"/>
              <w:ind w:firstLine="0"/>
            </w:pPr>
            <w:r>
              <w:t>2,500</w:t>
            </w:r>
          </w:p>
        </w:tc>
      </w:tr>
      <w:tr w:rsidR="00C06B4F" w:rsidTr="008C75B6" w14:paraId="7B66CCE9" w14:textId="77777777">
        <w:trPr>
          <w:jc w:val="center"/>
        </w:trPr>
        <w:tc>
          <w:tcPr>
            <w:tcW w:w="1515" w:type="dxa"/>
          </w:tcPr>
          <w:p w:rsidR="00C06B4F" w:rsidP="00F976D1" w:rsidRDefault="00C06B4F" w14:paraId="552B68A5" w14:textId="60CFA18A">
            <w:pPr>
              <w:pStyle w:val="Standard"/>
              <w:ind w:firstLine="0"/>
            </w:pPr>
            <w:r>
              <w:t>2020</w:t>
            </w:r>
          </w:p>
        </w:tc>
        <w:tc>
          <w:tcPr>
            <w:tcW w:w="1892" w:type="dxa"/>
          </w:tcPr>
          <w:p w:rsidR="00C06B4F" w:rsidP="00F976D1" w:rsidRDefault="00C06B4F" w14:paraId="7D5A533C" w14:textId="77777777">
            <w:pPr>
              <w:pStyle w:val="Standard"/>
              <w:ind w:firstLine="0"/>
            </w:pPr>
          </w:p>
        </w:tc>
        <w:tc>
          <w:tcPr>
            <w:tcW w:w="1730" w:type="dxa"/>
          </w:tcPr>
          <w:p w:rsidR="00C06B4F" w:rsidP="00F976D1" w:rsidRDefault="00C06B4F" w14:paraId="0D382813" w14:textId="77777777">
            <w:pPr>
              <w:pStyle w:val="Standard"/>
              <w:ind w:firstLine="0"/>
            </w:pPr>
          </w:p>
        </w:tc>
        <w:tc>
          <w:tcPr>
            <w:tcW w:w="1892" w:type="dxa"/>
          </w:tcPr>
          <w:p w:rsidR="00C06B4F" w:rsidP="00F976D1" w:rsidRDefault="00EA17A5" w14:paraId="3E661D5F" w14:textId="3E62A72B">
            <w:pPr>
              <w:pStyle w:val="Standard"/>
              <w:ind w:firstLine="0"/>
            </w:pPr>
            <w:r>
              <w:t>2,500</w:t>
            </w:r>
          </w:p>
        </w:tc>
      </w:tr>
    </w:tbl>
    <w:p w:rsidRPr="008C75B6" w:rsidR="00F976D1" w:rsidP="004A4E2F" w:rsidRDefault="00F976D1" w14:paraId="722CF14C" w14:textId="69B3CE8B">
      <w:pPr>
        <w:pStyle w:val="Standard"/>
        <w:rPr>
          <w:sz w:val="10"/>
          <w:szCs w:val="10"/>
        </w:rPr>
      </w:pPr>
    </w:p>
    <w:p w:rsidR="00921DB9" w:rsidP="00921DB9" w:rsidRDefault="00921DB9" w14:paraId="3207A348" w14:textId="7644B630">
      <w:pPr>
        <w:pStyle w:val="Standard"/>
      </w:pPr>
      <w:r>
        <w:t xml:space="preserve">Park’s AMR meter installation began sixteen years ago, and was completed three years ago, as shown in Table </w:t>
      </w:r>
      <w:r w:rsidR="00255AE1">
        <w:t>11</w:t>
      </w:r>
      <w:r>
        <w:t xml:space="preserve"> below.</w:t>
      </w:r>
    </w:p>
    <w:p w:rsidRPr="00591725" w:rsidR="00255AE1" w:rsidP="008C75B6" w:rsidRDefault="00255AE1" w14:paraId="214DEFFB" w14:textId="431A62F7">
      <w:pPr>
        <w:pStyle w:val="Standard"/>
        <w:keepNext/>
        <w:keepLines/>
        <w:ind w:firstLine="0"/>
        <w:jc w:val="center"/>
        <w:rPr>
          <w:b/>
          <w:bCs/>
        </w:rPr>
      </w:pPr>
      <w:r w:rsidRPr="00591725">
        <w:rPr>
          <w:b/>
          <w:bCs/>
        </w:rPr>
        <w:lastRenderedPageBreak/>
        <w:t xml:space="preserve">Table </w:t>
      </w:r>
      <w:r>
        <w:rPr>
          <w:b/>
          <w:bCs/>
        </w:rPr>
        <w:t>11</w:t>
      </w:r>
    </w:p>
    <w:p w:rsidR="00C06B4F" w:rsidP="008C75B6" w:rsidRDefault="00C06B4F" w14:paraId="72EC8631" w14:textId="25C3DCB4">
      <w:pPr>
        <w:pStyle w:val="Standard"/>
        <w:keepNext/>
        <w:keepLines/>
        <w:spacing w:line="240" w:lineRule="auto"/>
        <w:ind w:firstLine="0"/>
        <w:jc w:val="center"/>
      </w:pPr>
      <w:r>
        <w:t>Liberty Park</w:t>
      </w:r>
    </w:p>
    <w:p w:rsidR="00C06B4F" w:rsidP="008C75B6" w:rsidRDefault="00C06B4F" w14:paraId="76E50540" w14:textId="52DA6A9F">
      <w:pPr>
        <w:pStyle w:val="Standard"/>
        <w:keepNext/>
        <w:keepLines/>
        <w:ind w:firstLine="0"/>
        <w:jc w:val="center"/>
      </w:pPr>
      <w:r>
        <w:t>AMR Meter Installation, Failure Rate, Anticipated Repairs in TY</w:t>
      </w:r>
      <w:r w:rsidR="008A688E">
        <w:rPr>
          <w:rStyle w:val="FootnoteReference"/>
        </w:rPr>
        <w:footnoteReference w:id="70"/>
      </w:r>
    </w:p>
    <w:tbl>
      <w:tblPr>
        <w:tblStyle w:val="TableGrid"/>
        <w:tblW w:w="0" w:type="auto"/>
        <w:jc w:val="center"/>
        <w:tblLook w:val="04A0" w:firstRow="1" w:lastRow="0" w:firstColumn="1" w:lastColumn="0" w:noHBand="0" w:noVBand="1"/>
      </w:tblPr>
      <w:tblGrid>
        <w:gridCol w:w="1515"/>
        <w:gridCol w:w="1892"/>
        <w:gridCol w:w="1730"/>
        <w:gridCol w:w="1892"/>
      </w:tblGrid>
      <w:tr w:rsidR="00E310B2" w:rsidTr="008C75B6" w14:paraId="2BB195EE" w14:textId="77777777">
        <w:trPr>
          <w:jc w:val="center"/>
        </w:trPr>
        <w:tc>
          <w:tcPr>
            <w:tcW w:w="1515" w:type="dxa"/>
          </w:tcPr>
          <w:p w:rsidR="00E310B2" w:rsidP="008C75B6" w:rsidRDefault="00E310B2" w14:paraId="5DC7E295" w14:textId="0147FFF1">
            <w:pPr>
              <w:pStyle w:val="Standard"/>
              <w:keepNext/>
              <w:keepLines/>
              <w:ind w:firstLine="0"/>
            </w:pPr>
            <w:r>
              <w:t>Installation Year</w:t>
            </w:r>
          </w:p>
        </w:tc>
        <w:tc>
          <w:tcPr>
            <w:tcW w:w="1892" w:type="dxa"/>
          </w:tcPr>
          <w:p w:rsidR="00E310B2" w:rsidP="008C75B6" w:rsidRDefault="00E310B2" w14:paraId="584C4AF7" w14:textId="2166C713">
            <w:pPr>
              <w:pStyle w:val="Standard"/>
              <w:keepNext/>
              <w:keepLines/>
              <w:ind w:firstLine="0"/>
            </w:pPr>
            <w:r>
              <w:t>New Installation</w:t>
            </w:r>
          </w:p>
        </w:tc>
        <w:tc>
          <w:tcPr>
            <w:tcW w:w="1730" w:type="dxa"/>
          </w:tcPr>
          <w:p w:rsidR="00E310B2" w:rsidP="008C75B6" w:rsidRDefault="00E310B2" w14:paraId="01E4C199" w14:textId="57567A29">
            <w:pPr>
              <w:pStyle w:val="Standard"/>
              <w:keepNext/>
              <w:keepLines/>
              <w:ind w:firstLine="0"/>
            </w:pPr>
            <w:r>
              <w:t>Actual Failures</w:t>
            </w:r>
          </w:p>
        </w:tc>
        <w:tc>
          <w:tcPr>
            <w:tcW w:w="1892" w:type="dxa"/>
          </w:tcPr>
          <w:p w:rsidR="00E310B2" w:rsidP="008C75B6" w:rsidRDefault="00681425" w14:paraId="3FE3B238" w14:textId="17012867">
            <w:pPr>
              <w:pStyle w:val="Standard"/>
              <w:keepNext/>
              <w:keepLines/>
              <w:ind w:firstLine="0"/>
            </w:pPr>
            <w:r>
              <w:t>Planned</w:t>
            </w:r>
            <w:r w:rsidR="00E310B2">
              <w:t xml:space="preserve"> Repair</w:t>
            </w:r>
            <w:r>
              <w:t>s</w:t>
            </w:r>
            <w:r w:rsidR="00E310B2">
              <w:t xml:space="preserve"> or Replacement</w:t>
            </w:r>
            <w:r>
              <w:t>s</w:t>
            </w:r>
          </w:p>
        </w:tc>
      </w:tr>
      <w:tr w:rsidR="00E310B2" w:rsidTr="008C75B6" w14:paraId="39658F38" w14:textId="77777777">
        <w:trPr>
          <w:jc w:val="center"/>
        </w:trPr>
        <w:tc>
          <w:tcPr>
            <w:tcW w:w="1515" w:type="dxa"/>
          </w:tcPr>
          <w:p w:rsidR="00E310B2" w:rsidP="009456A6" w:rsidRDefault="00E310B2" w14:paraId="56D1A227" w14:textId="77777777">
            <w:pPr>
              <w:pStyle w:val="Standard"/>
              <w:ind w:firstLine="0"/>
            </w:pPr>
            <w:r>
              <w:t>2004</w:t>
            </w:r>
          </w:p>
        </w:tc>
        <w:tc>
          <w:tcPr>
            <w:tcW w:w="1892" w:type="dxa"/>
          </w:tcPr>
          <w:p w:rsidR="00E310B2" w:rsidP="009456A6" w:rsidRDefault="00E310B2" w14:paraId="43469214" w14:textId="49E8BC73">
            <w:pPr>
              <w:pStyle w:val="Standard"/>
              <w:ind w:firstLine="0"/>
            </w:pPr>
            <w:r>
              <w:t>26</w:t>
            </w:r>
          </w:p>
        </w:tc>
        <w:tc>
          <w:tcPr>
            <w:tcW w:w="1730" w:type="dxa"/>
          </w:tcPr>
          <w:p w:rsidR="00E310B2" w:rsidP="009456A6" w:rsidRDefault="00E310B2" w14:paraId="055ECFED" w14:textId="77777777">
            <w:pPr>
              <w:pStyle w:val="Standard"/>
              <w:ind w:firstLine="0"/>
            </w:pPr>
          </w:p>
        </w:tc>
        <w:tc>
          <w:tcPr>
            <w:tcW w:w="1892" w:type="dxa"/>
          </w:tcPr>
          <w:p w:rsidR="00E310B2" w:rsidP="009456A6" w:rsidRDefault="00E310B2" w14:paraId="215B7597" w14:textId="72757837">
            <w:pPr>
              <w:pStyle w:val="Standard"/>
              <w:ind w:firstLine="0"/>
            </w:pPr>
          </w:p>
        </w:tc>
      </w:tr>
      <w:tr w:rsidR="00E310B2" w:rsidTr="008C75B6" w14:paraId="61E7C727" w14:textId="77777777">
        <w:trPr>
          <w:jc w:val="center"/>
        </w:trPr>
        <w:tc>
          <w:tcPr>
            <w:tcW w:w="1515" w:type="dxa"/>
          </w:tcPr>
          <w:p w:rsidR="00E310B2" w:rsidP="009456A6" w:rsidRDefault="00E310B2" w14:paraId="08343648" w14:textId="77777777">
            <w:pPr>
              <w:pStyle w:val="Standard"/>
              <w:ind w:firstLine="0"/>
            </w:pPr>
            <w:r>
              <w:t>2005</w:t>
            </w:r>
          </w:p>
        </w:tc>
        <w:tc>
          <w:tcPr>
            <w:tcW w:w="1892" w:type="dxa"/>
          </w:tcPr>
          <w:p w:rsidR="00E310B2" w:rsidP="009456A6" w:rsidRDefault="00E310B2" w14:paraId="561320F3" w14:textId="009253E9">
            <w:pPr>
              <w:pStyle w:val="Standard"/>
              <w:ind w:firstLine="0"/>
            </w:pPr>
            <w:r>
              <w:t>152</w:t>
            </w:r>
          </w:p>
        </w:tc>
        <w:tc>
          <w:tcPr>
            <w:tcW w:w="1730" w:type="dxa"/>
          </w:tcPr>
          <w:p w:rsidR="00E310B2" w:rsidP="009456A6" w:rsidRDefault="00E310B2" w14:paraId="36E3FE58" w14:textId="77777777">
            <w:pPr>
              <w:pStyle w:val="Standard"/>
              <w:ind w:firstLine="0"/>
            </w:pPr>
          </w:p>
        </w:tc>
        <w:tc>
          <w:tcPr>
            <w:tcW w:w="1892" w:type="dxa"/>
          </w:tcPr>
          <w:p w:rsidR="00E310B2" w:rsidP="009456A6" w:rsidRDefault="00E310B2" w14:paraId="63A1374E" w14:textId="1F91BDC2">
            <w:pPr>
              <w:pStyle w:val="Standard"/>
              <w:ind w:firstLine="0"/>
            </w:pPr>
          </w:p>
        </w:tc>
      </w:tr>
      <w:tr w:rsidR="00E310B2" w:rsidTr="008C75B6" w14:paraId="632215B7" w14:textId="77777777">
        <w:trPr>
          <w:jc w:val="center"/>
        </w:trPr>
        <w:tc>
          <w:tcPr>
            <w:tcW w:w="1515" w:type="dxa"/>
          </w:tcPr>
          <w:p w:rsidR="00E310B2" w:rsidP="009456A6" w:rsidRDefault="00E310B2" w14:paraId="13D01057" w14:textId="77777777">
            <w:pPr>
              <w:pStyle w:val="Standard"/>
              <w:ind w:firstLine="0"/>
            </w:pPr>
            <w:r>
              <w:t>2006</w:t>
            </w:r>
          </w:p>
        </w:tc>
        <w:tc>
          <w:tcPr>
            <w:tcW w:w="1892" w:type="dxa"/>
          </w:tcPr>
          <w:p w:rsidR="00E310B2" w:rsidP="009456A6" w:rsidRDefault="00E310B2" w14:paraId="300FA609" w14:textId="716125F0">
            <w:pPr>
              <w:pStyle w:val="Standard"/>
              <w:ind w:firstLine="0"/>
            </w:pPr>
            <w:r>
              <w:t>1,115</w:t>
            </w:r>
          </w:p>
        </w:tc>
        <w:tc>
          <w:tcPr>
            <w:tcW w:w="1730" w:type="dxa"/>
          </w:tcPr>
          <w:p w:rsidR="00E310B2" w:rsidP="009456A6" w:rsidRDefault="00E310B2" w14:paraId="6361653C" w14:textId="77777777">
            <w:pPr>
              <w:pStyle w:val="Standard"/>
              <w:ind w:firstLine="0"/>
            </w:pPr>
          </w:p>
        </w:tc>
        <w:tc>
          <w:tcPr>
            <w:tcW w:w="1892" w:type="dxa"/>
          </w:tcPr>
          <w:p w:rsidR="00E310B2" w:rsidP="009456A6" w:rsidRDefault="00E310B2" w14:paraId="2A7590F4" w14:textId="352984FB">
            <w:pPr>
              <w:pStyle w:val="Standard"/>
              <w:ind w:firstLine="0"/>
            </w:pPr>
          </w:p>
        </w:tc>
      </w:tr>
      <w:tr w:rsidR="00E310B2" w:rsidTr="008C75B6" w14:paraId="1B31DE7F" w14:textId="77777777">
        <w:trPr>
          <w:jc w:val="center"/>
        </w:trPr>
        <w:tc>
          <w:tcPr>
            <w:tcW w:w="1515" w:type="dxa"/>
          </w:tcPr>
          <w:p w:rsidR="00E310B2" w:rsidP="009456A6" w:rsidRDefault="00E310B2" w14:paraId="2DA8054B" w14:textId="77777777">
            <w:pPr>
              <w:pStyle w:val="Standard"/>
              <w:ind w:firstLine="0"/>
            </w:pPr>
            <w:r>
              <w:t>2007</w:t>
            </w:r>
          </w:p>
        </w:tc>
        <w:tc>
          <w:tcPr>
            <w:tcW w:w="1892" w:type="dxa"/>
          </w:tcPr>
          <w:p w:rsidR="00E310B2" w:rsidP="009456A6" w:rsidRDefault="00E310B2" w14:paraId="21DFD2BC" w14:textId="149BDA6D">
            <w:pPr>
              <w:pStyle w:val="Standard"/>
              <w:ind w:firstLine="0"/>
            </w:pPr>
            <w:r>
              <w:t>1,215</w:t>
            </w:r>
          </w:p>
        </w:tc>
        <w:tc>
          <w:tcPr>
            <w:tcW w:w="1730" w:type="dxa"/>
          </w:tcPr>
          <w:p w:rsidR="00E310B2" w:rsidP="009456A6" w:rsidRDefault="00E310B2" w14:paraId="22A42A86" w14:textId="77777777">
            <w:pPr>
              <w:pStyle w:val="Standard"/>
              <w:ind w:firstLine="0"/>
            </w:pPr>
          </w:p>
        </w:tc>
        <w:tc>
          <w:tcPr>
            <w:tcW w:w="1892" w:type="dxa"/>
          </w:tcPr>
          <w:p w:rsidR="00E310B2" w:rsidP="009456A6" w:rsidRDefault="00E310B2" w14:paraId="0F002150" w14:textId="14DF724B">
            <w:pPr>
              <w:pStyle w:val="Standard"/>
              <w:ind w:firstLine="0"/>
            </w:pPr>
          </w:p>
        </w:tc>
      </w:tr>
      <w:tr w:rsidR="00E310B2" w:rsidTr="008C75B6" w14:paraId="1BF2B101" w14:textId="77777777">
        <w:trPr>
          <w:jc w:val="center"/>
        </w:trPr>
        <w:tc>
          <w:tcPr>
            <w:tcW w:w="1515" w:type="dxa"/>
          </w:tcPr>
          <w:p w:rsidR="00E310B2" w:rsidP="009456A6" w:rsidRDefault="00E310B2" w14:paraId="63317D09" w14:textId="77777777">
            <w:pPr>
              <w:pStyle w:val="Standard"/>
              <w:ind w:firstLine="0"/>
            </w:pPr>
            <w:r>
              <w:t>2008</w:t>
            </w:r>
          </w:p>
        </w:tc>
        <w:tc>
          <w:tcPr>
            <w:tcW w:w="1892" w:type="dxa"/>
          </w:tcPr>
          <w:p w:rsidR="00E310B2" w:rsidP="009456A6" w:rsidRDefault="00E310B2" w14:paraId="7C96A65F" w14:textId="2C5B4A5F">
            <w:pPr>
              <w:pStyle w:val="Standard"/>
              <w:ind w:firstLine="0"/>
            </w:pPr>
            <w:r>
              <w:t>2,124</w:t>
            </w:r>
          </w:p>
        </w:tc>
        <w:tc>
          <w:tcPr>
            <w:tcW w:w="1730" w:type="dxa"/>
          </w:tcPr>
          <w:p w:rsidR="00E310B2" w:rsidP="009456A6" w:rsidRDefault="00E310B2" w14:paraId="3A797E20" w14:textId="77777777">
            <w:pPr>
              <w:pStyle w:val="Standard"/>
              <w:ind w:firstLine="0"/>
            </w:pPr>
          </w:p>
        </w:tc>
        <w:tc>
          <w:tcPr>
            <w:tcW w:w="1892" w:type="dxa"/>
          </w:tcPr>
          <w:p w:rsidR="00E310B2" w:rsidP="009456A6" w:rsidRDefault="00E310B2" w14:paraId="61E875F4" w14:textId="5B306A4E">
            <w:pPr>
              <w:pStyle w:val="Standard"/>
              <w:ind w:firstLine="0"/>
            </w:pPr>
          </w:p>
        </w:tc>
      </w:tr>
      <w:tr w:rsidR="00E310B2" w:rsidTr="008C75B6" w14:paraId="340F6DF6" w14:textId="77777777">
        <w:trPr>
          <w:jc w:val="center"/>
        </w:trPr>
        <w:tc>
          <w:tcPr>
            <w:tcW w:w="1515" w:type="dxa"/>
          </w:tcPr>
          <w:p w:rsidR="00E310B2" w:rsidP="009456A6" w:rsidRDefault="00E310B2" w14:paraId="487D2950" w14:textId="77777777">
            <w:pPr>
              <w:pStyle w:val="Standard"/>
              <w:ind w:firstLine="0"/>
            </w:pPr>
            <w:r>
              <w:t>2009</w:t>
            </w:r>
          </w:p>
        </w:tc>
        <w:tc>
          <w:tcPr>
            <w:tcW w:w="1892" w:type="dxa"/>
          </w:tcPr>
          <w:p w:rsidR="00E310B2" w:rsidP="009456A6" w:rsidRDefault="00E310B2" w14:paraId="04A6B383" w14:textId="673F94FB">
            <w:pPr>
              <w:pStyle w:val="Standard"/>
              <w:ind w:firstLine="0"/>
            </w:pPr>
            <w:r>
              <w:t>1,885</w:t>
            </w:r>
          </w:p>
        </w:tc>
        <w:tc>
          <w:tcPr>
            <w:tcW w:w="1730" w:type="dxa"/>
          </w:tcPr>
          <w:p w:rsidR="00E310B2" w:rsidP="009456A6" w:rsidRDefault="00E310B2" w14:paraId="0A416D14" w14:textId="77777777">
            <w:pPr>
              <w:pStyle w:val="Standard"/>
              <w:ind w:firstLine="0"/>
            </w:pPr>
          </w:p>
        </w:tc>
        <w:tc>
          <w:tcPr>
            <w:tcW w:w="1892" w:type="dxa"/>
          </w:tcPr>
          <w:p w:rsidR="00E310B2" w:rsidP="009456A6" w:rsidRDefault="00E310B2" w14:paraId="0B024C7F" w14:textId="6B6B21FA">
            <w:pPr>
              <w:pStyle w:val="Standard"/>
              <w:ind w:firstLine="0"/>
            </w:pPr>
          </w:p>
        </w:tc>
      </w:tr>
      <w:tr w:rsidR="00E310B2" w:rsidTr="008C75B6" w14:paraId="4BC05DB1" w14:textId="77777777">
        <w:trPr>
          <w:jc w:val="center"/>
        </w:trPr>
        <w:tc>
          <w:tcPr>
            <w:tcW w:w="1515" w:type="dxa"/>
          </w:tcPr>
          <w:p w:rsidR="00E310B2" w:rsidP="009456A6" w:rsidRDefault="00E310B2" w14:paraId="4EFA486A" w14:textId="77777777">
            <w:pPr>
              <w:pStyle w:val="Standard"/>
              <w:ind w:firstLine="0"/>
            </w:pPr>
            <w:r>
              <w:t>2010</w:t>
            </w:r>
          </w:p>
        </w:tc>
        <w:tc>
          <w:tcPr>
            <w:tcW w:w="1892" w:type="dxa"/>
          </w:tcPr>
          <w:p w:rsidR="00E310B2" w:rsidP="009456A6" w:rsidRDefault="00E310B2" w14:paraId="72B8E05F" w14:textId="67F6FE71">
            <w:pPr>
              <w:pStyle w:val="Standard"/>
              <w:ind w:firstLine="0"/>
            </w:pPr>
            <w:r>
              <w:t>624</w:t>
            </w:r>
          </w:p>
        </w:tc>
        <w:tc>
          <w:tcPr>
            <w:tcW w:w="1730" w:type="dxa"/>
          </w:tcPr>
          <w:p w:rsidR="00E310B2" w:rsidP="009456A6" w:rsidRDefault="00E310B2" w14:paraId="3984A2DC" w14:textId="77777777">
            <w:pPr>
              <w:pStyle w:val="Standard"/>
              <w:ind w:firstLine="0"/>
            </w:pPr>
          </w:p>
        </w:tc>
        <w:tc>
          <w:tcPr>
            <w:tcW w:w="1892" w:type="dxa"/>
          </w:tcPr>
          <w:p w:rsidR="00E310B2" w:rsidP="009456A6" w:rsidRDefault="00E310B2" w14:paraId="30689FA0" w14:textId="08036664">
            <w:pPr>
              <w:pStyle w:val="Standard"/>
              <w:ind w:firstLine="0"/>
            </w:pPr>
          </w:p>
        </w:tc>
      </w:tr>
      <w:tr w:rsidR="00E310B2" w:rsidTr="008C75B6" w14:paraId="19CFC6B0" w14:textId="77777777">
        <w:trPr>
          <w:jc w:val="center"/>
        </w:trPr>
        <w:tc>
          <w:tcPr>
            <w:tcW w:w="1515" w:type="dxa"/>
          </w:tcPr>
          <w:p w:rsidR="00E310B2" w:rsidP="009456A6" w:rsidRDefault="00E310B2" w14:paraId="2DD72D90" w14:textId="77777777">
            <w:pPr>
              <w:pStyle w:val="Standard"/>
              <w:ind w:firstLine="0"/>
            </w:pPr>
            <w:r>
              <w:t>2011</w:t>
            </w:r>
          </w:p>
        </w:tc>
        <w:tc>
          <w:tcPr>
            <w:tcW w:w="1892" w:type="dxa"/>
          </w:tcPr>
          <w:p w:rsidR="00E310B2" w:rsidP="009456A6" w:rsidRDefault="00E310B2" w14:paraId="32FBB41F" w14:textId="62EC6FE5">
            <w:pPr>
              <w:pStyle w:val="Standard"/>
              <w:ind w:firstLine="0"/>
            </w:pPr>
            <w:r>
              <w:t>690</w:t>
            </w:r>
          </w:p>
        </w:tc>
        <w:tc>
          <w:tcPr>
            <w:tcW w:w="1730" w:type="dxa"/>
          </w:tcPr>
          <w:p w:rsidR="00E310B2" w:rsidP="009456A6" w:rsidRDefault="00E310B2" w14:paraId="7D39D5AF" w14:textId="77777777">
            <w:pPr>
              <w:pStyle w:val="Standard"/>
              <w:ind w:firstLine="0"/>
            </w:pPr>
          </w:p>
        </w:tc>
        <w:tc>
          <w:tcPr>
            <w:tcW w:w="1892" w:type="dxa"/>
          </w:tcPr>
          <w:p w:rsidR="00E310B2" w:rsidP="009456A6" w:rsidRDefault="00E310B2" w14:paraId="2EC7A545" w14:textId="057BB378">
            <w:pPr>
              <w:pStyle w:val="Standard"/>
              <w:ind w:firstLine="0"/>
            </w:pPr>
          </w:p>
        </w:tc>
      </w:tr>
      <w:tr w:rsidR="00E310B2" w:rsidTr="008C75B6" w14:paraId="4A375C32" w14:textId="77777777">
        <w:trPr>
          <w:jc w:val="center"/>
        </w:trPr>
        <w:tc>
          <w:tcPr>
            <w:tcW w:w="1515" w:type="dxa"/>
          </w:tcPr>
          <w:p w:rsidR="00E310B2" w:rsidP="009456A6" w:rsidRDefault="00E310B2" w14:paraId="5305FFC4" w14:textId="77777777">
            <w:pPr>
              <w:pStyle w:val="Standard"/>
              <w:ind w:firstLine="0"/>
            </w:pPr>
            <w:r>
              <w:t>2012</w:t>
            </w:r>
          </w:p>
        </w:tc>
        <w:tc>
          <w:tcPr>
            <w:tcW w:w="1892" w:type="dxa"/>
          </w:tcPr>
          <w:p w:rsidR="00E310B2" w:rsidP="009456A6" w:rsidRDefault="00E310B2" w14:paraId="2831D407" w14:textId="09FCFE7B">
            <w:pPr>
              <w:pStyle w:val="Standard"/>
              <w:ind w:firstLine="0"/>
            </w:pPr>
            <w:r>
              <w:t>3,035</w:t>
            </w:r>
          </w:p>
        </w:tc>
        <w:tc>
          <w:tcPr>
            <w:tcW w:w="1730" w:type="dxa"/>
          </w:tcPr>
          <w:p w:rsidR="00E310B2" w:rsidP="009456A6" w:rsidRDefault="007C659E" w14:paraId="1A9FD182" w14:textId="2982C4E1">
            <w:pPr>
              <w:pStyle w:val="Standard"/>
              <w:ind w:firstLine="0"/>
            </w:pPr>
            <w:r>
              <w:t>208</w:t>
            </w:r>
          </w:p>
        </w:tc>
        <w:tc>
          <w:tcPr>
            <w:tcW w:w="1892" w:type="dxa"/>
          </w:tcPr>
          <w:p w:rsidR="00E310B2" w:rsidP="009456A6" w:rsidRDefault="00E310B2" w14:paraId="00352E37" w14:textId="75A0AB5A">
            <w:pPr>
              <w:pStyle w:val="Standard"/>
              <w:ind w:firstLine="0"/>
            </w:pPr>
          </w:p>
        </w:tc>
      </w:tr>
      <w:tr w:rsidR="00E310B2" w:rsidTr="008C75B6" w14:paraId="0A479BD9" w14:textId="77777777">
        <w:trPr>
          <w:jc w:val="center"/>
        </w:trPr>
        <w:tc>
          <w:tcPr>
            <w:tcW w:w="1515" w:type="dxa"/>
          </w:tcPr>
          <w:p w:rsidR="00E310B2" w:rsidP="009456A6" w:rsidRDefault="00E310B2" w14:paraId="48D8D691" w14:textId="77777777">
            <w:pPr>
              <w:pStyle w:val="Standard"/>
              <w:ind w:firstLine="0"/>
            </w:pPr>
            <w:r>
              <w:t>2013</w:t>
            </w:r>
          </w:p>
        </w:tc>
        <w:tc>
          <w:tcPr>
            <w:tcW w:w="1892" w:type="dxa"/>
          </w:tcPr>
          <w:p w:rsidR="00E310B2" w:rsidP="009456A6" w:rsidRDefault="00E310B2" w14:paraId="41AC5403" w14:textId="37A5C6E7">
            <w:pPr>
              <w:pStyle w:val="Standard"/>
              <w:ind w:firstLine="0"/>
            </w:pPr>
            <w:r>
              <w:t>5,081</w:t>
            </w:r>
          </w:p>
        </w:tc>
        <w:tc>
          <w:tcPr>
            <w:tcW w:w="1730" w:type="dxa"/>
          </w:tcPr>
          <w:p w:rsidR="00E310B2" w:rsidP="009456A6" w:rsidRDefault="007C659E" w14:paraId="0B1FE10B" w14:textId="24EAC13B">
            <w:pPr>
              <w:pStyle w:val="Standard"/>
              <w:ind w:firstLine="0"/>
            </w:pPr>
            <w:r>
              <w:t>117</w:t>
            </w:r>
          </w:p>
        </w:tc>
        <w:tc>
          <w:tcPr>
            <w:tcW w:w="1892" w:type="dxa"/>
          </w:tcPr>
          <w:p w:rsidR="00E310B2" w:rsidP="009456A6" w:rsidRDefault="00E310B2" w14:paraId="61091053" w14:textId="2FDA94B5">
            <w:pPr>
              <w:pStyle w:val="Standard"/>
              <w:ind w:firstLine="0"/>
            </w:pPr>
          </w:p>
        </w:tc>
      </w:tr>
      <w:tr w:rsidR="00E310B2" w:rsidTr="008C75B6" w14:paraId="4C53B34D" w14:textId="77777777">
        <w:trPr>
          <w:jc w:val="center"/>
        </w:trPr>
        <w:tc>
          <w:tcPr>
            <w:tcW w:w="1515" w:type="dxa"/>
          </w:tcPr>
          <w:p w:rsidR="00E310B2" w:rsidP="009456A6" w:rsidRDefault="00E310B2" w14:paraId="78328355" w14:textId="77777777">
            <w:pPr>
              <w:pStyle w:val="Standard"/>
              <w:ind w:firstLine="0"/>
            </w:pPr>
            <w:r>
              <w:t>2014</w:t>
            </w:r>
          </w:p>
        </w:tc>
        <w:tc>
          <w:tcPr>
            <w:tcW w:w="1892" w:type="dxa"/>
          </w:tcPr>
          <w:p w:rsidR="00E310B2" w:rsidP="009456A6" w:rsidRDefault="00E310B2" w14:paraId="44E55A3A" w14:textId="518EA182">
            <w:pPr>
              <w:pStyle w:val="Standard"/>
              <w:ind w:firstLine="0"/>
            </w:pPr>
            <w:r>
              <w:t>3,871</w:t>
            </w:r>
          </w:p>
        </w:tc>
        <w:tc>
          <w:tcPr>
            <w:tcW w:w="1730" w:type="dxa"/>
          </w:tcPr>
          <w:p w:rsidR="00E310B2" w:rsidP="009456A6" w:rsidRDefault="007C659E" w14:paraId="2DC330C6" w14:textId="093FE691">
            <w:pPr>
              <w:pStyle w:val="Standard"/>
              <w:ind w:firstLine="0"/>
            </w:pPr>
            <w:r>
              <w:t>454</w:t>
            </w:r>
          </w:p>
        </w:tc>
        <w:tc>
          <w:tcPr>
            <w:tcW w:w="1892" w:type="dxa"/>
          </w:tcPr>
          <w:p w:rsidR="00E310B2" w:rsidP="009456A6" w:rsidRDefault="00E310B2" w14:paraId="3432DD45" w14:textId="6F87A4B7">
            <w:pPr>
              <w:pStyle w:val="Standard"/>
              <w:ind w:firstLine="0"/>
            </w:pPr>
          </w:p>
        </w:tc>
      </w:tr>
      <w:tr w:rsidR="00E310B2" w:rsidTr="008C75B6" w14:paraId="6F49056D" w14:textId="77777777">
        <w:trPr>
          <w:jc w:val="center"/>
        </w:trPr>
        <w:tc>
          <w:tcPr>
            <w:tcW w:w="1515" w:type="dxa"/>
          </w:tcPr>
          <w:p w:rsidR="00E310B2" w:rsidP="009456A6" w:rsidRDefault="00E310B2" w14:paraId="42127E25" w14:textId="77777777">
            <w:pPr>
              <w:pStyle w:val="Standard"/>
              <w:ind w:firstLine="0"/>
            </w:pPr>
            <w:r>
              <w:t>2015</w:t>
            </w:r>
          </w:p>
        </w:tc>
        <w:tc>
          <w:tcPr>
            <w:tcW w:w="1892" w:type="dxa"/>
          </w:tcPr>
          <w:p w:rsidR="00E310B2" w:rsidP="009456A6" w:rsidRDefault="00E310B2" w14:paraId="5A7E1DDE" w14:textId="365432B6">
            <w:pPr>
              <w:pStyle w:val="Standard"/>
              <w:ind w:firstLine="0"/>
            </w:pPr>
            <w:r>
              <w:t>3,353</w:t>
            </w:r>
          </w:p>
        </w:tc>
        <w:tc>
          <w:tcPr>
            <w:tcW w:w="1730" w:type="dxa"/>
          </w:tcPr>
          <w:p w:rsidR="00E310B2" w:rsidP="009456A6" w:rsidRDefault="007C659E" w14:paraId="334CB1FB" w14:textId="01162DD9">
            <w:pPr>
              <w:pStyle w:val="Standard"/>
              <w:ind w:firstLine="0"/>
            </w:pPr>
            <w:r>
              <w:t>1,075</w:t>
            </w:r>
          </w:p>
        </w:tc>
        <w:tc>
          <w:tcPr>
            <w:tcW w:w="1892" w:type="dxa"/>
          </w:tcPr>
          <w:p w:rsidR="00E310B2" w:rsidP="009456A6" w:rsidRDefault="00E310B2" w14:paraId="2054A5FB" w14:textId="41C6ECD4">
            <w:pPr>
              <w:pStyle w:val="Standard"/>
              <w:ind w:firstLine="0"/>
            </w:pPr>
          </w:p>
        </w:tc>
      </w:tr>
      <w:tr w:rsidR="00E310B2" w:rsidTr="008C75B6" w14:paraId="05F1FEA4" w14:textId="77777777">
        <w:trPr>
          <w:jc w:val="center"/>
        </w:trPr>
        <w:tc>
          <w:tcPr>
            <w:tcW w:w="1515" w:type="dxa"/>
          </w:tcPr>
          <w:p w:rsidR="00E310B2" w:rsidP="009456A6" w:rsidRDefault="00E310B2" w14:paraId="5F621E68" w14:textId="77777777">
            <w:pPr>
              <w:pStyle w:val="Standard"/>
              <w:ind w:firstLine="0"/>
            </w:pPr>
            <w:r>
              <w:t>2016</w:t>
            </w:r>
          </w:p>
        </w:tc>
        <w:tc>
          <w:tcPr>
            <w:tcW w:w="1892" w:type="dxa"/>
          </w:tcPr>
          <w:p w:rsidR="00E310B2" w:rsidP="009456A6" w:rsidRDefault="00E310B2" w14:paraId="523566B4" w14:textId="0C754CE7">
            <w:pPr>
              <w:pStyle w:val="Standard"/>
              <w:ind w:firstLine="0"/>
            </w:pPr>
            <w:r>
              <w:t>1,634</w:t>
            </w:r>
          </w:p>
        </w:tc>
        <w:tc>
          <w:tcPr>
            <w:tcW w:w="1730" w:type="dxa"/>
          </w:tcPr>
          <w:p w:rsidR="00E310B2" w:rsidP="009456A6" w:rsidRDefault="007C659E" w14:paraId="65B1E8F2" w14:textId="70F22A9B">
            <w:pPr>
              <w:pStyle w:val="Standard"/>
              <w:ind w:firstLine="0"/>
            </w:pPr>
            <w:r>
              <w:t>863</w:t>
            </w:r>
          </w:p>
        </w:tc>
        <w:tc>
          <w:tcPr>
            <w:tcW w:w="1892" w:type="dxa"/>
          </w:tcPr>
          <w:p w:rsidR="00E310B2" w:rsidP="009456A6" w:rsidRDefault="00E310B2" w14:paraId="754278C8" w14:textId="07784DAC">
            <w:pPr>
              <w:pStyle w:val="Standard"/>
              <w:ind w:firstLine="0"/>
            </w:pPr>
          </w:p>
        </w:tc>
      </w:tr>
      <w:tr w:rsidR="00E310B2" w:rsidTr="008C75B6" w14:paraId="1DEC9B74" w14:textId="77777777">
        <w:trPr>
          <w:jc w:val="center"/>
        </w:trPr>
        <w:tc>
          <w:tcPr>
            <w:tcW w:w="1515" w:type="dxa"/>
          </w:tcPr>
          <w:p w:rsidR="00E310B2" w:rsidP="009456A6" w:rsidRDefault="00E310B2" w14:paraId="2FC293E0" w14:textId="77777777">
            <w:pPr>
              <w:pStyle w:val="Standard"/>
              <w:ind w:firstLine="0"/>
            </w:pPr>
            <w:r>
              <w:t>2017</w:t>
            </w:r>
          </w:p>
        </w:tc>
        <w:tc>
          <w:tcPr>
            <w:tcW w:w="1892" w:type="dxa"/>
          </w:tcPr>
          <w:p w:rsidR="00E310B2" w:rsidP="009456A6" w:rsidRDefault="00E310B2" w14:paraId="56AFB7FD" w14:textId="1880F69B">
            <w:pPr>
              <w:pStyle w:val="Standard"/>
              <w:ind w:firstLine="0"/>
            </w:pPr>
            <w:r>
              <w:t>1,583</w:t>
            </w:r>
          </w:p>
        </w:tc>
        <w:tc>
          <w:tcPr>
            <w:tcW w:w="1730" w:type="dxa"/>
          </w:tcPr>
          <w:p w:rsidR="00E310B2" w:rsidP="009456A6" w:rsidRDefault="007C659E" w14:paraId="2E3246EB" w14:textId="46231FAC">
            <w:pPr>
              <w:pStyle w:val="Standard"/>
              <w:ind w:firstLine="0"/>
            </w:pPr>
            <w:r>
              <w:t>825</w:t>
            </w:r>
          </w:p>
        </w:tc>
        <w:tc>
          <w:tcPr>
            <w:tcW w:w="1892" w:type="dxa"/>
          </w:tcPr>
          <w:p w:rsidR="00E310B2" w:rsidP="009456A6" w:rsidRDefault="00E310B2" w14:paraId="59D76F53" w14:textId="2D486BFE">
            <w:pPr>
              <w:pStyle w:val="Standard"/>
              <w:ind w:firstLine="0"/>
            </w:pPr>
          </w:p>
        </w:tc>
      </w:tr>
      <w:tr w:rsidR="00E310B2" w:rsidTr="008C75B6" w14:paraId="58BF1F3F" w14:textId="77777777">
        <w:trPr>
          <w:jc w:val="center"/>
        </w:trPr>
        <w:tc>
          <w:tcPr>
            <w:tcW w:w="1515" w:type="dxa"/>
          </w:tcPr>
          <w:p w:rsidR="00E310B2" w:rsidP="00A93BB3" w:rsidRDefault="00E310B2" w14:paraId="19147CAC" w14:textId="77777777">
            <w:pPr>
              <w:pStyle w:val="Standard"/>
              <w:ind w:firstLine="0"/>
            </w:pPr>
            <w:r>
              <w:t>2018</w:t>
            </w:r>
          </w:p>
        </w:tc>
        <w:tc>
          <w:tcPr>
            <w:tcW w:w="1892" w:type="dxa"/>
          </w:tcPr>
          <w:p w:rsidR="00E310B2" w:rsidP="00A93BB3" w:rsidRDefault="00E310B2" w14:paraId="41FF898F" w14:textId="77777777">
            <w:pPr>
              <w:pStyle w:val="Standard"/>
              <w:ind w:firstLine="0"/>
            </w:pPr>
          </w:p>
        </w:tc>
        <w:tc>
          <w:tcPr>
            <w:tcW w:w="1730" w:type="dxa"/>
          </w:tcPr>
          <w:p w:rsidR="00E310B2" w:rsidP="00A93BB3" w:rsidRDefault="00E310B2" w14:paraId="034CF9D6" w14:textId="77777777">
            <w:pPr>
              <w:pStyle w:val="Standard"/>
              <w:ind w:firstLine="0"/>
            </w:pPr>
          </w:p>
        </w:tc>
        <w:tc>
          <w:tcPr>
            <w:tcW w:w="1892" w:type="dxa"/>
          </w:tcPr>
          <w:p w:rsidR="00E310B2" w:rsidP="00A93BB3" w:rsidRDefault="002C3050" w14:paraId="3B1933C6" w14:textId="18EA40B4">
            <w:pPr>
              <w:pStyle w:val="Standard"/>
              <w:ind w:firstLine="0"/>
            </w:pPr>
            <w:r>
              <w:t>4,351</w:t>
            </w:r>
          </w:p>
        </w:tc>
      </w:tr>
      <w:tr w:rsidR="00E310B2" w:rsidTr="008C75B6" w14:paraId="522CDE73" w14:textId="77777777">
        <w:trPr>
          <w:jc w:val="center"/>
        </w:trPr>
        <w:tc>
          <w:tcPr>
            <w:tcW w:w="1515" w:type="dxa"/>
          </w:tcPr>
          <w:p w:rsidR="00E310B2" w:rsidP="00A93BB3" w:rsidRDefault="00E310B2" w14:paraId="371EA58E" w14:textId="77777777">
            <w:pPr>
              <w:pStyle w:val="Standard"/>
              <w:ind w:firstLine="0"/>
            </w:pPr>
            <w:r>
              <w:t>2019</w:t>
            </w:r>
          </w:p>
        </w:tc>
        <w:tc>
          <w:tcPr>
            <w:tcW w:w="1892" w:type="dxa"/>
          </w:tcPr>
          <w:p w:rsidR="00E310B2" w:rsidP="00A93BB3" w:rsidRDefault="00E310B2" w14:paraId="2DC2011E" w14:textId="77777777">
            <w:pPr>
              <w:pStyle w:val="Standard"/>
              <w:ind w:firstLine="0"/>
            </w:pPr>
          </w:p>
        </w:tc>
        <w:tc>
          <w:tcPr>
            <w:tcW w:w="1730" w:type="dxa"/>
          </w:tcPr>
          <w:p w:rsidR="00E310B2" w:rsidP="00A93BB3" w:rsidRDefault="00E310B2" w14:paraId="06B1AF26" w14:textId="77777777">
            <w:pPr>
              <w:pStyle w:val="Standard"/>
              <w:ind w:firstLine="0"/>
            </w:pPr>
          </w:p>
        </w:tc>
        <w:tc>
          <w:tcPr>
            <w:tcW w:w="1892" w:type="dxa"/>
          </w:tcPr>
          <w:p w:rsidR="00E310B2" w:rsidP="00A93BB3" w:rsidRDefault="002C3050" w14:paraId="6998F0B6" w14:textId="64954099">
            <w:pPr>
              <w:pStyle w:val="Standard"/>
              <w:ind w:firstLine="0"/>
            </w:pPr>
            <w:r>
              <w:t>4,351</w:t>
            </w:r>
          </w:p>
        </w:tc>
      </w:tr>
    </w:tbl>
    <w:p w:rsidR="00634909" w:rsidP="004A4E2F" w:rsidRDefault="00634909" w14:paraId="70C8ADFE" w14:textId="77777777">
      <w:pPr>
        <w:pStyle w:val="Standard"/>
      </w:pPr>
    </w:p>
    <w:p w:rsidR="00E44EA6" w:rsidP="00E44EA6" w:rsidRDefault="00E44EA6" w14:paraId="21B5EE65" w14:textId="77777777">
      <w:pPr>
        <w:pStyle w:val="Heading2"/>
      </w:pPr>
      <w:bookmarkStart w:name="_Toc46478797" w:id="51"/>
      <w:r>
        <w:lastRenderedPageBreak/>
        <w:t>Liberty Park New Plant Additions</w:t>
      </w:r>
      <w:bookmarkEnd w:id="51"/>
    </w:p>
    <w:p w:rsidR="00E44EA6" w:rsidP="00E44EA6" w:rsidRDefault="00E44EA6" w14:paraId="325EDDB7" w14:textId="14878D7A">
      <w:pPr>
        <w:pStyle w:val="Heading3"/>
      </w:pPr>
      <w:bookmarkStart w:name="_Toc46478798" w:id="52"/>
      <w:r>
        <w:t>Liberty Park Main Replacements</w:t>
      </w:r>
      <w:bookmarkEnd w:id="52"/>
    </w:p>
    <w:p w:rsidR="00E722C9" w:rsidP="00E44EA6" w:rsidRDefault="00A76FA0" w14:paraId="038BCA71" w14:textId="64153509">
      <w:pPr>
        <w:pStyle w:val="Standard"/>
      </w:pPr>
      <w:r>
        <w:t>Liberty Park</w:t>
      </w:r>
      <w:r w:rsidR="00E3560B">
        <w:t xml:space="preserve">’s water main replacements projects, including </w:t>
      </w:r>
      <w:r w:rsidR="00DD7613">
        <w:t>costs for consultant engineering and removal, are approved</w:t>
      </w:r>
      <w:r w:rsidR="00184619">
        <w:t>.</w:t>
      </w:r>
      <w:r>
        <w:t xml:space="preserve"> Liberty Park</w:t>
      </w:r>
      <w:r w:rsidR="003F21E3">
        <w:t xml:space="preserve"> </w:t>
      </w:r>
      <w:r w:rsidR="00D72E69">
        <w:t xml:space="preserve">supports its </w:t>
      </w:r>
      <w:r>
        <w:t>replacement</w:t>
      </w:r>
      <w:r w:rsidR="00C45A93">
        <w:t xml:space="preserve"> proposal with three studies, which recommend that Liberty Park accelerate its rate of replacing water mains.</w:t>
      </w:r>
      <w:r w:rsidR="008C75B6">
        <w:t xml:space="preserve"> </w:t>
      </w:r>
      <w:r w:rsidR="00FA36EA">
        <w:t>T</w:t>
      </w:r>
      <w:r w:rsidR="00FE3B21">
        <w:t>he Public Advocates Office</w:t>
      </w:r>
      <w:r w:rsidR="00FA36EA">
        <w:t xml:space="preserve"> challenges </w:t>
      </w:r>
      <w:r w:rsidR="00A81FC6">
        <w:t>the</w:t>
      </w:r>
      <w:r w:rsidR="00FA36EA">
        <w:t xml:space="preserve"> </w:t>
      </w:r>
      <w:r w:rsidR="001E2603">
        <w:t>validity of</w:t>
      </w:r>
      <w:r w:rsidR="00C45A93">
        <w:t xml:space="preserve"> the studies’ input</w:t>
      </w:r>
      <w:r w:rsidR="0039122B">
        <w:t>s</w:t>
      </w:r>
      <w:r w:rsidR="00C45A93">
        <w:t xml:space="preserve"> and assumptions</w:t>
      </w:r>
      <w:r w:rsidR="00B30B3B">
        <w:t>.</w:t>
      </w:r>
      <w:r w:rsidR="008C75B6">
        <w:t xml:space="preserve"> </w:t>
      </w:r>
    </w:p>
    <w:p w:rsidRPr="00E44EA6" w:rsidR="00E44EA6" w:rsidP="00E44EA6" w:rsidRDefault="00C16A6D" w14:paraId="2F4B2FED" w14:textId="5C41B40A">
      <w:pPr>
        <w:pStyle w:val="Standard"/>
      </w:pPr>
      <w:r>
        <w:t xml:space="preserve">Liberty Park has adequately justified </w:t>
      </w:r>
      <w:r w:rsidR="00E93A75">
        <w:t>the validity of the studies,</w:t>
      </w:r>
      <w:r>
        <w:t xml:space="preserve"> </w:t>
      </w:r>
      <w:r w:rsidR="00644EB4">
        <w:t>for the following reasons</w:t>
      </w:r>
      <w:r>
        <w:t xml:space="preserve">. </w:t>
      </w:r>
      <w:r w:rsidR="00C45A93">
        <w:t>The goal, or target rate of 0.15 leaks per mile is an A</w:t>
      </w:r>
      <w:r w:rsidR="00CC3C9B">
        <w:t>merican Water Works Association (A</w:t>
      </w:r>
      <w:r w:rsidR="00C45A93">
        <w:t>WWA</w:t>
      </w:r>
      <w:r w:rsidR="00CC3C9B">
        <w:t>)</w:t>
      </w:r>
      <w:r w:rsidR="00C45A93">
        <w:t xml:space="preserve"> standard</w:t>
      </w:r>
      <w:r w:rsidR="0039122B">
        <w:t>. T</w:t>
      </w:r>
      <w:r w:rsidR="00C45A93">
        <w:t>he assumption that leaks will increase exponentially as pipes age</w:t>
      </w:r>
      <w:r w:rsidR="0075794D">
        <w:t xml:space="preserve"> is reasonable.</w:t>
      </w:r>
      <w:r w:rsidR="0039122B">
        <w:t xml:space="preserve"> Liberty</w:t>
      </w:r>
      <w:r w:rsidR="00F207DB">
        <w:t xml:space="preserve"> Park</w:t>
      </w:r>
      <w:r w:rsidR="0039122B">
        <w:t>’s</w:t>
      </w:r>
      <w:r w:rsidR="00C45A93">
        <w:t xml:space="preserve"> reliance on the neighboring </w:t>
      </w:r>
      <w:r w:rsidR="0039122B">
        <w:t>Los Angeles Department of Water and Power</w:t>
      </w:r>
      <w:r w:rsidR="00C45A93">
        <w:t xml:space="preserve"> useful life is more appropriate than relying on a national average for pipe life.</w:t>
      </w:r>
      <w:r w:rsidR="008C75B6">
        <w:t xml:space="preserve"> </w:t>
      </w:r>
      <w:r w:rsidR="00E82CB4">
        <w:t xml:space="preserve">The </w:t>
      </w:r>
      <w:r w:rsidR="00A724DA">
        <w:t xml:space="preserve">more local conditions utilized by Liberty Park are more appropriate than the national averages utilized by the Public Advocates Office. </w:t>
      </w:r>
    </w:p>
    <w:p w:rsidR="00E44EA6" w:rsidP="00E44EA6" w:rsidRDefault="00E44EA6" w14:paraId="0D42843B" w14:textId="39310E9A">
      <w:pPr>
        <w:pStyle w:val="Heading3"/>
      </w:pPr>
      <w:bookmarkStart w:name="_Toc46478799" w:id="53"/>
      <w:r>
        <w:t>Liberty Park Valve Replacements</w:t>
      </w:r>
      <w:bookmarkEnd w:id="53"/>
    </w:p>
    <w:p w:rsidRPr="00866F0E" w:rsidR="00866F0E" w:rsidP="006954C6" w:rsidRDefault="006954C6" w14:paraId="2A09FC4B" w14:textId="0D575299">
      <w:pPr>
        <w:pStyle w:val="Standard"/>
      </w:pPr>
      <w:r>
        <w:t>We approve</w:t>
      </w:r>
      <w:r w:rsidR="00D512BD">
        <w:t xml:space="preserve"> $173,700 for</w:t>
      </w:r>
      <w:r w:rsidR="00866F0E">
        <w:t xml:space="preserve"> </w:t>
      </w:r>
      <w:r w:rsidR="001B0BEF">
        <w:t>installing</w:t>
      </w:r>
      <w:r w:rsidR="00866F0E">
        <w:t xml:space="preserve"> isolation valves </w:t>
      </w:r>
      <w:r w:rsidR="001B0BEF">
        <w:t>on fire hydrants at a</w:t>
      </w:r>
      <w:r w:rsidR="005C194D">
        <w:t>n</w:t>
      </w:r>
      <w:r w:rsidR="00866F0E">
        <w:t xml:space="preserve"> </w:t>
      </w:r>
      <w:r w:rsidR="00F10DBB">
        <w:t>installation rate of</w:t>
      </w:r>
      <w:r w:rsidR="00866F0E">
        <w:t xml:space="preserve"> 10 per year. Liberty Park explains that the new hydrant installations do not include isolation valves</w:t>
      </w:r>
      <w:r w:rsidR="00E722C9">
        <w:t>,</w:t>
      </w:r>
      <w:r w:rsidR="00866F0E">
        <w:t xml:space="preserve"> and these must be budgeted separately, which it has done. Liberty Park </w:t>
      </w:r>
      <w:r>
        <w:t xml:space="preserve">does not make clear </w:t>
      </w:r>
      <w:r w:rsidR="00C1259D">
        <w:t xml:space="preserve">the reason more of its hydrants need isolation valves. </w:t>
      </w:r>
      <w:r w:rsidR="00866F0E">
        <w:t xml:space="preserve">Liberty </w:t>
      </w:r>
      <w:proofErr w:type="gramStart"/>
      <w:r w:rsidR="00866F0E">
        <w:t>Park</w:t>
      </w:r>
      <w:r>
        <w:t>‘</w:t>
      </w:r>
      <w:proofErr w:type="gramEnd"/>
      <w:r>
        <w:t xml:space="preserve">s evidence shows that </w:t>
      </w:r>
      <w:r w:rsidR="00866F0E">
        <w:t>only 11</w:t>
      </w:r>
      <w:r w:rsidR="008C75B6">
        <w:t> </w:t>
      </w:r>
      <w:r w:rsidR="00866F0E">
        <w:t xml:space="preserve">have been damaged, leaking, or sheared during the </w:t>
      </w:r>
      <w:r w:rsidR="00D512BD">
        <w:t xml:space="preserve">five-year </w:t>
      </w:r>
      <w:r w:rsidR="00866F0E">
        <w:t>period 2012</w:t>
      </w:r>
      <w:r w:rsidR="008C75B6">
        <w:noBreakHyphen/>
      </w:r>
      <w:r w:rsidR="00866F0E">
        <w:t xml:space="preserve">2016. Liberty Park describes the risks when a hydrant is compromised, but the risk is low. Liberty Park’s budget for TY </w:t>
      </w:r>
      <w:r w:rsidR="008330FA">
        <w:t xml:space="preserve">2019 </w:t>
      </w:r>
      <w:r w:rsidR="00866F0E">
        <w:t>should assume 10 new isolation valves each year.</w:t>
      </w:r>
    </w:p>
    <w:p w:rsidR="00717ABD" w:rsidP="00E44EA6" w:rsidRDefault="00E44EA6" w14:paraId="7E2B1DDC" w14:textId="44BBD0BE">
      <w:pPr>
        <w:pStyle w:val="Heading3"/>
      </w:pPr>
      <w:bookmarkStart w:name="_Toc46478800" w:id="54"/>
      <w:r>
        <w:lastRenderedPageBreak/>
        <w:t>Liberty Park Land Purchase for New Well</w:t>
      </w:r>
      <w:bookmarkEnd w:id="54"/>
      <w:r w:rsidR="008A3076">
        <w:t xml:space="preserve"> </w:t>
      </w:r>
    </w:p>
    <w:p w:rsidR="00E722C9" w:rsidP="00E722C9" w:rsidRDefault="0012169C" w14:paraId="66AB3D21" w14:textId="624495FF">
      <w:pPr>
        <w:pStyle w:val="Standard"/>
      </w:pPr>
      <w:r>
        <w:t xml:space="preserve">We </w:t>
      </w:r>
      <w:r w:rsidR="00DC5EE7">
        <w:t>deny</w:t>
      </w:r>
      <w:r>
        <w:t xml:space="preserve"> </w:t>
      </w:r>
      <w:r w:rsidR="00884611">
        <w:t>Liberty Park’s proposal to purchase land in anticipation of building a new groundwater well beginning in 2022</w:t>
      </w:r>
      <w:r>
        <w:t xml:space="preserve"> </w:t>
      </w:r>
      <w:r w:rsidR="00717596">
        <w:t xml:space="preserve">due to inadequate basis for the </w:t>
      </w:r>
      <w:r>
        <w:t>cost</w:t>
      </w:r>
      <w:r w:rsidR="00717596">
        <w:t xml:space="preserve"> and inadequate </w:t>
      </w:r>
      <w:r>
        <w:t>support for</w:t>
      </w:r>
      <w:r w:rsidR="00717596">
        <w:t xml:space="preserve"> the project.</w:t>
      </w:r>
      <w:r w:rsidR="008C75B6">
        <w:t xml:space="preserve"> </w:t>
      </w:r>
      <w:r>
        <w:t xml:space="preserve">Liberty </w:t>
      </w:r>
      <w:r w:rsidR="00884611">
        <w:t>Park</w:t>
      </w:r>
      <w:r>
        <w:t>’s establishes that many of its groundwater wells are nearing the end of their useful lives, with all but three wells over 65 years</w:t>
      </w:r>
      <w:r w:rsidR="009E032E">
        <w:t xml:space="preserve"> but is unable to support that the land purchase at the proposed cost is the “best and most viable” option since wells are generally used for intermittent, rather than regular, supply.</w:t>
      </w:r>
      <w:r w:rsidR="009E032E">
        <w:rPr>
          <w:rStyle w:val="FootnoteReference"/>
        </w:rPr>
        <w:footnoteReference w:id="71"/>
      </w:r>
      <w:r w:rsidR="008C75B6">
        <w:t xml:space="preserve"> </w:t>
      </w:r>
    </w:p>
    <w:p w:rsidR="00CC25E5" w:rsidP="00E722C9" w:rsidRDefault="00230B6F" w14:paraId="66EAF5F0" w14:textId="2090AFA2">
      <w:pPr>
        <w:pStyle w:val="Standard"/>
      </w:pPr>
      <w:r>
        <w:t>Liberty Park</w:t>
      </w:r>
      <w:r w:rsidR="004769D0">
        <w:t>’s</w:t>
      </w:r>
      <w:r>
        <w:t xml:space="preserve"> </w:t>
      </w:r>
      <w:r w:rsidR="00B74F3D">
        <w:t>contention in its Opening Brief that it “has selected a proposed site and estimate</w:t>
      </w:r>
      <w:r w:rsidR="009D375D">
        <w:t>d</w:t>
      </w:r>
      <w:r w:rsidR="00B74F3D">
        <w:t xml:space="preserve"> the cost to acquire the site (via the purchase of two residential lots adjacent to a previously abandoned groundwater well)” </w:t>
      </w:r>
      <w:r w:rsidR="003A6F38">
        <w:t xml:space="preserve">is </w:t>
      </w:r>
      <w:r w:rsidR="00AE30AA">
        <w:t>unjustified</w:t>
      </w:r>
      <w:r w:rsidR="00B74F3D">
        <w:t>.</w:t>
      </w:r>
      <w:r w:rsidR="008C75B6">
        <w:t xml:space="preserve"> </w:t>
      </w:r>
      <w:r w:rsidR="00B74F3D">
        <w:t xml:space="preserve">When </w:t>
      </w:r>
      <w:r w:rsidR="00E722C9">
        <w:t>question</w:t>
      </w:r>
      <w:r w:rsidR="00B74F3D">
        <w:t>ed by the Public Advocates Office for documentation to support the cost, Liberty Park provides an undated</w:t>
      </w:r>
      <w:r w:rsidR="00EC3036">
        <w:t xml:space="preserve"> Zillow </w:t>
      </w:r>
      <w:r>
        <w:t xml:space="preserve">estimate </w:t>
      </w:r>
      <w:r w:rsidR="00EC3036">
        <w:t xml:space="preserve">for one </w:t>
      </w:r>
      <w:r w:rsidR="00B74F3D">
        <w:t>lot</w:t>
      </w:r>
      <w:r>
        <w:t xml:space="preserve">, </w:t>
      </w:r>
      <w:r w:rsidR="009D375D">
        <w:t xml:space="preserve">doubles this </w:t>
      </w:r>
      <w:proofErr w:type="gramStart"/>
      <w:r w:rsidR="009D375D">
        <w:t>amount</w:t>
      </w:r>
      <w:proofErr w:type="gramEnd"/>
      <w:r w:rsidR="009D375D">
        <w:t xml:space="preserve"> and increases it</w:t>
      </w:r>
      <w:r w:rsidR="00717596">
        <w:t xml:space="preserve"> 2.76</w:t>
      </w:r>
      <w:r w:rsidR="008C75B6">
        <w:t> </w:t>
      </w:r>
      <w:r w:rsidR="00717596">
        <w:t>percent</w:t>
      </w:r>
      <w:r w:rsidR="009D375D">
        <w:t xml:space="preserve"> for three years</w:t>
      </w:r>
      <w:r w:rsidR="00717596">
        <w:t xml:space="preserve">, </w:t>
      </w:r>
      <w:r>
        <w:t>providing no alternatives or comparisons.</w:t>
      </w:r>
      <w:r w:rsidR="00EC3036">
        <w:t xml:space="preserve"> </w:t>
      </w:r>
      <w:r w:rsidR="009D375D">
        <w:t xml:space="preserve">Liberty Park’s witness James Elliot </w:t>
      </w:r>
      <w:r w:rsidR="009E032E">
        <w:t>confirms</w:t>
      </w:r>
      <w:r w:rsidR="009D375D">
        <w:t xml:space="preserve"> that </w:t>
      </w:r>
      <w:r w:rsidR="009E032E">
        <w:t>no specific</w:t>
      </w:r>
      <w:r w:rsidR="009D375D">
        <w:t xml:space="preserve"> location has </w:t>
      </w:r>
      <w:r w:rsidR="009E032E">
        <w:t>been chosen for the well, which also conflicts with Liberty Park’s statement.</w:t>
      </w:r>
      <w:r w:rsidR="009D375D">
        <w:rPr>
          <w:rStyle w:val="FootnoteReference"/>
        </w:rPr>
        <w:footnoteReference w:id="72"/>
      </w:r>
      <w:r w:rsidR="0012169C">
        <w:t xml:space="preserve"> </w:t>
      </w:r>
      <w:r w:rsidR="008C75B6">
        <w:t xml:space="preserve"> </w:t>
      </w:r>
    </w:p>
    <w:p w:rsidR="00884611" w:rsidP="00AF7A79" w:rsidRDefault="009E032E" w14:paraId="7443E063" w14:textId="69AEA0BB">
      <w:pPr>
        <w:pStyle w:val="Standard"/>
      </w:pPr>
      <w:r>
        <w:t>The project is indeed speculative as asserted by the Public Advocates Office.</w:t>
      </w:r>
      <w:r w:rsidR="008C75B6">
        <w:t xml:space="preserve"> </w:t>
      </w:r>
      <w:r w:rsidR="00946FB5">
        <w:t>Liberty Park will have another opportunity in its next GRC application to fully and adequately support the need for the project, and today’s denial would result in only a one year delay should Liberty Park be able to justify the purchase for 2022.</w:t>
      </w:r>
    </w:p>
    <w:p w:rsidR="00141957" w:rsidP="00141957" w:rsidRDefault="00141957" w14:paraId="0E9D34AF" w14:textId="5D8FF0F3">
      <w:pPr>
        <w:pStyle w:val="Heading2"/>
      </w:pPr>
      <w:bookmarkStart w:name="_Toc46478801" w:id="55"/>
      <w:r>
        <w:lastRenderedPageBreak/>
        <w:t xml:space="preserve">Liberty Apple Valley </w:t>
      </w:r>
      <w:r w:rsidR="00DE4A47">
        <w:t>New Plant Additions</w:t>
      </w:r>
      <w:bookmarkEnd w:id="55"/>
    </w:p>
    <w:p w:rsidR="00322241" w:rsidP="00EC3036" w:rsidRDefault="008B61BE" w14:paraId="77D60C26" w14:textId="3AB00871">
      <w:pPr>
        <w:pStyle w:val="Heading3"/>
      </w:pPr>
      <w:bookmarkStart w:name="_Toc46478802" w:id="56"/>
      <w:r>
        <w:t xml:space="preserve">Liberty Apple Valley </w:t>
      </w:r>
      <w:r w:rsidR="00EC3036">
        <w:t>Bell Mountain and Hilltop 5-MG Storage Tanks</w:t>
      </w:r>
      <w:bookmarkEnd w:id="56"/>
    </w:p>
    <w:p w:rsidR="00CC25E5" w:rsidP="009260C0" w:rsidRDefault="00EF093B" w14:paraId="013E74C1" w14:textId="0BEC60D9">
      <w:pPr>
        <w:autoSpaceDE w:val="0"/>
        <w:autoSpaceDN w:val="0"/>
      </w:pPr>
      <w:r>
        <w:t xml:space="preserve">The approval of Liberty Apple Valley’s proposed Bell Mountain Storage Tank rests on whether the new tank is required to meet fire protection standards, since the current tank provides more than enough storage to serve existing customers. Both parties are pointing to GO 103-A, but </w:t>
      </w:r>
      <w:r w:rsidR="009260C0">
        <w:t xml:space="preserve">Liberty </w:t>
      </w:r>
      <w:r w:rsidR="00BC1702">
        <w:t xml:space="preserve">Apple Valley </w:t>
      </w:r>
      <w:r w:rsidR="009260C0">
        <w:t>interprets</w:t>
      </w:r>
      <w:r>
        <w:t xml:space="preserve"> the GO </w:t>
      </w:r>
      <w:r w:rsidR="009260C0">
        <w:t>as directing utility systems</w:t>
      </w:r>
      <w:r>
        <w:t xml:space="preserve"> to meet current fire flow requirements, </w:t>
      </w:r>
      <w:r w:rsidR="009260C0">
        <w:t>while the</w:t>
      </w:r>
      <w:r w:rsidR="00A63976">
        <w:t xml:space="preserve"> Public Advocates Office</w:t>
      </w:r>
      <w:r>
        <w:t xml:space="preserve"> </w:t>
      </w:r>
      <w:r w:rsidR="009260C0">
        <w:t>interprets</w:t>
      </w:r>
      <w:r>
        <w:t xml:space="preserve"> </w:t>
      </w:r>
      <w:r w:rsidR="00CC25E5">
        <w:t>the same</w:t>
      </w:r>
      <w:r>
        <w:t xml:space="preserve"> </w:t>
      </w:r>
      <w:r w:rsidR="009260C0">
        <w:t xml:space="preserve">as </w:t>
      </w:r>
      <w:r>
        <w:t>requir</w:t>
      </w:r>
      <w:r w:rsidR="009260C0">
        <w:t>ing</w:t>
      </w:r>
      <w:r>
        <w:t xml:space="preserve"> the local government standards to govern</w:t>
      </w:r>
      <w:r w:rsidR="009260C0">
        <w:t xml:space="preserve">. </w:t>
      </w:r>
      <w:r w:rsidR="008C75B6">
        <w:t xml:space="preserve"> </w:t>
      </w:r>
    </w:p>
    <w:p w:rsidRPr="009260C0" w:rsidR="00EF093B" w:rsidP="009260C0" w:rsidRDefault="009260C0" w14:paraId="4C6F448E" w14:textId="064C2C8B">
      <w:pPr>
        <w:autoSpaceDE w:val="0"/>
        <w:autoSpaceDN w:val="0"/>
        <w:rPr>
          <w:rFonts w:ascii="Times New Roman" w:hAnsi="Times New Roman" w:cs="Times New Roman"/>
          <w:sz w:val="28"/>
          <w:szCs w:val="28"/>
        </w:rPr>
      </w:pPr>
      <w:r>
        <w:t xml:space="preserve">GO 103 states, </w:t>
      </w:r>
      <w:r w:rsidRPr="00AE5F52" w:rsidR="00AE5F52">
        <w:rPr>
          <w:szCs w:val="26"/>
        </w:rPr>
        <w:t>“</w:t>
      </w:r>
      <w:r w:rsidRPr="002E54F9">
        <w:rPr>
          <w:rFonts w:cs="Times New Roman"/>
          <w:szCs w:val="26"/>
        </w:rPr>
        <w:t>The Commission recognizes that there are widely varying conditions bearing on fire protection throughout the urban, suburban, and rural areas of California.”</w:t>
      </w:r>
      <w:r w:rsidR="008C75B6">
        <w:rPr>
          <w:rFonts w:cs="Times New Roman"/>
          <w:szCs w:val="26"/>
        </w:rPr>
        <w:t xml:space="preserve"> </w:t>
      </w:r>
      <w:r w:rsidRPr="002E54F9">
        <w:rPr>
          <w:rFonts w:cs="Times New Roman"/>
          <w:szCs w:val="26"/>
        </w:rPr>
        <w:t>Therefore, the standards prescribed by the local fire protection agency or other prevailing local governmental agency shall govern.</w:t>
      </w:r>
      <w:r w:rsidRPr="009260C0">
        <w:rPr>
          <w:rFonts w:ascii="Times New Roman" w:hAnsi="Times New Roman" w:cs="Times New Roman"/>
          <w:sz w:val="28"/>
          <w:szCs w:val="28"/>
        </w:rPr>
        <w:t xml:space="preserve"> </w:t>
      </w:r>
      <w:r w:rsidR="008C75B6">
        <w:rPr>
          <w:rFonts w:ascii="Times New Roman" w:hAnsi="Times New Roman" w:cs="Times New Roman"/>
          <w:sz w:val="28"/>
          <w:szCs w:val="28"/>
        </w:rPr>
        <w:t xml:space="preserve"> </w:t>
      </w:r>
      <w:r w:rsidR="00EF093B">
        <w:t xml:space="preserve">Apple Valley’s Fire Protection District standards </w:t>
      </w:r>
      <w:r>
        <w:t>state</w:t>
      </w:r>
      <w:r w:rsidR="00EF093B">
        <w:t xml:space="preserve"> the airport must provide its own fire flow</w:t>
      </w:r>
      <w:r w:rsidR="00EB702C">
        <w:t xml:space="preserve"> therefore the responsibility falls not to Liberty Apple Valley but to the airport</w:t>
      </w:r>
      <w:r w:rsidR="00EF093B">
        <w:t>.</w:t>
      </w:r>
      <w:r w:rsidR="005B0499">
        <w:t xml:space="preserve"> </w:t>
      </w:r>
    </w:p>
    <w:p w:rsidR="00F23DCB" w:rsidP="00EF093B" w:rsidRDefault="00F23DCB" w14:paraId="27BDCAB0" w14:textId="71BAA461">
      <w:r>
        <w:t xml:space="preserve">Regarding Liberty Apple Valley’s proposed design of the hilltop 5-MG tank, there are no significant storage needs that merit the expenditure of designing the tank. </w:t>
      </w:r>
      <w:r w:rsidR="00CC25E5">
        <w:t>We find that our c</w:t>
      </w:r>
      <w:r>
        <w:t>onsideration and approval of the design costs should ideally take place in the same rate case cycle, since there is little sense in designing a project that has yet to be approved.</w:t>
      </w:r>
    </w:p>
    <w:p w:rsidR="001C4A22" w:rsidP="001C4A22" w:rsidRDefault="008B61BE" w14:paraId="593567E5" w14:textId="3385FBC3">
      <w:pPr>
        <w:pStyle w:val="Heading3"/>
      </w:pPr>
      <w:bookmarkStart w:name="_Toc46478803" w:id="57"/>
      <w:r>
        <w:t xml:space="preserve">Liberty Apple Valley </w:t>
      </w:r>
      <w:r w:rsidR="001C4A22">
        <w:t>Pumping Equipment</w:t>
      </w:r>
      <w:bookmarkEnd w:id="57"/>
    </w:p>
    <w:p w:rsidR="00403EEB" w:rsidP="00403EEB" w:rsidRDefault="00BE714E" w14:paraId="73842924" w14:textId="5E7C1598">
      <w:pPr>
        <w:pStyle w:val="Standard"/>
      </w:pPr>
      <w:r>
        <w:t>Liberty Apple Valley requests approval to replace pumping equipment at nine wells. We grant th</w:t>
      </w:r>
      <w:r w:rsidR="00CC25E5">
        <w:t>is</w:t>
      </w:r>
      <w:r>
        <w:t xml:space="preserve"> request for replacement at all nine wells with </w:t>
      </w:r>
      <w:r w:rsidR="00E5172D">
        <w:t xml:space="preserve">the expectation that Liberty </w:t>
      </w:r>
      <w:r w:rsidR="00340640">
        <w:t xml:space="preserve">Apple Valley </w:t>
      </w:r>
      <w:r w:rsidR="00E5172D">
        <w:t xml:space="preserve">will obtain the </w:t>
      </w:r>
      <w:r>
        <w:t>Southern California Edison rebate</w:t>
      </w:r>
      <w:r w:rsidR="00433264">
        <w:t xml:space="preserve">, and direct Liberty Apple Valley to explicitly report in its next GRC </w:t>
      </w:r>
      <w:r w:rsidR="00433264">
        <w:lastRenderedPageBreak/>
        <w:t>application on the availability and application of rebates available from energy utilities.</w:t>
      </w:r>
    </w:p>
    <w:p w:rsidR="001C4A22" w:rsidP="00403EEB" w:rsidRDefault="00BE714E" w14:paraId="0B70751D" w14:textId="3690E9D5">
      <w:pPr>
        <w:pStyle w:val="Standard"/>
      </w:pPr>
      <w:r>
        <w:t xml:space="preserve">The Public Advocates Office </w:t>
      </w:r>
      <w:r w:rsidR="00CC25E5">
        <w:t>opine</w:t>
      </w:r>
      <w:r>
        <w:t xml:space="preserve">s </w:t>
      </w:r>
      <w:r w:rsidR="00CC25E5">
        <w:t xml:space="preserve">that </w:t>
      </w:r>
      <w:r>
        <w:t>replacement is merited at only three wells based on pump efficiency tests.</w:t>
      </w:r>
      <w:r w:rsidR="008C75B6">
        <w:t xml:space="preserve"> </w:t>
      </w:r>
      <w:r w:rsidR="00CC25E5">
        <w:t>We observe that p</w:t>
      </w:r>
      <w:r>
        <w:t xml:space="preserve">ump efficiency tests results vary as shown by the multiple years of test data provided, and test results show each of the nine wells have dropped below the </w:t>
      </w:r>
      <w:r w:rsidR="00712C52">
        <w:t>desired “</w:t>
      </w:r>
      <w:r>
        <w:t>excellent</w:t>
      </w:r>
      <w:r w:rsidR="00712C52">
        <w:t>”</w:t>
      </w:r>
      <w:r>
        <w:t xml:space="preserve"> standard during some tests. </w:t>
      </w:r>
    </w:p>
    <w:p w:rsidR="00CA539F" w:rsidP="001315E4" w:rsidRDefault="001315E4" w14:paraId="406CA20F" w14:textId="61B4A417">
      <w:pPr>
        <w:pStyle w:val="Heading3"/>
      </w:pPr>
      <w:bookmarkStart w:name="_Toc46478804" w:id="58"/>
      <w:r>
        <w:t xml:space="preserve">Liberty Apple Valley Air </w:t>
      </w:r>
      <w:r w:rsidR="007922F7">
        <w:t>Vacuum Stations</w:t>
      </w:r>
      <w:r>
        <w:t>, Hydrants and Valves</w:t>
      </w:r>
      <w:bookmarkEnd w:id="58"/>
    </w:p>
    <w:p w:rsidR="001315E4" w:rsidP="001315E4" w:rsidRDefault="001315E4" w14:paraId="23B7F5E3" w14:textId="75804247">
      <w:pPr>
        <w:pStyle w:val="Standard"/>
      </w:pPr>
      <w:r>
        <w:t>Liberty Apple Valley explains its difference with the Public Advocates Office in the number of air vac</w:t>
      </w:r>
      <w:r w:rsidR="004B5A84">
        <w:t xml:space="preserve">uum </w:t>
      </w:r>
      <w:r>
        <w:t>s</w:t>
      </w:r>
      <w:r w:rsidR="004B5A84">
        <w:t>tations</w:t>
      </w:r>
      <w:r>
        <w:t>, hydrants and valves that will be necessary per year by stating “Until recently, those items were not separately tracked for capital budget purposes.”</w:t>
      </w:r>
      <w:r>
        <w:rPr>
          <w:rStyle w:val="FootnoteReference"/>
        </w:rPr>
        <w:footnoteReference w:id="73"/>
      </w:r>
      <w:r w:rsidR="00B86164">
        <w:t xml:space="preserve"> It is </w:t>
      </w:r>
      <w:r w:rsidR="00CC25E5">
        <w:t>reasonable</w:t>
      </w:r>
      <w:r w:rsidR="00B86164">
        <w:t xml:space="preserve"> for the Commission to </w:t>
      </w:r>
      <w:r w:rsidR="00CC25E5">
        <w:t xml:space="preserve">rely </w:t>
      </w:r>
      <w:r w:rsidR="00B86164">
        <w:t xml:space="preserve">upon historical averages when establishing future needs, and it was Liberty Apple Valley’s responsibility to show how it incorporated these untracked items into its forecast, but it did not. </w:t>
      </w:r>
      <w:r w:rsidR="00CC25E5">
        <w:t>We therefore adopt t</w:t>
      </w:r>
      <w:r w:rsidR="00B86164">
        <w:t>he Public Advocates Office recommendations of $9,450 for three air vacuum stations per year, $200,842 for five replacement valves per year, and $6,382 for two new valves per year.</w:t>
      </w:r>
    </w:p>
    <w:p w:rsidR="00210BB0" w:rsidP="00210BB0" w:rsidRDefault="00210BB0" w14:paraId="32D3EE58" w14:textId="1827F6DA">
      <w:pPr>
        <w:pStyle w:val="Heading3"/>
      </w:pPr>
      <w:bookmarkStart w:name="_Toc46478805" w:id="59"/>
      <w:r>
        <w:t>Liberty Apple Valley General Plant</w:t>
      </w:r>
      <w:bookmarkEnd w:id="59"/>
    </w:p>
    <w:p w:rsidR="00210BB0" w:rsidP="00210BB0" w:rsidRDefault="00210BB0" w14:paraId="5035B5A1" w14:textId="0AD51793">
      <w:pPr>
        <w:pStyle w:val="Heading4"/>
      </w:pPr>
      <w:bookmarkStart w:name="_Toc46478806" w:id="60"/>
      <w:r>
        <w:t>Vehicles</w:t>
      </w:r>
      <w:bookmarkEnd w:id="60"/>
    </w:p>
    <w:p w:rsidR="00210BB0" w:rsidP="00210BB0" w:rsidRDefault="00FE1AFA" w14:paraId="2BF60612" w14:textId="22A5BB75">
      <w:pPr>
        <w:pStyle w:val="Standard"/>
      </w:pPr>
      <w:r>
        <w:t xml:space="preserve">Liberty Apple Valley’s new vehicle request is approved only for vehicles that meet Liberty Apple </w:t>
      </w:r>
      <w:proofErr w:type="gramStart"/>
      <w:r>
        <w:t>Valley’s</w:t>
      </w:r>
      <w:proofErr w:type="gramEnd"/>
      <w:r>
        <w:t xml:space="preserve"> ten year or 120,000 miles replacement criteria, utilizing the Public Advocates Office mileage projections. Six vehicles will meet th</w:t>
      </w:r>
      <w:r w:rsidR="0060488E">
        <w:t>ese</w:t>
      </w:r>
      <w:r>
        <w:t xml:space="preserve"> criteria by the end of 2021</w:t>
      </w:r>
      <w:r w:rsidR="00CC25E5">
        <w:t>;</w:t>
      </w:r>
      <w:r>
        <w:t xml:space="preserve"> therefore</w:t>
      </w:r>
      <w:r w:rsidR="00CC25E5">
        <w:t>,</w:t>
      </w:r>
      <w:r>
        <w:t xml:space="preserve"> six new vehicle purchases are </w:t>
      </w:r>
      <w:r>
        <w:lastRenderedPageBreak/>
        <w:t>approved.</w:t>
      </w:r>
      <w:r w:rsidR="00C21DDC">
        <w:rPr>
          <w:rStyle w:val="FootnoteReference"/>
        </w:rPr>
        <w:footnoteReference w:id="74"/>
      </w:r>
      <w:r>
        <w:t xml:space="preserve"> The Public Advocates Office projections are based on actual mileage records and are therefore most reliable. Liberty Apple Valley’s explanation that it rotates vehicles among high and low driving employees is irrelevant to basing the mileage projects on historical mileage, as Liberty Apple Valley will likely continue to rotate vehicle usage similarly in the future.</w:t>
      </w:r>
    </w:p>
    <w:p w:rsidR="001769B5" w:rsidP="00BB14EC" w:rsidRDefault="00BB14EC" w14:paraId="6BFE37BC" w14:textId="7AAE928F">
      <w:pPr>
        <w:pStyle w:val="Heading4"/>
      </w:pPr>
      <w:bookmarkStart w:name="_Toc46478807" w:id="61"/>
      <w:r>
        <w:t>Solar Panels, Warehouse, Furniture and Equipment Costs</w:t>
      </w:r>
      <w:bookmarkEnd w:id="61"/>
    </w:p>
    <w:p w:rsidRPr="00BB14EC" w:rsidR="00BB14EC" w:rsidP="00BB14EC" w:rsidRDefault="00BB14EC" w14:paraId="16396B91" w14:textId="29D56788">
      <w:pPr>
        <w:pStyle w:val="Standard"/>
      </w:pPr>
      <w:r>
        <w:t xml:space="preserve">Liberty Apple Valley’s request to buy solar panels, build </w:t>
      </w:r>
      <w:r w:rsidR="001E6EFA">
        <w:t xml:space="preserve">a new warehouse, </w:t>
      </w:r>
      <w:r>
        <w:t xml:space="preserve">and outfit </w:t>
      </w:r>
      <w:r w:rsidR="001E6EFA">
        <w:t xml:space="preserve">its new office building with furniture and equipment </w:t>
      </w:r>
      <w:r>
        <w:t xml:space="preserve">are approved. </w:t>
      </w:r>
      <w:r w:rsidR="008C75B6">
        <w:t xml:space="preserve"> </w:t>
      </w:r>
      <w:r>
        <w:t xml:space="preserve">The solar panels will generate savings and </w:t>
      </w:r>
      <w:r w:rsidR="00AE30AA">
        <w:t xml:space="preserve">create a carport that </w:t>
      </w:r>
      <w:r>
        <w:t>provide</w:t>
      </w:r>
      <w:r w:rsidR="00AE30AA">
        <w:t>s</w:t>
      </w:r>
      <w:r>
        <w:t xml:space="preserve"> </w:t>
      </w:r>
      <w:r w:rsidR="00AE30AA">
        <w:t>protection from the elements for parked cars</w:t>
      </w:r>
      <w:r>
        <w:t>.</w:t>
      </w:r>
      <w:r w:rsidR="008C75B6">
        <w:t xml:space="preserve"> </w:t>
      </w:r>
      <w:r w:rsidR="001E6EFA">
        <w:t>Liberty Apple Valley has documented how its existing warehouse is insufficient from a safety and security standpoint; we agree that a new warehouse is justified to support Liberty Apple Valley’s operational needs.</w:t>
      </w:r>
      <w:r w:rsidR="008C75B6">
        <w:t xml:space="preserve"> </w:t>
      </w:r>
      <w:r>
        <w:t xml:space="preserve">As for the </w:t>
      </w:r>
      <w:r w:rsidR="00F50A0B">
        <w:t>furniture and equipment for its new office</w:t>
      </w:r>
      <w:r>
        <w:t xml:space="preserve">, </w:t>
      </w:r>
      <w:r w:rsidR="00D47AD6">
        <w:t xml:space="preserve">we find it reasonable that </w:t>
      </w:r>
      <w:r>
        <w:t xml:space="preserve">Liberty Apple Valley’s employees </w:t>
      </w:r>
      <w:r w:rsidR="00D47AD6">
        <w:t>should be provided</w:t>
      </w:r>
      <w:r>
        <w:t xml:space="preserve"> reasonable </w:t>
      </w:r>
      <w:r w:rsidR="00D47AD6">
        <w:t xml:space="preserve">and comfortable </w:t>
      </w:r>
      <w:r>
        <w:t xml:space="preserve">indoor space in which to gather and prepare meals. </w:t>
      </w:r>
    </w:p>
    <w:p w:rsidR="00586F3E" w:rsidP="00586F3E" w:rsidRDefault="005C7367" w14:paraId="13C29EF3" w14:textId="7EAB8065">
      <w:pPr>
        <w:pStyle w:val="Heading2"/>
      </w:pPr>
      <w:bookmarkStart w:name="_Toc46478808" w:id="62"/>
      <w:r>
        <w:t>Rate of Return</w:t>
      </w:r>
      <w:bookmarkEnd w:id="62"/>
    </w:p>
    <w:p w:rsidR="00586F3E" w:rsidP="00586F3E" w:rsidRDefault="00D47AD6" w14:paraId="2C588960" w14:textId="212FC59A">
      <w:pPr>
        <w:pStyle w:val="Standard"/>
      </w:pPr>
      <w:r>
        <w:t xml:space="preserve">Starting </w:t>
      </w:r>
      <w:r w:rsidR="005C7367">
        <w:t>July 1, 2019, the rate of return for both Liberty Park and Liberty Apple Valley is 7.35</w:t>
      </w:r>
      <w:r w:rsidR="00E266F3">
        <w:t xml:space="preserve"> percent</w:t>
      </w:r>
      <w:r w:rsidR="005C7367">
        <w:t>.</w:t>
      </w:r>
      <w:r w:rsidR="008C75B6">
        <w:t xml:space="preserve"> </w:t>
      </w:r>
      <w:r w:rsidR="003359FF">
        <w:t>The capital structure is 43</w:t>
      </w:r>
      <w:r w:rsidR="00E266F3">
        <w:t xml:space="preserve"> percent</w:t>
      </w:r>
      <w:r w:rsidR="003359FF">
        <w:t xml:space="preserve"> long-term debt and 57</w:t>
      </w:r>
      <w:r w:rsidR="00E266F3">
        <w:t xml:space="preserve"> percent</w:t>
      </w:r>
      <w:r w:rsidR="003359FF">
        <w:t xml:space="preserve"> common equity. The cost of debt is 4.71</w:t>
      </w:r>
      <w:r w:rsidR="00E266F3">
        <w:t xml:space="preserve"> percent</w:t>
      </w:r>
      <w:r w:rsidR="003359FF">
        <w:t xml:space="preserve"> and the return on equity is 9.35</w:t>
      </w:r>
      <w:r w:rsidR="00E266F3">
        <w:t xml:space="preserve"> percent</w:t>
      </w:r>
      <w:r w:rsidR="003359FF">
        <w:t>. The Water Cost of Capital Mechanism is based upon a benchmark period of July 1, 20</w:t>
      </w:r>
      <w:r w:rsidR="008D38C3">
        <w:t>1</w:t>
      </w:r>
      <w:r w:rsidR="003359FF">
        <w:t>8 through June 30, 2019.</w:t>
      </w:r>
      <w:r w:rsidR="008C75B6">
        <w:t xml:space="preserve"> </w:t>
      </w:r>
      <w:r w:rsidR="00BD7541">
        <w:t>The cost-of-capital terms will continue</w:t>
      </w:r>
      <w:r w:rsidR="003359FF">
        <w:t xml:space="preserve"> </w:t>
      </w:r>
      <w:r w:rsidR="00BD7541">
        <w:t>for three years.</w:t>
      </w:r>
      <w:r w:rsidR="00D85073">
        <w:rPr>
          <w:rStyle w:val="FootnoteReference"/>
        </w:rPr>
        <w:footnoteReference w:id="75"/>
      </w:r>
      <w:r w:rsidR="005C7367">
        <w:t xml:space="preserve"> </w:t>
      </w:r>
      <w:r w:rsidR="003359FF">
        <w:t xml:space="preserve">  </w:t>
      </w:r>
    </w:p>
    <w:p w:rsidR="00154C82" w:rsidP="00586F3E" w:rsidRDefault="00154C82" w14:paraId="5272F834" w14:textId="5D0D1191">
      <w:pPr>
        <w:pStyle w:val="Standard"/>
      </w:pPr>
      <w:r>
        <w:lastRenderedPageBreak/>
        <w:t>In accordance with the Rate Case Plan, the Commission sets the rate of return in proceedings separate from GRCs.</w:t>
      </w:r>
      <w:r w:rsidR="008C75B6">
        <w:t xml:space="preserve"> </w:t>
      </w:r>
      <w:r>
        <w:t>Liberty’s prior GRCs incorporated the approved rate of return of 9.07 percent.</w:t>
      </w:r>
      <w:r w:rsidR="008C75B6">
        <w:t xml:space="preserve"> </w:t>
      </w:r>
      <w:r>
        <w:t>In response</w:t>
      </w:r>
      <w:r w:rsidR="00D47AD6">
        <w:t xml:space="preserve"> to the</w:t>
      </w:r>
      <w:r>
        <w:t xml:space="preserve"> changed market conditions that lowered the cost of debt, Liberty independently lowered its rate of return to 7.41</w:t>
      </w:r>
      <w:r w:rsidR="00217A30">
        <w:t xml:space="preserve"> prior to the Commission’s approval of the 7.35 rate of return implemented on July 1, 2019.</w:t>
      </w:r>
      <w:r w:rsidRPr="007F7F8F" w:rsidR="007F7F8F">
        <w:rPr>
          <w:rStyle w:val="FootnoteReference"/>
        </w:rPr>
        <w:t xml:space="preserve"> </w:t>
      </w:r>
      <w:r w:rsidR="007F7F8F">
        <w:rPr>
          <w:rStyle w:val="FootnoteReference"/>
        </w:rPr>
        <w:footnoteReference w:id="76"/>
      </w:r>
      <w:r w:rsidR="00217A30">
        <w:t xml:space="preserve"> Therefore, Liberty customers </w:t>
      </w:r>
      <w:r w:rsidR="00FA0347">
        <w:t>began</w:t>
      </w:r>
      <w:r w:rsidR="006F243C">
        <w:t xml:space="preserve"> </w:t>
      </w:r>
      <w:r w:rsidR="002277F0">
        <w:t>receiv</w:t>
      </w:r>
      <w:r w:rsidR="006F243C">
        <w:t>ing</w:t>
      </w:r>
      <w:r w:rsidR="00217A30">
        <w:t xml:space="preserve"> the benefit of the lower cost of debt</w:t>
      </w:r>
      <w:r w:rsidR="00FA0347">
        <w:t xml:space="preserve"> prior to July 1, 2019 and experienced a further reduction on July 1, 2019</w:t>
      </w:r>
      <w:r w:rsidR="002277F0">
        <w:t>.</w:t>
      </w:r>
    </w:p>
    <w:p w:rsidR="00E37601" w:rsidP="00E37601" w:rsidRDefault="00DA22A8" w14:paraId="333A8442" w14:textId="071BC1BE">
      <w:pPr>
        <w:pStyle w:val="Heading1"/>
      </w:pPr>
      <w:bookmarkStart w:name="_Toc46478809" w:id="63"/>
      <w:r>
        <w:t xml:space="preserve">Carrying Costs: </w:t>
      </w:r>
      <w:r w:rsidR="00E37601">
        <w:t>Taxes</w:t>
      </w:r>
      <w:r w:rsidR="00D8736A">
        <w:t xml:space="preserve"> and Depreciation</w:t>
      </w:r>
      <w:bookmarkEnd w:id="63"/>
    </w:p>
    <w:p w:rsidRPr="00FC4117" w:rsidR="00FC4117" w:rsidP="00FC4117" w:rsidRDefault="00D8736A" w14:paraId="251FE95A" w14:textId="1D98D7EC">
      <w:pPr>
        <w:pStyle w:val="Standard"/>
      </w:pPr>
      <w:r>
        <w:t xml:space="preserve">After forecasting the operational and maintenance costs </w:t>
      </w:r>
      <w:r w:rsidR="006C1BD5">
        <w:t xml:space="preserve">as well as General Office costs </w:t>
      </w:r>
      <w:r>
        <w:t>for each company, ratemaking conventions are applied to estimate the tax impacts that each company will experience due to the approved changes to the operational and capital structure in the Test Year.</w:t>
      </w:r>
      <w:r w:rsidR="008C75B6">
        <w:t xml:space="preserve"> </w:t>
      </w:r>
      <w:r>
        <w:t xml:space="preserve">The calculation of depreciation that should be included in the revenues that will be collected also may change due to operational and capital assumptions approved for the test year. </w:t>
      </w:r>
      <w:r w:rsidR="00F6717D">
        <w:t xml:space="preserve">Taxes and depreciation are associated not just with Liberty Park and Liberty Apple Valley’s discrete operations, but also with the shared operations and capital supporting </w:t>
      </w:r>
      <w:proofErr w:type="gramStart"/>
      <w:r w:rsidR="00F6717D">
        <w:t>both of these</w:t>
      </w:r>
      <w:proofErr w:type="gramEnd"/>
      <w:r w:rsidR="00F6717D">
        <w:t xml:space="preserve"> companies out of Liberty’s General</w:t>
      </w:r>
      <w:r>
        <w:t xml:space="preserve"> </w:t>
      </w:r>
      <w:r w:rsidR="00F6717D">
        <w:t xml:space="preserve">Office. </w:t>
      </w:r>
      <w:r w:rsidR="008C75B6">
        <w:t xml:space="preserve"> </w:t>
      </w:r>
      <w:r w:rsidR="00F6717D">
        <w:t>Liberty Park and Liberty Apple Valley bear the entirety of the tax and depreciation associated with Liberty’s General Office;</w:t>
      </w:r>
      <w:r w:rsidR="001A514F">
        <w:t xml:space="preserve"> </w:t>
      </w:r>
      <w:r w:rsidR="00F6717D">
        <w:t>the other affiliates do not contribute to these costs.</w:t>
      </w:r>
    </w:p>
    <w:p w:rsidR="00E37601" w:rsidP="00E37601" w:rsidRDefault="00F11660" w14:paraId="66F0B57C" w14:textId="339202A7">
      <w:pPr>
        <w:pStyle w:val="Heading2"/>
      </w:pPr>
      <w:bookmarkStart w:name="_Toc46478810" w:id="64"/>
      <w:r>
        <w:t>Capturing the Tax Impacts From the 2017 Tax Cuts and Jobs Act</w:t>
      </w:r>
      <w:bookmarkEnd w:id="64"/>
      <w:r w:rsidR="006726D6">
        <w:t xml:space="preserve"> </w:t>
      </w:r>
    </w:p>
    <w:p w:rsidR="00D47AD6" w:rsidP="00E37601" w:rsidRDefault="006E5894" w14:paraId="0D8CC706" w14:textId="4B153FE2">
      <w:pPr>
        <w:pStyle w:val="Standard"/>
      </w:pPr>
      <w:bookmarkStart w:name="_Hlk45116730" w:id="65"/>
      <w:r>
        <w:t xml:space="preserve">The 2017 Tax Cuts and Jobs Act </w:t>
      </w:r>
      <w:bookmarkEnd w:id="65"/>
      <w:r w:rsidR="00D47AD6">
        <w:t xml:space="preserve">(TCJA) </w:t>
      </w:r>
      <w:r>
        <w:t xml:space="preserve">reduced the </w:t>
      </w:r>
      <w:r w:rsidR="005B570D">
        <w:t xml:space="preserve">corporate </w:t>
      </w:r>
      <w:r>
        <w:t xml:space="preserve">federal income tax rate from </w:t>
      </w:r>
      <w:r w:rsidR="008F7E47">
        <w:t>35</w:t>
      </w:r>
      <w:r w:rsidR="001A514F">
        <w:t xml:space="preserve"> percent</w:t>
      </w:r>
      <w:r w:rsidR="008F7E47">
        <w:t xml:space="preserve"> to 21</w:t>
      </w:r>
      <w:r w:rsidR="001A514F">
        <w:t xml:space="preserve"> percent</w:t>
      </w:r>
      <w:r w:rsidR="008F7E47">
        <w:t xml:space="preserve"> </w:t>
      </w:r>
      <w:r>
        <w:t>as of</w:t>
      </w:r>
      <w:r w:rsidR="008F7E47">
        <w:t xml:space="preserve"> January 1, 2018.</w:t>
      </w:r>
      <w:r w:rsidR="001A514F">
        <w:t xml:space="preserve"> </w:t>
      </w:r>
      <w:r>
        <w:t xml:space="preserve">On December </w:t>
      </w:r>
      <w:r>
        <w:lastRenderedPageBreak/>
        <w:t xml:space="preserve">29, 2017, Liberty Apple Valley and Liberty Park </w:t>
      </w:r>
      <w:r w:rsidR="00193A74">
        <w:t>submitted</w:t>
      </w:r>
      <w:r>
        <w:t xml:space="preserve"> Advice Letters 227-W and 281-W, respectively, to track the impacts of the new federal tax law on the revenue requirement</w:t>
      </w:r>
      <w:r w:rsidR="008020B3">
        <w:t xml:space="preserve"> in memorandum accounts</w:t>
      </w:r>
      <w:r>
        <w:t>. On May 8, 2018</w:t>
      </w:r>
      <w:r w:rsidR="00D47AD6">
        <w:t>,</w:t>
      </w:r>
      <w:r>
        <w:t xml:space="preserve"> the Commission’s Water Division directed the water utilities to </w:t>
      </w:r>
      <w:r w:rsidR="000F464E">
        <w:t xml:space="preserve">put new </w:t>
      </w:r>
      <w:r>
        <w:t xml:space="preserve">rates </w:t>
      </w:r>
      <w:r w:rsidR="000F464E">
        <w:t>into effect reflecting the lower federal tax rate</w:t>
      </w:r>
      <w:r>
        <w:t>, which Liberty Apple Valley and Liberty Park did</w:t>
      </w:r>
      <w:r w:rsidR="000F464E">
        <w:t xml:space="preserve"> via Advice Letters 230-W and 284-W, respectively</w:t>
      </w:r>
      <w:r>
        <w:t xml:space="preserve">. </w:t>
      </w:r>
    </w:p>
    <w:p w:rsidR="00D47AD6" w:rsidP="00E37601" w:rsidRDefault="00EE75C9" w14:paraId="00D52079" w14:textId="5D47FAF0">
      <w:pPr>
        <w:pStyle w:val="Standard"/>
      </w:pPr>
      <w:r>
        <w:t>Liberty’s original application reflected the 35</w:t>
      </w:r>
      <w:r w:rsidR="001A514F">
        <w:t xml:space="preserve"> percent</w:t>
      </w:r>
      <w:r>
        <w:t xml:space="preserve"> corporate federal income tax rate</w:t>
      </w:r>
      <w:r w:rsidR="00D47AD6">
        <w:t>,</w:t>
      </w:r>
      <w:r>
        <w:t xml:space="preserve"> but </w:t>
      </w:r>
      <w:r w:rsidR="00D47AD6">
        <w:t xml:space="preserve">the </w:t>
      </w:r>
      <w:r>
        <w:t>parties</w:t>
      </w:r>
      <w:r w:rsidR="00D47AD6">
        <w:t>’</w:t>
      </w:r>
      <w:r>
        <w:t xml:space="preserve"> Joint Comparison Exhibit properly reflected the 21</w:t>
      </w:r>
      <w:r w:rsidR="001A514F">
        <w:t xml:space="preserve"> percent</w:t>
      </w:r>
      <w:r>
        <w:t xml:space="preserve"> corporate federal income tax rate that had been implemented since.</w:t>
      </w:r>
      <w:r w:rsidR="001A514F">
        <w:t xml:space="preserve"> </w:t>
      </w:r>
      <w:r w:rsidR="000F464E">
        <w:t>As described in the Pu</w:t>
      </w:r>
      <w:r w:rsidR="000102CB">
        <w:t>b</w:t>
      </w:r>
      <w:r w:rsidR="000F464E">
        <w:t xml:space="preserve">lic Advocates Office </w:t>
      </w:r>
      <w:r w:rsidR="000102CB">
        <w:t>reports,</w:t>
      </w:r>
      <w:r>
        <w:rPr>
          <w:rStyle w:val="FootnoteReference"/>
        </w:rPr>
        <w:footnoteReference w:id="77"/>
      </w:r>
      <w:r w:rsidR="000102CB">
        <w:t xml:space="preserve"> </w:t>
      </w:r>
      <w:r w:rsidR="008020B3">
        <w:t xml:space="preserve">the </w:t>
      </w:r>
      <w:r>
        <w:t xml:space="preserve">2017 TCJA </w:t>
      </w:r>
      <w:r w:rsidR="008020B3">
        <w:t xml:space="preserve">also results in a lesser amount of deferred taxes that must be held in reserve. </w:t>
      </w:r>
    </w:p>
    <w:p w:rsidR="00E37601" w:rsidP="00E37601" w:rsidRDefault="00D47AD6" w14:paraId="3B6F4A43" w14:textId="2E8B5FD3">
      <w:pPr>
        <w:pStyle w:val="Standard"/>
      </w:pPr>
      <w:r>
        <w:t>The p</w:t>
      </w:r>
      <w:r w:rsidR="008020B3">
        <w:t xml:space="preserve">arties agreed that the recalculation of the recorded accumulated deferred income tax (ADIT) is to occur after this decision is issued, and any excess ADIT will be amortized according to the </w:t>
      </w:r>
      <w:proofErr w:type="spellStart"/>
      <w:r w:rsidR="008020B3">
        <w:t>straightline</w:t>
      </w:r>
      <w:proofErr w:type="spellEnd"/>
      <w:r w:rsidR="008020B3">
        <w:t xml:space="preserve"> method and reconciled in the next GRC.</w:t>
      </w:r>
      <w:r w:rsidR="001A514F">
        <w:t xml:space="preserve"> </w:t>
      </w:r>
      <w:r w:rsidR="008020B3">
        <w:t>Additionally, Liberty should continue to track any additional residual effects of the 2017 TCJA in the memorandum accounts established by Advice Letters 227-W and 281-W</w:t>
      </w:r>
      <w:r w:rsidR="0049011B">
        <w:t>.</w:t>
      </w:r>
    </w:p>
    <w:p w:rsidR="00E37601" w:rsidP="00E37601" w:rsidRDefault="00E37601" w14:paraId="54F71063" w14:textId="77777777">
      <w:pPr>
        <w:pStyle w:val="Heading2"/>
      </w:pPr>
      <w:bookmarkStart w:name="_Toc46478811" w:id="67"/>
      <w:r>
        <w:t>Deduction of State Income Tax from Federal Tax</w:t>
      </w:r>
      <w:bookmarkEnd w:id="67"/>
    </w:p>
    <w:p w:rsidR="00D47AD6" w:rsidP="00E37601" w:rsidRDefault="00D47AD6" w14:paraId="20CFF4E1" w14:textId="65D8C03F">
      <w:pPr>
        <w:pStyle w:val="Standard"/>
      </w:pPr>
      <w:r>
        <w:t>The p</w:t>
      </w:r>
      <w:r w:rsidR="00E37601">
        <w:t>arties dispute the ratemaking treatment of Liberty’s deduction of California state income tax, (</w:t>
      </w:r>
      <w:r w:rsidRPr="001A514F" w:rsidR="00E37601">
        <w:rPr>
          <w:i/>
          <w:iCs/>
        </w:rPr>
        <w:t>i.e.,</w:t>
      </w:r>
      <w:r w:rsidR="00E37601">
        <w:t xml:space="preserve"> the California Corporate Franchise Tax) (CCFT) when calculating the </w:t>
      </w:r>
      <w:r w:rsidR="009F3028">
        <w:t>federal income tax</w:t>
      </w:r>
      <w:r w:rsidR="00E37601">
        <w:t xml:space="preserve"> expense. Liberty calculates the amount to be deducted based on present rates while the Public Advocates Office </w:t>
      </w:r>
      <w:r w:rsidR="00E37601">
        <w:lastRenderedPageBreak/>
        <w:t xml:space="preserve">calculates the amount to be deducted as what was </w:t>
      </w:r>
      <w:r w:rsidR="00E37601">
        <w:rPr>
          <w:i/>
          <w:iCs/>
          <w:u w:val="single"/>
        </w:rPr>
        <w:t>authorized</w:t>
      </w:r>
      <w:r w:rsidR="00E37601">
        <w:t xml:space="preserve"> for 2018</w:t>
      </w:r>
      <w:r w:rsidR="009F3028">
        <w:t xml:space="preserve">, </w:t>
      </w:r>
      <w:r w:rsidR="00B11B2E">
        <w:t>as reflected in</w:t>
      </w:r>
      <w:r w:rsidR="009F3028">
        <w:t xml:space="preserve"> Liberty’s 2018 attrition year filing.</w:t>
      </w:r>
      <w:r w:rsidR="001A514F">
        <w:t xml:space="preserve"> </w:t>
      </w:r>
    </w:p>
    <w:p w:rsidR="00D47AD6" w:rsidP="00E37601" w:rsidRDefault="00D47AD6" w14:paraId="5C6C4EB5" w14:textId="75270444">
      <w:pPr>
        <w:pStyle w:val="Standard"/>
      </w:pPr>
      <w:r>
        <w:t>The p</w:t>
      </w:r>
      <w:r w:rsidR="00B11B2E">
        <w:t>arties do not dispute that the Commission, in D. 89-11-058, required “that test year and attrition year CCFT estimates adopted in rates be specifically defined and made available to the Commission staff responsible for putting together the FIT (federal income tax</w:t>
      </w:r>
      <w:r w:rsidR="00913F8B">
        <w:t>)</w:t>
      </w:r>
      <w:r w:rsidR="00B11B2E">
        <w:t xml:space="preserve"> estimates for the following attrition or test year so that there is no time lag in CCFT deductibility.”</w:t>
      </w:r>
      <w:r w:rsidR="009F3028">
        <w:rPr>
          <w:rStyle w:val="FootnoteReference"/>
        </w:rPr>
        <w:footnoteReference w:id="78"/>
      </w:r>
      <w:r w:rsidR="009F3028">
        <w:t xml:space="preserve"> </w:t>
      </w:r>
      <w:r w:rsidR="009E43AF">
        <w:t xml:space="preserve">Liberty </w:t>
      </w:r>
      <w:r>
        <w:t>argue</w:t>
      </w:r>
      <w:r w:rsidR="009E43AF">
        <w:t xml:space="preserve">s </w:t>
      </w:r>
      <w:r>
        <w:t xml:space="preserve">that </w:t>
      </w:r>
      <w:r w:rsidR="009E43AF">
        <w:t xml:space="preserve">the Commission </w:t>
      </w:r>
      <w:r w:rsidR="00AF7A79">
        <w:t xml:space="preserve">subsequently </w:t>
      </w:r>
      <w:r w:rsidR="009E43AF">
        <w:t xml:space="preserve">reversed such requirement </w:t>
      </w:r>
      <w:r w:rsidR="001E7FD2">
        <w:t>by sending a May 10, 1990 Memorandum</w:t>
      </w:r>
      <w:r w:rsidR="00506FD4">
        <w:t xml:space="preserve"> </w:t>
      </w:r>
      <w:r w:rsidR="001E7FD2">
        <w:t>to all Class A water utilities</w:t>
      </w:r>
      <w:r w:rsidR="00AF7A79">
        <w:t xml:space="preserve"> along with </w:t>
      </w:r>
      <w:r w:rsidR="009E43AF">
        <w:t xml:space="preserve">Water Division’s May 4, 1990 </w:t>
      </w:r>
      <w:r w:rsidR="001E7FD2">
        <w:t xml:space="preserve">internal </w:t>
      </w:r>
      <w:r w:rsidR="00AF7A79">
        <w:t>m</w:t>
      </w:r>
      <w:r w:rsidR="00506FD4">
        <w:t xml:space="preserve">emorandum </w:t>
      </w:r>
      <w:r w:rsidR="001E7FD2">
        <w:t>on the subject of “Net-to-Gross Multiplier Calculation and Summary of Earnings Comparison</w:t>
      </w:r>
      <w:r w:rsidR="009E43AF">
        <w:t>.</w:t>
      </w:r>
      <w:r w:rsidR="001E7FD2">
        <w:t>”</w:t>
      </w:r>
      <w:r w:rsidR="009E43AF">
        <w:rPr>
          <w:rStyle w:val="FootnoteReference"/>
        </w:rPr>
        <w:footnoteReference w:id="79"/>
      </w:r>
      <w:r w:rsidR="001A514F">
        <w:t xml:space="preserve"> </w:t>
      </w:r>
      <w:r w:rsidR="001E7FD2">
        <w:t xml:space="preserve">Liberty </w:t>
      </w:r>
      <w:r w:rsidR="00AE30AA">
        <w:t>relies upon</w:t>
      </w:r>
      <w:r w:rsidR="00506FD4">
        <w:t xml:space="preserve"> an </w:t>
      </w:r>
      <w:r w:rsidR="00D10F9A">
        <w:t>inconsistency</w:t>
      </w:r>
      <w:r w:rsidR="00506FD4">
        <w:t xml:space="preserve"> in the Water Division’s May 4, 1990</w:t>
      </w:r>
      <w:r>
        <w:t>,</w:t>
      </w:r>
      <w:r w:rsidR="00506FD4">
        <w:t xml:space="preserve"> internal memo</w:t>
      </w:r>
      <w:r w:rsidR="00AF7A79">
        <w:t>randum</w:t>
      </w:r>
      <w:r w:rsidR="00506FD4">
        <w:t xml:space="preserve"> by </w:t>
      </w:r>
      <w:r w:rsidR="00E93A84">
        <w:t xml:space="preserve">proposing to follow </w:t>
      </w:r>
      <w:r w:rsidR="00D10F9A">
        <w:t>one of its two examples in which it estimates a CCFT based on revenues in the year the deduction is made</w:t>
      </w:r>
      <w:r w:rsidR="00E93A84">
        <w:t xml:space="preserve">. </w:t>
      </w:r>
      <w:r w:rsidR="001A514F">
        <w:t xml:space="preserve"> </w:t>
      </w:r>
    </w:p>
    <w:p w:rsidR="006376EA" w:rsidP="00E37601" w:rsidRDefault="00826990" w14:paraId="45B7826B" w14:textId="7A27B300">
      <w:pPr>
        <w:pStyle w:val="Standard"/>
      </w:pPr>
      <w:r>
        <w:t xml:space="preserve">We direct </w:t>
      </w:r>
      <w:r w:rsidR="00E93A84">
        <w:t xml:space="preserve">Liberty </w:t>
      </w:r>
      <w:r>
        <w:t>to follow</w:t>
      </w:r>
      <w:r w:rsidR="00E93A84">
        <w:t xml:space="preserve"> the </w:t>
      </w:r>
      <w:r w:rsidR="00506FD4">
        <w:t>plain language of the May 10, 1990 Memorandum</w:t>
      </w:r>
      <w:r w:rsidR="00E93A84">
        <w:t>, directly addressed to the water utilities.</w:t>
      </w:r>
      <w:r w:rsidR="001A514F">
        <w:t xml:space="preserve"> </w:t>
      </w:r>
      <w:r w:rsidR="00E37601">
        <w:t xml:space="preserve">Not only have recent Commission decisions on water rate cases </w:t>
      </w:r>
      <w:r w:rsidR="00D51F07">
        <w:t>affirmed that prior year estimates for CCFT should apply for the Test Year</w:t>
      </w:r>
      <w:r w:rsidR="00E37601">
        <w:t xml:space="preserve"> (D.17</w:t>
      </w:r>
      <w:r w:rsidR="001A514F">
        <w:noBreakHyphen/>
      </w:r>
      <w:r w:rsidR="00E37601">
        <w:t xml:space="preserve">06-008 San Gabriel </w:t>
      </w:r>
      <w:r w:rsidR="00445A90">
        <w:t xml:space="preserve">Valley Water Company </w:t>
      </w:r>
      <w:r w:rsidR="00E37601">
        <w:t>and D.18-12-021 California American</w:t>
      </w:r>
      <w:r w:rsidR="00470D36">
        <w:t xml:space="preserve"> Water</w:t>
      </w:r>
      <w:r>
        <w:t xml:space="preserve"> Company</w:t>
      </w:r>
      <w:r w:rsidR="00E37601">
        <w:t xml:space="preserve">), but to accept Liberty’s interpretation would create a type of arbitrage. </w:t>
      </w:r>
      <w:r w:rsidR="00E93A84">
        <w:t>T</w:t>
      </w:r>
      <w:r w:rsidR="00D50397">
        <w:t>here must be a cor</w:t>
      </w:r>
      <w:r w:rsidR="00AF7A79">
        <w:t xml:space="preserve">relation </w:t>
      </w:r>
      <w:r w:rsidR="00D50397">
        <w:t>between the</w:t>
      </w:r>
      <w:r w:rsidR="00E37601">
        <w:t xml:space="preserve"> amount collected </w:t>
      </w:r>
      <w:r w:rsidR="00D50397">
        <w:t xml:space="preserve">from ratepayers </w:t>
      </w:r>
      <w:r w:rsidR="00E93A84">
        <w:t xml:space="preserve">in one year </w:t>
      </w:r>
      <w:r w:rsidR="00E37601">
        <w:t xml:space="preserve">and deducted </w:t>
      </w:r>
      <w:r w:rsidR="00D50397">
        <w:t>the following year,</w:t>
      </w:r>
      <w:r w:rsidR="00E37601">
        <w:t xml:space="preserve"> </w:t>
      </w:r>
      <w:r w:rsidR="00D50397">
        <w:t xml:space="preserve">so that </w:t>
      </w:r>
      <w:r w:rsidR="00E93A84">
        <w:t xml:space="preserve">any advantage gained from the mismatch </w:t>
      </w:r>
      <w:r w:rsidR="00E93A84">
        <w:lastRenderedPageBreak/>
        <w:t xml:space="preserve">between </w:t>
      </w:r>
      <w:r w:rsidR="004B43BD">
        <w:t xml:space="preserve">an </w:t>
      </w:r>
      <w:r w:rsidR="00E93A84">
        <w:t>authorized and actual deduction</w:t>
      </w:r>
      <w:r w:rsidR="00D50397">
        <w:t xml:space="preserve"> one year is offset by </w:t>
      </w:r>
      <w:r w:rsidR="00E93A84">
        <w:t>a disadvantage</w:t>
      </w:r>
      <w:r w:rsidR="00D50397">
        <w:t xml:space="preserve"> the following year.</w:t>
      </w:r>
      <w:r w:rsidR="00E37601">
        <w:t xml:space="preserve"> </w:t>
      </w:r>
    </w:p>
    <w:p w:rsidR="00E37601" w:rsidP="00E37601" w:rsidRDefault="00E93A84" w14:paraId="1CFA13C5" w14:textId="407ADDF6">
      <w:pPr>
        <w:pStyle w:val="Standard"/>
      </w:pPr>
      <w:r>
        <w:t xml:space="preserve">The </w:t>
      </w:r>
      <w:r w:rsidR="00E37601">
        <w:t xml:space="preserve">Public Advocates Office testimony provides a </w:t>
      </w:r>
      <w:r w:rsidR="00AF7A79">
        <w:t xml:space="preserve">reasonable and </w:t>
      </w:r>
      <w:r w:rsidR="00E37601">
        <w:t xml:space="preserve">logical explanation for the </w:t>
      </w:r>
      <w:r w:rsidR="00D10F9A">
        <w:t xml:space="preserve">inconsistency in the May 4, 1990 internal </w:t>
      </w:r>
      <w:r w:rsidR="00AF7A79">
        <w:t>memorandum</w:t>
      </w:r>
      <w:r w:rsidR="00E37601">
        <w:t>, stating “in some cases, the current or test year estimated CCFT number may be used as a test year FIT deduction. This is particularly true when there is no firm prior year’s payment information or the prior year’s amount is merely an estimate based on progressive annual estimates or when there is simply no “last adopted” CCFT number.”</w:t>
      </w:r>
      <w:r w:rsidR="00E37601">
        <w:rPr>
          <w:rStyle w:val="FootnoteReference"/>
        </w:rPr>
        <w:footnoteReference w:id="80"/>
      </w:r>
      <w:r w:rsidR="001A514F">
        <w:t xml:space="preserve"> </w:t>
      </w:r>
      <w:r w:rsidR="00E37601">
        <w:t xml:space="preserve">In fact, one of Liberty Apple Valley’s three districts, </w:t>
      </w:r>
      <w:proofErr w:type="spellStart"/>
      <w:r w:rsidR="00E37601">
        <w:t>Yermo</w:t>
      </w:r>
      <w:proofErr w:type="spellEnd"/>
      <w:r w:rsidR="00E37601">
        <w:t xml:space="preserve">, indeed has no adopted number that can be utilized. Therefore, this portion of Liberty Apple Valley should </w:t>
      </w:r>
      <w:r w:rsidR="008D2C7E">
        <w:t xml:space="preserve">and does </w:t>
      </w:r>
      <w:r w:rsidR="00E37601">
        <w:t>utilize Liberty’s method, although the amount is inconsequential overall.</w:t>
      </w:r>
    </w:p>
    <w:p w:rsidR="00B45743" w:rsidP="00586F3E" w:rsidRDefault="00B45743" w14:paraId="52AA68F5" w14:textId="3B22E998">
      <w:pPr>
        <w:pStyle w:val="Heading1"/>
      </w:pPr>
      <w:bookmarkStart w:name="_Toc46478812" w:id="68"/>
      <w:r>
        <w:t>Rate Design</w:t>
      </w:r>
      <w:bookmarkEnd w:id="68"/>
    </w:p>
    <w:p w:rsidR="00E50156" w:rsidP="00E50156" w:rsidRDefault="00822277" w14:paraId="3F90376E" w14:textId="6F3FCDE8">
      <w:pPr>
        <w:pStyle w:val="Standard"/>
      </w:pPr>
      <w:r>
        <w:t>We a</w:t>
      </w:r>
      <w:r w:rsidR="00AF7A79">
        <w:t>dopt</w:t>
      </w:r>
      <w:r>
        <w:t xml:space="preserve"> the parties’ agreement</w:t>
      </w:r>
      <w:r w:rsidR="00D36EBF">
        <w:t xml:space="preserve"> to continue the existing rate design for all customer classes, with </w:t>
      </w:r>
      <w:r w:rsidR="00865A03">
        <w:t>a</w:t>
      </w:r>
      <w:r w:rsidR="00D36EBF">
        <w:t xml:space="preserve"> </w:t>
      </w:r>
      <w:r>
        <w:t>decrease</w:t>
      </w:r>
      <w:r w:rsidR="00D36EBF">
        <w:t xml:space="preserve"> to the </w:t>
      </w:r>
      <w:r>
        <w:t xml:space="preserve">residential </w:t>
      </w:r>
      <w:r w:rsidR="00D36EBF">
        <w:t xml:space="preserve">Tier 1 breakpoint </w:t>
      </w:r>
      <w:r>
        <w:t xml:space="preserve">to account for the lower usage recorded in 2016. Liberty Apple Valley will reduce the residential Tier 1 breakpoint from 12 </w:t>
      </w:r>
      <w:proofErr w:type="spellStart"/>
      <w:r>
        <w:t>Ccf</w:t>
      </w:r>
      <w:proofErr w:type="spellEnd"/>
      <w:r>
        <w:t xml:space="preserve"> to 11 </w:t>
      </w:r>
      <w:proofErr w:type="spellStart"/>
      <w:r>
        <w:t>Ccf</w:t>
      </w:r>
      <w:proofErr w:type="spellEnd"/>
      <w:r>
        <w:t xml:space="preserve">, and Liberty Park will reduce the residential Tier 1 breakpoint from 9 </w:t>
      </w:r>
      <w:proofErr w:type="spellStart"/>
      <w:r>
        <w:t>Ccf</w:t>
      </w:r>
      <w:proofErr w:type="spellEnd"/>
      <w:r>
        <w:t xml:space="preserve"> to 8 </w:t>
      </w:r>
      <w:proofErr w:type="spellStart"/>
      <w:r>
        <w:t>Ccf</w:t>
      </w:r>
      <w:proofErr w:type="spellEnd"/>
      <w:r>
        <w:t xml:space="preserve">. </w:t>
      </w:r>
      <w:r w:rsidR="00034FD7">
        <w:t>Only the residential class has increasing block rates, while the commercial and industrial classes pay only one rate regardless of the quantity of water consumed.</w:t>
      </w:r>
      <w:r w:rsidR="001A514F">
        <w:t xml:space="preserve"> </w:t>
      </w:r>
      <w:r w:rsidR="00E50156">
        <w:t xml:space="preserve">Nevertheless, Liberty asserts that its nonresidential customers have a conservation rate design because </w:t>
      </w:r>
      <w:proofErr w:type="gramStart"/>
      <w:r w:rsidR="00E50156">
        <w:t>the majority of</w:t>
      </w:r>
      <w:proofErr w:type="gramEnd"/>
      <w:r w:rsidR="00E50156">
        <w:t xml:space="preserve"> costs are recovered through a quantity, rather than fixed charge.</w:t>
      </w:r>
    </w:p>
    <w:p w:rsidR="00AF7A79" w:rsidP="00B45743" w:rsidRDefault="00034FD7" w14:paraId="25BC58EA" w14:textId="743726F0">
      <w:pPr>
        <w:pStyle w:val="Standard"/>
      </w:pPr>
      <w:r>
        <w:t>W</w:t>
      </w:r>
      <w:r w:rsidR="00E50156">
        <w:t>hile we approve the rate designs as proposed, w</w:t>
      </w:r>
      <w:r>
        <w:t xml:space="preserve">e </w:t>
      </w:r>
      <w:r w:rsidR="00E50156">
        <w:t>are concerned about</w:t>
      </w:r>
      <w:r>
        <w:t xml:space="preserve"> Liberty’s reliance on a rate </w:t>
      </w:r>
      <w:r w:rsidR="009B1148">
        <w:t>design establis</w:t>
      </w:r>
      <w:r w:rsidR="00E50156">
        <w:t xml:space="preserve">hed over ten years ago, and that </w:t>
      </w:r>
      <w:r w:rsidR="00E50156">
        <w:lastRenderedPageBreak/>
        <w:t xml:space="preserve">Liberty </w:t>
      </w:r>
      <w:r w:rsidR="004304AB">
        <w:t xml:space="preserve">is satisfied that its rate design promotes conservation primarily </w:t>
      </w:r>
      <w:r w:rsidR="00E97084">
        <w:t>because</w:t>
      </w:r>
      <w:r w:rsidR="004304AB">
        <w:t xml:space="preserve"> 70</w:t>
      </w:r>
      <w:r w:rsidR="00A1535E">
        <w:t xml:space="preserve"> percent</w:t>
      </w:r>
      <w:r w:rsidR="004304AB">
        <w:t xml:space="preserve"> (for Liberty Apple Valley) and 75</w:t>
      </w:r>
      <w:r w:rsidR="00A1535E">
        <w:t xml:space="preserve"> percent</w:t>
      </w:r>
      <w:r w:rsidR="004304AB">
        <w:t xml:space="preserve"> (for Liberty Park) of costs </w:t>
      </w:r>
      <w:r w:rsidR="00D54E10">
        <w:t xml:space="preserve">are </w:t>
      </w:r>
      <w:r w:rsidR="004304AB">
        <w:t>recovered through the quantity charge</w:t>
      </w:r>
      <w:r w:rsidR="00E50156">
        <w:t xml:space="preserve">. As Liberty notes, today’s conservation rate design is the same as that </w:t>
      </w:r>
      <w:r w:rsidR="00096B30">
        <w:t xml:space="preserve">was </w:t>
      </w:r>
      <w:r w:rsidR="00E50156">
        <w:t>authorize</w:t>
      </w:r>
      <w:r w:rsidR="003E3205">
        <w:t>d</w:t>
      </w:r>
      <w:r w:rsidR="00E50156">
        <w:t xml:space="preserve"> by the Commission in D.08-09-026 and D.12-09-004 for Liberty Apple Valley and D.08-02-036 and D.16-01</w:t>
      </w:r>
      <w:r w:rsidR="000F2522">
        <w:t>-</w:t>
      </w:r>
      <w:r w:rsidR="00E50156">
        <w:t>009 for Liberty Park.</w:t>
      </w:r>
      <w:r w:rsidR="001A514F">
        <w:t xml:space="preserve"> </w:t>
      </w:r>
      <w:r w:rsidR="00E50156">
        <w:t xml:space="preserve">Liberty asserts that </w:t>
      </w:r>
      <w:r w:rsidR="003E3205">
        <w:t>nonresidential use is inelastic</w:t>
      </w:r>
      <w:r w:rsidR="00AF7A79">
        <w:t>,</w:t>
      </w:r>
      <w:r w:rsidR="003E3205">
        <w:t xml:space="preserve"> and the diversity of its commercial class would require prohibitively difficult sub</w:t>
      </w:r>
      <w:r w:rsidR="002610F8">
        <w:t>-</w:t>
      </w:r>
      <w:r w:rsidR="003E3205">
        <w:t xml:space="preserve">classifications. </w:t>
      </w:r>
    </w:p>
    <w:p w:rsidR="00AF7A79" w:rsidP="00B45743" w:rsidRDefault="004C01FA" w14:paraId="6E2790A1" w14:textId="06807423">
      <w:pPr>
        <w:pStyle w:val="Standard"/>
      </w:pPr>
      <w:r>
        <w:t>While it may be difficult to more precisely classify nonresidential customers, both Liberty Apple Valley and Liberty Park explain that only 10</w:t>
      </w:r>
      <w:r w:rsidR="001A514F">
        <w:t xml:space="preserve"> percent</w:t>
      </w:r>
      <w:r>
        <w:t xml:space="preserve"> of its customers are nonresidential, </w:t>
      </w:r>
      <w:r w:rsidR="00D54E10">
        <w:t xml:space="preserve">yet </w:t>
      </w:r>
      <w:r>
        <w:t xml:space="preserve">these nonresidential customers </w:t>
      </w:r>
      <w:r w:rsidR="00B72BB3">
        <w:t>account for</w:t>
      </w:r>
      <w:r>
        <w:t xml:space="preserve"> </w:t>
      </w:r>
      <w:r w:rsidR="00D54E10">
        <w:t xml:space="preserve">approximately </w:t>
      </w:r>
      <w:r>
        <w:t>30</w:t>
      </w:r>
      <w:r w:rsidR="001A514F">
        <w:t xml:space="preserve"> percent</w:t>
      </w:r>
      <w:r>
        <w:t xml:space="preserve"> of </w:t>
      </w:r>
      <w:r w:rsidR="00D54E10">
        <w:t xml:space="preserve">water </w:t>
      </w:r>
      <w:r w:rsidR="00CC62CC">
        <w:t>sales</w:t>
      </w:r>
      <w:r w:rsidR="00D54E10">
        <w:t xml:space="preserve"> and revenues</w:t>
      </w:r>
      <w:r>
        <w:t>.</w:t>
      </w:r>
      <w:r w:rsidR="00CC62CC">
        <w:rPr>
          <w:rStyle w:val="FootnoteReference"/>
        </w:rPr>
        <w:footnoteReference w:id="81"/>
      </w:r>
      <w:r w:rsidR="00D54E10">
        <w:t xml:space="preserve"> </w:t>
      </w:r>
      <w:r w:rsidR="00425486">
        <w:t xml:space="preserve">Thirty percent of water sales and revenue merits the time and effort it would take to </w:t>
      </w:r>
      <w:r w:rsidR="007D7E0C">
        <w:t>classify</w:t>
      </w:r>
      <w:r w:rsidR="002E5D27">
        <w:t xml:space="preserve"> nonresidential subclasses.</w:t>
      </w:r>
      <w:r w:rsidR="001A514F">
        <w:t xml:space="preserve"> </w:t>
      </w:r>
      <w:r w:rsidR="002E5D27">
        <w:t xml:space="preserve"> </w:t>
      </w:r>
    </w:p>
    <w:p w:rsidR="004C01FA" w:rsidP="00B45743" w:rsidRDefault="002E5D27" w14:paraId="0FF0C67F" w14:textId="19CFE746">
      <w:pPr>
        <w:pStyle w:val="Standard"/>
      </w:pPr>
      <w:r>
        <w:t>I</w:t>
      </w:r>
      <w:r w:rsidR="004C01FA">
        <w:t xml:space="preserve">t is unclear why the Commission’s </w:t>
      </w:r>
      <w:r w:rsidR="00602057">
        <w:t xml:space="preserve">requirements </w:t>
      </w:r>
      <w:r w:rsidR="00303633">
        <w:t>from D.16-12-026, the Decision Providing Guidance on Water Rate Structure and Tiered Rates,</w:t>
      </w:r>
      <w:r w:rsidR="00CE0215">
        <w:rPr>
          <w:rStyle w:val="FootnoteReference"/>
        </w:rPr>
        <w:footnoteReference w:id="82"/>
      </w:r>
      <w:r w:rsidR="00303633">
        <w:t xml:space="preserve"> </w:t>
      </w:r>
      <w:r>
        <w:t xml:space="preserve">to prioritize </w:t>
      </w:r>
      <w:r w:rsidR="004C01FA">
        <w:t>conservation and affordability</w:t>
      </w:r>
      <w:r w:rsidR="00602057">
        <w:t xml:space="preserve"> via variation to rate design,</w:t>
      </w:r>
      <w:r w:rsidR="004C01FA">
        <w:t xml:space="preserve"> </w:t>
      </w:r>
      <w:r>
        <w:t>have not</w:t>
      </w:r>
      <w:r w:rsidR="00602057">
        <w:t xml:space="preserve"> been implemented</w:t>
      </w:r>
      <w:r w:rsidR="007D7E0C">
        <w:t xml:space="preserve"> </w:t>
      </w:r>
      <w:r w:rsidR="000F2522">
        <w:t>by Liberty</w:t>
      </w:r>
      <w:r w:rsidR="00303633">
        <w:t>, for both the residential and</w:t>
      </w:r>
      <w:r w:rsidR="007D7E0C">
        <w:t xml:space="preserve"> the nonresidential class(es)</w:t>
      </w:r>
      <w:r>
        <w:t>.</w:t>
      </w:r>
      <w:r w:rsidR="001A514F">
        <w:t xml:space="preserve"> </w:t>
      </w:r>
      <w:r w:rsidR="004C01FA">
        <w:t xml:space="preserve">Liberty Park </w:t>
      </w:r>
      <w:r w:rsidR="00063F8B">
        <w:t>announce</w:t>
      </w:r>
      <w:r w:rsidR="000F2522">
        <w:t>d</w:t>
      </w:r>
      <w:r w:rsidR="00063F8B">
        <w:t xml:space="preserve"> an intention</w:t>
      </w:r>
      <w:r w:rsidR="004C01FA">
        <w:t xml:space="preserve"> to gather the necessary data to consider diverse rate designs for its nonresidential customers</w:t>
      </w:r>
      <w:r w:rsidR="0088117B">
        <w:t>.</w:t>
      </w:r>
      <w:r w:rsidR="001A514F">
        <w:t xml:space="preserve"> </w:t>
      </w:r>
      <w:r w:rsidR="0088117B">
        <w:t>We</w:t>
      </w:r>
      <w:r w:rsidR="004C01FA">
        <w:t xml:space="preserve"> expect </w:t>
      </w:r>
      <w:r w:rsidR="0088117B">
        <w:t>to see this from Liberty Apple Valley as well.</w:t>
      </w:r>
    </w:p>
    <w:p w:rsidR="00AF7A79" w:rsidP="00B45743" w:rsidRDefault="006A6F1F" w14:paraId="42ECF990" w14:textId="0EDA7A77">
      <w:pPr>
        <w:pStyle w:val="Standard"/>
      </w:pPr>
      <w:r>
        <w:lastRenderedPageBreak/>
        <w:t>Both Liberty Apple Valley and Liberty Park assert their residential rate design has considered the impact on low-income affordability by virtue of their setting the Tier 1 breakpoint.</w:t>
      </w:r>
      <w:r w:rsidR="001A514F">
        <w:t xml:space="preserve"> </w:t>
      </w:r>
      <w:r>
        <w:t>From Liberty’s presentation, it appears that the Tier</w:t>
      </w:r>
      <w:r w:rsidR="001A514F">
        <w:t> </w:t>
      </w:r>
      <w:r>
        <w:t>1 breakpoint is set based on overall residential usage, calling into question Liberty’s assertion.</w:t>
      </w:r>
      <w:r w:rsidR="00AF7A79">
        <w:t xml:space="preserve"> </w:t>
      </w:r>
      <w:r w:rsidR="003E3205">
        <w:t>Liberty Apple Valley claims that a lower Tier 1 breakpoint would</w:t>
      </w:r>
      <w:r w:rsidR="009E2C88">
        <w:t xml:space="preserve"> burden low-income customers who have already made strong efforts to conserve. Liberty Apple Valley does not </w:t>
      </w:r>
      <w:r w:rsidR="000F2522">
        <w:t xml:space="preserve">provide evidence to </w:t>
      </w:r>
      <w:r w:rsidR="002A5032">
        <w:t xml:space="preserve">support this statement or even define </w:t>
      </w:r>
      <w:r w:rsidR="009E2C88">
        <w:t>low-income customers</w:t>
      </w:r>
      <w:r w:rsidR="005D7814">
        <w:t>. F</w:t>
      </w:r>
      <w:r w:rsidR="000F2522">
        <w:t xml:space="preserve">or example, </w:t>
      </w:r>
      <w:r w:rsidR="002A5032">
        <w:t xml:space="preserve">are low-income customers identified by </w:t>
      </w:r>
      <w:r w:rsidR="009E2C88">
        <w:t>participati</w:t>
      </w:r>
      <w:r w:rsidR="002A5032">
        <w:t>on</w:t>
      </w:r>
      <w:r w:rsidR="009E2C88">
        <w:t xml:space="preserve"> in the low-income discount program</w:t>
      </w:r>
      <w:r w:rsidR="002A5032">
        <w:t>, census data,</w:t>
      </w:r>
      <w:r w:rsidR="009E2C88">
        <w:t xml:space="preserve"> or some other </w:t>
      </w:r>
      <w:r w:rsidR="002A5032">
        <w:t>method</w:t>
      </w:r>
      <w:r w:rsidR="005D7814">
        <w:t>?</w:t>
      </w:r>
      <w:r w:rsidR="00F54A21">
        <w:t xml:space="preserve"> </w:t>
      </w:r>
      <w:r w:rsidR="009E2C88">
        <w:t xml:space="preserve"> Liberty Apple Valley also asserts a lower Tier 1 breakpoint would</w:t>
      </w:r>
      <w:r w:rsidR="003E3205">
        <w:t xml:space="preserve"> harm larger low-income households, without </w:t>
      </w:r>
      <w:r w:rsidR="009E2C88">
        <w:t xml:space="preserve">any supporting analysis of </w:t>
      </w:r>
      <w:r w:rsidR="004C01FA">
        <w:t>residential usage patterns.</w:t>
      </w:r>
      <w:r w:rsidR="00F54A21">
        <w:t xml:space="preserve"> </w:t>
      </w:r>
      <w:r w:rsidR="004C01FA">
        <w:t xml:space="preserve"> </w:t>
      </w:r>
    </w:p>
    <w:p w:rsidRPr="00B45743" w:rsidR="00034FD7" w:rsidP="00B45743" w:rsidRDefault="00647CA1" w14:paraId="62C38AD4" w14:textId="1D50E1A3">
      <w:pPr>
        <w:pStyle w:val="Standard"/>
      </w:pPr>
      <w:r>
        <w:t>In the next GRCs</w:t>
      </w:r>
      <w:r w:rsidR="00A245FC">
        <w:t xml:space="preserve">, at a minimum, we expect Liberty </w:t>
      </w:r>
      <w:r w:rsidR="000F2522">
        <w:t xml:space="preserve">will </w:t>
      </w:r>
      <w:r w:rsidR="009E2C88">
        <w:t>incorporate the readily available monthly residential usage data by tiers and income</w:t>
      </w:r>
      <w:r w:rsidR="002374F3">
        <w:rPr>
          <w:rStyle w:val="FootnoteReference"/>
        </w:rPr>
        <w:footnoteReference w:id="83"/>
      </w:r>
      <w:r w:rsidR="009E2C88">
        <w:t xml:space="preserve"> provided in its annual reports to demonstrate </w:t>
      </w:r>
      <w:r w:rsidR="001B74A0">
        <w:t>consideration of affordability</w:t>
      </w:r>
      <w:r w:rsidR="00FB28E2">
        <w:t xml:space="preserve"> in accordance with the directives of D.16-12-026</w:t>
      </w:r>
      <w:r w:rsidR="009E2C88">
        <w:t>.</w:t>
      </w:r>
    </w:p>
    <w:p w:rsidR="00F76364" w:rsidP="00F76364" w:rsidRDefault="00F76364" w14:paraId="1DBFD2BE" w14:textId="1A814CAA">
      <w:pPr>
        <w:pStyle w:val="Heading2"/>
      </w:pPr>
      <w:bookmarkStart w:name="_Toc46478813" w:id="69"/>
      <w:r>
        <w:t>Liberty Apple Valley-</w:t>
      </w:r>
      <w:proofErr w:type="spellStart"/>
      <w:r>
        <w:t>Yermo</w:t>
      </w:r>
      <w:proofErr w:type="spellEnd"/>
      <w:r>
        <w:t>, Rate Design</w:t>
      </w:r>
      <w:bookmarkEnd w:id="69"/>
    </w:p>
    <w:p w:rsidRPr="00F76364" w:rsidR="00F76364" w:rsidP="00E83577" w:rsidRDefault="004F61B7" w14:paraId="5E0E482A" w14:textId="7CBFB8BF">
      <w:pPr>
        <w:pStyle w:val="Standard"/>
      </w:pPr>
      <w:r>
        <w:t xml:space="preserve">Since Liberty Apple Valley acquired </w:t>
      </w:r>
      <w:proofErr w:type="spellStart"/>
      <w:r>
        <w:t>Yermo</w:t>
      </w:r>
      <w:proofErr w:type="spellEnd"/>
      <w:r>
        <w:t xml:space="preserve"> in 2015, this decision establishes for the first time a revenue requirement for the Liberty Apple Valley</w:t>
      </w:r>
      <w:r w:rsidR="00F54A21">
        <w:noBreakHyphen/>
      </w:r>
      <w:proofErr w:type="spellStart"/>
      <w:r>
        <w:t>Yermo</w:t>
      </w:r>
      <w:proofErr w:type="spellEnd"/>
      <w:r>
        <w:t xml:space="preserve"> district. The revenue requirement </w:t>
      </w:r>
      <w:r w:rsidR="001655E1">
        <w:t>requires significant rate increases to customers</w:t>
      </w:r>
      <w:r w:rsidR="00D65D3B">
        <w:t>,</w:t>
      </w:r>
      <w:r w:rsidR="001655E1">
        <w:t xml:space="preserve"> and parties agree upon a proposal to phase-in rates over a </w:t>
      </w:r>
      <w:proofErr w:type="gramStart"/>
      <w:r w:rsidR="001655E1">
        <w:t>six year</w:t>
      </w:r>
      <w:proofErr w:type="gramEnd"/>
      <w:r w:rsidR="001655E1">
        <w:t xml:space="preserve"> period. Furthermore, Liberty Apple Valley has a pending</w:t>
      </w:r>
      <w:r w:rsidR="00E83577">
        <w:t xml:space="preserve"> grant</w:t>
      </w:r>
      <w:r w:rsidR="001655E1">
        <w:t xml:space="preserve"> application with the State Water Resources Control Board for capital investments</w:t>
      </w:r>
      <w:r w:rsidR="00E83577">
        <w:t xml:space="preserve"> and maintenance deferred by the prior owner of the district. Liberty Apple </w:t>
      </w:r>
      <w:r w:rsidR="00E83577">
        <w:lastRenderedPageBreak/>
        <w:t>Valley should include in its next GRC the status of the grant application and the impact on rates and revenues for the Liberty Apple Valley-</w:t>
      </w:r>
      <w:proofErr w:type="spellStart"/>
      <w:r w:rsidR="00E83577">
        <w:t>Yermo</w:t>
      </w:r>
      <w:proofErr w:type="spellEnd"/>
      <w:r w:rsidR="00E83577">
        <w:t xml:space="preserve"> district.</w:t>
      </w:r>
    </w:p>
    <w:p w:rsidR="00586F3E" w:rsidP="00586F3E" w:rsidRDefault="00586F3E" w14:paraId="50712145" w14:textId="3BBEB202">
      <w:pPr>
        <w:pStyle w:val="Heading1"/>
      </w:pPr>
      <w:bookmarkStart w:name="_Toc46478814" w:id="70"/>
      <w:r>
        <w:t>Balancing and Memorandum Accounts</w:t>
      </w:r>
      <w:bookmarkEnd w:id="70"/>
    </w:p>
    <w:p w:rsidR="003E2990" w:rsidP="00586F3E" w:rsidRDefault="00F3533A" w14:paraId="7416C2A6" w14:textId="4491FE46">
      <w:pPr>
        <w:pStyle w:val="Standard"/>
      </w:pPr>
      <w:r>
        <w:t xml:space="preserve">This decision approves recovery of </w:t>
      </w:r>
      <w:r w:rsidR="003D0611">
        <w:t xml:space="preserve">Liberty’s balancing and memorandum account balances </w:t>
      </w:r>
      <w:r w:rsidR="006F4562">
        <w:t>through December 31, 2017.</w:t>
      </w:r>
      <w:r w:rsidR="00F54A21">
        <w:t xml:space="preserve"> </w:t>
      </w:r>
      <w:r w:rsidR="006F4562">
        <w:t>By account, each approved amount and period over which the amount is to be recovered is listed in Appendices E and J.</w:t>
      </w:r>
      <w:r w:rsidR="00F54A21">
        <w:t xml:space="preserve"> </w:t>
      </w:r>
      <w:r w:rsidR="00076D39">
        <w:t xml:space="preserve">WRAM/MCBA approvals occur annually via Advice Letter filings, and the associated surcharges and </w:t>
      </w:r>
      <w:proofErr w:type="spellStart"/>
      <w:r w:rsidR="00076D39">
        <w:t>surcredits</w:t>
      </w:r>
      <w:proofErr w:type="spellEnd"/>
      <w:r w:rsidR="00076D39">
        <w:t xml:space="preserve"> on bills do not change as a result of today’s decision. </w:t>
      </w:r>
      <w:proofErr w:type="gramStart"/>
      <w:r w:rsidR="00076D39">
        <w:t>However</w:t>
      </w:r>
      <w:proofErr w:type="gramEnd"/>
      <w:r w:rsidR="00076D39">
        <w:t xml:space="preserve"> we include the WRAM/MCBA current surcharges and </w:t>
      </w:r>
      <w:proofErr w:type="spellStart"/>
      <w:r w:rsidR="00076D39">
        <w:t>surcredits</w:t>
      </w:r>
      <w:proofErr w:type="spellEnd"/>
      <w:r w:rsidR="00076D39">
        <w:t xml:space="preserve"> in presenting the cumulative impact of the surcharges and </w:t>
      </w:r>
      <w:proofErr w:type="spellStart"/>
      <w:r w:rsidR="00076D39">
        <w:t>surcredits</w:t>
      </w:r>
      <w:proofErr w:type="spellEnd"/>
      <w:r w:rsidR="00076D39">
        <w:t xml:space="preserve"> approved in this decision. </w:t>
      </w:r>
      <w:r w:rsidR="006F4562">
        <w:t xml:space="preserve">Together, Liberty Apple Valley’s approved </w:t>
      </w:r>
      <w:r w:rsidR="00076D39">
        <w:t xml:space="preserve">balances result in a </w:t>
      </w:r>
      <w:proofErr w:type="spellStart"/>
      <w:r w:rsidR="00076D39">
        <w:t>surcredit</w:t>
      </w:r>
      <w:proofErr w:type="spellEnd"/>
      <w:r w:rsidR="00076D39">
        <w:t xml:space="preserve"> equal to </w:t>
      </w:r>
      <w:r w:rsidR="006F4562">
        <w:t>2.</w:t>
      </w:r>
      <w:r w:rsidR="00076D39">
        <w:t>4</w:t>
      </w:r>
      <w:r w:rsidR="006F4562">
        <w:t xml:space="preserve"> percent of its TY 2019 revenue requirement.</w:t>
      </w:r>
      <w:r w:rsidR="004059DF">
        <w:t xml:space="preserve"> </w:t>
      </w:r>
      <w:r w:rsidR="006F4562">
        <w:t xml:space="preserve">Together, Liberty Park’s approved </w:t>
      </w:r>
      <w:r w:rsidR="00076D39">
        <w:t>balances result in a surcharge equal to</w:t>
      </w:r>
      <w:r w:rsidR="003D0611">
        <w:t xml:space="preserve"> </w:t>
      </w:r>
      <w:r w:rsidR="00076D39">
        <w:t>3.9</w:t>
      </w:r>
      <w:r w:rsidR="00E266F3">
        <w:t xml:space="preserve"> percent</w:t>
      </w:r>
      <w:r w:rsidR="003D0611">
        <w:t xml:space="preserve"> of </w:t>
      </w:r>
      <w:r w:rsidR="006F4562">
        <w:t>its</w:t>
      </w:r>
      <w:r>
        <w:t xml:space="preserve"> TY 2019</w:t>
      </w:r>
      <w:r w:rsidR="003D0611">
        <w:t xml:space="preserve"> revenue requirement.</w:t>
      </w:r>
      <w:r w:rsidR="004059DF">
        <w:t xml:space="preserve"> </w:t>
      </w:r>
      <w:r w:rsidR="003D0611">
        <w:t xml:space="preserve">These amounts are consequential to the ratepayers and </w:t>
      </w:r>
      <w:r w:rsidR="008B61BE">
        <w:t>have been given the deserved scrutiny</w:t>
      </w:r>
      <w:r w:rsidR="003D0611">
        <w:t>.</w:t>
      </w:r>
    </w:p>
    <w:p w:rsidR="00292693" w:rsidP="00586F3E" w:rsidRDefault="003E2990" w14:paraId="2FC76B3E" w14:textId="68661747">
      <w:pPr>
        <w:pStyle w:val="Standard"/>
      </w:pPr>
      <w:r>
        <w:t xml:space="preserve">In </w:t>
      </w:r>
      <w:r w:rsidR="00292693">
        <w:t xml:space="preserve">making the following determinations about Liberty’s balancing and memorandum accounts, we are guided by the following authorities: </w:t>
      </w:r>
      <w:r w:rsidR="004059DF">
        <w:t xml:space="preserve"> </w:t>
      </w:r>
      <w:r w:rsidR="00292693">
        <w:t xml:space="preserve">Pub. Util. Code </w:t>
      </w:r>
      <w:r w:rsidR="00592ED3">
        <w:t>S</w:t>
      </w:r>
      <w:r w:rsidR="00292693">
        <w:t>ection</w:t>
      </w:r>
      <w:r w:rsidR="00501E8E">
        <w:t>s</w:t>
      </w:r>
      <w:r w:rsidR="00292693">
        <w:t xml:space="preserve"> 972</w:t>
      </w:r>
      <w:r w:rsidR="00501E8E">
        <w:t xml:space="preserve">, </w:t>
      </w:r>
      <w:r w:rsidR="00292693">
        <w:t>792.5, 793, 794, G</w:t>
      </w:r>
      <w:r w:rsidR="006C26F5">
        <w:t>O</w:t>
      </w:r>
      <w:r w:rsidR="00292693">
        <w:t xml:space="preserve"> 96-B and the Commission’s Water Division Standard Practice Manual U-27-W.</w:t>
      </w:r>
    </w:p>
    <w:p w:rsidR="00C3039A" w:rsidP="00C7039E" w:rsidRDefault="00C3039A" w14:paraId="635887E9" w14:textId="50D30310">
      <w:pPr>
        <w:pStyle w:val="Heading2"/>
      </w:pPr>
      <w:bookmarkStart w:name="_Toc46478815" w:id="71"/>
      <w:r>
        <w:t>Accounting Practices</w:t>
      </w:r>
      <w:r w:rsidR="0043323C">
        <w:t xml:space="preserve"> Regarding Memorandum Accounts</w:t>
      </w:r>
      <w:bookmarkEnd w:id="71"/>
    </w:p>
    <w:p w:rsidR="00D65D3B" w:rsidP="003579DD" w:rsidRDefault="005930DA" w14:paraId="3D483504" w14:textId="32887719">
      <w:pPr>
        <w:pStyle w:val="Standard"/>
      </w:pPr>
      <w:r>
        <w:t>T</w:t>
      </w:r>
      <w:r w:rsidR="00050313">
        <w:t xml:space="preserve">he </w:t>
      </w:r>
      <w:r w:rsidR="00195640">
        <w:t xml:space="preserve">parties’ </w:t>
      </w:r>
      <w:r w:rsidR="00050313">
        <w:t xml:space="preserve">dispute over accounting practices </w:t>
      </w:r>
      <w:r>
        <w:t xml:space="preserve">can be framed </w:t>
      </w:r>
      <w:r w:rsidR="00050313">
        <w:t xml:space="preserve">as, </w:t>
      </w:r>
      <w:r w:rsidR="0081178E">
        <w:t xml:space="preserve">how </w:t>
      </w:r>
      <w:r w:rsidR="004A432A">
        <w:t>soon</w:t>
      </w:r>
      <w:r w:rsidR="0081178E">
        <w:t xml:space="preserve"> </w:t>
      </w:r>
      <w:r w:rsidR="004A432A">
        <w:t xml:space="preserve">should utilities anticipate the balances </w:t>
      </w:r>
      <w:r w:rsidR="00A2229F">
        <w:t>tracked</w:t>
      </w:r>
      <w:r w:rsidR="004A432A">
        <w:t xml:space="preserve"> in</w:t>
      </w:r>
      <w:r w:rsidR="0081178E">
        <w:t xml:space="preserve"> memorandum account</w:t>
      </w:r>
      <w:r w:rsidR="004A432A">
        <w:t>s</w:t>
      </w:r>
      <w:r w:rsidR="00A2229F">
        <w:t xml:space="preserve"> will be separated and recovered outside of the rate case </w:t>
      </w:r>
      <w:r w:rsidR="00785FFC">
        <w:t>process</w:t>
      </w:r>
      <w:r w:rsidR="004A432A">
        <w:t>?</w:t>
      </w:r>
      <w:r w:rsidR="00B94728">
        <w:rPr>
          <w:rStyle w:val="FootnoteReference"/>
        </w:rPr>
        <w:footnoteReference w:id="84"/>
      </w:r>
      <w:r w:rsidR="004059DF">
        <w:t xml:space="preserve"> </w:t>
      </w:r>
    </w:p>
    <w:p w:rsidR="00D65D3B" w:rsidP="00D65D3B" w:rsidRDefault="004A432A" w14:paraId="1E189AC0" w14:textId="43F6C702">
      <w:pPr>
        <w:pStyle w:val="Standard"/>
      </w:pPr>
      <w:r>
        <w:lastRenderedPageBreak/>
        <w:t>The Public Advocates Office argues</w:t>
      </w:r>
      <w:r w:rsidR="00C12D17">
        <w:t xml:space="preserve"> memorandum </w:t>
      </w:r>
      <w:r>
        <w:t>account balances are best left in the</w:t>
      </w:r>
      <w:r w:rsidR="00C12D17">
        <w:t xml:space="preserve"> regulated </w:t>
      </w:r>
      <w:r w:rsidR="00786556">
        <w:t>operation</w:t>
      </w:r>
      <w:r w:rsidR="00CB557D">
        <w:t>s</w:t>
      </w:r>
      <w:r w:rsidR="00786556">
        <w:t xml:space="preserve"> </w:t>
      </w:r>
      <w:r w:rsidR="00C12D17">
        <w:t>equation</w:t>
      </w:r>
      <w:r>
        <w:t xml:space="preserve">. The Public Advocates Office </w:t>
      </w:r>
      <w:r w:rsidR="001B39FF">
        <w:t xml:space="preserve">approach </w:t>
      </w:r>
      <w:r w:rsidR="00994503">
        <w:t xml:space="preserve">encourages </w:t>
      </w:r>
      <w:r w:rsidR="00E52277">
        <w:t>utilities</w:t>
      </w:r>
      <w:r>
        <w:t xml:space="preserve"> to manage </w:t>
      </w:r>
      <w:r w:rsidR="001A26A9">
        <w:t>activities associated with memorandum accounts</w:t>
      </w:r>
      <w:r>
        <w:t xml:space="preserve"> as they do all the other regulated </w:t>
      </w:r>
      <w:r w:rsidR="001A26A9">
        <w:t>activities</w:t>
      </w:r>
      <w:r>
        <w:t xml:space="preserve">, subject to the same risks. </w:t>
      </w:r>
      <w:r w:rsidR="00211B9C">
        <w:t xml:space="preserve">When and if the Commission deems </w:t>
      </w:r>
      <w:r w:rsidR="009F1393">
        <w:t xml:space="preserve">special </w:t>
      </w:r>
      <w:r w:rsidR="005930DA">
        <w:t xml:space="preserve">recovery </w:t>
      </w:r>
      <w:r w:rsidR="009F1393">
        <w:t>for the costs</w:t>
      </w:r>
      <w:r w:rsidR="00211B9C">
        <w:t xml:space="preserve">, the Public Advocates Office would have the utility </w:t>
      </w:r>
      <w:r w:rsidR="00994503">
        <w:t>re</w:t>
      </w:r>
      <w:r w:rsidR="0015660B">
        <w:t>arrange</w:t>
      </w:r>
      <w:r w:rsidR="00994503">
        <w:t xml:space="preserve"> these </w:t>
      </w:r>
      <w:r w:rsidR="00F150F1">
        <w:t>balances</w:t>
      </w:r>
      <w:r w:rsidR="00994503">
        <w:t xml:space="preserve"> </w:t>
      </w:r>
      <w:r w:rsidR="0015660B">
        <w:t>in</w:t>
      </w:r>
      <w:r w:rsidR="00994503">
        <w:t xml:space="preserve"> the </w:t>
      </w:r>
      <w:r w:rsidR="005930DA">
        <w:t xml:space="preserve">accounting </w:t>
      </w:r>
      <w:r w:rsidR="00994503">
        <w:t>records after the fact</w:t>
      </w:r>
      <w:r w:rsidR="001A26A9">
        <w:t xml:space="preserve">. </w:t>
      </w:r>
      <w:r w:rsidR="004059DF">
        <w:t xml:space="preserve"> </w:t>
      </w:r>
      <w:r w:rsidR="001A26A9">
        <w:t xml:space="preserve">Liberty prefers to anticipate special treatment will be forthcoming and </w:t>
      </w:r>
      <w:r w:rsidR="00994503">
        <w:t xml:space="preserve">pre-emptively </w:t>
      </w:r>
      <w:r w:rsidR="00F150F1">
        <w:t xml:space="preserve">remove </w:t>
      </w:r>
      <w:r w:rsidR="007662A7">
        <w:t xml:space="preserve">the </w:t>
      </w:r>
      <w:r w:rsidR="005930DA">
        <w:t xml:space="preserve">memo account </w:t>
      </w:r>
      <w:r w:rsidR="00F150F1">
        <w:t>balance</w:t>
      </w:r>
      <w:r w:rsidR="005930DA">
        <w:t xml:space="preserve"> from the balance sheet</w:t>
      </w:r>
      <w:r w:rsidR="001A26A9">
        <w:t>.</w:t>
      </w:r>
      <w:r w:rsidR="00F150F1">
        <w:rPr>
          <w:rStyle w:val="FootnoteReference"/>
        </w:rPr>
        <w:footnoteReference w:id="85"/>
      </w:r>
      <w:r w:rsidR="0081178E">
        <w:t xml:space="preserve"> </w:t>
      </w:r>
    </w:p>
    <w:p w:rsidR="00D65D3B" w:rsidP="003579DD" w:rsidRDefault="00C77752" w14:paraId="4A822D6A" w14:textId="5CEBEB37">
      <w:pPr>
        <w:pStyle w:val="Standard"/>
      </w:pPr>
      <w:r>
        <w:t>Both sides have a point. On the Public Advocates Office side, if Liberty’s guess is wrong, and years later costs are not recoverable, confidence in the company will be diminished.</w:t>
      </w:r>
      <w:r w:rsidR="004059DF">
        <w:t xml:space="preserve"> </w:t>
      </w:r>
      <w:r>
        <w:t xml:space="preserve">On Liberty’s side, </w:t>
      </w:r>
      <w:r w:rsidR="006E6D4B">
        <w:t xml:space="preserve">best accounting practices would be to include the </w:t>
      </w:r>
      <w:r w:rsidR="005930DA">
        <w:t xml:space="preserve">costs </w:t>
      </w:r>
      <w:r w:rsidR="006E6D4B">
        <w:t>in the year incurred.</w:t>
      </w:r>
      <w:r w:rsidR="00D65D3B">
        <w:t xml:space="preserve"> </w:t>
      </w:r>
      <w:r w:rsidR="00F50F42">
        <w:t>Both parties cite</w:t>
      </w:r>
      <w:r w:rsidR="006A03B5">
        <w:t xml:space="preserve"> to the same authorities</w:t>
      </w:r>
      <w:r w:rsidR="0065309D">
        <w:t xml:space="preserve"> to support their positions</w:t>
      </w:r>
      <w:r w:rsidR="00E04419">
        <w:t xml:space="preserve">, </w:t>
      </w:r>
      <w:r w:rsidR="006A03B5">
        <w:t xml:space="preserve">primarily the Water Division’s Standard Practice Manual U-27-W and </w:t>
      </w:r>
      <w:r w:rsidR="0065309D">
        <w:t>dispute the others’ interpretation</w:t>
      </w:r>
      <w:r w:rsidR="006A03B5">
        <w:t>.</w:t>
      </w:r>
      <w:r w:rsidR="004059DF">
        <w:t xml:space="preserve"> </w:t>
      </w:r>
      <w:r w:rsidR="006A03B5">
        <w:t xml:space="preserve"> </w:t>
      </w:r>
    </w:p>
    <w:p w:rsidR="00C3039A" w:rsidP="003579DD" w:rsidRDefault="006A03B5" w14:paraId="068141CE" w14:textId="0AB4FF8F">
      <w:pPr>
        <w:pStyle w:val="Standard"/>
      </w:pPr>
      <w:r>
        <w:t xml:space="preserve">The fundamental disagreement is over the probability that the Commission will approve the tracked costs for recovery. Liberty argues that Liberty’s judgement as to the probability of cost recovery is enough to determine whether the cost qualifies as a regulatory asset (if the likelihood of cost recovery is high) or </w:t>
      </w:r>
      <w:r w:rsidR="0096362D">
        <w:t>whether the cost should not be included (if the likelihood of cost recovery is low).</w:t>
      </w:r>
      <w:r w:rsidR="00E04419">
        <w:rPr>
          <w:rStyle w:val="FootnoteReference"/>
        </w:rPr>
        <w:footnoteReference w:id="86"/>
      </w:r>
      <w:r w:rsidR="004059DF">
        <w:t xml:space="preserve"> </w:t>
      </w:r>
      <w:r w:rsidR="0096362D">
        <w:t>The Public Advocates Office believes that probability is beside the point, and recovery must be assumed to be zero until the Commission decides otherwise.</w:t>
      </w:r>
    </w:p>
    <w:p w:rsidR="00E5132C" w:rsidRDefault="006E6D4B" w14:paraId="4FB5946D" w14:textId="597B0CDE">
      <w:pPr>
        <w:pStyle w:val="Standard"/>
      </w:pPr>
      <w:r>
        <w:lastRenderedPageBreak/>
        <w:t xml:space="preserve">If Liberty keeps track of the memorandum account balances in its regular operating expenses books and separately tracks the same amounts in the memorandum account, Public </w:t>
      </w:r>
      <w:r w:rsidR="007A010F">
        <w:t>Advocates</w:t>
      </w:r>
      <w:r w:rsidR="00F04421">
        <w:t xml:space="preserve"> Office</w:t>
      </w:r>
      <w:r>
        <w:t xml:space="preserve"> </w:t>
      </w:r>
      <w:r w:rsidR="00D65D3B">
        <w:t>notes</w:t>
      </w:r>
      <w:r>
        <w:t xml:space="preserve"> the risk that, should the Commission decide in later years that the costs are </w:t>
      </w:r>
      <w:r w:rsidR="00FD614E">
        <w:t>extraordinary</w:t>
      </w:r>
      <w:r>
        <w:t>, it would be easy to forget to go back to the years incurred and pull the same costs out of the historical records.</w:t>
      </w:r>
      <w:r w:rsidR="004059DF">
        <w:t xml:space="preserve"> </w:t>
      </w:r>
      <w:r>
        <w:t xml:space="preserve">If this step does not occur, then the </w:t>
      </w:r>
      <w:r w:rsidR="00FD614E">
        <w:t>extraordinary</w:t>
      </w:r>
      <w:r>
        <w:t xml:space="preserve"> costs will indeed contribute to recovery in future years and be recovered through a surcharge/credit.</w:t>
      </w:r>
      <w:r w:rsidR="00E5132C">
        <w:t xml:space="preserve"> If certain costs are to be recovered outside of the ratemaking process, these same costs should not crop up in the historical records that are frequently used to make ratemaking projections. Liberty claims that its careful tracking process has not been challenged </w:t>
      </w:r>
      <w:r>
        <w:t xml:space="preserve">and </w:t>
      </w:r>
      <w:r w:rsidR="00E5132C">
        <w:t xml:space="preserve">still allows for the separation of costs, </w:t>
      </w:r>
      <w:proofErr w:type="gramStart"/>
      <w:r w:rsidR="00E5132C">
        <w:t>whether or not</w:t>
      </w:r>
      <w:proofErr w:type="gramEnd"/>
      <w:r w:rsidR="00E5132C">
        <w:t xml:space="preserve"> Liberty includes the costs in the year incurred.</w:t>
      </w:r>
      <w:r>
        <w:t xml:space="preserve"> </w:t>
      </w:r>
    </w:p>
    <w:p w:rsidR="001D5882" w:rsidP="00A861C6" w:rsidRDefault="001D5882" w14:paraId="54EEB6C1" w14:textId="46054452">
      <w:pPr>
        <w:pStyle w:val="Standard"/>
      </w:pPr>
      <w:r>
        <w:t>We are persuaded by t</w:t>
      </w:r>
      <w:r w:rsidR="00A861C6">
        <w:t xml:space="preserve">he Public Advocates Office </w:t>
      </w:r>
      <w:r>
        <w:t>here;</w:t>
      </w:r>
      <w:r w:rsidR="00A861C6">
        <w:t xml:space="preserve"> pre-emptively showing investors and creditors an uncertain regulatory asset is inappropriate.</w:t>
      </w:r>
      <w:r w:rsidR="004059DF">
        <w:t xml:space="preserve"> </w:t>
      </w:r>
      <w:r w:rsidR="00A861C6">
        <w:t xml:space="preserve"> There is little to no negative impact of including the regulatory asset later once the Commission determines a surcharge or </w:t>
      </w:r>
      <w:proofErr w:type="spellStart"/>
      <w:r w:rsidR="00A861C6">
        <w:t>surcredit</w:t>
      </w:r>
      <w:proofErr w:type="spellEnd"/>
      <w:r w:rsidR="00A861C6">
        <w:t xml:space="preserve"> is the appropriate recovery tool. </w:t>
      </w:r>
    </w:p>
    <w:p w:rsidRPr="00C3039A" w:rsidR="006E6D4B" w:rsidRDefault="00A861C6" w14:paraId="644558DC" w14:textId="7496DE0B">
      <w:pPr>
        <w:pStyle w:val="Standard"/>
      </w:pPr>
      <w:r>
        <w:t>Liberty may no longer record memorandum account balances on its balance sheet.</w:t>
      </w:r>
      <w:r w:rsidR="001D5882">
        <w:t xml:space="preserve"> Instead, g</w:t>
      </w:r>
      <w:r w:rsidR="006E6D4B">
        <w:t>oing forward, we require Liberty to segregate memorandum balances from the regulated equation. Liberty is prohibited from booking these balances as a regulatory asset.</w:t>
      </w:r>
      <w:r w:rsidR="004059DF">
        <w:t xml:space="preserve"> </w:t>
      </w:r>
      <w:r w:rsidR="006E6D4B">
        <w:t xml:space="preserve">This requirement is based on the actual </w:t>
      </w:r>
      <w:r w:rsidR="00897132">
        <w:t>experience</w:t>
      </w:r>
      <w:r w:rsidR="006E6D4B">
        <w:t xml:space="preserve"> in this rate case, in the W</w:t>
      </w:r>
      <w:r w:rsidR="002D6688">
        <w:t>CMA</w:t>
      </w:r>
      <w:r w:rsidR="006E6D4B">
        <w:t xml:space="preserve">. Liberty tracked costs associated with water conservation in two places, and therefore these </w:t>
      </w:r>
      <w:r w:rsidR="00897132">
        <w:t>activities</w:t>
      </w:r>
      <w:r w:rsidR="006E6D4B">
        <w:t xml:space="preserve"> were folded into the predictions for the rate requests in the years 2019, 2020 and 2021. </w:t>
      </w:r>
      <w:r w:rsidR="004059DF">
        <w:t xml:space="preserve"> </w:t>
      </w:r>
      <w:r w:rsidR="00897132">
        <w:t xml:space="preserve">However, since we also decide in this decision to single these costs out for special treatment, we must go back and remove these costs from the “regular” regulated </w:t>
      </w:r>
      <w:r w:rsidR="00897132">
        <w:lastRenderedPageBreak/>
        <w:t>treatment.</w:t>
      </w:r>
      <w:r w:rsidR="004059DF">
        <w:t xml:space="preserve"> </w:t>
      </w:r>
      <w:r w:rsidR="00897132">
        <w:t>Liberty</w:t>
      </w:r>
      <w:r w:rsidR="00F04421">
        <w:t>,</w:t>
      </w:r>
      <w:r w:rsidR="00897132">
        <w:t xml:space="preserve"> in this case would have preferred to show these costs as a regulated asset, but this step is unnecessary</w:t>
      </w:r>
      <w:r w:rsidR="00B47EAB">
        <w:t>.</w:t>
      </w:r>
    </w:p>
    <w:p w:rsidR="00A90B45" w:rsidP="00A90B45" w:rsidRDefault="00FC37A2" w14:paraId="7FA537CD" w14:textId="791C0323">
      <w:pPr>
        <w:pStyle w:val="Heading2"/>
      </w:pPr>
      <w:bookmarkStart w:name="_Toc46478816" w:id="72"/>
      <w:r>
        <w:t>Interim Rates</w:t>
      </w:r>
      <w:r w:rsidR="00A90B45">
        <w:t xml:space="preserve"> Memorandum Accounts</w:t>
      </w:r>
      <w:r>
        <w:t xml:space="preserve"> Should Be Recovered Through Consolidated Expense Balanc</w:t>
      </w:r>
      <w:r w:rsidR="00954EE8">
        <w:t>ing</w:t>
      </w:r>
      <w:r>
        <w:t xml:space="preserve"> Accounts</w:t>
      </w:r>
      <w:bookmarkEnd w:id="72"/>
    </w:p>
    <w:p w:rsidR="00A90B45" w:rsidP="00A90B45" w:rsidRDefault="00954EE8" w14:paraId="005A9E66" w14:textId="5AD12EFA">
      <w:pPr>
        <w:pStyle w:val="Standard"/>
      </w:pPr>
      <w:r>
        <w:t>We approve Liberty’s request to consolidate Liberty Apple Valley’s 2012 Interim Rates Memorandum Account and Liberty Park’s 2103 Interim Rates Memorandum Account</w:t>
      </w:r>
      <w:r w:rsidR="00A90B45">
        <w:t xml:space="preserve"> </w:t>
      </w:r>
      <w:r>
        <w:t>with their Consolidate Expense B</w:t>
      </w:r>
      <w:r w:rsidR="00B51162">
        <w:t>alancing Accounts.</w:t>
      </w:r>
      <w:r>
        <w:t xml:space="preserve"> </w:t>
      </w:r>
      <w:r w:rsidR="004059DF">
        <w:t xml:space="preserve"> </w:t>
      </w:r>
      <w:r w:rsidR="00F668F2">
        <w:t>Rather than assessing</w:t>
      </w:r>
      <w:r w:rsidR="00A90B45">
        <w:t xml:space="preserve"> discrete surcharges</w:t>
      </w:r>
      <w:r w:rsidR="00F668F2">
        <w:t xml:space="preserve"> specific to the memorandum accounts, this recovery method means Liberty will</w:t>
      </w:r>
      <w:r w:rsidR="00A90B45">
        <w:t xml:space="preserve"> dispose of the balances </w:t>
      </w:r>
      <w:r w:rsidR="00F668F2">
        <w:t>through its somewhat generic “catch-all” surcharge.</w:t>
      </w:r>
    </w:p>
    <w:p w:rsidR="001D5882" w:rsidP="00A90B45" w:rsidRDefault="001D5882" w14:paraId="6E437A86" w14:textId="295A021B">
      <w:pPr>
        <w:pStyle w:val="Standard"/>
      </w:pPr>
      <w:r w:rsidRPr="001D5882">
        <w:t xml:space="preserve">The Public Advocates Office does not dispute that the balances of the memorandum accounts should be recovered, however </w:t>
      </w:r>
      <w:r w:rsidR="00E657C2">
        <w:t>the Public Advocates Office recommends a discrete surcharge be applied associated with each memorandum account</w:t>
      </w:r>
      <w:r w:rsidRPr="001D5882">
        <w:t>.</w:t>
      </w:r>
    </w:p>
    <w:p w:rsidR="00A90B45" w:rsidP="00A90B45" w:rsidRDefault="00A90B45" w14:paraId="2F7B6A53" w14:textId="4D003FA2">
      <w:pPr>
        <w:pStyle w:val="Standard"/>
      </w:pPr>
      <w:r>
        <w:t xml:space="preserve">The governing principle from the Water Division’s Standard Practice Manual U-27-W is to provide individual surcharges for large balances, but this logic depends upon the reason for the surcharge. While customers should have information about individual surcharges by year, certain timing mechanisms are not as crucial to highlight, such as recovery of rates authorized late. With the sheer number of special accounts, we must decide what to highlight for customers. The highest priority surcharges should be those related to </w:t>
      </w:r>
      <w:proofErr w:type="gramStart"/>
      <w:r>
        <w:t>conservation, and</w:t>
      </w:r>
      <w:proofErr w:type="gramEnd"/>
      <w:r>
        <w:t xml:space="preserve"> understanding the bill. There is little benefit to drawing customer attention to the reconciliation of amounts f</w:t>
      </w:r>
      <w:r w:rsidR="00CC2C56">
        <w:t>rom</w:t>
      </w:r>
      <w:r>
        <w:t xml:space="preserve"> late decisions</w:t>
      </w:r>
      <w:r w:rsidR="00CC2C56">
        <w:t xml:space="preserve"> in 2012 and 2013</w:t>
      </w:r>
      <w:r>
        <w:t>.</w:t>
      </w:r>
    </w:p>
    <w:p w:rsidR="00C7039E" w:rsidP="00C7039E" w:rsidRDefault="00C3039A" w14:paraId="77F38FDA" w14:textId="24F3BC2E">
      <w:pPr>
        <w:pStyle w:val="Heading2"/>
      </w:pPr>
      <w:bookmarkStart w:name="_Toc46478817" w:id="73"/>
      <w:r>
        <w:t xml:space="preserve">Disposition of </w:t>
      </w:r>
      <w:r w:rsidR="00C7039E">
        <w:t xml:space="preserve">Existing </w:t>
      </w:r>
      <w:r w:rsidR="00381BD1">
        <w:t xml:space="preserve">Balancing </w:t>
      </w:r>
      <w:r w:rsidR="00C7039E">
        <w:t>Accounts</w:t>
      </w:r>
      <w:bookmarkEnd w:id="73"/>
    </w:p>
    <w:p w:rsidR="004A4B2F" w:rsidP="00586F3E" w:rsidRDefault="00817CA8" w14:paraId="28AA95A5" w14:textId="2F3124C5">
      <w:pPr>
        <w:pStyle w:val="Standard"/>
      </w:pPr>
      <w:r>
        <w:t xml:space="preserve">We continue to authorize and approve the following Liberty balancing accounts: WRAM/MCBA, CARW, </w:t>
      </w:r>
      <w:r w:rsidR="00B2646D">
        <w:t>Pension Expense Balancing Account</w:t>
      </w:r>
      <w:r>
        <w:t xml:space="preserve">, </w:t>
      </w:r>
      <w:r w:rsidR="00B2646D">
        <w:lastRenderedPageBreak/>
        <w:t>Consolidation Expense Balancing Account</w:t>
      </w:r>
      <w:r>
        <w:t xml:space="preserve">, </w:t>
      </w:r>
      <w:r w:rsidR="00B2646D">
        <w:t>and the Incremental Cost Balancing Account</w:t>
      </w:r>
      <w:r>
        <w:t>. We do not approve or renew H</w:t>
      </w:r>
      <w:r w:rsidR="00C07B29">
        <w:t>ealth Care Balancing Account</w:t>
      </w:r>
      <w:r w:rsidR="0087603E">
        <w:t>s</w:t>
      </w:r>
      <w:r>
        <w:t>.</w:t>
      </w:r>
    </w:p>
    <w:p w:rsidR="00381BD1" w:rsidP="00047CA6" w:rsidRDefault="00A93412" w14:paraId="5B9EE1B3" w14:textId="289FD67D">
      <w:pPr>
        <w:pStyle w:val="Standard"/>
      </w:pPr>
      <w:r>
        <w:t xml:space="preserve">As for the balances in each existing account, the Public Advocates Offices </w:t>
      </w:r>
      <w:r w:rsidR="00427A6B">
        <w:t>claims</w:t>
      </w:r>
      <w:r>
        <w:t xml:space="preserve"> all balances through 2017 </w:t>
      </w:r>
      <w:r w:rsidR="00427A6B">
        <w:t xml:space="preserve">are </w:t>
      </w:r>
      <w:r>
        <w:t>reasonable. For continuing balancing accounts, surcharge adjustments should be made as indicated</w:t>
      </w:r>
      <w:r w:rsidR="00DB2D42">
        <w:t>.</w:t>
      </w:r>
    </w:p>
    <w:p w:rsidR="00107C88" w:rsidP="00107C88" w:rsidRDefault="00107C88" w14:paraId="3C0CF76E" w14:textId="47BA598A">
      <w:pPr>
        <w:pStyle w:val="Heading2"/>
      </w:pPr>
      <w:bookmarkStart w:name="_Toc46478818" w:id="74"/>
      <w:r>
        <w:t xml:space="preserve">Expense Offsets Requested Prior to Implementation of the Test Year Incorporated into Revenue </w:t>
      </w:r>
      <w:r w:rsidR="001A2101">
        <w:t>Requirement</w:t>
      </w:r>
      <w:bookmarkEnd w:id="74"/>
    </w:p>
    <w:p w:rsidR="007756AB" w:rsidP="00107C88" w:rsidRDefault="00107C88" w14:paraId="6C31230A" w14:textId="0B5C5F8E">
      <w:pPr>
        <w:pStyle w:val="Standard"/>
      </w:pPr>
      <w:bookmarkStart w:name="_Hlk43984971" w:id="75"/>
      <w:r>
        <w:t>Both Liberty Park and Liberty Apple Valley’s applications request the Commission recognize any expense offsets that occur between the filing of the applications and the issuance of the Final Decision in this case.</w:t>
      </w:r>
      <w:r w:rsidR="004059DF">
        <w:t xml:space="preserve"> </w:t>
      </w:r>
      <w:r w:rsidR="00707F17">
        <w:t>Neither Liberty Apple Valley nor Liberty Park have pending requests for expenses offsets and therefore this request is moot. However, Liberty Apple Valley and Liberty Park</w:t>
      </w:r>
      <w:r w:rsidR="00843E4B">
        <w:t xml:space="preserve"> </w:t>
      </w:r>
      <w:r w:rsidR="00193A74">
        <w:t>submitted</w:t>
      </w:r>
      <w:r w:rsidR="00843E4B">
        <w:t xml:space="preserve"> </w:t>
      </w:r>
      <w:r w:rsidR="00707F17">
        <w:t>Advice Letters</w:t>
      </w:r>
      <w:r w:rsidR="00843E4B">
        <w:t xml:space="preserve"> between the submission of this case on January 25, 2019</w:t>
      </w:r>
      <w:r w:rsidR="00427A6B">
        <w:t>,</w:t>
      </w:r>
      <w:r w:rsidR="00843E4B">
        <w:t xml:space="preserve"> and the issuance of the Proposed Decision</w:t>
      </w:r>
      <w:r w:rsidR="00427A6B">
        <w:t xml:space="preserve"> in this consolidated proceeding</w:t>
      </w:r>
      <w:r w:rsidR="00843E4B">
        <w:t xml:space="preserve">. </w:t>
      </w:r>
      <w:bookmarkEnd w:id="75"/>
      <w:r w:rsidR="007756AB">
        <w:t xml:space="preserve"> </w:t>
      </w:r>
      <w:r w:rsidR="002112FE">
        <w:t>The Advice Letter</w:t>
      </w:r>
      <w:r w:rsidR="00792560">
        <w:t>s</w:t>
      </w:r>
      <w:r w:rsidR="002112FE">
        <w:t xml:space="preserve"> were approved by the Commission’s Water Division and are listed below</w:t>
      </w:r>
      <w:r w:rsidR="007756AB">
        <w:t>.</w:t>
      </w:r>
    </w:p>
    <w:p w:rsidR="00107C88" w:rsidP="00107C88" w:rsidRDefault="00107C88" w14:paraId="34E362C4" w14:textId="71CA70B9">
      <w:pPr>
        <w:pStyle w:val="Standard"/>
      </w:pPr>
      <w:r>
        <w:t>Liber</w:t>
      </w:r>
      <w:r w:rsidR="00CE4668">
        <w:t>t</w:t>
      </w:r>
      <w:r>
        <w:t>y Apple Valley</w:t>
      </w:r>
      <w:r w:rsidR="00843E4B">
        <w:t xml:space="preserve">’s </w:t>
      </w:r>
      <w:r w:rsidR="005A7C2A">
        <w:t xml:space="preserve">approved requests for surcharges and/or </w:t>
      </w:r>
      <w:proofErr w:type="spellStart"/>
      <w:r w:rsidR="005A7C2A">
        <w:t>surcredits</w:t>
      </w:r>
      <w:proofErr w:type="spellEnd"/>
      <w:r w:rsidR="00843E4B">
        <w:t xml:space="preserve"> </w:t>
      </w:r>
      <w:r w:rsidR="00193A74">
        <w:t>submitted</w:t>
      </w:r>
      <w:r w:rsidR="00843E4B">
        <w:t xml:space="preserve"> </w:t>
      </w:r>
      <w:r w:rsidR="005A7C2A">
        <w:t>between</w:t>
      </w:r>
      <w:r w:rsidR="00843E4B">
        <w:t xml:space="preserve"> January 2019 </w:t>
      </w:r>
      <w:r w:rsidR="005A7C2A">
        <w:t xml:space="preserve">and July 2020 </w:t>
      </w:r>
      <w:r w:rsidR="00843E4B">
        <w:t>are</w:t>
      </w:r>
      <w:r>
        <w:t xml:space="preserve">: </w:t>
      </w:r>
    </w:p>
    <w:p w:rsidRPr="00F25FD9" w:rsidR="00107C88" w:rsidP="00107C88" w:rsidRDefault="00F25FD9" w14:paraId="1250D97D" w14:textId="45E0CB9C">
      <w:pPr>
        <w:pStyle w:val="ListAlpha"/>
      </w:pPr>
      <w:r w:rsidRPr="00F25FD9">
        <w:t xml:space="preserve">Request to issue </w:t>
      </w:r>
      <w:proofErr w:type="spellStart"/>
      <w:r w:rsidRPr="00F25FD9">
        <w:t>surcredits</w:t>
      </w:r>
      <w:proofErr w:type="spellEnd"/>
      <w:r w:rsidRPr="00F25FD9">
        <w:t xml:space="preserve"> for six months refunding overcollection in the WRAM/MCBA balancing account, became effective March 2020</w:t>
      </w:r>
      <w:r>
        <w:rPr>
          <w:rStyle w:val="FootnoteReference"/>
        </w:rPr>
        <w:footnoteReference w:id="87"/>
      </w:r>
    </w:p>
    <w:p w:rsidR="00107C88" w:rsidP="0071521E" w:rsidRDefault="00107C88" w14:paraId="62E0219A" w14:textId="7E535480">
      <w:pPr>
        <w:pStyle w:val="Standard"/>
      </w:pPr>
      <w:r>
        <w:t>Liberty Park</w:t>
      </w:r>
      <w:r w:rsidR="0071521E">
        <w:t xml:space="preserve">’s </w:t>
      </w:r>
      <w:r w:rsidR="005A7C2A">
        <w:t xml:space="preserve">approved requests for surcharges and/or </w:t>
      </w:r>
      <w:proofErr w:type="spellStart"/>
      <w:r w:rsidR="005A7C2A">
        <w:t>surcredits</w:t>
      </w:r>
      <w:proofErr w:type="spellEnd"/>
      <w:r w:rsidR="005A7C2A">
        <w:t xml:space="preserve"> </w:t>
      </w:r>
      <w:r w:rsidR="00193A74">
        <w:t>submitted</w:t>
      </w:r>
      <w:r w:rsidR="005A7C2A">
        <w:t xml:space="preserve"> between January 2019 and July 2020 are</w:t>
      </w:r>
      <w:r w:rsidR="0071521E">
        <w:t xml:space="preserve">: </w:t>
      </w:r>
    </w:p>
    <w:p w:rsidRPr="000405F4" w:rsidR="00107C88" w:rsidP="004059DF" w:rsidRDefault="000405F4" w14:paraId="785B0A8F" w14:textId="6CF4FDDB">
      <w:pPr>
        <w:pStyle w:val="ListAlpha"/>
        <w:numPr>
          <w:ilvl w:val="7"/>
          <w:numId w:val="10"/>
        </w:numPr>
        <w:ind w:right="1440"/>
      </w:pPr>
      <w:r>
        <w:t xml:space="preserve">Surcharge of $0.543 per </w:t>
      </w:r>
      <w:proofErr w:type="spellStart"/>
      <w:r>
        <w:t>ccf</w:t>
      </w:r>
      <w:proofErr w:type="spellEnd"/>
      <w:r>
        <w:t xml:space="preserve"> for </w:t>
      </w:r>
      <w:proofErr w:type="gramStart"/>
      <w:r>
        <w:t>18 month</w:t>
      </w:r>
      <w:proofErr w:type="gramEnd"/>
      <w:r>
        <w:t xml:space="preserve"> period, effective December 1, 2019</w:t>
      </w:r>
      <w:r>
        <w:rPr>
          <w:rStyle w:val="FootnoteReference"/>
        </w:rPr>
        <w:footnoteReference w:id="88"/>
      </w:r>
    </w:p>
    <w:p w:rsidRPr="000405F4" w:rsidR="00107C88" w:rsidP="004059DF" w:rsidRDefault="000405F4" w14:paraId="57B0F746" w14:textId="4B05D2EB">
      <w:pPr>
        <w:pStyle w:val="ListAlpha"/>
        <w:ind w:right="1440"/>
      </w:pPr>
      <w:r>
        <w:lastRenderedPageBreak/>
        <w:t>New tariff rate schedules in La Canada, California, pursuant to D.19-04-033, became effective June 1, 2019</w:t>
      </w:r>
      <w:r>
        <w:rPr>
          <w:rStyle w:val="FootnoteReference"/>
        </w:rPr>
        <w:footnoteReference w:id="89"/>
      </w:r>
    </w:p>
    <w:p w:rsidRPr="000405F4" w:rsidR="00107C88" w:rsidP="004059DF" w:rsidRDefault="005516D3" w14:paraId="3B0B24DA" w14:textId="478E0F11">
      <w:pPr>
        <w:pStyle w:val="ListAlpha"/>
        <w:ind w:right="1440"/>
      </w:pPr>
      <w:r>
        <w:t>Rate changes implementing the new rates to cover increased purchased water and power costs in the Mesa-Crest service area, effective January 1, 2020</w:t>
      </w:r>
      <w:r>
        <w:rPr>
          <w:rStyle w:val="FootnoteReference"/>
        </w:rPr>
        <w:footnoteReference w:id="90"/>
      </w:r>
    </w:p>
    <w:p w:rsidR="00586F3E" w:rsidP="00586F3E" w:rsidRDefault="00586F3E" w14:paraId="0B64DC66" w14:textId="77777777">
      <w:pPr>
        <w:pStyle w:val="Heading1"/>
      </w:pPr>
      <w:bookmarkStart w:name="_Toc46478819" w:id="76"/>
      <w:r>
        <w:t>Escalation Year Increases</w:t>
      </w:r>
      <w:bookmarkEnd w:id="76"/>
    </w:p>
    <w:p w:rsidR="00427A6B" w:rsidP="008C2874" w:rsidRDefault="009805C8" w14:paraId="67A15BA3" w14:textId="5DDDB6E6">
      <w:pPr>
        <w:pStyle w:val="Standard"/>
      </w:pPr>
      <w:r>
        <w:t xml:space="preserve">The Rate Case Plan determines the methodology for establishing rates in 2020 and 2021, the years following the TY. </w:t>
      </w:r>
      <w:r w:rsidR="0036690A">
        <w:t xml:space="preserve">As Liberty has done in the past, it should continue to </w:t>
      </w:r>
      <w:r w:rsidR="00193A74">
        <w:t>submit</w:t>
      </w:r>
      <w:r w:rsidR="0036690A">
        <w:t xml:space="preserve"> Tier 1 Advice Letters 45 days prior to the first day of each escalation year.</w:t>
      </w:r>
      <w:r w:rsidR="00764088">
        <w:rPr>
          <w:rStyle w:val="FootnoteReference"/>
        </w:rPr>
        <w:footnoteReference w:id="91"/>
      </w:r>
      <w:r w:rsidR="0036690A">
        <w:t xml:space="preserve"> </w:t>
      </w:r>
    </w:p>
    <w:p w:rsidRPr="001F2819" w:rsidR="00586F3E" w:rsidP="008C2874" w:rsidRDefault="00CA48DB" w14:paraId="48FC9197" w14:textId="17928B79">
      <w:pPr>
        <w:pStyle w:val="Standard"/>
      </w:pPr>
      <w:r>
        <w:t xml:space="preserve">The Public Advocates Office request for Liberty to replace the Tier 1 filing with a Tier 2 filing </w:t>
      </w:r>
      <w:r w:rsidR="009F7E38">
        <w:t xml:space="preserve">is denied </w:t>
      </w:r>
      <w:r w:rsidR="00426397">
        <w:t>for the following</w:t>
      </w:r>
      <w:r>
        <w:t xml:space="preserve"> reasons</w:t>
      </w:r>
      <w:r w:rsidR="00427A6B">
        <w:t>: 1)</w:t>
      </w:r>
      <w:r w:rsidR="004059DF">
        <w:t xml:space="preserve"> </w:t>
      </w:r>
      <w:r>
        <w:t>the event of a rate decrease is highly unlikely</w:t>
      </w:r>
      <w:r w:rsidR="00427A6B">
        <w:t>; 2)</w:t>
      </w:r>
      <w:r>
        <w:t xml:space="preserve"> the delay in resolving these GRCs necessitate</w:t>
      </w:r>
      <w:r w:rsidR="00C47C7D">
        <w:t>s</w:t>
      </w:r>
      <w:r>
        <w:t xml:space="preserve"> a streamlined approach to the remainder of the GRC cycle</w:t>
      </w:r>
      <w:r w:rsidR="00427A6B">
        <w:t>; and 3) t</w:t>
      </w:r>
      <w:r>
        <w:t>he Commission’s Water Division can adequate</w:t>
      </w:r>
      <w:r w:rsidR="0003178F">
        <w:t>ly</w:t>
      </w:r>
      <w:r>
        <w:t xml:space="preserve"> scrutinize the escalation methodology through a Tier 1 </w:t>
      </w:r>
      <w:r w:rsidR="00DA6A80">
        <w:t>A</w:t>
      </w:r>
      <w:r>
        <w:t xml:space="preserve">dvice </w:t>
      </w:r>
      <w:r w:rsidR="00DA6A80">
        <w:t>L</w:t>
      </w:r>
      <w:r>
        <w:t>etter filing.</w:t>
      </w:r>
      <w:r w:rsidR="0036690A">
        <w:t xml:space="preserve"> </w:t>
      </w:r>
    </w:p>
    <w:p w:rsidR="00974741" w:rsidP="00974741" w:rsidRDefault="00974741" w14:paraId="3DD2500F" w14:textId="00498E94">
      <w:pPr>
        <w:pStyle w:val="Heading1"/>
      </w:pPr>
      <w:bookmarkStart w:name="_Toc46478820" w:id="77"/>
      <w:r>
        <w:t>Interim Rate Relief</w:t>
      </w:r>
      <w:bookmarkEnd w:id="77"/>
    </w:p>
    <w:p w:rsidR="000416AD" w:rsidP="004059DF" w:rsidRDefault="000416AD" w14:paraId="1A210E0C" w14:textId="5F68E879">
      <w:pPr>
        <w:pStyle w:val="Standard"/>
      </w:pPr>
      <w:r>
        <w:t xml:space="preserve">Since this decision approving </w:t>
      </w:r>
      <w:r w:rsidR="00427A6B">
        <w:t xml:space="preserve">the </w:t>
      </w:r>
      <w:r>
        <w:t xml:space="preserve">2019 rates was delayed, Liberty implemented </w:t>
      </w:r>
      <w:r w:rsidR="00B86998">
        <w:t xml:space="preserve">interim rates </w:t>
      </w:r>
      <w:r>
        <w:t>on July 1, 2019</w:t>
      </w:r>
      <w:r w:rsidR="00427A6B">
        <w:t xml:space="preserve">, pursuant to the </w:t>
      </w:r>
      <w:bookmarkStart w:name="_Hlk46085612" w:id="78"/>
      <w:r w:rsidR="00427A6B">
        <w:t>ALJ Ruling granting Liberty’s motion and approving interim rates</w:t>
      </w:r>
      <w:bookmarkEnd w:id="78"/>
      <w:r w:rsidR="00427A6B">
        <w:t>.</w:t>
      </w:r>
      <w:r>
        <w:rPr>
          <w:rStyle w:val="FootnoteReference"/>
        </w:rPr>
        <w:footnoteReference w:id="92"/>
      </w:r>
      <w:r>
        <w:t xml:space="preserve"> </w:t>
      </w:r>
      <w:r w:rsidR="00477BDF">
        <w:t xml:space="preserve">The interim rates were </w:t>
      </w:r>
      <w:r w:rsidR="00477BDF">
        <w:lastRenderedPageBreak/>
        <w:t xml:space="preserve">established simply by applying an inflation factor of </w:t>
      </w:r>
      <w:r w:rsidR="00EC64C2">
        <w:t>just over 2</w:t>
      </w:r>
      <w:r w:rsidR="00477BDF">
        <w:t xml:space="preserve"> percent to the 2018 adopted revenue requirement.</w:t>
      </w:r>
      <w:r w:rsidR="004059DF">
        <w:t xml:space="preserve"> </w:t>
      </w:r>
      <w:r w:rsidR="00477BDF">
        <w:t>Because the interim rates went into effect at the same time as the reduced cost-of-capital,</w:t>
      </w:r>
      <w:r w:rsidR="00477BDF">
        <w:rPr>
          <w:rStyle w:val="FootnoteReference"/>
        </w:rPr>
        <w:footnoteReference w:id="93"/>
      </w:r>
      <w:r w:rsidR="00477BDF">
        <w:t xml:space="preserve"> the overall impact on the revenue requirement was</w:t>
      </w:r>
      <w:r w:rsidR="00EC64C2">
        <w:t>,</w:t>
      </w:r>
      <w:r w:rsidR="00477BDF">
        <w:t xml:space="preserve"> for Liberty </w:t>
      </w:r>
      <w:r w:rsidR="00EC64C2">
        <w:t>Apple Valley,</w:t>
      </w:r>
      <w:r w:rsidR="004059DF">
        <w:t xml:space="preserve"> </w:t>
      </w:r>
      <w:r w:rsidR="00EC64C2">
        <w:t>a</w:t>
      </w:r>
      <w:r w:rsidR="004059DF">
        <w:t xml:space="preserve"> </w:t>
      </w:r>
      <w:r w:rsidR="00EC64C2">
        <w:t>3.12 percent decrease,</w:t>
      </w:r>
      <w:r w:rsidR="00EC64C2">
        <w:rPr>
          <w:rStyle w:val="FootnoteReference"/>
        </w:rPr>
        <w:footnoteReference w:id="94"/>
      </w:r>
      <w:r w:rsidR="00EC64C2">
        <w:t xml:space="preserve"> and for Liberty Park, a </w:t>
      </w:r>
      <w:r w:rsidR="00F0339B">
        <w:t>2.32</w:t>
      </w:r>
      <w:r w:rsidR="004059DF">
        <w:t> </w:t>
      </w:r>
      <w:r w:rsidR="00F0339B">
        <w:t>percent</w:t>
      </w:r>
      <w:r w:rsidR="00F0339B">
        <w:rPr>
          <w:rStyle w:val="FootnoteReference"/>
        </w:rPr>
        <w:footnoteReference w:id="95"/>
      </w:r>
      <w:r w:rsidR="00F0339B">
        <w:t xml:space="preserve"> decrease to the 2018 revenue requirement.</w:t>
      </w:r>
    </w:p>
    <w:p w:rsidR="00974741" w:rsidP="004059DF" w:rsidRDefault="00F51F15" w14:paraId="485636ED" w14:textId="182EBF1C">
      <w:pPr>
        <w:pStyle w:val="Standard"/>
      </w:pPr>
      <w:r>
        <w:t xml:space="preserve">The ALJ Ruling </w:t>
      </w:r>
      <w:r w:rsidRPr="00427A6B" w:rsidR="00427A6B">
        <w:t xml:space="preserve">granting Liberty’s motion and approving interim rates </w:t>
      </w:r>
      <w:r>
        <w:t xml:space="preserve">also </w:t>
      </w:r>
      <w:r w:rsidR="00D34937">
        <w:t>approve</w:t>
      </w:r>
      <w:r w:rsidR="00427A6B">
        <w:t>d</w:t>
      </w:r>
      <w:r w:rsidR="00D34937">
        <w:t xml:space="preserve"> </w:t>
      </w:r>
      <w:r>
        <w:t>Liberty</w:t>
      </w:r>
      <w:r w:rsidR="00D34937">
        <w:t>’s request</w:t>
      </w:r>
      <w:r>
        <w:t xml:space="preserve"> to </w:t>
      </w:r>
      <w:r w:rsidR="00D34937">
        <w:t>establish a memorandum account to track the difference between interim rates and the</w:t>
      </w:r>
      <w:r>
        <w:t xml:space="preserve"> final rates </w:t>
      </w:r>
      <w:r w:rsidR="00D34937">
        <w:t xml:space="preserve">that </w:t>
      </w:r>
      <w:r>
        <w:t>become effective through this decision, so that this difference can be compared, in accordance with the Water Rate Case Plan.</w:t>
      </w:r>
      <w:r>
        <w:rPr>
          <w:rStyle w:val="FootnoteReference"/>
        </w:rPr>
        <w:footnoteReference w:id="96"/>
      </w:r>
      <w:r>
        <w:t xml:space="preserve"> When Liberty submits its </w:t>
      </w:r>
      <w:r w:rsidR="00792560">
        <w:t>A</w:t>
      </w:r>
      <w:r>
        <w:t xml:space="preserve">dvice </w:t>
      </w:r>
      <w:r w:rsidR="00792560">
        <w:t>L</w:t>
      </w:r>
      <w:r>
        <w:t>etters</w:t>
      </w:r>
      <w:r w:rsidR="00CF5DE4">
        <w:t xml:space="preserve"> to reconcile the difference</w:t>
      </w:r>
      <w:r>
        <w:t>, Liberty should request the collection of any reconciliation occur over the remainder of the rate case cycle.</w:t>
      </w:r>
      <w:r w:rsidR="00963F8C">
        <w:t xml:space="preserve"> </w:t>
      </w:r>
    </w:p>
    <w:p w:rsidR="00FA1B4F" w:rsidP="00FA1B4F" w:rsidRDefault="005939A5" w14:paraId="1C6A1D6F" w14:textId="7C800B06">
      <w:pPr>
        <w:pStyle w:val="Heading1"/>
      </w:pPr>
      <w:bookmarkStart w:name="_Toc46478821" w:id="79"/>
      <w:r>
        <w:t>Conclusion</w:t>
      </w:r>
      <w:bookmarkEnd w:id="47"/>
      <w:bookmarkEnd w:id="79"/>
    </w:p>
    <w:p w:rsidR="002334BD" w:rsidP="00700FEE" w:rsidRDefault="002334BD" w14:paraId="471AF831" w14:textId="690026F1">
      <w:pPr>
        <w:pStyle w:val="Standard"/>
      </w:pPr>
      <w:r>
        <w:t xml:space="preserve">The Commission’s direction to balance investment, conservation and affordability is a challenge that must be met. The rates we set for Liberty Apple Valley and Liberty Park are based on balancing those variables while striving to establish fair and reasonable rates. Further complicating matters are the costs that are not collected through rates but instead through surcharges on the bill. This decision allows </w:t>
      </w:r>
      <w:proofErr w:type="gramStart"/>
      <w:r>
        <w:t>a number of</w:t>
      </w:r>
      <w:proofErr w:type="gramEnd"/>
      <w:r>
        <w:t xml:space="preserve"> surcharge adjustments that account for various true-ups, reconciliations, and recovery of expenses that could not have been reasonably anticipated through prior GRC proceedings.</w:t>
      </w:r>
    </w:p>
    <w:p w:rsidR="003F250C" w:rsidP="002334BD" w:rsidRDefault="002334BD" w14:paraId="7C052967" w14:textId="47FE4AA7">
      <w:pPr>
        <w:pStyle w:val="Standard"/>
      </w:pPr>
      <w:r>
        <w:lastRenderedPageBreak/>
        <w:t>Specifically, t</w:t>
      </w:r>
      <w:r w:rsidR="00F704A7">
        <w:t>his decision approves a</w:t>
      </w:r>
      <w:r w:rsidR="00C37642">
        <w:t xml:space="preserve"> </w:t>
      </w:r>
      <w:r w:rsidRPr="003B4BA5" w:rsidR="009D3E4C">
        <w:t>1.4</w:t>
      </w:r>
      <w:r w:rsidR="00C37642">
        <w:t xml:space="preserve"> percent </w:t>
      </w:r>
      <w:r w:rsidR="00E57EA5">
        <w:t>revenue requirement decrease</w:t>
      </w:r>
      <w:r w:rsidR="00C37642">
        <w:t>, authorizing Liberty Apple Valley to collect TY 2019 revenues of</w:t>
      </w:r>
      <w:r w:rsidR="00F704A7">
        <w:t xml:space="preserve"> $</w:t>
      </w:r>
      <w:r w:rsidRPr="003B4BA5" w:rsidR="00CA0AA3">
        <w:t>23.6 million</w:t>
      </w:r>
      <w:r w:rsidRPr="00036F64" w:rsidR="00C37642">
        <w:t xml:space="preserve">. </w:t>
      </w:r>
      <w:r w:rsidRPr="00036F64" w:rsidR="009E6655">
        <w:t>For Liberty Park, t</w:t>
      </w:r>
      <w:r w:rsidRPr="00036F64" w:rsidR="00F704A7">
        <w:t>his decision</w:t>
      </w:r>
      <w:r w:rsidRPr="00036F64" w:rsidR="00690E02">
        <w:t xml:space="preserve"> </w:t>
      </w:r>
      <w:r w:rsidRPr="00036F64" w:rsidR="00F704A7">
        <w:t>approves a</w:t>
      </w:r>
      <w:r w:rsidRPr="00036F64" w:rsidR="00C37642">
        <w:t xml:space="preserve"> </w:t>
      </w:r>
      <w:r w:rsidRPr="00036F64" w:rsidR="009D3E4C">
        <w:t>1.6</w:t>
      </w:r>
      <w:r w:rsidRPr="00036F64" w:rsidR="00C37642">
        <w:t xml:space="preserve"> percent </w:t>
      </w:r>
      <w:r w:rsidRPr="00036F64" w:rsidR="00E57EA5">
        <w:t>revenue requirement decrease</w:t>
      </w:r>
      <w:r w:rsidRPr="00036F64" w:rsidR="00690E02">
        <w:t xml:space="preserve">, authorizing </w:t>
      </w:r>
      <w:r w:rsidRPr="00036F64" w:rsidR="009E6655">
        <w:t>collection of</w:t>
      </w:r>
      <w:r w:rsidRPr="00036F64" w:rsidR="00F704A7">
        <w:t xml:space="preserve"> TY 2019 revenue</w:t>
      </w:r>
      <w:r w:rsidRPr="00036F64" w:rsidR="00C37642">
        <w:t>s</w:t>
      </w:r>
      <w:r w:rsidRPr="00036F64" w:rsidR="00F704A7">
        <w:t xml:space="preserve"> of $</w:t>
      </w:r>
      <w:r w:rsidRPr="003B4BA5" w:rsidR="00CA0AA3">
        <w:t>33.0 million</w:t>
      </w:r>
      <w:r w:rsidRPr="00036F64" w:rsidR="00690E02">
        <w:t>.</w:t>
      </w:r>
      <w:r w:rsidR="002805D1">
        <w:t xml:space="preserve"> Since this decision is issued one year after the TY began, the approved TY 2019 revenues will be reconciled with the revenues collected under the interim rates</w:t>
      </w:r>
      <w:r w:rsidR="009E13E1">
        <w:t>,</w:t>
      </w:r>
      <w:r w:rsidR="002805D1">
        <w:t xml:space="preserve"> and the difference will be credited back to customers via surcharges or </w:t>
      </w:r>
      <w:proofErr w:type="spellStart"/>
      <w:r w:rsidR="002805D1">
        <w:t>surcredits</w:t>
      </w:r>
      <w:proofErr w:type="spellEnd"/>
      <w:r w:rsidR="002805D1">
        <w:t xml:space="preserve"> on their bill.</w:t>
      </w:r>
      <w:r w:rsidR="00FB5052">
        <w:t xml:space="preserve"> </w:t>
      </w:r>
      <w:r w:rsidR="00D56F62">
        <w:t xml:space="preserve">Such reconciliation surcharges or </w:t>
      </w:r>
      <w:proofErr w:type="spellStart"/>
      <w:r w:rsidR="00D56F62">
        <w:t>surcredits</w:t>
      </w:r>
      <w:proofErr w:type="spellEnd"/>
      <w:r w:rsidR="00D56F62">
        <w:t xml:space="preserve"> yet-to-be calculated. Once calculated, the amounts will appear on customer bills within approximately 150 days of the issuance of this decision.</w:t>
      </w:r>
    </w:p>
    <w:p w:rsidR="00483D60" w:rsidP="00006F91" w:rsidRDefault="00DD0C8A" w14:paraId="575572E6" w14:textId="5F90DE48">
      <w:pPr>
        <w:pStyle w:val="Standard"/>
      </w:pPr>
      <w:r>
        <w:t xml:space="preserve">For average residential customers, </w:t>
      </w:r>
      <w:r w:rsidR="002805D1">
        <w:t xml:space="preserve">Table 1 </w:t>
      </w:r>
      <w:r w:rsidR="0025610A">
        <w:t>compares</w:t>
      </w:r>
      <w:r>
        <w:t xml:space="preserve"> the </w:t>
      </w:r>
      <w:r w:rsidR="0025610A">
        <w:t xml:space="preserve">difference in bills that </w:t>
      </w:r>
      <w:r w:rsidR="002805D1">
        <w:t>would have occurred had the approved rates gone into effect on July 1, 2019</w:t>
      </w:r>
      <w:r w:rsidR="009E13E1">
        <w:t>,</w:t>
      </w:r>
      <w:r w:rsidR="0025610A">
        <w:t xml:space="preserve"> to the bills based on interim rates</w:t>
      </w:r>
      <w:r>
        <w:t xml:space="preserve">. </w:t>
      </w:r>
      <w:r w:rsidR="00267D45">
        <w:t xml:space="preserve">Liberty Apple Valley’s </w:t>
      </w:r>
      <w:r w:rsidR="00BB6F23">
        <w:t xml:space="preserve">3.3 percent </w:t>
      </w:r>
      <w:r w:rsidR="00267D45">
        <w:t>increase over the interim revenue requirement generally corresponds with the average</w:t>
      </w:r>
      <w:r w:rsidR="00BB6F23">
        <w:t xml:space="preserve"> 2.2 percent</w:t>
      </w:r>
      <w:r w:rsidR="00267D45">
        <w:t xml:space="preserve"> bill </w:t>
      </w:r>
      <w:r w:rsidR="00BB6F23">
        <w:t>increase</w:t>
      </w:r>
      <w:r w:rsidR="001F6993">
        <w:t xml:space="preserve">, </w:t>
      </w:r>
      <w:proofErr w:type="spellStart"/>
      <w:r w:rsidR="001F6993">
        <w:t>over estimated</w:t>
      </w:r>
      <w:proofErr w:type="spellEnd"/>
      <w:r w:rsidR="001F6993">
        <w:t xml:space="preserve"> present rates</w:t>
      </w:r>
      <w:r w:rsidR="00267D45">
        <w:t xml:space="preserve">. On the other hand, Liberty Park’s </w:t>
      </w:r>
      <w:r w:rsidR="00BB6F23">
        <w:t xml:space="preserve">9.5 percent decrease </w:t>
      </w:r>
      <w:r w:rsidR="00267D45">
        <w:t xml:space="preserve">over the interim revenue requirement makes the resulting </w:t>
      </w:r>
      <w:r w:rsidR="00BB6F23">
        <w:t xml:space="preserve">0.3 </w:t>
      </w:r>
      <w:r w:rsidR="00267D45">
        <w:t xml:space="preserve">bill increase </w:t>
      </w:r>
      <w:r w:rsidR="00EC05DE">
        <w:t>perplexing</w:t>
      </w:r>
      <w:r w:rsidR="00267D45">
        <w:t>.</w:t>
      </w:r>
      <w:r w:rsidR="00EC4620">
        <w:t xml:space="preserve"> </w:t>
      </w:r>
      <w:r w:rsidR="00243AF9">
        <w:t xml:space="preserve">Liberty’s </w:t>
      </w:r>
      <w:r w:rsidR="00BB6F23">
        <w:t>interim rates</w:t>
      </w:r>
      <w:r w:rsidR="00734021">
        <w:t xml:space="preserve"> were calculated with the expectation of far more water sales than </w:t>
      </w:r>
      <w:proofErr w:type="gramStart"/>
      <w:r w:rsidR="00734021">
        <w:t>actually occurred</w:t>
      </w:r>
      <w:proofErr w:type="gramEnd"/>
      <w:r w:rsidR="00734021">
        <w:t>.</w:t>
      </w:r>
      <w:r w:rsidR="00927650">
        <w:t xml:space="preserve"> Liberty Park’s </w:t>
      </w:r>
      <w:r w:rsidR="005A7795">
        <w:t>approved</w:t>
      </w:r>
      <w:r w:rsidR="00734021">
        <w:t xml:space="preserve"> rates are calculated on the assumption of lower sales</w:t>
      </w:r>
      <w:r w:rsidR="00E57EA5">
        <w:t>,</w:t>
      </w:r>
      <w:r w:rsidR="00734021">
        <w:t xml:space="preserve"> and</w:t>
      </w:r>
      <w:r w:rsidR="00927650">
        <w:t xml:space="preserve"> rates </w:t>
      </w:r>
      <w:r w:rsidR="00734021">
        <w:t>per unit must increase to make up for the lo</w:t>
      </w:r>
      <w:r w:rsidR="000422E8">
        <w:t>wer</w:t>
      </w:r>
      <w:r w:rsidR="00734021">
        <w:t xml:space="preserve"> sales</w:t>
      </w:r>
      <w:r w:rsidR="00927650">
        <w:t>.</w:t>
      </w:r>
      <w:r w:rsidR="00734021">
        <w:t xml:space="preserve"> </w:t>
      </w:r>
      <w:r w:rsidR="00A36F98">
        <w:t>For TY 2019</w:t>
      </w:r>
      <w:r w:rsidR="009B6BF9">
        <w:t xml:space="preserve">, </w:t>
      </w:r>
      <w:r w:rsidR="00552A66">
        <w:t>though the total</w:t>
      </w:r>
      <w:r w:rsidR="00734021">
        <w:t xml:space="preserve"> revenue </w:t>
      </w:r>
      <w:r w:rsidR="00552A66">
        <w:t xml:space="preserve">to be collected goes down, </w:t>
      </w:r>
      <w:r w:rsidR="00A36F98">
        <w:t xml:space="preserve">rates </w:t>
      </w:r>
      <w:r w:rsidR="00E129DA">
        <w:t xml:space="preserve">must rise </w:t>
      </w:r>
      <w:proofErr w:type="gramStart"/>
      <w:r w:rsidR="00E129DA">
        <w:t xml:space="preserve">in order </w:t>
      </w:r>
      <w:r w:rsidR="00A36F98">
        <w:t>to</w:t>
      </w:r>
      <w:proofErr w:type="gramEnd"/>
      <w:r w:rsidR="00A36F98">
        <w:t xml:space="preserve"> collect the required amount</w:t>
      </w:r>
      <w:r w:rsidR="00552A66">
        <w:t xml:space="preserve"> </w:t>
      </w:r>
      <w:r w:rsidR="00A36F98">
        <w:t>over</w:t>
      </w:r>
      <w:r w:rsidR="00552A66">
        <w:t xml:space="preserve"> fewer units of water expected to be sold.</w:t>
      </w:r>
    </w:p>
    <w:p w:rsidR="005F12AE" w:rsidP="00006F91" w:rsidRDefault="00483D60" w14:paraId="1EC256A4" w14:textId="255C0615">
      <w:pPr>
        <w:pStyle w:val="Standard"/>
      </w:pPr>
      <w:r w:rsidRPr="00700FEE">
        <w:t>Finally, t</w:t>
      </w:r>
      <w:r w:rsidRPr="00467D51" w:rsidR="00690E02">
        <w:t xml:space="preserve">his decision further impacts customer bills by approving surcharges and </w:t>
      </w:r>
      <w:proofErr w:type="spellStart"/>
      <w:r w:rsidRPr="00467D51" w:rsidR="00690E02">
        <w:t>surcredits</w:t>
      </w:r>
      <w:proofErr w:type="spellEnd"/>
      <w:r w:rsidRPr="00467D51" w:rsidR="00690E02">
        <w:t xml:space="preserve"> </w:t>
      </w:r>
      <w:r w:rsidR="000F0656">
        <w:t>to recover and refund outstanding balances approved in this decision. Together with the WRAM/MCBA surcharge/</w:t>
      </w:r>
      <w:proofErr w:type="spellStart"/>
      <w:r w:rsidR="000F0656">
        <w:t>surcredit</w:t>
      </w:r>
      <w:proofErr w:type="spellEnd"/>
      <w:r w:rsidR="000F0656">
        <w:t xml:space="preserve"> already appearing on bills, Liberty Apple Valley’s </w:t>
      </w:r>
      <w:r w:rsidRPr="00467D51" w:rsidR="00690E02">
        <w:t>cumulative</w:t>
      </w:r>
      <w:r w:rsidR="000F0656">
        <w:t xml:space="preserve"> </w:t>
      </w:r>
      <w:proofErr w:type="spellStart"/>
      <w:r w:rsidR="000F0656">
        <w:t>surcredit</w:t>
      </w:r>
      <w:proofErr w:type="spellEnd"/>
      <w:r w:rsidR="000F0656">
        <w:t xml:space="preserve"> is</w:t>
      </w:r>
      <w:r w:rsidRPr="00467D51" w:rsidR="00690E02">
        <w:t xml:space="preserve"> </w:t>
      </w:r>
      <w:r w:rsidRPr="003B4BA5" w:rsidR="003C4AAF">
        <w:t>2.</w:t>
      </w:r>
      <w:r w:rsidR="000F0656">
        <w:t>4 percent</w:t>
      </w:r>
      <w:r w:rsidRPr="00467D51" w:rsidR="00690E02">
        <w:t xml:space="preserve"> and </w:t>
      </w:r>
      <w:r w:rsidRPr="00700FEE" w:rsidR="00690E02">
        <w:lastRenderedPageBreak/>
        <w:t xml:space="preserve">Liberty Park’s </w:t>
      </w:r>
      <w:r w:rsidR="000F0656">
        <w:t xml:space="preserve">cumulative surcharge is 3.9 percent of </w:t>
      </w:r>
      <w:r w:rsidRPr="00700FEE" w:rsidR="00690E02">
        <w:t>approved TY 2019 revenues.</w:t>
      </w:r>
    </w:p>
    <w:p w:rsidR="005939A5" w:rsidP="005939A5" w:rsidRDefault="005939A5" w14:paraId="189B769D" w14:textId="77777777">
      <w:pPr>
        <w:pStyle w:val="Heading1"/>
      </w:pPr>
      <w:bookmarkStart w:name="_Toc8123723" w:id="80"/>
      <w:bookmarkStart w:name="_Toc46478822" w:id="81"/>
      <w:r>
        <w:t>Comments on Proposed Decision</w:t>
      </w:r>
      <w:bookmarkEnd w:id="80"/>
      <w:bookmarkEnd w:id="81"/>
    </w:p>
    <w:p w:rsidRPr="006E6574" w:rsidR="004059DF" w:rsidP="004059DF" w:rsidRDefault="004059DF" w14:paraId="6854813D" w14:textId="0D018CF7">
      <w:pPr>
        <w:pStyle w:val="Standard"/>
      </w:pPr>
      <w:bookmarkStart w:name="_Hlk19607909" w:id="82"/>
      <w:bookmarkStart w:name="_Toc8123724" w:id="83"/>
      <w:r>
        <w:t>The proposed decision of ALJ Watts-Zagha in this matter was mailed to the parties in accordance with Section 311 of the Public Utilities Code and comments were allowed under Rule 14.3 of the Commission’s Rules of Practice and Procedure.  Comments were filed on _________, and reply comments were filed on _________ by _________.</w:t>
      </w:r>
    </w:p>
    <w:p w:rsidR="005939A5" w:rsidP="005939A5" w:rsidRDefault="005939A5" w14:paraId="7C241376" w14:textId="77777777">
      <w:pPr>
        <w:pStyle w:val="Heading1"/>
      </w:pPr>
      <w:bookmarkStart w:name="_Toc46478823" w:id="84"/>
      <w:bookmarkEnd w:id="82"/>
      <w:r>
        <w:t>Assignment of Proceeding</w:t>
      </w:r>
      <w:bookmarkEnd w:id="83"/>
      <w:bookmarkEnd w:id="84"/>
    </w:p>
    <w:p w:rsidR="005939A5" w:rsidP="006E6574" w:rsidRDefault="000F6E3D" w14:paraId="0F0B9E9D" w14:textId="1B150720">
      <w:pPr>
        <w:pStyle w:val="Standard"/>
      </w:pPr>
      <w:r>
        <w:t>Genevieve Shiroma</w:t>
      </w:r>
      <w:r w:rsidR="005939A5">
        <w:t xml:space="preserve"> is the assigned Commissioner and </w:t>
      </w:r>
      <w:r>
        <w:t>Camille</w:t>
      </w:r>
      <w:r w:rsidR="004059DF">
        <w:t> </w:t>
      </w:r>
      <w:r>
        <w:t>Watts</w:t>
      </w:r>
      <w:r w:rsidR="004059DF">
        <w:noBreakHyphen/>
      </w:r>
      <w:r>
        <w:t>Zagha</w:t>
      </w:r>
      <w:r w:rsidR="005939A5">
        <w:t xml:space="preserve"> is the assigned Administrative Law Judge in this proceeding.</w:t>
      </w:r>
    </w:p>
    <w:p w:rsidR="009C5C3D" w:rsidP="009C5C3D" w:rsidRDefault="009C5C3D" w14:paraId="5463BC38" w14:textId="77777777">
      <w:pPr>
        <w:pStyle w:val="Dummy"/>
      </w:pPr>
      <w:bookmarkStart w:name="_Toc8123725" w:id="85"/>
      <w:bookmarkStart w:name="_Toc46478824" w:id="86"/>
      <w:r>
        <w:t>Findings of Fact</w:t>
      </w:r>
      <w:bookmarkEnd w:id="85"/>
      <w:bookmarkEnd w:id="86"/>
    </w:p>
    <w:p w:rsidR="009C5C3D" w:rsidP="009C5C3D" w:rsidRDefault="009C5C3D" w14:paraId="11388F82" w14:textId="2C82DE28">
      <w:pPr>
        <w:pStyle w:val="FoF"/>
      </w:pPr>
      <w:r>
        <w:t xml:space="preserve">Liberty and the Public Advocates Office </w:t>
      </w:r>
      <w:bookmarkStart w:name="_Hlk46087143" w:id="87"/>
      <w:r w:rsidR="009E13E1">
        <w:t>settl</w:t>
      </w:r>
      <w:r>
        <w:t xml:space="preserve">ed </w:t>
      </w:r>
      <w:r w:rsidR="009E13E1">
        <w:t xml:space="preserve">and reached agreements on </w:t>
      </w:r>
      <w:r>
        <w:t xml:space="preserve">many disputed issues. These </w:t>
      </w:r>
      <w:r w:rsidR="009E13E1">
        <w:t xml:space="preserve">agreements on </w:t>
      </w:r>
      <w:r>
        <w:t>settled issues were identified and received into evidence as</w:t>
      </w:r>
      <w:bookmarkEnd w:id="87"/>
      <w:r>
        <w:t xml:space="preserve"> </w:t>
      </w:r>
      <w:proofErr w:type="spellStart"/>
      <w:r>
        <w:t>Exhs</w:t>
      </w:r>
      <w:proofErr w:type="spellEnd"/>
      <w:r w:rsidR="00535DC2">
        <w:t>.</w:t>
      </w:r>
      <w:r>
        <w:t xml:space="preserve"> Joint-01 and Joint-02. </w:t>
      </w:r>
    </w:p>
    <w:p w:rsidR="009C5C3D" w:rsidP="009C5C3D" w:rsidRDefault="009C5C3D" w14:paraId="41E61590" w14:textId="6C81D317">
      <w:pPr>
        <w:pStyle w:val="FoF"/>
      </w:pPr>
      <w:r>
        <w:t xml:space="preserve">In their opening briefs, Liberty and the Public Advocates Offices stipulated that the settled issues contained in </w:t>
      </w:r>
      <w:proofErr w:type="spellStart"/>
      <w:r>
        <w:t>Exhs</w:t>
      </w:r>
      <w:proofErr w:type="spellEnd"/>
      <w:r w:rsidR="00535DC2">
        <w:t>.</w:t>
      </w:r>
      <w:r>
        <w:t xml:space="preserve"> Joint-01 and Joint-02 are updated as reflected in Appendices 1 and 2 of the Liberty Opening Brief and in sections 3.1 and 3.2 of the Public Advocates Office</w:t>
      </w:r>
      <w:r w:rsidR="009A7449">
        <w:t xml:space="preserve"> </w:t>
      </w:r>
      <w:r w:rsidR="00535DC2">
        <w:t>O</w:t>
      </w:r>
      <w:r>
        <w:t xml:space="preserve">pening </w:t>
      </w:r>
      <w:r w:rsidR="00535DC2">
        <w:t>B</w:t>
      </w:r>
      <w:r>
        <w:t>rief. The settled issues as updated are contained in Appendices D and I of this decision.</w:t>
      </w:r>
    </w:p>
    <w:p w:rsidR="009C5C3D" w:rsidP="009C5C3D" w:rsidRDefault="009C5C3D" w14:paraId="32D61D04" w14:textId="77777777">
      <w:pPr>
        <w:pStyle w:val="FoF"/>
      </w:pPr>
      <w:r>
        <w:t>The settled issues are the product of good faith, arms’ length negotiation between the parties reflecting all affected interests.</w:t>
      </w:r>
    </w:p>
    <w:p w:rsidR="009C5C3D" w:rsidP="009C5C3D" w:rsidRDefault="009C5C3D" w14:paraId="5B23E4EA" w14:textId="0B5061DE">
      <w:pPr>
        <w:pStyle w:val="FoF"/>
      </w:pPr>
      <w:r>
        <w:t xml:space="preserve">The 10 percent cap on the WRAM </w:t>
      </w:r>
      <w:r w:rsidR="00306FE1">
        <w:t xml:space="preserve">surcharge </w:t>
      </w:r>
      <w:r>
        <w:t>mitigates the burden on customer bills.</w:t>
      </w:r>
    </w:p>
    <w:p w:rsidR="009C5C3D" w:rsidP="009C5C3D" w:rsidRDefault="009C5C3D" w14:paraId="0B11C345" w14:textId="4B8C0973">
      <w:pPr>
        <w:pStyle w:val="FoF"/>
      </w:pPr>
      <w:r>
        <w:t>The SR</w:t>
      </w:r>
      <w:r w:rsidR="005C20DE">
        <w:t>M</w:t>
      </w:r>
      <w:r>
        <w:t xml:space="preserve"> is not a viable mechanism to mitigate excessive WRAM balances.</w:t>
      </w:r>
    </w:p>
    <w:p w:rsidR="009C5C3D" w:rsidP="009C5C3D" w:rsidRDefault="009C5C3D" w14:paraId="437CF4E0" w14:textId="5462522D">
      <w:pPr>
        <w:pStyle w:val="FoF"/>
      </w:pPr>
      <w:r>
        <w:lastRenderedPageBreak/>
        <w:t>Evaluation of reduced sales forecasts should be performed in Liberty’s 202</w:t>
      </w:r>
      <w:r w:rsidR="006A4F7D">
        <w:t>3</w:t>
      </w:r>
      <w:r>
        <w:t xml:space="preserve"> GRCs to compare WRAM balances to the revenue requirement and evaluate the degree to which </w:t>
      </w:r>
      <w:proofErr w:type="spellStart"/>
      <w:r w:rsidR="002F3F52">
        <w:t>undercollections</w:t>
      </w:r>
      <w:proofErr w:type="spellEnd"/>
      <w:r w:rsidR="002F3F52">
        <w:t xml:space="preserve"> </w:t>
      </w:r>
      <w:r>
        <w:t xml:space="preserve">have been mitigated. </w:t>
      </w:r>
    </w:p>
    <w:p w:rsidR="009C5C3D" w:rsidP="009C5C3D" w:rsidRDefault="009C5C3D" w14:paraId="2BCB01CE" w14:textId="77777777">
      <w:pPr>
        <w:pStyle w:val="FoF"/>
      </w:pPr>
      <w:r>
        <w:t>The amount of CARW discounts and surcharges are based on authorized revenue requirements and sales forecasts adopted in this decision.</w:t>
      </w:r>
    </w:p>
    <w:p w:rsidR="00711D08" w:rsidP="009C5C3D" w:rsidRDefault="00711D08" w14:paraId="298B10F1" w14:textId="77777777">
      <w:pPr>
        <w:pStyle w:val="FoF"/>
      </w:pPr>
      <w:r>
        <w:t>Liberty Apple Valley enrolled 20 percent of residential customers in CARW in 2017.</w:t>
      </w:r>
    </w:p>
    <w:p w:rsidR="00711D08" w:rsidP="009C5C3D" w:rsidRDefault="00711D08" w14:paraId="15AC0DF7" w14:textId="17CBE4E6">
      <w:pPr>
        <w:pStyle w:val="FoF"/>
      </w:pPr>
      <w:r>
        <w:t xml:space="preserve">Liberty Apple Valley’s 2015 Urban Water Management Plan estimates 45% of </w:t>
      </w:r>
      <w:r w:rsidR="00306FE1">
        <w:t xml:space="preserve">its </w:t>
      </w:r>
      <w:r>
        <w:t>customers are lower income</w:t>
      </w:r>
      <w:r w:rsidR="00B26AB2">
        <w:t>.</w:t>
      </w:r>
    </w:p>
    <w:p w:rsidR="00580F1C" w:rsidP="009C5C3D" w:rsidRDefault="00580F1C" w14:paraId="6C8E703F" w14:textId="11565630">
      <w:pPr>
        <w:pStyle w:val="FoF"/>
      </w:pPr>
      <w:r>
        <w:t xml:space="preserve">The Commission is considering affordability </w:t>
      </w:r>
      <w:r w:rsidR="00600F16">
        <w:t>of</w:t>
      </w:r>
      <w:r>
        <w:t xml:space="preserve"> </w:t>
      </w:r>
      <w:proofErr w:type="gramStart"/>
      <w:r>
        <w:t>low income</w:t>
      </w:r>
      <w:proofErr w:type="gramEnd"/>
      <w:r>
        <w:t xml:space="preserve"> water customers in the open Rulemaking 17-06-024.</w:t>
      </w:r>
    </w:p>
    <w:p w:rsidR="00580F1C" w:rsidP="009C5C3D" w:rsidRDefault="00580F1C" w14:paraId="637DECC5" w14:textId="7048265A">
      <w:pPr>
        <w:pStyle w:val="FoF"/>
      </w:pPr>
      <w:r>
        <w:t>The Commission is considering affordability of all utility customers in the open Rulemaking 18-07-006.</w:t>
      </w:r>
    </w:p>
    <w:p w:rsidR="00580F1C" w:rsidP="009C5C3D" w:rsidRDefault="00580F1C" w14:paraId="1AF43C70" w14:textId="38EE8ECB">
      <w:pPr>
        <w:pStyle w:val="FoF"/>
      </w:pPr>
      <w:r>
        <w:t xml:space="preserve">Liberty proposes nearly the same rate designs for TY 2019 that </w:t>
      </w:r>
      <w:r w:rsidR="00306FE1">
        <w:t>were</w:t>
      </w:r>
      <w:r>
        <w:t xml:space="preserve"> in place since its last GRC.</w:t>
      </w:r>
    </w:p>
    <w:p w:rsidR="00580F1C" w:rsidP="009C5C3D" w:rsidRDefault="00580F1C" w14:paraId="38CF680F" w14:textId="6AFD8CFC">
      <w:pPr>
        <w:pStyle w:val="FoF"/>
      </w:pPr>
      <w:r>
        <w:t>Liberty has not explored a conservation rate design for its nonresidential customers.</w:t>
      </w:r>
    </w:p>
    <w:p w:rsidR="009C5C3D" w:rsidP="009C5C3D" w:rsidRDefault="009C5C3D" w14:paraId="2610F9CE" w14:textId="32E8CE06">
      <w:pPr>
        <w:pStyle w:val="FoF"/>
      </w:pPr>
      <w:r>
        <w:t xml:space="preserve">Liberty Park’s request for conservation expenses of $472,325 is based on </w:t>
      </w:r>
      <w:r w:rsidR="00306FE1">
        <w:t xml:space="preserve">historical </w:t>
      </w:r>
      <w:r>
        <w:t xml:space="preserve">authorized </w:t>
      </w:r>
      <w:r w:rsidR="00306FE1">
        <w:t xml:space="preserve">amounts </w:t>
      </w:r>
      <w:r>
        <w:t xml:space="preserve">rather than actual </w:t>
      </w:r>
      <w:r w:rsidR="00306FE1">
        <w:t>expenses</w:t>
      </w:r>
      <w:r>
        <w:t>.</w:t>
      </w:r>
    </w:p>
    <w:p w:rsidR="009C5C3D" w:rsidP="009C5C3D" w:rsidRDefault="009C5C3D" w14:paraId="744C0FA0" w14:textId="77777777">
      <w:pPr>
        <w:pStyle w:val="FoF"/>
      </w:pPr>
      <w:r>
        <w:t>Liberty Park’s request for miscellaneous drought expenses of $7,700 is estimated including historical spending in the outlier year 2016.</w:t>
      </w:r>
    </w:p>
    <w:p w:rsidR="009C5C3D" w:rsidP="009C5C3D" w:rsidRDefault="009C5C3D" w14:paraId="25006B62" w14:textId="74F392CF">
      <w:pPr>
        <w:pStyle w:val="FoF"/>
      </w:pPr>
      <w:r>
        <w:t xml:space="preserve">Liberty’s insurance </w:t>
      </w:r>
      <w:r w:rsidR="000E269B">
        <w:t xml:space="preserve">accounts for business policy, </w:t>
      </w:r>
      <w:r>
        <w:t xml:space="preserve">umbrella </w:t>
      </w:r>
      <w:r w:rsidR="000E269B">
        <w:t>policy</w:t>
      </w:r>
      <w:r>
        <w:t>, and expenses due to uninsured property, are related.</w:t>
      </w:r>
    </w:p>
    <w:p w:rsidR="009C5C3D" w:rsidP="009C5C3D" w:rsidRDefault="009C5C3D" w14:paraId="1C2444A1" w14:textId="6BB47B3C">
      <w:pPr>
        <w:pStyle w:val="FoF"/>
      </w:pPr>
      <w:r>
        <w:t xml:space="preserve">Liberty Apple Valley’s part-time employee in its </w:t>
      </w:r>
      <w:proofErr w:type="spellStart"/>
      <w:r>
        <w:t>Yermo</w:t>
      </w:r>
      <w:proofErr w:type="spellEnd"/>
      <w:r>
        <w:t xml:space="preserve"> district has assumed tasks previously performed by other Liberty Apple Valley employees.</w:t>
      </w:r>
    </w:p>
    <w:p w:rsidR="009C5C3D" w:rsidP="009C5C3D" w:rsidRDefault="009C5C3D" w14:paraId="3669868B" w14:textId="28349293">
      <w:pPr>
        <w:pStyle w:val="FoF"/>
      </w:pPr>
      <w:r>
        <w:lastRenderedPageBreak/>
        <w:t xml:space="preserve">The shared administrative and general services utilized by Liberty Apple Valley and Liberty Park are provided out of the following four corporate headquarters: </w:t>
      </w:r>
      <w:proofErr w:type="gramStart"/>
      <w:r>
        <w:t>the</w:t>
      </w:r>
      <w:proofErr w:type="gramEnd"/>
      <w:r>
        <w:t xml:space="preserve"> Western Region General Office</w:t>
      </w:r>
      <w:r w:rsidR="004F4055">
        <w:t>/Downey</w:t>
      </w:r>
      <w:r>
        <w:t>, Algonquin, LUC, and LUSC.</w:t>
      </w:r>
    </w:p>
    <w:p w:rsidR="009C5C3D" w:rsidP="009C5C3D" w:rsidRDefault="009C5C3D" w14:paraId="095B42DD" w14:textId="77777777">
      <w:pPr>
        <w:pStyle w:val="FoF"/>
      </w:pPr>
      <w:r>
        <w:t>Liberty provides one year of historical expenses in 2017 for LUSC headquarters to support its requested expenses from LUSC headquarters in the TY.</w:t>
      </w:r>
    </w:p>
    <w:p w:rsidR="009C5C3D" w:rsidP="009C5C3D" w:rsidRDefault="009C5C3D" w14:paraId="0D20CCE3" w14:textId="6ECEF4B7">
      <w:pPr>
        <w:pStyle w:val="FoF"/>
      </w:pPr>
      <w:r>
        <w:t>The costs associated with Liberty Apple Valley and Liberty Park’s shared administrative and general services are identified in the Western Region General Office</w:t>
      </w:r>
      <w:r w:rsidR="009423F4">
        <w:t>/Downey</w:t>
      </w:r>
      <w:r>
        <w:t xml:space="preserve"> report.</w:t>
      </w:r>
    </w:p>
    <w:p w:rsidR="009C5C3D" w:rsidP="009C5C3D" w:rsidRDefault="009C5C3D" w14:paraId="3E60E792" w14:textId="77777777">
      <w:pPr>
        <w:pStyle w:val="FoF"/>
      </w:pPr>
      <w:r>
        <w:t>Liberty Apple Valley and Liberty Park were acquired by Algonquin in January 2016.</w:t>
      </w:r>
    </w:p>
    <w:p w:rsidRPr="001E2A62" w:rsidR="009C5C3D" w:rsidP="009C5C3D" w:rsidRDefault="009C5C3D" w14:paraId="26A0B457" w14:textId="0833E215">
      <w:pPr>
        <w:pStyle w:val="FoF"/>
      </w:pPr>
      <w:r>
        <w:t xml:space="preserve">Liberty Apple Valley and Liberty Park post-acquisition administrative and general costs are no longer recorded </w:t>
      </w:r>
      <w:r w:rsidR="00306FE1">
        <w:t xml:space="preserve">or </w:t>
      </w:r>
      <w:r>
        <w:t>tracked in the same sub-accounts as before the acquisition.</w:t>
      </w:r>
    </w:p>
    <w:p w:rsidR="009C5C3D" w:rsidP="009C5C3D" w:rsidRDefault="009C5C3D" w14:paraId="7E334172" w14:textId="2B40312B">
      <w:pPr>
        <w:pStyle w:val="FoF"/>
      </w:pPr>
      <w:r>
        <w:t>Liberty’s General Office</w:t>
      </w:r>
      <w:r w:rsidR="009423F4">
        <w:t>/Downey</w:t>
      </w:r>
      <w:r>
        <w:t xml:space="preserve"> overall estimated cost increases of 21</w:t>
      </w:r>
      <w:r w:rsidR="004059DF">
        <w:t> </w:t>
      </w:r>
      <w:r>
        <w:t>percent in 2018 and 6 percent in 2019 are primarily due to the General Office</w:t>
      </w:r>
      <w:r w:rsidR="009423F4">
        <w:t>/Downey</w:t>
      </w:r>
      <w:r>
        <w:t xml:space="preserve"> payroll.</w:t>
      </w:r>
    </w:p>
    <w:p w:rsidR="009C5C3D" w:rsidP="009C5C3D" w:rsidRDefault="009C5C3D" w14:paraId="0F62BC6F" w14:textId="3DA01FE3">
      <w:pPr>
        <w:pStyle w:val="FoF"/>
      </w:pPr>
      <w:r>
        <w:t>Liberty’s General Office</w:t>
      </w:r>
      <w:r w:rsidR="009423F4">
        <w:t>/Downey</w:t>
      </w:r>
      <w:r>
        <w:t xml:space="preserve"> expenses proposed for TY 2019 show no evidence of cost efficiencies </w:t>
      </w:r>
      <w:proofErr w:type="gramStart"/>
      <w:r>
        <w:t>as a result of</w:t>
      </w:r>
      <w:proofErr w:type="gramEnd"/>
      <w:r>
        <w:t xml:space="preserve"> the acquisition.</w:t>
      </w:r>
    </w:p>
    <w:p w:rsidR="009C5C3D" w:rsidP="009C5C3D" w:rsidRDefault="009C5C3D" w14:paraId="59E3B847" w14:textId="43A717CC">
      <w:pPr>
        <w:pStyle w:val="FoF"/>
      </w:pPr>
      <w:r>
        <w:t>Liberty allocates indirect corporate expenses to Liberty Apple Valley and Liberty Park according to a combination of eight different allocation factors as identified in the Algonquin C</w:t>
      </w:r>
      <w:r w:rsidR="009423F4">
        <w:t>AM</w:t>
      </w:r>
      <w:r>
        <w:t>.</w:t>
      </w:r>
    </w:p>
    <w:p w:rsidR="009C5C3D" w:rsidP="009C5C3D" w:rsidRDefault="009C5C3D" w14:paraId="1021605A" w14:textId="77777777">
      <w:pPr>
        <w:pStyle w:val="FoF"/>
      </w:pPr>
      <w:r>
        <w:t>Algonquin’s CAM provides rationales for the combination of allocation factors and weights for each type of service.</w:t>
      </w:r>
    </w:p>
    <w:p w:rsidR="009C5C3D" w:rsidP="009C5C3D" w:rsidRDefault="009C5C3D" w14:paraId="6B7A0707" w14:textId="77777777">
      <w:pPr>
        <w:pStyle w:val="FoF"/>
      </w:pPr>
      <w:r>
        <w:lastRenderedPageBreak/>
        <w:t>The Commission’s 1956 memorandum entitled “Allocation of Administrative and General Expenses and Common Utility Plant” provides guidance on how to choose and weight allocation factors for indirect costs.</w:t>
      </w:r>
    </w:p>
    <w:p w:rsidR="009C5C3D" w:rsidP="009C5C3D" w:rsidRDefault="009C5C3D" w14:paraId="436C896F" w14:textId="1734DF6C">
      <w:pPr>
        <w:pStyle w:val="FoF"/>
      </w:pPr>
      <w:r>
        <w:t xml:space="preserve">Liberty proposes double-weighting the customer count allocation factor in its nationwide allocations but single-weights the customer count allocation factor in its Western Region </w:t>
      </w:r>
      <w:r w:rsidR="00D576ED">
        <w:t xml:space="preserve">General Office/Downey </w:t>
      </w:r>
      <w:r>
        <w:t>allocations.</w:t>
      </w:r>
    </w:p>
    <w:p w:rsidR="009C5C3D" w:rsidP="009C5C3D" w:rsidRDefault="009C5C3D" w14:paraId="35E144C3" w14:textId="77777777">
      <w:pPr>
        <w:pStyle w:val="FoF"/>
      </w:pPr>
      <w:r>
        <w:t>Liberty Apple Valley requests no net change in total positions.</w:t>
      </w:r>
    </w:p>
    <w:p w:rsidR="009C5C3D" w:rsidP="009C5C3D" w:rsidRDefault="009C5C3D" w14:paraId="1E17B3B9" w14:textId="3FA40473">
      <w:pPr>
        <w:pStyle w:val="FoF"/>
      </w:pPr>
      <w:r>
        <w:t xml:space="preserve">Liberty Park requests four new positions net over its 2017 </w:t>
      </w:r>
      <w:r w:rsidR="000E269B">
        <w:t xml:space="preserve">recorded </w:t>
      </w:r>
      <w:r>
        <w:t>total</w:t>
      </w:r>
      <w:r w:rsidR="000E269B">
        <w:t xml:space="preserve"> number</w:t>
      </w:r>
      <w:r>
        <w:t xml:space="preserve"> of 42 positions.</w:t>
      </w:r>
    </w:p>
    <w:p w:rsidR="009C5C3D" w:rsidP="009C5C3D" w:rsidRDefault="009C5C3D" w14:paraId="0E56939B" w14:textId="09A9239A">
      <w:pPr>
        <w:pStyle w:val="FoF"/>
      </w:pPr>
      <w:r>
        <w:t>Liberty’s General Office</w:t>
      </w:r>
      <w:r w:rsidR="00D576ED">
        <w:t>/Downey</w:t>
      </w:r>
      <w:r>
        <w:t xml:space="preserve"> requests nine net new positions over its 2017 </w:t>
      </w:r>
      <w:r w:rsidR="000E269B">
        <w:t xml:space="preserve">recorded </w:t>
      </w:r>
      <w:r>
        <w:t xml:space="preserve">total </w:t>
      </w:r>
      <w:r w:rsidR="000E269B">
        <w:t xml:space="preserve">number </w:t>
      </w:r>
      <w:r>
        <w:t>of 23 positions.</w:t>
      </w:r>
    </w:p>
    <w:p w:rsidR="009C5C3D" w:rsidP="009C5C3D" w:rsidRDefault="009C5C3D" w14:paraId="2A695B28" w14:textId="77777777">
      <w:pPr>
        <w:pStyle w:val="FoF"/>
      </w:pPr>
      <w:r>
        <w:t>Liberty’s historical records show less than 100 percent of authorized positions are filled each year.</w:t>
      </w:r>
    </w:p>
    <w:p w:rsidR="009C5C3D" w:rsidP="009C5C3D" w:rsidRDefault="009C5C3D" w14:paraId="26DAC9B3" w14:textId="05E893E7">
      <w:pPr>
        <w:pStyle w:val="FoF"/>
      </w:pPr>
      <w:r>
        <w:t>Liberty provides bonuses and incentives to its workforce to bring total compensation in line with industry averages.</w:t>
      </w:r>
    </w:p>
    <w:p w:rsidR="009C5C3D" w:rsidP="009C5C3D" w:rsidRDefault="009C5C3D" w14:paraId="3278AC66" w14:textId="77777777">
      <w:pPr>
        <w:pStyle w:val="FoF"/>
      </w:pPr>
      <w:r>
        <w:t xml:space="preserve">Liberty’s workforce compensation studies include industries other than water industries </w:t>
      </w:r>
      <w:proofErr w:type="gramStart"/>
      <w:r>
        <w:t>and also</w:t>
      </w:r>
      <w:proofErr w:type="gramEnd"/>
      <w:r>
        <w:t xml:space="preserve"> include many California companies reflecting California’s cost-of-living.</w:t>
      </w:r>
    </w:p>
    <w:p w:rsidR="009C5C3D" w:rsidP="009C5C3D" w:rsidRDefault="00E72971" w14:paraId="5A7A8CC3" w14:textId="11247183">
      <w:pPr>
        <w:pStyle w:val="FoF"/>
      </w:pPr>
      <w:r>
        <w:t>Liberty forecasts m</w:t>
      </w:r>
      <w:r w:rsidR="009C5C3D">
        <w:t>edical insurance costs based on total premium costs in recent years.</w:t>
      </w:r>
    </w:p>
    <w:p w:rsidR="009C5C3D" w:rsidP="009C5C3D" w:rsidRDefault="009C5C3D" w14:paraId="2A76E829" w14:textId="42134FEF">
      <w:pPr>
        <w:pStyle w:val="FoF"/>
      </w:pPr>
      <w:r>
        <w:t>Liberty</w:t>
      </w:r>
      <w:r w:rsidR="0031294F">
        <w:t xml:space="preserve">’s </w:t>
      </w:r>
      <w:r>
        <w:t xml:space="preserve">group pension expense request </w:t>
      </w:r>
      <w:r w:rsidR="0031294F">
        <w:t>is based on shifting most employees to more cost-effective plan.</w:t>
      </w:r>
      <w:r>
        <w:t xml:space="preserve"> </w:t>
      </w:r>
    </w:p>
    <w:p w:rsidR="009C5C3D" w:rsidP="009C5C3D" w:rsidRDefault="009C5C3D" w14:paraId="2EB54623" w14:textId="77777777">
      <w:pPr>
        <w:pStyle w:val="FoF"/>
      </w:pPr>
      <w:r>
        <w:t>In D.16-12-026, the Commission stated that it would decide on the appropriateness of each utility’s AMI proposal in the respective GRC or standalone application in which the proposal was made.</w:t>
      </w:r>
    </w:p>
    <w:p w:rsidR="009C5C3D" w:rsidP="009C5C3D" w:rsidRDefault="009C5C3D" w14:paraId="7B506D00" w14:textId="77777777">
      <w:pPr>
        <w:pStyle w:val="FoF"/>
      </w:pPr>
      <w:r>
        <w:lastRenderedPageBreak/>
        <w:t>Liberty’s comparison of AMI costs to AMR costs does not include all cost impacts to ratepayers associated with its AMI proposal.</w:t>
      </w:r>
    </w:p>
    <w:p w:rsidR="009C5C3D" w:rsidP="009C5C3D" w:rsidRDefault="009C5C3D" w14:paraId="5772935B" w14:textId="6FF400D4">
      <w:pPr>
        <w:pStyle w:val="FoF"/>
      </w:pPr>
      <w:r>
        <w:t>The Public Advocates</w:t>
      </w:r>
      <w:r w:rsidR="000E269B">
        <w:t xml:space="preserve"> Office</w:t>
      </w:r>
      <w:r>
        <w:t xml:space="preserve"> comparison of AMI costs to AMR costs includes all cost impacts to ratepayers associated with Liberty’s AMI proposal </w:t>
      </w:r>
      <w:proofErr w:type="gramStart"/>
      <w:r>
        <w:t>with the exception of</w:t>
      </w:r>
      <w:proofErr w:type="gramEnd"/>
      <w:r>
        <w:t xml:space="preserve"> contingencies.</w:t>
      </w:r>
    </w:p>
    <w:p w:rsidR="009C5C3D" w:rsidP="009C5C3D" w:rsidRDefault="009C5C3D" w14:paraId="618BFBB9" w14:textId="02683566">
      <w:pPr>
        <w:pStyle w:val="FoF"/>
      </w:pPr>
      <w:r>
        <w:t xml:space="preserve">Liberty’s AMR meters </w:t>
      </w:r>
      <w:r w:rsidR="000F4FEF">
        <w:t>remain under warranty for</w:t>
      </w:r>
      <w:r>
        <w:t xml:space="preserve"> </w:t>
      </w:r>
      <w:r w:rsidR="0092143B">
        <w:t xml:space="preserve">20 </w:t>
      </w:r>
      <w:r>
        <w:t>years.</w:t>
      </w:r>
    </w:p>
    <w:p w:rsidR="009C5C3D" w:rsidP="009C5C3D" w:rsidRDefault="009C5C3D" w14:paraId="5244D71A" w14:textId="77777777">
      <w:pPr>
        <w:pStyle w:val="FoF"/>
      </w:pPr>
      <w:r>
        <w:t>Liberty can minimize operational expenses by utilizing meter warranties.</w:t>
      </w:r>
    </w:p>
    <w:p w:rsidR="009C5C3D" w:rsidP="009C5C3D" w:rsidRDefault="009C5C3D" w14:paraId="35FCD3B1" w14:textId="77777777">
      <w:pPr>
        <w:pStyle w:val="FoF"/>
      </w:pPr>
      <w:r>
        <w:t>Liberty’s capital investments provide conservation, water quality and customer service benefits.</w:t>
      </w:r>
    </w:p>
    <w:p w:rsidR="009C5C3D" w:rsidP="009C5C3D" w:rsidRDefault="009C5C3D" w14:paraId="3F51FF93" w14:textId="77777777">
      <w:pPr>
        <w:pStyle w:val="FoF"/>
      </w:pPr>
      <w:r>
        <w:t>Liberty meets all applicable state and federal water quality standards.</w:t>
      </w:r>
    </w:p>
    <w:p w:rsidR="009C5C3D" w:rsidP="009C5C3D" w:rsidRDefault="009C5C3D" w14:paraId="47C66ED0" w14:textId="2AC516BD">
      <w:pPr>
        <w:pStyle w:val="FoF"/>
      </w:pPr>
      <w:r>
        <w:t>Liberty meets all the Commission’s customer service standards in GO</w:t>
      </w:r>
      <w:r w:rsidR="0092143B">
        <w:t> </w:t>
      </w:r>
      <w:r>
        <w:t>103</w:t>
      </w:r>
      <w:r w:rsidR="0092143B">
        <w:noBreakHyphen/>
      </w:r>
      <w:r>
        <w:t>A.</w:t>
      </w:r>
    </w:p>
    <w:p w:rsidRPr="00EC1E0B" w:rsidR="009C5C3D" w:rsidP="009C5C3D" w:rsidRDefault="009C5C3D" w14:paraId="2295F52F" w14:textId="4E4A6138">
      <w:pPr>
        <w:pStyle w:val="FoF"/>
      </w:pPr>
      <w:r>
        <w:t>Liberty’s standards for conservation, water quality and customer service and consequent capital investments</w:t>
      </w:r>
      <w:r w:rsidR="00663F7A">
        <w:t xml:space="preserve"> require revenue that impacts customer affordability and </w:t>
      </w:r>
      <w:r w:rsidR="00EA33A5">
        <w:t>balancing investment with affordability</w:t>
      </w:r>
      <w:r w:rsidR="00663F7A">
        <w:t xml:space="preserve"> must be judiciously managed.</w:t>
      </w:r>
    </w:p>
    <w:p w:rsidR="009C5C3D" w:rsidP="009C5C3D" w:rsidRDefault="009C5C3D" w14:paraId="6DEBDAD2" w14:textId="77777777">
      <w:pPr>
        <w:pStyle w:val="FoF"/>
      </w:pPr>
      <w:r>
        <w:t>Liberty calculated CCFT deduction amounts for the TY based on estimated 2018 payment of CCFT.</w:t>
      </w:r>
    </w:p>
    <w:p w:rsidR="009C5C3D" w:rsidP="009C5C3D" w:rsidRDefault="009C5C3D" w14:paraId="0C36A6D3" w14:textId="77777777">
      <w:pPr>
        <w:pStyle w:val="FoF"/>
      </w:pPr>
      <w:r>
        <w:t>Liberty interprets the Commission’s requirement in D.89-11-058 without consideration of the Commission’s instruction to utilize the prior year deduction authorized in rates.</w:t>
      </w:r>
    </w:p>
    <w:p w:rsidR="009C5C3D" w:rsidP="009C5C3D" w:rsidRDefault="009C5C3D" w14:paraId="27AA9BEF" w14:textId="7357A150">
      <w:pPr>
        <w:pStyle w:val="FoF"/>
      </w:pPr>
      <w:r>
        <w:t>Using the Public Advocates Office method of calculating CCFT, to the extent that (a) ratepayers are funding a certain amount of CCFT in rates and (b)</w:t>
      </w:r>
      <w:r w:rsidR="0092143B">
        <w:t> </w:t>
      </w:r>
      <w:r>
        <w:t>the CCFT is allowed by the IRS to be deducted, ratepayers get the benefit of the tax deduction for the corresponding amount of CCFT that ratepayers funded.</w:t>
      </w:r>
    </w:p>
    <w:p w:rsidR="009C5C3D" w:rsidP="009C5C3D" w:rsidRDefault="009C5C3D" w14:paraId="572CEAE7" w14:textId="4CDA09CF">
      <w:pPr>
        <w:pStyle w:val="FoF"/>
      </w:pPr>
      <w:r>
        <w:lastRenderedPageBreak/>
        <w:t xml:space="preserve">Recording memorandum account balances as assets or liabilities prematurely assumes </w:t>
      </w:r>
      <w:r w:rsidR="008A244A">
        <w:t xml:space="preserve">Commission approval of the reasonableness of costs and </w:t>
      </w:r>
      <w:r>
        <w:t>authorization for recovery.</w:t>
      </w:r>
    </w:p>
    <w:p w:rsidR="009C5C3D" w:rsidP="009C5C3D" w:rsidRDefault="0036774A" w14:paraId="713C79E7" w14:textId="38BE98F8">
      <w:pPr>
        <w:pStyle w:val="FoF"/>
      </w:pPr>
      <w:r>
        <w:t>The Public Advocates Office</w:t>
      </w:r>
      <w:r w:rsidR="009C5C3D">
        <w:t xml:space="preserve"> review</w:t>
      </w:r>
      <w:r w:rsidR="007751E1">
        <w:t>ed</w:t>
      </w:r>
      <w:r w:rsidR="009C5C3D">
        <w:t xml:space="preserve"> the amounts in balancing and memorandum accounts in Appendices E and J of this decision </w:t>
      </w:r>
      <w:r w:rsidR="009E3D75">
        <w:t>and</w:t>
      </w:r>
      <w:r w:rsidR="009C5C3D">
        <w:t xml:space="preserve"> </w:t>
      </w:r>
      <w:r w:rsidR="007751E1">
        <w:t xml:space="preserve">these amounts are </w:t>
      </w:r>
      <w:r w:rsidR="009C5C3D">
        <w:t>reasonable</w:t>
      </w:r>
      <w:r w:rsidR="007751E1">
        <w:t xml:space="preserve"> and should be recovered</w:t>
      </w:r>
      <w:r w:rsidR="009C5C3D">
        <w:t>.</w:t>
      </w:r>
    </w:p>
    <w:p w:rsidRPr="00301641" w:rsidR="00901AD7" w:rsidP="009C5C3D" w:rsidRDefault="00901AD7" w14:paraId="79292E82" w14:textId="68C29835">
      <w:pPr>
        <w:pStyle w:val="FoF"/>
      </w:pPr>
      <w:r w:rsidRPr="00301641">
        <w:t>The GRC step of conducting a technical conference confirming and validating the formulas and inputs by which revenues and rates are calculated, as outlined in the Water Rate Case Plan, did not occur in this proceeding.</w:t>
      </w:r>
    </w:p>
    <w:p w:rsidRPr="007751E1" w:rsidR="00901AD7" w:rsidRDefault="00901AD7" w14:paraId="10D2A12F" w14:textId="233B3F9F">
      <w:pPr>
        <w:pStyle w:val="FoF"/>
      </w:pPr>
      <w:r w:rsidRPr="007751E1">
        <w:t>The omission of the technical conference, combined with the passage of time, make errors in approved revenues and rates so likely that confirmation and validation is necessary prior to implementing the approved revenues and rates.</w:t>
      </w:r>
    </w:p>
    <w:p w:rsidR="009C5C3D" w:rsidP="009C5C3D" w:rsidRDefault="009C5C3D" w14:paraId="44F9CCCB" w14:textId="77777777">
      <w:pPr>
        <w:pStyle w:val="Dummy"/>
      </w:pPr>
      <w:bookmarkStart w:name="_Toc8123726" w:id="88"/>
      <w:bookmarkStart w:name="_Toc46478825" w:id="89"/>
      <w:r w:rsidRPr="007751E1">
        <w:t>Conclusions of Law</w:t>
      </w:r>
      <w:bookmarkEnd w:id="88"/>
      <w:bookmarkEnd w:id="89"/>
    </w:p>
    <w:p w:rsidR="009C5C3D" w:rsidP="009C5C3D" w:rsidRDefault="009C5C3D" w14:paraId="3E3272D2" w14:textId="77777777">
      <w:pPr>
        <w:pStyle w:val="CoL"/>
      </w:pPr>
      <w:r>
        <w:t xml:space="preserve">The Commission’s duty under Pub. Util. Code </w:t>
      </w:r>
      <w:r w:rsidRPr="009A475D">
        <w:t>§</w:t>
      </w:r>
      <w:r>
        <w:t>451 is to establish just and reasonable rates to enable the utility to provide safe and reliable service, while allowing an opportunity to earn a fair return on the property used and useful in providing utility services.</w:t>
      </w:r>
    </w:p>
    <w:p w:rsidRPr="001E2A62" w:rsidR="009C5C3D" w:rsidP="009C5C3D" w:rsidRDefault="009C5C3D" w14:paraId="306BAB6C" w14:textId="0C561408">
      <w:pPr>
        <w:pStyle w:val="CoL"/>
      </w:pPr>
      <w:r>
        <w:t>As the applicant, Liberty bear</w:t>
      </w:r>
      <w:r w:rsidR="005055C2">
        <w:t>s</w:t>
      </w:r>
      <w:r>
        <w:t xml:space="preserve"> the burden of proof to show that the regulatory relief requested is just and reasonable and the related ratemaking mechanisms are fair.</w:t>
      </w:r>
    </w:p>
    <w:p w:rsidR="009C5C3D" w:rsidRDefault="009C5C3D" w14:paraId="5698622A" w14:textId="0FC97F00">
      <w:pPr>
        <w:pStyle w:val="CoL"/>
      </w:pPr>
      <w:r>
        <w:t>The settled issues</w:t>
      </w:r>
      <w:r w:rsidR="006577B2">
        <w:t>, by agreements of the parties,</w:t>
      </w:r>
      <w:r>
        <w:t xml:space="preserve"> contained in Appendices </w:t>
      </w:r>
      <w:r w:rsidR="008F1048">
        <w:t>D</w:t>
      </w:r>
      <w:r>
        <w:t xml:space="preserve"> and </w:t>
      </w:r>
      <w:r w:rsidR="008F1048">
        <w:t>I</w:t>
      </w:r>
      <w:r>
        <w:t xml:space="preserve"> to this decision are </w:t>
      </w:r>
      <w:r w:rsidRPr="00D10EA8" w:rsidR="00D10EA8">
        <w:t>“reasonable in light of the whole record, consistent with law, and in the public interest”</w:t>
      </w:r>
      <w:r>
        <w:t xml:space="preserve"> and should be adopted.</w:t>
      </w:r>
    </w:p>
    <w:p w:rsidR="009C5C3D" w:rsidP="009C5C3D" w:rsidRDefault="009C5C3D" w14:paraId="2EFAD307" w14:textId="4019D4D4">
      <w:pPr>
        <w:pStyle w:val="CoL"/>
      </w:pPr>
      <w:r>
        <w:t xml:space="preserve">Liberty Apple Valley </w:t>
      </w:r>
      <w:bookmarkStart w:name="_Hlk46086701" w:id="90"/>
      <w:r w:rsidR="006577B2">
        <w:t>failed to</w:t>
      </w:r>
      <w:r>
        <w:t xml:space="preserve"> </w:t>
      </w:r>
      <w:r w:rsidR="006577B2">
        <w:t xml:space="preserve">meet its burden of proof to </w:t>
      </w:r>
      <w:bookmarkEnd w:id="90"/>
      <w:r>
        <w:t>demonstrate that the potential benefits of deploying AMI justify the additional costs to ratepayers.</w:t>
      </w:r>
    </w:p>
    <w:p w:rsidR="009C5C3D" w:rsidP="009C5C3D" w:rsidRDefault="009C5C3D" w14:paraId="677E915A" w14:textId="3A069AD7">
      <w:pPr>
        <w:pStyle w:val="CoL"/>
      </w:pPr>
      <w:r>
        <w:lastRenderedPageBreak/>
        <w:t xml:space="preserve">Liberty Park </w:t>
      </w:r>
      <w:r w:rsidRPr="006577B2" w:rsidR="006577B2">
        <w:t xml:space="preserve">failed to meet its burden of proof to </w:t>
      </w:r>
      <w:r>
        <w:t>demonstrate that the potential benefits of deploying AMI justify the additional costs to ratepayers.</w:t>
      </w:r>
    </w:p>
    <w:p w:rsidR="009C5C3D" w:rsidP="009C5C3D" w:rsidRDefault="009C5C3D" w14:paraId="7D9B136A" w14:textId="4AE5BA2B">
      <w:pPr>
        <w:pStyle w:val="CoL"/>
      </w:pPr>
      <w:r>
        <w:t xml:space="preserve">It is reasonable to rely on </w:t>
      </w:r>
      <w:r w:rsidR="005D31A2">
        <w:t xml:space="preserve">the change </w:t>
      </w:r>
      <w:r w:rsidR="006913DB">
        <w:t xml:space="preserve">between 2017 and 2018 </w:t>
      </w:r>
      <w:r w:rsidR="005D31A2">
        <w:t xml:space="preserve">in health care insurance costs to project </w:t>
      </w:r>
      <w:r>
        <w:t xml:space="preserve">health </w:t>
      </w:r>
      <w:r w:rsidR="005D31A2">
        <w:t>care insurance</w:t>
      </w:r>
      <w:r>
        <w:t xml:space="preserve"> costs of </w:t>
      </w:r>
      <w:r w:rsidRPr="003B4BA5" w:rsidR="005D31A2">
        <w:t>6.5</w:t>
      </w:r>
      <w:r>
        <w:t xml:space="preserve"> percent</w:t>
      </w:r>
      <w:r w:rsidR="005D31A2">
        <w:t xml:space="preserve"> in the TY</w:t>
      </w:r>
      <w:r>
        <w:t>.</w:t>
      </w:r>
    </w:p>
    <w:p w:rsidR="006913DB" w:rsidP="009C5C3D" w:rsidRDefault="006913DB" w14:paraId="6F5A42B2" w14:textId="2D951B30">
      <w:pPr>
        <w:pStyle w:val="CoL"/>
      </w:pPr>
      <w:r>
        <w:t>It is reasonable to rely on the change between 2017 and 2018 in dental, vision, and worker’s compensation costs to project dental, vision, and worker’s compensation costs in the TY.</w:t>
      </w:r>
    </w:p>
    <w:p w:rsidRPr="001E2A62" w:rsidR="009C5C3D" w:rsidP="009C5C3D" w:rsidRDefault="009C5C3D" w14:paraId="4144D506" w14:textId="0092A308">
      <w:pPr>
        <w:pStyle w:val="CoL"/>
      </w:pPr>
      <w:r>
        <w:t>T</w:t>
      </w:r>
      <w:r w:rsidRPr="00EC1E0B">
        <w:t xml:space="preserve">he </w:t>
      </w:r>
      <w:r>
        <w:t xml:space="preserve">adopted 2019 </w:t>
      </w:r>
      <w:r w:rsidR="00606F96">
        <w:t>TY</w:t>
      </w:r>
      <w:r>
        <w:t xml:space="preserve"> expenses and rate base amounts set forth in </w:t>
      </w:r>
      <w:r w:rsidRPr="00EC1E0B">
        <w:t>Appendi</w:t>
      </w:r>
      <w:r>
        <w:t>ces</w:t>
      </w:r>
      <w:r w:rsidRPr="00EC1E0B">
        <w:t xml:space="preserve"> A </w:t>
      </w:r>
      <w:r>
        <w:t>and F are</w:t>
      </w:r>
      <w:r w:rsidRPr="00EC1E0B">
        <w:t xml:space="preserve"> reasonable </w:t>
      </w:r>
      <w:r>
        <w:t xml:space="preserve">and justified </w:t>
      </w:r>
      <w:r w:rsidRPr="00EC1E0B">
        <w:t>and should be adopted.</w:t>
      </w:r>
    </w:p>
    <w:p w:rsidRPr="001E2A62" w:rsidR="009C5C3D" w:rsidP="009C5C3D" w:rsidRDefault="009C5C3D" w14:paraId="08AD296A" w14:textId="77777777">
      <w:pPr>
        <w:pStyle w:val="CoL"/>
      </w:pPr>
      <w:r>
        <w:t>The rates as set forth in Appendices B and G of this decision are reasonable and justified and should be adopted.</w:t>
      </w:r>
    </w:p>
    <w:p w:rsidR="009C5C3D" w:rsidP="009C5C3D" w:rsidRDefault="009C5C3D" w14:paraId="761A8000" w14:textId="7ED0A85E">
      <w:pPr>
        <w:pStyle w:val="CoL"/>
      </w:pPr>
      <w:r>
        <w:t xml:space="preserve">The sales, revenue, consumption and number of customers forecast as agreed upon by Liberty Utilities and the Public Advocates Office and as set forth in </w:t>
      </w:r>
      <w:r w:rsidRPr="00AF0A9A">
        <w:t>Appendi</w:t>
      </w:r>
      <w:r>
        <w:t>ces C and H</w:t>
      </w:r>
      <w:r w:rsidRPr="00AF0A9A">
        <w:t xml:space="preserve"> </w:t>
      </w:r>
      <w:r>
        <w:t>of this decision are reasonable and justified and should be adopted</w:t>
      </w:r>
      <w:r w:rsidRPr="00AF0A9A">
        <w:t>.</w:t>
      </w:r>
    </w:p>
    <w:p w:rsidR="009C5C3D" w:rsidP="009C5C3D" w:rsidRDefault="009C5C3D" w14:paraId="71AD7E8D" w14:textId="0985D2E7">
      <w:pPr>
        <w:pStyle w:val="CoL"/>
      </w:pPr>
      <w:r>
        <w:t>Liberty Apple Valley’s request to increase its main replacement rate to 4.1</w:t>
      </w:r>
      <w:r w:rsidR="0092143B">
        <w:t> </w:t>
      </w:r>
      <w:r>
        <w:t>miles per year as compared to a recorded average of 3.04 miles per year over the past 5 years is reasonable and should be adopted.</w:t>
      </w:r>
    </w:p>
    <w:p w:rsidR="009C5C3D" w:rsidP="009C5C3D" w:rsidRDefault="009C5C3D" w14:paraId="27DCDF7C" w14:textId="1D84C329">
      <w:pPr>
        <w:pStyle w:val="CoL"/>
      </w:pPr>
      <w:r>
        <w:t xml:space="preserve">Liberty’s allocation of its general office expenses and rate base to Liberty Apple Valley and Liberty Park is reasonable with the adjustment that the customer count allocation factor is weighted 40 percent and the remaining three factors are </w:t>
      </w:r>
      <w:r w:rsidR="00212382">
        <w:t xml:space="preserve">each </w:t>
      </w:r>
      <w:r>
        <w:t>weighted 20 percent.</w:t>
      </w:r>
    </w:p>
    <w:p w:rsidR="009C5C3D" w:rsidP="009C5C3D" w:rsidRDefault="009C5C3D" w14:paraId="5F76600D" w14:textId="70AF6B9B">
      <w:pPr>
        <w:pStyle w:val="CoL"/>
      </w:pPr>
      <w:r>
        <w:t xml:space="preserve">Liberty Apple Valley’s requests to </w:t>
      </w:r>
      <w:r w:rsidR="004F7CE0">
        <w:t>recover the balances in the</w:t>
      </w:r>
      <w:r>
        <w:t xml:space="preserve"> balancing and memorandum accounts </w:t>
      </w:r>
      <w:r w:rsidR="004F7CE0">
        <w:t xml:space="preserve">listed in Appendix E </w:t>
      </w:r>
      <w:r>
        <w:t>are reasonable and should be adopted</w:t>
      </w:r>
      <w:r w:rsidR="00CA369A">
        <w:t>.</w:t>
      </w:r>
      <w:r>
        <w:t xml:space="preserve"> </w:t>
      </w:r>
    </w:p>
    <w:p w:rsidR="009C5C3D" w:rsidP="009C5C3D" w:rsidRDefault="009C5C3D" w14:paraId="5B4FC1EA" w14:textId="25806C4B">
      <w:pPr>
        <w:pStyle w:val="CoL"/>
      </w:pPr>
      <w:r>
        <w:lastRenderedPageBreak/>
        <w:t xml:space="preserve">Liberty Park’s requests </w:t>
      </w:r>
      <w:r w:rsidR="004F7CE0">
        <w:t>to recover the balances in the balancing and memorandum accounts listed in Appendix J</w:t>
      </w:r>
      <w:r>
        <w:t xml:space="preserve"> are reasonable and should be adopted.</w:t>
      </w:r>
    </w:p>
    <w:p w:rsidR="0026262A" w:rsidP="009C5C3D" w:rsidRDefault="009C5C3D" w14:paraId="30915721" w14:textId="77777777">
      <w:pPr>
        <w:pStyle w:val="CoL"/>
      </w:pPr>
      <w:r>
        <w:t>Liberty</w:t>
      </w:r>
      <w:r w:rsidR="00F25D34">
        <w:t xml:space="preserve"> Park</w:t>
      </w:r>
      <w:r>
        <w:t>’s request to establish a Health</w:t>
      </w:r>
      <w:r w:rsidR="00F25D34">
        <w:t xml:space="preserve"> C</w:t>
      </w:r>
      <w:r>
        <w:t xml:space="preserve">are Balancing Account </w:t>
      </w:r>
      <w:r w:rsidR="0026262A">
        <w:t>is not reasonable and should not be adopted.</w:t>
      </w:r>
    </w:p>
    <w:p w:rsidR="009C5C3D" w:rsidP="009C5C3D" w:rsidRDefault="00F25D34" w14:paraId="1DCF1D21" w14:textId="5E92609D">
      <w:pPr>
        <w:pStyle w:val="CoL"/>
      </w:pPr>
      <w:r>
        <w:t xml:space="preserve">Liberty Apple Valley’s request to renew a Health Care Balancing Account </w:t>
      </w:r>
      <w:r w:rsidR="009C5C3D">
        <w:t xml:space="preserve">is not reasonable and should </w:t>
      </w:r>
      <w:r w:rsidR="007751E1">
        <w:t xml:space="preserve">not </w:t>
      </w:r>
      <w:r w:rsidR="009C5C3D">
        <w:t>be adopted.</w:t>
      </w:r>
    </w:p>
    <w:p w:rsidR="00815887" w:rsidP="009C5C3D" w:rsidRDefault="00815887" w14:paraId="696F0F7F" w14:textId="5483D9D5">
      <w:pPr>
        <w:pStyle w:val="CoL"/>
      </w:pPr>
      <w:r>
        <w:t>Liberty’s 2014 Water Conservation Memorandum Accounts are no longer necessary and should be closed.</w:t>
      </w:r>
    </w:p>
    <w:p w:rsidR="009C5C3D" w:rsidP="009C5C3D" w:rsidRDefault="009C5C3D" w14:paraId="2D9D3CC7" w14:textId="2FB768F4">
      <w:pPr>
        <w:pStyle w:val="CoL"/>
      </w:pPr>
      <w:r>
        <w:t xml:space="preserve">Liberty Apple Valley’s requests to </w:t>
      </w:r>
      <w:r w:rsidR="00855DA1">
        <w:t>change</w:t>
      </w:r>
      <w:r w:rsidR="002F3F52">
        <w:t xml:space="preserve"> </w:t>
      </w:r>
      <w:r>
        <w:t xml:space="preserve">the current monthly charge discount of $8.38 per month and the surcharge of $0.69 per month for its CARW program by the average percentage </w:t>
      </w:r>
      <w:r w:rsidR="00855DA1">
        <w:t>change</w:t>
      </w:r>
      <w:r>
        <w:t xml:space="preserve"> to rates authorized at the conclusion of this proceeding are reasonable and should be adopted</w:t>
      </w:r>
      <w:r w:rsidR="00E0422C">
        <w:t>.</w:t>
      </w:r>
    </w:p>
    <w:p w:rsidR="009C5C3D" w:rsidP="009C5C3D" w:rsidRDefault="009C5C3D" w14:paraId="04316434" w14:textId="61D73152">
      <w:pPr>
        <w:pStyle w:val="CoL"/>
      </w:pPr>
      <w:r>
        <w:t xml:space="preserve">Liberty Park’s request to </w:t>
      </w:r>
      <w:r w:rsidRPr="003B4BA5">
        <w:t>increase</w:t>
      </w:r>
      <w:r>
        <w:t xml:space="preserve"> the current monthly charge discount of $</w:t>
      </w:r>
      <w:r w:rsidR="00CA369A">
        <w:t>7.40</w:t>
      </w:r>
      <w:r>
        <w:t xml:space="preserve"> per month </w:t>
      </w:r>
      <w:r w:rsidR="00742467">
        <w:t xml:space="preserve">for its CARW program </w:t>
      </w:r>
      <w:r>
        <w:t xml:space="preserve">by the average percentage </w:t>
      </w:r>
      <w:r w:rsidR="007E7473">
        <w:t>change</w:t>
      </w:r>
      <w:r>
        <w:t xml:space="preserve"> to rates authorized at the conclusion of this proceeding </w:t>
      </w:r>
      <w:r w:rsidR="00A64DB0">
        <w:t>is</w:t>
      </w:r>
      <w:r>
        <w:t xml:space="preserve"> reasonable and should be adopted.</w:t>
      </w:r>
    </w:p>
    <w:p w:rsidR="00A64DB0" w:rsidP="009570C5" w:rsidRDefault="00A64DB0" w14:paraId="5FF91F80" w14:textId="38091462">
      <w:pPr>
        <w:pStyle w:val="CoL"/>
      </w:pPr>
      <w:r>
        <w:t>The Public Advocates Office recommendation to reduce the Liberty Park CARW program surcharge of $7.14 per month to $</w:t>
      </w:r>
      <w:r w:rsidR="000C00DD">
        <w:t>1.98</w:t>
      </w:r>
      <w:r w:rsidR="0062262B">
        <w:t>,</w:t>
      </w:r>
      <w:r w:rsidR="000C00DD">
        <w:t xml:space="preserve"> the result of$2.01 adjusted</w:t>
      </w:r>
      <w:r>
        <w:t xml:space="preserve"> by the average percentage </w:t>
      </w:r>
      <w:r w:rsidR="00F45934">
        <w:t>change</w:t>
      </w:r>
      <w:r>
        <w:t xml:space="preserve"> to rates authorized at the conclusion of this proceeding is reasonable and should be adopted.</w:t>
      </w:r>
    </w:p>
    <w:p w:rsidR="009C5C3D" w:rsidP="009C5C3D" w:rsidRDefault="009C5C3D" w14:paraId="75DDE46C" w14:textId="77777777">
      <w:pPr>
        <w:pStyle w:val="CoL"/>
      </w:pPr>
      <w:r>
        <w:t>Liberty Park’s cost for a new well in its Compton East system is unjustified.</w:t>
      </w:r>
    </w:p>
    <w:p w:rsidR="009C5C3D" w:rsidP="009C5C3D" w:rsidRDefault="009C5C3D" w14:paraId="5C90F2A7" w14:textId="77777777">
      <w:pPr>
        <w:pStyle w:val="CoL"/>
      </w:pPr>
      <w:r>
        <w:t>Liberty Park’s request to install an average of 3.7 miles of pipeline in test year 2019 and escalation year 2020 is reasonable and should be adopted.</w:t>
      </w:r>
    </w:p>
    <w:p w:rsidR="009C5C3D" w:rsidP="009C5C3D" w:rsidRDefault="009C5C3D" w14:paraId="3FB9CE67" w14:textId="40D7A19C">
      <w:pPr>
        <w:pStyle w:val="CoL"/>
      </w:pPr>
      <w:r>
        <w:lastRenderedPageBreak/>
        <w:t xml:space="preserve">Liberty’s requests </w:t>
      </w:r>
      <w:r w:rsidR="00053F20">
        <w:t xml:space="preserve">for an adjustment </w:t>
      </w:r>
      <w:r>
        <w:t>of the tier breakpoint is reasonable and should be adopted.</w:t>
      </w:r>
    </w:p>
    <w:p w:rsidR="009C5C3D" w:rsidP="009C5C3D" w:rsidRDefault="009C5C3D" w14:paraId="5630282C" w14:textId="77777777">
      <w:pPr>
        <w:pStyle w:val="CoL"/>
      </w:pPr>
      <w:r>
        <w:t>Liberty’s overall rate design is reasonable and should be adopted.</w:t>
      </w:r>
    </w:p>
    <w:p w:rsidR="009C5C3D" w:rsidP="008F7B09" w:rsidRDefault="009C5C3D" w14:paraId="0168B006" w14:textId="1AE07166">
      <w:pPr>
        <w:pStyle w:val="CoL"/>
      </w:pPr>
      <w:r>
        <w:t xml:space="preserve">Liberty Apple Valley and Liberty Park Water’s requests for the Commission to authorize </w:t>
      </w:r>
      <w:proofErr w:type="gramStart"/>
      <w:r>
        <w:t>a</w:t>
      </w:r>
      <w:proofErr w:type="gramEnd"/>
      <w:r>
        <w:t xml:space="preserve"> </w:t>
      </w:r>
      <w:r w:rsidR="005055C2">
        <w:t>SRM</w:t>
      </w:r>
      <w:r>
        <w:t xml:space="preserve"> for the escalation years of the rate case cycle are not reasonable and should </w:t>
      </w:r>
      <w:r w:rsidR="005055C2">
        <w:t xml:space="preserve">not </w:t>
      </w:r>
      <w:r>
        <w:t>be adopted.</w:t>
      </w:r>
    </w:p>
    <w:p w:rsidR="007751E1" w:rsidP="00A816FA" w:rsidRDefault="007751E1" w14:paraId="106FBC09" w14:textId="47EE19CB">
      <w:pPr>
        <w:pStyle w:val="CoL"/>
      </w:pPr>
      <w:r>
        <w:t xml:space="preserve">Liberty Apple Valley’s </w:t>
      </w:r>
      <w:proofErr w:type="spellStart"/>
      <w:r>
        <w:t>Yermo</w:t>
      </w:r>
      <w:proofErr w:type="spellEnd"/>
      <w:r>
        <w:t xml:space="preserve"> district revenue requirement should be collected over an extended </w:t>
      </w:r>
      <w:proofErr w:type="gramStart"/>
      <w:r>
        <w:t>period of time</w:t>
      </w:r>
      <w:proofErr w:type="gramEnd"/>
      <w:r>
        <w:t xml:space="preserve"> in order to mitigate the impact of large rate increases on its customers.</w:t>
      </w:r>
    </w:p>
    <w:p w:rsidRPr="007751E1" w:rsidR="00901AD7" w:rsidP="008F7B09" w:rsidRDefault="00901AD7" w14:paraId="5065DE8A" w14:textId="226D71FF">
      <w:pPr>
        <w:pStyle w:val="CoL"/>
      </w:pPr>
      <w:r w:rsidRPr="007751E1">
        <w:t xml:space="preserve">Liberty should confirm and validate the calculations </w:t>
      </w:r>
      <w:r w:rsidR="00584F4B">
        <w:t>by which</w:t>
      </w:r>
      <w:r w:rsidRPr="007751E1">
        <w:t xml:space="preserve"> approved revenues and rates </w:t>
      </w:r>
      <w:r w:rsidR="00584F4B">
        <w:t xml:space="preserve">were developed </w:t>
      </w:r>
      <w:r w:rsidRPr="007751E1" w:rsidR="00B20699">
        <w:t xml:space="preserve">at a technical conference including </w:t>
      </w:r>
      <w:r w:rsidRPr="007751E1">
        <w:t>parties and the Commission’s Water Division staff prior to implementing new rates</w:t>
      </w:r>
      <w:r w:rsidRPr="007751E1" w:rsidR="00B20699">
        <w:t>.</w:t>
      </w:r>
    </w:p>
    <w:p w:rsidR="00E3789A" w:rsidP="008F7B09" w:rsidRDefault="00E3789A" w14:paraId="261C91B3" w14:textId="3FD50C35">
      <w:pPr>
        <w:pStyle w:val="CoL"/>
      </w:pPr>
      <w:r>
        <w:t xml:space="preserve">Liberty’s next GRC scheduled </w:t>
      </w:r>
      <w:r w:rsidR="00337A3E">
        <w:t>pursuant to the applicable Rate Case Plan adopted in D</w:t>
      </w:r>
      <w:r w:rsidR="006577B2">
        <w:t>.</w:t>
      </w:r>
      <w:r w:rsidR="00337A3E">
        <w:t xml:space="preserve">07-05-062 </w:t>
      </w:r>
      <w:r>
        <w:t>for TY 2022 is unrealistic due to the timing of this decision and should be extended by six months to TY 2023.</w:t>
      </w:r>
    </w:p>
    <w:p w:rsidRPr="00EC1E0B" w:rsidR="006577B2" w:rsidP="008F7B09" w:rsidRDefault="006577B2" w14:paraId="79CE76F2" w14:textId="7783EFF2">
      <w:pPr>
        <w:pStyle w:val="CoL"/>
      </w:pPr>
      <w:r>
        <w:t>These consolidated proceedings should be closed.</w:t>
      </w:r>
    </w:p>
    <w:p w:rsidR="009C5C3D" w:rsidP="009C5C3D" w:rsidRDefault="009C5C3D" w14:paraId="28357E7E" w14:textId="77777777">
      <w:pPr>
        <w:pStyle w:val="Mainex"/>
      </w:pPr>
      <w:bookmarkStart w:name="_Toc46478826" w:id="91"/>
      <w:r>
        <w:t>ORDER</w:t>
      </w:r>
      <w:bookmarkEnd w:id="91"/>
    </w:p>
    <w:p w:rsidR="009C5C3D" w:rsidP="009C5C3D" w:rsidRDefault="009C5C3D" w14:paraId="274276FA" w14:textId="77777777">
      <w:pPr>
        <w:keepNext/>
      </w:pPr>
      <w:r w:rsidRPr="00BB0243">
        <w:rPr>
          <w:b/>
        </w:rPr>
        <w:t>IT IS ORDERED</w:t>
      </w:r>
      <w:r>
        <w:t xml:space="preserve"> that:</w:t>
      </w:r>
    </w:p>
    <w:p w:rsidRPr="003B4BA5" w:rsidR="009C5C3D" w:rsidP="009C5C3D" w:rsidRDefault="009C5C3D" w14:paraId="3BDB1393" w14:textId="4FF7D417">
      <w:pPr>
        <w:pStyle w:val="OP"/>
      </w:pPr>
      <w:r>
        <w:t xml:space="preserve">Liberty Utilities (Apple Valley </w:t>
      </w:r>
      <w:bookmarkStart w:name="_Hlk43216478" w:id="92"/>
      <w:r>
        <w:t>Ranchos Water</w:t>
      </w:r>
      <w:bookmarkEnd w:id="92"/>
      <w:r>
        <w:t xml:space="preserve">) Corp. (Liberty Apple Valley) is authorized to collect, through rates and through authorized ratemaking accounting mechanisms, a revenue requirement for </w:t>
      </w:r>
      <w:r w:rsidR="003C0A18">
        <w:t>T</w:t>
      </w:r>
      <w:r>
        <w:t xml:space="preserve">est </w:t>
      </w:r>
      <w:r w:rsidR="003C0A18">
        <w:t>Y</w:t>
      </w:r>
      <w:r>
        <w:t xml:space="preserve">ear 2019 </w:t>
      </w:r>
      <w:r w:rsidRPr="003B4BA5">
        <w:t>of</w:t>
      </w:r>
      <w:r w:rsidRPr="003B4BA5" w:rsidR="005C419C">
        <w:t xml:space="preserve"> </w:t>
      </w:r>
      <w:r w:rsidRPr="003B4BA5" w:rsidR="00B20699">
        <w:t>$23,630,000</w:t>
      </w:r>
      <w:r w:rsidRPr="003B4BA5">
        <w:t xml:space="preserve"> comprised of the elements below and set forth in greater detail in Appendices</w:t>
      </w:r>
      <w:r w:rsidRPr="003B4BA5" w:rsidR="0092143B">
        <w:t> </w:t>
      </w:r>
      <w:r w:rsidRPr="003B4BA5">
        <w:t>A, B and C.</w:t>
      </w:r>
    </w:p>
    <w:p w:rsidRPr="003B4BA5" w:rsidR="009C5C3D" w:rsidP="0092143B" w:rsidRDefault="009C5C3D" w14:paraId="5E8AB9D1" w14:textId="499AB1BD">
      <w:pPr>
        <w:pStyle w:val="OP"/>
        <w:numPr>
          <w:ilvl w:val="1"/>
          <w:numId w:val="5"/>
        </w:numPr>
        <w:spacing w:after="120" w:line="240" w:lineRule="auto"/>
        <w:ind w:right="1440"/>
      </w:pPr>
      <w:r w:rsidRPr="003B4BA5">
        <w:t xml:space="preserve">Liberty Apple Valley’s operating expenses shall be </w:t>
      </w:r>
      <w:proofErr w:type="gramStart"/>
      <w:r w:rsidRPr="003B4BA5">
        <w:t>$</w:t>
      </w:r>
      <w:r w:rsidRPr="003B4BA5" w:rsidR="003D66B1">
        <w:t>11,119,637</w:t>
      </w:r>
      <w:r w:rsidRPr="003B4BA5" w:rsidR="00D10EA8">
        <w:t>;</w:t>
      </w:r>
      <w:proofErr w:type="gramEnd"/>
    </w:p>
    <w:p w:rsidRPr="003B4BA5" w:rsidR="009C5C3D" w:rsidP="0092143B" w:rsidRDefault="009C5C3D" w14:paraId="0B076D22" w14:textId="255CE28D">
      <w:pPr>
        <w:pStyle w:val="OP"/>
        <w:numPr>
          <w:ilvl w:val="1"/>
          <w:numId w:val="5"/>
        </w:numPr>
        <w:spacing w:after="120" w:line="240" w:lineRule="auto"/>
        <w:ind w:right="1440"/>
      </w:pPr>
      <w:r w:rsidRPr="003B4BA5">
        <w:t>Liberty Apple Valley’s rate base shall be $</w:t>
      </w:r>
      <w:r w:rsidRPr="003B4BA5" w:rsidR="008D2DBF">
        <w:t>73,031,718</w:t>
      </w:r>
      <w:r w:rsidRPr="003B4BA5" w:rsidR="00D10EA8">
        <w:t>; and</w:t>
      </w:r>
    </w:p>
    <w:p w:rsidRPr="003B4BA5" w:rsidR="009C5C3D" w:rsidP="0092143B" w:rsidRDefault="009C5C3D" w14:paraId="36F25B89" w14:textId="77777777">
      <w:pPr>
        <w:pStyle w:val="OP"/>
        <w:numPr>
          <w:ilvl w:val="1"/>
          <w:numId w:val="5"/>
        </w:numPr>
        <w:spacing w:after="120" w:line="240" w:lineRule="auto"/>
        <w:ind w:right="1440"/>
      </w:pPr>
      <w:r w:rsidRPr="003B4BA5">
        <w:lastRenderedPageBreak/>
        <w:t>Liberty Apple Valley’s rate of return as authorized in Decision 18-12-002 is 7.35 percent.</w:t>
      </w:r>
    </w:p>
    <w:p w:rsidR="009C5C3D" w:rsidP="009C5C3D" w:rsidRDefault="009C5C3D" w14:paraId="0AAE7ABA" w14:textId="74842555">
      <w:pPr>
        <w:pStyle w:val="OP"/>
      </w:pPr>
      <w:r w:rsidRPr="003B4BA5">
        <w:t xml:space="preserve">Liberty Utilities (Park Water) Corp. (Liberty Park Water) is authorized to collect, through rates and through authorized ratemaking accounting mechanisms, a revenue requirement for </w:t>
      </w:r>
      <w:r w:rsidRPr="003B4BA5" w:rsidR="00157666">
        <w:t>T</w:t>
      </w:r>
      <w:r w:rsidRPr="003B4BA5">
        <w:t xml:space="preserve">est </w:t>
      </w:r>
      <w:r w:rsidRPr="003B4BA5" w:rsidR="00157666">
        <w:t>Y</w:t>
      </w:r>
      <w:r w:rsidRPr="003B4BA5">
        <w:t>ear 2019 of $</w:t>
      </w:r>
      <w:r w:rsidRPr="003B4BA5" w:rsidR="005C419C">
        <w:t>33,043,023</w:t>
      </w:r>
      <w:r>
        <w:t xml:space="preserve"> comprised of the elements below and set forth in greater detail in Appendix F, G and H.</w:t>
      </w:r>
    </w:p>
    <w:p w:rsidRPr="003B4BA5" w:rsidR="009C5C3D" w:rsidP="0092143B" w:rsidRDefault="009C5C3D" w14:paraId="62A6F0E2" w14:textId="677BFC23">
      <w:pPr>
        <w:pStyle w:val="OP"/>
        <w:numPr>
          <w:ilvl w:val="1"/>
          <w:numId w:val="5"/>
        </w:numPr>
        <w:spacing w:after="120" w:line="240" w:lineRule="auto"/>
        <w:ind w:right="1440"/>
      </w:pPr>
      <w:r>
        <w:t>Libert</w:t>
      </w:r>
      <w:r w:rsidRPr="003B4BA5">
        <w:t xml:space="preserve">y Park Water’s operating expenses shall be </w:t>
      </w:r>
      <w:proofErr w:type="gramStart"/>
      <w:r w:rsidRPr="003B4BA5">
        <w:t>$</w:t>
      </w:r>
      <w:r w:rsidRPr="003B4BA5" w:rsidR="00ED348D">
        <w:t>19,491,678</w:t>
      </w:r>
      <w:r w:rsidRPr="003B4BA5" w:rsidR="00D10EA8">
        <w:t>;</w:t>
      </w:r>
      <w:proofErr w:type="gramEnd"/>
    </w:p>
    <w:p w:rsidRPr="003B4BA5" w:rsidR="009C5C3D" w:rsidP="0092143B" w:rsidRDefault="009C5C3D" w14:paraId="3973FA99" w14:textId="6E6A4497">
      <w:pPr>
        <w:pStyle w:val="OP"/>
        <w:numPr>
          <w:ilvl w:val="1"/>
          <w:numId w:val="5"/>
        </w:numPr>
        <w:spacing w:after="120" w:line="240" w:lineRule="auto"/>
        <w:ind w:right="1440"/>
      </w:pPr>
      <w:r w:rsidRPr="003B4BA5">
        <w:t>Liberty Park Water’s rate base shall be $</w:t>
      </w:r>
      <w:r w:rsidRPr="003B4BA5" w:rsidR="00ED348D">
        <w:t>98,446,568</w:t>
      </w:r>
      <w:r w:rsidRPr="003B4BA5" w:rsidR="00D10EA8">
        <w:t>; and</w:t>
      </w:r>
    </w:p>
    <w:p w:rsidRPr="003B4BA5" w:rsidR="009C5C3D" w:rsidP="0092143B" w:rsidRDefault="009C5C3D" w14:paraId="31619A06" w14:textId="77777777">
      <w:pPr>
        <w:pStyle w:val="OP"/>
        <w:numPr>
          <w:ilvl w:val="1"/>
          <w:numId w:val="5"/>
        </w:numPr>
        <w:spacing w:after="120" w:line="240" w:lineRule="auto"/>
        <w:ind w:right="1440"/>
      </w:pPr>
      <w:r w:rsidRPr="003B4BA5">
        <w:t>Liberty Park Water’s rate of return as authorized in Decision 18-12-002 is 7.35 percent.</w:t>
      </w:r>
    </w:p>
    <w:p w:rsidRPr="003B4BA5" w:rsidR="009C5C3D" w:rsidP="009C5C3D" w:rsidRDefault="00D10EA8" w14:paraId="2F820DCC" w14:textId="339C067D">
      <w:pPr>
        <w:pStyle w:val="OP"/>
      </w:pPr>
      <w:r w:rsidRPr="003B4BA5">
        <w:t xml:space="preserve">The agreements reached on issues in this consolidated proceeding by and </w:t>
      </w:r>
      <w:r w:rsidRPr="003B4BA5" w:rsidR="009C5C3D">
        <w:t>between Liberty Utilities (Apple Valley</w:t>
      </w:r>
      <w:r w:rsidRPr="003B4BA5" w:rsidR="00406C7A">
        <w:t xml:space="preserve"> Ranchos Water</w:t>
      </w:r>
      <w:r w:rsidRPr="003B4BA5" w:rsidR="009C5C3D">
        <w:t>) Corp. and the Public Advocates Office as contained in Appendi</w:t>
      </w:r>
      <w:r w:rsidR="00AF0E6E">
        <w:t>x</w:t>
      </w:r>
      <w:r w:rsidRPr="003B4BA5">
        <w:t xml:space="preserve"> D </w:t>
      </w:r>
      <w:r w:rsidRPr="003B4BA5" w:rsidR="009C5C3D">
        <w:t xml:space="preserve">to this decision are </w:t>
      </w:r>
      <w:r w:rsidRPr="003B4BA5">
        <w:t xml:space="preserve">adopted and </w:t>
      </w:r>
      <w:r w:rsidRPr="003B4BA5" w:rsidR="009C5C3D">
        <w:t>approved.</w:t>
      </w:r>
    </w:p>
    <w:p w:rsidR="00723F66" w:rsidP="009C5C3D" w:rsidRDefault="00723F66" w14:paraId="54334D10" w14:textId="586719CB">
      <w:pPr>
        <w:pStyle w:val="OP"/>
      </w:pPr>
      <w:r w:rsidRPr="003B4BA5">
        <w:t>The agreements reached on issues in this consolidated proceeding by and between Liberty Utilities (</w:t>
      </w:r>
      <w:r w:rsidR="00B8435C">
        <w:t>Park</w:t>
      </w:r>
      <w:r w:rsidRPr="003B4BA5">
        <w:t xml:space="preserve"> Water) Corp. and the Public Advocates Office as contained in Appendi</w:t>
      </w:r>
      <w:r w:rsidR="00B8435C">
        <w:t>x</w:t>
      </w:r>
      <w:r w:rsidRPr="003B4BA5">
        <w:t xml:space="preserve"> I to this decision are adopted and approved.</w:t>
      </w:r>
    </w:p>
    <w:p w:rsidRPr="003B4BA5" w:rsidR="009C5C3D" w:rsidP="009C5C3D" w:rsidRDefault="009C5C3D" w14:paraId="2B581C55" w14:textId="4FED0DB2">
      <w:pPr>
        <w:pStyle w:val="OP"/>
      </w:pPr>
      <w:r w:rsidRPr="003B4BA5">
        <w:t>Liberty Utilities (Apple Valley</w:t>
      </w:r>
      <w:r w:rsidRPr="003B4BA5" w:rsidR="00406C7A">
        <w:t xml:space="preserve"> Ranchos Water</w:t>
      </w:r>
      <w:r w:rsidRPr="003B4BA5">
        <w:t>) Corp.’s balancing and memorandum amounts as contained in Appendix E to this decision are approved.</w:t>
      </w:r>
    </w:p>
    <w:p w:rsidRPr="003B4BA5" w:rsidR="009C5C3D" w:rsidP="009C5C3D" w:rsidRDefault="009C5C3D" w14:paraId="6E43BED2" w14:textId="77777777">
      <w:pPr>
        <w:pStyle w:val="OP"/>
      </w:pPr>
      <w:r w:rsidRPr="003B4BA5">
        <w:t>Liberty Utilities (Park Water) Corp.’s balancing and memorandum amounts as contained in Appendix J to this decision are approved.</w:t>
      </w:r>
    </w:p>
    <w:p w:rsidRPr="003B4BA5" w:rsidR="007616D6" w:rsidP="009C5C3D" w:rsidRDefault="004E59E7" w14:paraId="0DF10A0A" w14:textId="6CB38BCC">
      <w:pPr>
        <w:pStyle w:val="OP"/>
      </w:pPr>
      <w:r>
        <w:t>No later than</w:t>
      </w:r>
      <w:r w:rsidRPr="003B4BA5" w:rsidR="00DB4598">
        <w:t xml:space="preserve"> 30 days </w:t>
      </w:r>
      <w:r>
        <w:t>after</w:t>
      </w:r>
      <w:r w:rsidRPr="003B4BA5" w:rsidR="00DB4598">
        <w:t xml:space="preserve"> the issuance of this decision, Liberty Utilities (Apple Valley Ranchos Water) Corp. and Liberty Utilities (Park Water) Corp. </w:t>
      </w:r>
      <w:r w:rsidRPr="003B4BA5" w:rsidR="0042278F">
        <w:t>shall</w:t>
      </w:r>
      <w:r w:rsidRPr="003B4BA5" w:rsidR="00DB4598">
        <w:t xml:space="preserve"> coordinate with the Commission’s Water Division to conduct a technical conference identifying, validating and confirming </w:t>
      </w:r>
      <w:r w:rsidRPr="003B4BA5" w:rsidR="007616D6">
        <w:t>each value changed</w:t>
      </w:r>
      <w:r w:rsidRPr="003B4BA5" w:rsidR="00AD7304">
        <w:t xml:space="preserve"> as a result </w:t>
      </w:r>
      <w:r w:rsidRPr="003B4BA5" w:rsidR="00AD7304">
        <w:lastRenderedPageBreak/>
        <w:t>of this decision</w:t>
      </w:r>
      <w:r w:rsidRPr="003B4BA5" w:rsidR="007616D6">
        <w:t xml:space="preserve"> from proposed</w:t>
      </w:r>
      <w:r w:rsidRPr="003B4BA5" w:rsidR="00AD7304">
        <w:t xml:space="preserve"> values presented</w:t>
      </w:r>
      <w:r w:rsidRPr="003B4BA5" w:rsidR="007616D6">
        <w:t xml:space="preserve"> in the Joint Comparison</w:t>
      </w:r>
      <w:r w:rsidRPr="003B4BA5" w:rsidR="00AD7304">
        <w:t xml:space="preserve"> Exhibit and supporting workpapers</w:t>
      </w:r>
      <w:r w:rsidRPr="003B4BA5" w:rsidR="007616D6">
        <w:t>.</w:t>
      </w:r>
      <w:r w:rsidRPr="003B4BA5" w:rsidR="004C0681">
        <w:t xml:space="preserve"> </w:t>
      </w:r>
    </w:p>
    <w:p w:rsidRPr="003B4BA5" w:rsidR="00DB4598" w:rsidP="009C5C3D" w:rsidRDefault="00CA2ABA" w14:paraId="7DFF42AD" w14:textId="380932AB">
      <w:pPr>
        <w:pStyle w:val="OP"/>
      </w:pPr>
      <w:r>
        <w:t>No later than</w:t>
      </w:r>
      <w:r w:rsidRPr="003B4BA5" w:rsidR="007616D6">
        <w:t xml:space="preserve"> 60 days </w:t>
      </w:r>
      <w:r>
        <w:t xml:space="preserve">after </w:t>
      </w:r>
      <w:r w:rsidRPr="003B4BA5" w:rsidR="007616D6">
        <w:t xml:space="preserve">of the issuance of this decision, Liberty Utilities (Apple Valley Ranchos Water) Corp. and Liberty Utilities (Park Water) Corp. </w:t>
      </w:r>
      <w:r w:rsidRPr="003B4BA5" w:rsidR="0042278F">
        <w:t>shall</w:t>
      </w:r>
      <w:r w:rsidRPr="003B4BA5" w:rsidR="007616D6">
        <w:t xml:space="preserve"> </w:t>
      </w:r>
      <w:r w:rsidRPr="003B4BA5" w:rsidR="00A6011C">
        <w:t xml:space="preserve">file in this docket a status </w:t>
      </w:r>
      <w:r w:rsidRPr="003B4BA5" w:rsidR="007616D6">
        <w:t xml:space="preserve">report </w:t>
      </w:r>
      <w:r w:rsidR="000D1A98">
        <w:t xml:space="preserve">on </w:t>
      </w:r>
      <w:r w:rsidRPr="003B4BA5" w:rsidR="007616D6">
        <w:t>the results of the technical conference</w:t>
      </w:r>
      <w:r w:rsidRPr="003B4BA5" w:rsidR="00DB4598">
        <w:t>.</w:t>
      </w:r>
      <w:r w:rsidRPr="003B4BA5" w:rsidR="004C0681">
        <w:t xml:space="preserve"> </w:t>
      </w:r>
    </w:p>
    <w:p w:rsidR="004869B8" w:rsidP="009C5C3D" w:rsidRDefault="00B628FC" w14:paraId="1F9E6918" w14:textId="675AB0C6">
      <w:pPr>
        <w:pStyle w:val="OP"/>
      </w:pPr>
      <w:r>
        <w:t xml:space="preserve">Subsequent to the submission of the status report on the results of the technical conference, </w:t>
      </w:r>
      <w:r w:rsidRPr="003B4BA5" w:rsidR="004869B8">
        <w:t xml:space="preserve">Liberty Utilities (Apple Valley Ranchos Water) Corp. and Liberty Utilities (Park Water) Corp. </w:t>
      </w:r>
      <w:r>
        <w:t>shall</w:t>
      </w:r>
      <w:r w:rsidR="004869B8">
        <w:t xml:space="preserve"> submit </w:t>
      </w:r>
      <w:r>
        <w:t xml:space="preserve">Tier 1 Advice Letters </w:t>
      </w:r>
      <w:r w:rsidR="004869B8">
        <w:t>revis</w:t>
      </w:r>
      <w:r>
        <w:t>ing</w:t>
      </w:r>
      <w:r w:rsidR="004869B8">
        <w:t xml:space="preserve"> tariff schedules </w:t>
      </w:r>
      <w:r>
        <w:t>to reflect</w:t>
      </w:r>
      <w:r w:rsidR="004869B8">
        <w:t xml:space="preserve"> adopted </w:t>
      </w:r>
      <w:r>
        <w:t xml:space="preserve">Test Year 2019 revenues and corresponding </w:t>
      </w:r>
      <w:r w:rsidR="004869B8">
        <w:t xml:space="preserve">rates escalated to the 2020 year. </w:t>
      </w:r>
    </w:p>
    <w:p w:rsidR="009C5C3D" w:rsidP="009C5C3D" w:rsidRDefault="009C5C3D" w14:paraId="37FC653E" w14:textId="793FCCBD">
      <w:pPr>
        <w:pStyle w:val="OP"/>
      </w:pPr>
      <w:r w:rsidRPr="003B4BA5">
        <w:t>Within 120 days of the issuance of this decision, Liberty Utilities (Apple Valley</w:t>
      </w:r>
      <w:r w:rsidRPr="003B4BA5" w:rsidR="00406C7A">
        <w:t xml:space="preserve"> Ranchos Water</w:t>
      </w:r>
      <w:r w:rsidRPr="003B4BA5">
        <w:t xml:space="preserve">) Corp. and Liberty Utilities (Park Water) Corp. </w:t>
      </w:r>
      <w:r w:rsidRPr="003B4BA5" w:rsidR="0042278F">
        <w:t>shall</w:t>
      </w:r>
      <w:r w:rsidRPr="003B4BA5">
        <w:t xml:space="preserve"> submit a Tier 1 </w:t>
      </w:r>
      <w:r w:rsidRPr="003B4BA5" w:rsidR="007274B2">
        <w:t>a</w:t>
      </w:r>
      <w:r w:rsidRPr="003B4BA5">
        <w:t xml:space="preserve">dvice </w:t>
      </w:r>
      <w:r w:rsidRPr="003B4BA5" w:rsidR="007274B2">
        <w:t>l</w:t>
      </w:r>
      <w:r w:rsidRPr="003B4BA5">
        <w:t>etter to compare the difference betw</w:t>
      </w:r>
      <w:r>
        <w:t>een interim rates and approved rates. The difference between interim rates and final rates adopted here, shall be recovered over the balance of the rate case cycle.</w:t>
      </w:r>
    </w:p>
    <w:p w:rsidRPr="001E2A62" w:rsidR="009C5C3D" w:rsidP="009C5C3D" w:rsidRDefault="009C5C3D" w14:paraId="68C4C52D" w14:textId="398F1A35">
      <w:pPr>
        <w:pStyle w:val="OP"/>
      </w:pPr>
      <w:r>
        <w:t>For escalation year 2021, Liberty Utilities (Apple Valley</w:t>
      </w:r>
      <w:r w:rsidRPr="00406C7A" w:rsidR="00406C7A">
        <w:t xml:space="preserve"> </w:t>
      </w:r>
      <w:r w:rsidR="00406C7A">
        <w:t>Ranchos Water</w:t>
      </w:r>
      <w:r>
        <w:t xml:space="preserve">) Corp. and Liberty Utilities (Park Water) Corp. shall </w:t>
      </w:r>
      <w:r w:rsidR="00C75930">
        <w:t>submit</w:t>
      </w:r>
      <w:r>
        <w:t xml:space="preserve"> Tier 1 </w:t>
      </w:r>
      <w:r w:rsidR="00792560">
        <w:t>A</w:t>
      </w:r>
      <w:r>
        <w:t xml:space="preserve">dvice </w:t>
      </w:r>
      <w:r w:rsidR="00792560">
        <w:t>L</w:t>
      </w:r>
      <w:r>
        <w:t>etters in conformance with</w:t>
      </w:r>
      <w:r w:rsidR="0092143B">
        <w:t xml:space="preserve"> General Order</w:t>
      </w:r>
      <w:r>
        <w:t xml:space="preserve"> 96-B proposing new revenue requirements and corresponding revised tariff schedules.</w:t>
      </w:r>
    </w:p>
    <w:p w:rsidR="00D432BA" w:rsidP="00D432BA" w:rsidRDefault="00D432BA" w14:paraId="5B89D7FB" w14:textId="6182BBE7">
      <w:pPr>
        <w:pStyle w:val="OP"/>
      </w:pPr>
      <w:r>
        <w:t>Liberty Utilities (Apple Valley Ranchos Water) Corp. and Liberty Utilities (Park Water) Corp. shall file their next General Rate Case by July 1, 2021 for T</w:t>
      </w:r>
      <w:r w:rsidR="00F551CD">
        <w:t xml:space="preserve">est </w:t>
      </w:r>
      <w:r>
        <w:t>Y</w:t>
      </w:r>
      <w:r w:rsidR="00F551CD">
        <w:t>ear</w:t>
      </w:r>
      <w:r w:rsidR="0092143B">
        <w:t> </w:t>
      </w:r>
      <w:r>
        <w:t>2023.</w:t>
      </w:r>
    </w:p>
    <w:p w:rsidR="009C5C3D" w:rsidP="00ED20E6" w:rsidRDefault="009C5C3D" w14:paraId="5FCD3E64" w14:textId="58852827">
      <w:pPr>
        <w:pStyle w:val="OP"/>
      </w:pPr>
      <w:r>
        <w:t>Liberty Utilities (Apple Valley</w:t>
      </w:r>
      <w:r w:rsidRPr="00406C7A" w:rsidR="00406C7A">
        <w:t xml:space="preserve"> </w:t>
      </w:r>
      <w:r w:rsidR="00406C7A">
        <w:t>Ranchos Water</w:t>
      </w:r>
      <w:r>
        <w:t>) Corp. and Liberty Utilities (Park Water) Corp. must include in their General Rate Case applications filed for Test Year 202</w:t>
      </w:r>
      <w:r w:rsidR="00D432BA">
        <w:t>3</w:t>
      </w:r>
      <w:r>
        <w:t xml:space="preserve"> </w:t>
      </w:r>
      <w:r w:rsidR="00ED20E6">
        <w:t xml:space="preserve">1) </w:t>
      </w:r>
      <w:r>
        <w:t>evaluations of the extent to which the sales forecasts adopted today have impacted the Water Revenue Adjustment Mechanism balance</w:t>
      </w:r>
      <w:r w:rsidR="00ED20E6">
        <w:t xml:space="preserve">, </w:t>
      </w:r>
      <w:r w:rsidR="00ED20E6">
        <w:lastRenderedPageBreak/>
        <w:t>2)</w:t>
      </w:r>
      <w:r w:rsidR="0092143B">
        <w:t> </w:t>
      </w:r>
      <w:r w:rsidR="00D8655F">
        <w:t>analysis in accordance with Ordering Paragraphs 11 -</w:t>
      </w:r>
      <w:r w:rsidR="00F026AC">
        <w:t xml:space="preserve"> </w:t>
      </w:r>
      <w:r w:rsidR="00D8655F">
        <w:t>14 in Decision 16-12-026</w:t>
      </w:r>
      <w:r w:rsidR="00BA27AA">
        <w:t>, and 3) explicit identification of rebates available for energy efficiency and utilized.</w:t>
      </w:r>
    </w:p>
    <w:p w:rsidR="00D8655F" w:rsidP="00ED20E6" w:rsidRDefault="00D8655F" w14:paraId="1BABC923" w14:textId="2FEE946E">
      <w:pPr>
        <w:pStyle w:val="OP"/>
      </w:pPr>
      <w:r>
        <w:t>Liberty Utilities (Apple Valley</w:t>
      </w:r>
      <w:r w:rsidRPr="00406C7A">
        <w:t xml:space="preserve"> </w:t>
      </w:r>
      <w:r>
        <w:t xml:space="preserve">Ranchos Water) Corp. </w:t>
      </w:r>
      <w:r w:rsidR="0042278F">
        <w:t>shall</w:t>
      </w:r>
      <w:r>
        <w:t xml:space="preserve"> include in its General Rate Case applications filed for Test Year 2023 the status of its pending grant application with the State Water Resources Control Board</w:t>
      </w:r>
      <w:r w:rsidR="001E553F">
        <w:t xml:space="preserve"> and the impact of this grant on its </w:t>
      </w:r>
      <w:proofErr w:type="spellStart"/>
      <w:r w:rsidR="001E553F">
        <w:t>Yermo</w:t>
      </w:r>
      <w:proofErr w:type="spellEnd"/>
      <w:r w:rsidR="001E553F">
        <w:t xml:space="preserve"> district.</w:t>
      </w:r>
    </w:p>
    <w:p w:rsidR="009C5C3D" w:rsidP="009C5C3D" w:rsidRDefault="009C5C3D" w14:paraId="17F9629F" w14:textId="77777777">
      <w:pPr>
        <w:pStyle w:val="OP"/>
      </w:pPr>
      <w:r w:rsidRPr="001E2A62">
        <w:t>Applicatio</w:t>
      </w:r>
      <w:r>
        <w:t>ns</w:t>
      </w:r>
      <w:r w:rsidRPr="001E2A62">
        <w:t xml:space="preserve"> </w:t>
      </w:r>
      <w:r>
        <w:t xml:space="preserve">18-01-002 and 18-01-003 are </w:t>
      </w:r>
      <w:r w:rsidRPr="001E2A62">
        <w:t>closed.</w:t>
      </w:r>
    </w:p>
    <w:p w:rsidR="009C5C3D" w:rsidP="009C5C3D" w:rsidRDefault="009C5C3D" w14:paraId="554932EB" w14:textId="77777777">
      <w:r>
        <w:t>This order is effective today.</w:t>
      </w:r>
    </w:p>
    <w:p w:rsidR="009C5C3D" w:rsidP="009C5C3D" w:rsidRDefault="009C5C3D" w14:paraId="7433544F" w14:textId="77777777">
      <w:pPr>
        <w:sectPr w:rsidR="009C5C3D" w:rsidSect="00D44DB6">
          <w:headerReference w:type="even" r:id="rId14"/>
          <w:headerReference w:type="default" r:id="rId15"/>
          <w:footerReference w:type="default" r:id="rId16"/>
          <w:headerReference w:type="first" r:id="rId17"/>
          <w:pgSz w:w="12240" w:h="15840"/>
          <w:pgMar w:top="1728" w:right="1440" w:bottom="1440" w:left="1440" w:header="720" w:footer="720" w:gutter="0"/>
          <w:pgNumType w:start="2"/>
          <w:cols w:space="720"/>
          <w:docGrid w:linePitch="360"/>
        </w:sectPr>
      </w:pPr>
      <w:r>
        <w:t xml:space="preserve">Dated </w:t>
      </w:r>
      <w:r>
        <w:rPr>
          <w:u w:val="single"/>
        </w:rPr>
        <w:tab/>
      </w:r>
      <w:r>
        <w:rPr>
          <w:u w:val="single"/>
        </w:rPr>
        <w:tab/>
      </w:r>
      <w:r>
        <w:rPr>
          <w:u w:val="single"/>
        </w:rPr>
        <w:tab/>
      </w:r>
      <w:r>
        <w:rPr>
          <w:u w:val="single"/>
        </w:rPr>
        <w:tab/>
      </w:r>
      <w:r>
        <w:rPr>
          <w:u w:val="single"/>
        </w:rPr>
        <w:tab/>
      </w:r>
      <w:r>
        <w:t>, at San Francisco, California.</w:t>
      </w:r>
    </w:p>
    <w:p w:rsidR="00F85246" w:rsidP="00F85246" w:rsidRDefault="00F85246" w14:paraId="69704EB9" w14:textId="77777777">
      <w:pPr>
        <w:pStyle w:val="Main"/>
        <w:rPr>
          <w:rFonts w:ascii="Book Antiqua" w:hAnsi="Book Antiqua"/>
          <w:sz w:val="50"/>
          <w:szCs w:val="50"/>
        </w:rPr>
      </w:pPr>
    </w:p>
    <w:p w:rsidR="00F85246" w:rsidP="00F85246" w:rsidRDefault="00F85246" w14:paraId="6646E1AA" w14:textId="77777777">
      <w:pPr>
        <w:pStyle w:val="Main"/>
        <w:rPr>
          <w:rFonts w:ascii="Book Antiqua" w:hAnsi="Book Antiqua"/>
          <w:sz w:val="50"/>
          <w:szCs w:val="50"/>
        </w:rPr>
      </w:pPr>
    </w:p>
    <w:p w:rsidR="00F85246" w:rsidP="00F85246" w:rsidRDefault="00F85246" w14:paraId="2AB7FD26" w14:textId="77777777">
      <w:pPr>
        <w:pStyle w:val="Main"/>
        <w:rPr>
          <w:rFonts w:ascii="Book Antiqua" w:hAnsi="Book Antiqua"/>
          <w:sz w:val="50"/>
          <w:szCs w:val="50"/>
        </w:rPr>
      </w:pPr>
    </w:p>
    <w:p w:rsidR="00F85246" w:rsidP="00F85246" w:rsidRDefault="00F85246" w14:paraId="5477F2FA" w14:textId="77777777">
      <w:pPr>
        <w:pStyle w:val="Main"/>
        <w:rPr>
          <w:rFonts w:ascii="Book Antiqua" w:hAnsi="Book Antiqua"/>
          <w:sz w:val="50"/>
          <w:szCs w:val="50"/>
        </w:rPr>
      </w:pPr>
    </w:p>
    <w:p w:rsidR="00F85246" w:rsidP="00F85246" w:rsidRDefault="00F85246" w14:paraId="60E2458D" w14:textId="77777777">
      <w:pPr>
        <w:pStyle w:val="Main"/>
        <w:rPr>
          <w:rFonts w:ascii="Book Antiqua" w:hAnsi="Book Antiqua"/>
          <w:sz w:val="50"/>
          <w:szCs w:val="50"/>
        </w:rPr>
      </w:pPr>
    </w:p>
    <w:p w:rsidR="00F85246" w:rsidP="00F85246" w:rsidRDefault="00F85246" w14:paraId="1B5F5232" w14:textId="77777777">
      <w:pPr>
        <w:pStyle w:val="Main"/>
        <w:rPr>
          <w:rFonts w:ascii="Book Antiqua" w:hAnsi="Book Antiqua"/>
          <w:sz w:val="50"/>
          <w:szCs w:val="50"/>
        </w:rPr>
      </w:pPr>
    </w:p>
    <w:p w:rsidR="00F85246" w:rsidP="00F85246" w:rsidRDefault="00F85246" w14:paraId="7BA419F0" w14:textId="77777777">
      <w:pPr>
        <w:pStyle w:val="Main"/>
        <w:rPr>
          <w:rFonts w:ascii="Book Antiqua" w:hAnsi="Book Antiqua"/>
          <w:sz w:val="50"/>
          <w:szCs w:val="50"/>
        </w:rPr>
      </w:pPr>
    </w:p>
    <w:p w:rsidR="00F85246" w:rsidP="00F85246" w:rsidRDefault="00F85246" w14:paraId="20387CF5" w14:textId="77777777">
      <w:pPr>
        <w:pStyle w:val="Main"/>
        <w:rPr>
          <w:rFonts w:ascii="Book Antiqua" w:hAnsi="Book Antiqua"/>
          <w:sz w:val="50"/>
          <w:szCs w:val="50"/>
        </w:rPr>
      </w:pPr>
    </w:p>
    <w:p w:rsidR="00F85246" w:rsidP="00F85246" w:rsidRDefault="009C5C3D" w14:paraId="7D499A7E" w14:textId="78D6D6F6">
      <w:pPr>
        <w:pStyle w:val="Main"/>
        <w:rPr>
          <w:rFonts w:ascii="Book Antiqua" w:hAnsi="Book Antiqua"/>
          <w:sz w:val="50"/>
          <w:szCs w:val="50"/>
        </w:rPr>
      </w:pPr>
      <w:r w:rsidRPr="00F85246">
        <w:rPr>
          <w:rFonts w:ascii="Book Antiqua" w:hAnsi="Book Antiqua"/>
          <w:sz w:val="50"/>
          <w:szCs w:val="50"/>
        </w:rPr>
        <w:t xml:space="preserve">Appendix A </w:t>
      </w:r>
    </w:p>
    <w:p w:rsidRPr="00D2090C" w:rsidR="00D2090C" w:rsidP="00D2090C" w:rsidRDefault="00D2090C" w14:paraId="65019CFE" w14:textId="77777777"/>
    <w:p w:rsidR="00D2090C" w:rsidP="00D2090C" w:rsidRDefault="00D2090C" w14:paraId="231FAD6D" w14:textId="319D2A05">
      <w:pPr>
        <w:spacing w:line="240" w:lineRule="auto"/>
        <w:jc w:val="center"/>
        <w:rPr>
          <w:rFonts w:cs="Arial"/>
          <w:b/>
          <w:bCs/>
          <w:sz w:val="50"/>
          <w:szCs w:val="50"/>
        </w:rPr>
      </w:pPr>
      <w:r w:rsidRPr="00D2090C">
        <w:rPr>
          <w:rFonts w:cs="Arial"/>
          <w:b/>
          <w:bCs/>
          <w:sz w:val="50"/>
          <w:szCs w:val="50"/>
        </w:rPr>
        <w:t>Liberty Apple Valley Summary of Earnings</w:t>
      </w:r>
    </w:p>
    <w:p w:rsidRPr="00D2090C" w:rsidR="00D2090C" w:rsidP="00D2090C" w:rsidRDefault="00D2090C" w14:paraId="15D6C9C4" w14:textId="7A79863C">
      <w:pPr>
        <w:rPr>
          <w:b/>
          <w:bCs/>
          <w:sz w:val="50"/>
          <w:szCs w:val="50"/>
        </w:rPr>
        <w:sectPr w:rsidRPr="00D2090C" w:rsidR="00D2090C" w:rsidSect="009C5C3D">
          <w:headerReference w:type="even" r:id="rId18"/>
          <w:headerReference w:type="default" r:id="rId19"/>
          <w:footerReference w:type="default" r:id="rId20"/>
          <w:headerReference w:type="first" r:id="rId21"/>
          <w:pgSz w:w="12240" w:h="15840"/>
          <w:pgMar w:top="1728" w:right="1440" w:bottom="1440" w:left="1440" w:header="720" w:footer="720" w:gutter="0"/>
          <w:pgNumType w:start="2"/>
          <w:cols w:space="720"/>
          <w:docGrid w:linePitch="360"/>
        </w:sectPr>
      </w:pPr>
    </w:p>
    <w:p w:rsidRPr="00F85246" w:rsidR="00F85246" w:rsidP="00F85246" w:rsidRDefault="00F85246" w14:paraId="617F7478" w14:textId="77777777">
      <w:pPr>
        <w:spacing w:after="160" w:line="259" w:lineRule="auto"/>
        <w:ind w:firstLine="0"/>
        <w:rPr>
          <w:rFonts w:ascii="Calibri" w:hAnsi="Calibri" w:eastAsia="Calibri" w:cs="Times New Roman"/>
          <w:sz w:val="22"/>
        </w:rPr>
      </w:pPr>
    </w:p>
    <w:p w:rsidRPr="00F85246" w:rsidR="00F85246" w:rsidP="00F85246" w:rsidRDefault="00F85246" w14:paraId="71A41441" w14:textId="77777777">
      <w:pPr>
        <w:spacing w:after="160" w:line="259" w:lineRule="auto"/>
        <w:ind w:firstLine="0"/>
        <w:rPr>
          <w:rFonts w:ascii="Calibri" w:hAnsi="Calibri" w:eastAsia="Calibri" w:cs="Times New Roman"/>
          <w:sz w:val="22"/>
        </w:rPr>
      </w:pPr>
    </w:p>
    <w:tbl>
      <w:tblPr>
        <w:tblW w:w="9076" w:type="dxa"/>
        <w:tblLook w:val="04A0" w:firstRow="1" w:lastRow="0" w:firstColumn="1" w:lastColumn="0" w:noHBand="0" w:noVBand="1"/>
      </w:tblPr>
      <w:tblGrid>
        <w:gridCol w:w="305"/>
        <w:gridCol w:w="4500"/>
        <w:gridCol w:w="1532"/>
        <w:gridCol w:w="1370"/>
        <w:gridCol w:w="1538"/>
      </w:tblGrid>
      <w:tr w:rsidRPr="00F85246" w:rsidR="00F85246" w:rsidTr="00F85246" w14:paraId="1A036CE3" w14:textId="77777777">
        <w:trPr>
          <w:trHeight w:val="315"/>
        </w:trPr>
        <w:tc>
          <w:tcPr>
            <w:tcW w:w="9076" w:type="dxa"/>
            <w:gridSpan w:val="5"/>
            <w:tcBorders>
              <w:top w:val="nil"/>
              <w:left w:val="nil"/>
              <w:bottom w:val="nil"/>
              <w:right w:val="nil"/>
            </w:tcBorders>
            <w:shd w:val="clear" w:color="auto" w:fill="auto"/>
            <w:noWrap/>
            <w:vAlign w:val="bottom"/>
            <w:hideMark/>
          </w:tcPr>
          <w:p w:rsidRPr="00F85246" w:rsidR="00F85246" w:rsidP="00F85246" w:rsidRDefault="00F85246" w14:paraId="3EA9FAB3" w14:textId="77777777">
            <w:pPr>
              <w:spacing w:line="240" w:lineRule="auto"/>
              <w:ind w:firstLine="0"/>
              <w:jc w:val="center"/>
              <w:rPr>
                <w:rFonts w:ascii="Times New Roman" w:hAnsi="Times New Roman" w:eastAsia="Times New Roman" w:cs="Times New Roman"/>
                <w:b/>
                <w:bCs/>
                <w:color w:val="000000"/>
                <w:sz w:val="24"/>
                <w:szCs w:val="24"/>
                <w:u w:val="single"/>
              </w:rPr>
            </w:pPr>
            <w:r w:rsidRPr="00F85246">
              <w:rPr>
                <w:rFonts w:ascii="Times New Roman" w:hAnsi="Times New Roman" w:eastAsia="Times New Roman" w:cs="Times New Roman"/>
                <w:b/>
                <w:bCs/>
                <w:color w:val="000000"/>
                <w:sz w:val="24"/>
                <w:szCs w:val="24"/>
                <w:u w:val="single"/>
              </w:rPr>
              <w:t>LIBERTY UTILITIES (APPLE VALLEY RANCHOS WATER) CORP. - DOMESTIC</w:t>
            </w:r>
          </w:p>
        </w:tc>
      </w:tr>
      <w:tr w:rsidRPr="00F85246" w:rsidR="00F85246" w:rsidTr="00F85246" w14:paraId="72DBC96B" w14:textId="77777777">
        <w:trPr>
          <w:trHeight w:val="315"/>
        </w:trPr>
        <w:tc>
          <w:tcPr>
            <w:tcW w:w="9076" w:type="dxa"/>
            <w:gridSpan w:val="5"/>
            <w:tcBorders>
              <w:top w:val="nil"/>
              <w:left w:val="nil"/>
              <w:bottom w:val="nil"/>
              <w:right w:val="nil"/>
            </w:tcBorders>
            <w:shd w:val="clear" w:color="auto" w:fill="auto"/>
            <w:noWrap/>
            <w:vAlign w:val="bottom"/>
            <w:hideMark/>
          </w:tcPr>
          <w:p w:rsidRPr="00F85246" w:rsidR="00F85246" w:rsidP="00F85246" w:rsidRDefault="00F85246" w14:paraId="1074FB5D" w14:textId="77777777">
            <w:pPr>
              <w:spacing w:line="240" w:lineRule="auto"/>
              <w:ind w:firstLine="0"/>
              <w:jc w:val="center"/>
              <w:rPr>
                <w:rFonts w:ascii="Times New Roman" w:hAnsi="Times New Roman" w:eastAsia="Times New Roman" w:cs="Times New Roman"/>
                <w:b/>
                <w:bCs/>
                <w:color w:val="000000"/>
                <w:sz w:val="24"/>
                <w:szCs w:val="24"/>
                <w:u w:val="single"/>
              </w:rPr>
            </w:pPr>
            <w:r w:rsidRPr="00F85246">
              <w:rPr>
                <w:rFonts w:ascii="Times New Roman" w:hAnsi="Times New Roman" w:eastAsia="Times New Roman" w:cs="Times New Roman"/>
                <w:b/>
                <w:bCs/>
                <w:color w:val="000000"/>
                <w:sz w:val="24"/>
                <w:szCs w:val="24"/>
                <w:u w:val="single"/>
              </w:rPr>
              <w:t>SUMMARY OF EARNINGS 2019</w:t>
            </w:r>
          </w:p>
        </w:tc>
      </w:tr>
      <w:tr w:rsidRPr="00F85246" w:rsidR="00F85246" w:rsidTr="00F85246" w14:paraId="66ABBED7"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74CAF545" w14:textId="77777777">
            <w:pPr>
              <w:spacing w:line="240" w:lineRule="auto"/>
              <w:ind w:firstLine="0"/>
              <w:jc w:val="center"/>
              <w:rPr>
                <w:rFonts w:ascii="Times New Roman" w:hAnsi="Times New Roman" w:eastAsia="Times New Roman" w:cs="Times New Roman"/>
                <w:b/>
                <w:bCs/>
                <w:color w:val="000000"/>
                <w:sz w:val="24"/>
                <w:szCs w:val="24"/>
                <w:u w:val="single"/>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29304B62"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3CC8B70F"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7B2386B9"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1CF463F7"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29A9BDB6"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65C51C37" w14:textId="77777777">
            <w:pPr>
              <w:spacing w:line="240" w:lineRule="auto"/>
              <w:ind w:firstLine="0"/>
              <w:rPr>
                <w:rFonts w:ascii="Times New Roman" w:hAnsi="Times New Roman" w:eastAsia="Times New Roman" w:cs="Times New Roman"/>
                <w:sz w:val="20"/>
                <w:szCs w:val="20"/>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55D84937"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657D97A6" w14:textId="77777777">
            <w:pPr>
              <w:spacing w:line="240" w:lineRule="auto"/>
              <w:ind w:firstLine="0"/>
              <w:jc w:val="right"/>
              <w:rPr>
                <w:rFonts w:ascii="Calibri" w:hAnsi="Calibri" w:eastAsia="Times New Roman" w:cs="Calibri"/>
                <w:b/>
                <w:bCs/>
                <w:color w:val="000000"/>
                <w:sz w:val="22"/>
              </w:rPr>
            </w:pPr>
            <w:r w:rsidRPr="00F85246">
              <w:rPr>
                <w:rFonts w:ascii="Calibri" w:hAnsi="Calibri" w:eastAsia="Times New Roman" w:cs="Calibri"/>
                <w:b/>
                <w:bCs/>
                <w:color w:val="000000"/>
                <w:sz w:val="22"/>
              </w:rPr>
              <w:t>2019</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1E2F9EE3" w14:textId="77777777">
            <w:pPr>
              <w:spacing w:line="240" w:lineRule="auto"/>
              <w:ind w:firstLine="0"/>
              <w:jc w:val="right"/>
              <w:rPr>
                <w:rFonts w:ascii="Calibri" w:hAnsi="Calibri" w:eastAsia="Times New Roman" w:cs="Calibri"/>
                <w:b/>
                <w:bCs/>
                <w:color w:val="000000"/>
                <w:sz w:val="22"/>
              </w:rPr>
            </w:pPr>
            <w:r w:rsidRPr="00F85246">
              <w:rPr>
                <w:rFonts w:ascii="Calibri" w:hAnsi="Calibri" w:eastAsia="Times New Roman" w:cs="Calibri"/>
                <w:b/>
                <w:bCs/>
                <w:color w:val="000000"/>
                <w:sz w:val="22"/>
              </w:rPr>
              <w:t>INCREASE</w:t>
            </w: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23EF2D4E" w14:textId="77777777">
            <w:pPr>
              <w:spacing w:line="240" w:lineRule="auto"/>
              <w:ind w:firstLine="0"/>
              <w:jc w:val="right"/>
              <w:rPr>
                <w:rFonts w:ascii="Calibri" w:hAnsi="Calibri" w:eastAsia="Times New Roman" w:cs="Calibri"/>
                <w:b/>
                <w:bCs/>
                <w:color w:val="000000"/>
                <w:sz w:val="22"/>
              </w:rPr>
            </w:pPr>
            <w:r w:rsidRPr="00F85246">
              <w:rPr>
                <w:rFonts w:ascii="Calibri" w:hAnsi="Calibri" w:eastAsia="Times New Roman" w:cs="Calibri"/>
                <w:b/>
                <w:bCs/>
                <w:color w:val="000000"/>
                <w:sz w:val="22"/>
              </w:rPr>
              <w:t>2019</w:t>
            </w:r>
          </w:p>
        </w:tc>
      </w:tr>
      <w:tr w:rsidRPr="00F85246" w:rsidR="00F85246" w:rsidTr="00F85246" w14:paraId="356B3482"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6FDFC7AE" w14:textId="77777777">
            <w:pPr>
              <w:spacing w:line="240" w:lineRule="auto"/>
              <w:ind w:firstLine="0"/>
              <w:jc w:val="right"/>
              <w:rPr>
                <w:rFonts w:ascii="Calibri" w:hAnsi="Calibri" w:eastAsia="Times New Roman" w:cs="Calibri"/>
                <w:b/>
                <w:bCs/>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76FC52DF"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D5747C" w:rsidR="00F85246" w:rsidP="00F85246" w:rsidRDefault="00F85246" w14:paraId="49042E2C" w14:textId="77777777">
            <w:pPr>
              <w:spacing w:line="240" w:lineRule="auto"/>
              <w:ind w:firstLine="0"/>
              <w:jc w:val="right"/>
              <w:rPr>
                <w:rFonts w:ascii="Calibri" w:hAnsi="Calibri" w:eastAsia="Times New Roman" w:cs="Calibri"/>
                <w:b/>
                <w:bCs/>
                <w:color w:val="000000"/>
                <w:sz w:val="22"/>
              </w:rPr>
            </w:pPr>
            <w:r w:rsidRPr="00D5747C">
              <w:rPr>
                <w:rFonts w:ascii="Calibri" w:hAnsi="Calibri" w:eastAsia="Times New Roman" w:cs="Calibri"/>
                <w:b/>
                <w:bCs/>
                <w:color w:val="000000"/>
                <w:sz w:val="22"/>
              </w:rPr>
              <w:t>PRESENT</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406C1CE2" w14:textId="77777777">
            <w:pPr>
              <w:spacing w:line="240" w:lineRule="auto"/>
              <w:ind w:firstLine="0"/>
              <w:jc w:val="right"/>
              <w:rPr>
                <w:rFonts w:ascii="Calibri" w:hAnsi="Calibri" w:eastAsia="Times New Roman" w:cs="Calibri"/>
                <w:b/>
                <w:bCs/>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0E9CEE36" w14:textId="77777777">
            <w:pPr>
              <w:spacing w:line="240" w:lineRule="auto"/>
              <w:ind w:firstLine="0"/>
              <w:jc w:val="right"/>
              <w:rPr>
                <w:rFonts w:ascii="Calibri" w:hAnsi="Calibri" w:eastAsia="Times New Roman" w:cs="Calibri"/>
                <w:b/>
                <w:bCs/>
                <w:color w:val="000000"/>
                <w:sz w:val="22"/>
              </w:rPr>
            </w:pPr>
            <w:r w:rsidRPr="00F85246">
              <w:rPr>
                <w:rFonts w:ascii="Calibri" w:hAnsi="Calibri" w:eastAsia="Times New Roman" w:cs="Calibri"/>
                <w:b/>
                <w:bCs/>
                <w:color w:val="000000"/>
                <w:sz w:val="22"/>
              </w:rPr>
              <w:t>PROPOSED</w:t>
            </w:r>
          </w:p>
        </w:tc>
      </w:tr>
      <w:tr w:rsidRPr="00F85246" w:rsidR="00F85246" w:rsidTr="003B4BA5" w14:paraId="375619EB"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6CCA1D1D" w14:textId="77777777">
            <w:pPr>
              <w:spacing w:line="240" w:lineRule="auto"/>
              <w:ind w:firstLine="0"/>
              <w:jc w:val="right"/>
              <w:rPr>
                <w:rFonts w:ascii="Calibri" w:hAnsi="Calibri" w:eastAsia="Times New Roman" w:cs="Calibri"/>
                <w:b/>
                <w:bCs/>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20CBE317"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right w:val="nil"/>
            </w:tcBorders>
            <w:shd w:val="clear" w:color="auto" w:fill="auto"/>
            <w:noWrap/>
            <w:vAlign w:val="bottom"/>
            <w:hideMark/>
          </w:tcPr>
          <w:p w:rsidRPr="00D5747C" w:rsidR="00F85246" w:rsidP="00F85246" w:rsidRDefault="00F85246" w14:paraId="48D39F14"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798AA52B"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56EF59D5" w14:textId="77777777">
            <w:pPr>
              <w:spacing w:line="240" w:lineRule="auto"/>
              <w:ind w:firstLine="0"/>
              <w:rPr>
                <w:rFonts w:ascii="Times New Roman" w:hAnsi="Times New Roman" w:eastAsia="Times New Roman" w:cs="Times New Roman"/>
                <w:sz w:val="20"/>
                <w:szCs w:val="20"/>
              </w:rPr>
            </w:pPr>
          </w:p>
        </w:tc>
      </w:tr>
      <w:tr w:rsidRPr="00F85246" w:rsidR="00F85246" w:rsidTr="003B4BA5" w14:paraId="2A10B91D" w14:textId="77777777">
        <w:trPr>
          <w:trHeight w:val="300"/>
        </w:trPr>
        <w:tc>
          <w:tcPr>
            <w:tcW w:w="4636" w:type="dxa"/>
            <w:gridSpan w:val="2"/>
            <w:tcBorders>
              <w:top w:val="nil"/>
              <w:left w:val="nil"/>
              <w:bottom w:val="nil"/>
              <w:right w:val="nil"/>
            </w:tcBorders>
            <w:shd w:val="clear" w:color="auto" w:fill="auto"/>
            <w:noWrap/>
            <w:vAlign w:val="bottom"/>
            <w:hideMark/>
          </w:tcPr>
          <w:p w:rsidRPr="00F85246" w:rsidR="00F85246" w:rsidP="00F85246" w:rsidRDefault="00F85246" w14:paraId="7D2D2888"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OPERATING REVENUES</w:t>
            </w:r>
          </w:p>
        </w:tc>
        <w:tc>
          <w:tcPr>
            <w:tcW w:w="1532" w:type="dxa"/>
            <w:tcBorders>
              <w:top w:val="nil"/>
              <w:left w:val="nil"/>
              <w:bottom w:val="nil"/>
              <w:right w:val="nil"/>
            </w:tcBorders>
            <w:shd w:val="clear" w:color="auto" w:fill="auto"/>
            <w:noWrap/>
            <w:vAlign w:val="bottom"/>
            <w:hideMark/>
          </w:tcPr>
          <w:p w:rsidRPr="00D5747C" w:rsidR="00F85246" w:rsidP="00F85246" w:rsidRDefault="00F85246" w14:paraId="4878D348" w14:textId="77777777">
            <w:pPr>
              <w:spacing w:line="240" w:lineRule="auto"/>
              <w:ind w:firstLine="0"/>
              <w:jc w:val="right"/>
              <w:rPr>
                <w:rFonts w:ascii="Calibri" w:hAnsi="Calibri" w:eastAsia="Times New Roman" w:cs="Calibri"/>
                <w:color w:val="000000"/>
                <w:sz w:val="22"/>
              </w:rPr>
            </w:pPr>
            <w:r w:rsidRPr="00D5747C">
              <w:rPr>
                <w:rFonts w:ascii="Calibri" w:hAnsi="Calibri" w:eastAsia="Times New Roman" w:cs="Calibri"/>
                <w:color w:val="000000"/>
                <w:sz w:val="22"/>
              </w:rPr>
              <w:t xml:space="preserve">23,343,366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5E4E3DF5"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7AABC0CF"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22,857,367 </w:t>
            </w:r>
          </w:p>
        </w:tc>
      </w:tr>
      <w:tr w:rsidRPr="00F85246" w:rsidR="00F85246" w:rsidTr="003B4BA5" w14:paraId="17FA5413" w14:textId="77777777">
        <w:trPr>
          <w:trHeight w:val="300"/>
        </w:trPr>
        <w:tc>
          <w:tcPr>
            <w:tcW w:w="4636" w:type="dxa"/>
            <w:gridSpan w:val="2"/>
            <w:tcBorders>
              <w:top w:val="nil"/>
              <w:left w:val="nil"/>
              <w:bottom w:val="nil"/>
              <w:right w:val="nil"/>
            </w:tcBorders>
            <w:shd w:val="clear" w:color="auto" w:fill="auto"/>
            <w:noWrap/>
            <w:vAlign w:val="bottom"/>
            <w:hideMark/>
          </w:tcPr>
          <w:p w:rsidRPr="00F85246" w:rsidR="00F85246" w:rsidP="00F85246" w:rsidRDefault="00F85246" w14:paraId="5E9A675F"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DEFERRED REVENUES</w:t>
            </w:r>
          </w:p>
        </w:tc>
        <w:tc>
          <w:tcPr>
            <w:tcW w:w="1532" w:type="dxa"/>
            <w:tcBorders>
              <w:top w:val="nil"/>
              <w:left w:val="nil"/>
              <w:bottom w:val="nil"/>
              <w:right w:val="nil"/>
            </w:tcBorders>
            <w:shd w:val="clear" w:color="auto" w:fill="auto"/>
            <w:noWrap/>
            <w:vAlign w:val="bottom"/>
            <w:hideMark/>
          </w:tcPr>
          <w:p w:rsidRPr="00D5747C" w:rsidR="00F85246" w:rsidP="00F85246" w:rsidRDefault="00F85246" w14:paraId="647C9F8C" w14:textId="77777777">
            <w:pPr>
              <w:spacing w:line="240" w:lineRule="auto"/>
              <w:ind w:firstLine="0"/>
              <w:jc w:val="right"/>
              <w:rPr>
                <w:rFonts w:ascii="Calibri" w:hAnsi="Calibri" w:eastAsia="Times New Roman" w:cs="Calibri"/>
                <w:color w:val="000000"/>
                <w:sz w:val="22"/>
              </w:rPr>
            </w:pPr>
            <w:r w:rsidRPr="00D5747C">
              <w:rPr>
                <w:rFonts w:ascii="Calibri" w:hAnsi="Calibri" w:eastAsia="Times New Roman" w:cs="Calibri"/>
                <w:color w:val="000000"/>
                <w:sz w:val="22"/>
              </w:rPr>
              <w:t xml:space="preserve">0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1C019740"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0414407B"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0 </w:t>
            </w:r>
          </w:p>
        </w:tc>
      </w:tr>
      <w:tr w:rsidRPr="00F85246" w:rsidR="00F85246" w:rsidTr="003B4BA5" w14:paraId="544A3871" w14:textId="77777777">
        <w:trPr>
          <w:trHeight w:val="300"/>
        </w:trPr>
        <w:tc>
          <w:tcPr>
            <w:tcW w:w="4636" w:type="dxa"/>
            <w:gridSpan w:val="2"/>
            <w:tcBorders>
              <w:top w:val="nil"/>
              <w:left w:val="nil"/>
              <w:bottom w:val="nil"/>
              <w:right w:val="nil"/>
            </w:tcBorders>
            <w:shd w:val="clear" w:color="auto" w:fill="auto"/>
            <w:noWrap/>
            <w:vAlign w:val="bottom"/>
            <w:hideMark/>
          </w:tcPr>
          <w:p w:rsidRPr="00D5747C" w:rsidR="00F85246" w:rsidP="00F85246" w:rsidRDefault="00F85246" w14:paraId="797828E0" w14:textId="77777777">
            <w:pPr>
              <w:spacing w:line="240" w:lineRule="auto"/>
              <w:ind w:firstLine="0"/>
              <w:rPr>
                <w:rFonts w:ascii="Calibri" w:hAnsi="Calibri" w:eastAsia="Times New Roman" w:cs="Calibri"/>
                <w:color w:val="000000"/>
                <w:sz w:val="22"/>
              </w:rPr>
            </w:pPr>
            <w:r w:rsidRPr="00D5747C">
              <w:rPr>
                <w:rFonts w:ascii="Calibri" w:hAnsi="Calibri" w:eastAsia="Times New Roman" w:cs="Calibri"/>
                <w:color w:val="000000"/>
                <w:sz w:val="22"/>
              </w:rPr>
              <w:t>MISCELLANEOUS REVENUE</w:t>
            </w:r>
          </w:p>
        </w:tc>
        <w:tc>
          <w:tcPr>
            <w:tcW w:w="1532" w:type="dxa"/>
            <w:tcBorders>
              <w:top w:val="nil"/>
              <w:left w:val="nil"/>
              <w:right w:val="nil"/>
            </w:tcBorders>
            <w:shd w:val="clear" w:color="auto" w:fill="auto"/>
            <w:noWrap/>
            <w:vAlign w:val="bottom"/>
            <w:hideMark/>
          </w:tcPr>
          <w:p w:rsidRPr="00D5747C" w:rsidR="00F85246" w:rsidP="00F85246" w:rsidRDefault="00F85246" w14:paraId="11C520A0" w14:textId="77777777">
            <w:pPr>
              <w:spacing w:line="240" w:lineRule="auto"/>
              <w:ind w:firstLine="0"/>
              <w:jc w:val="right"/>
              <w:rPr>
                <w:rFonts w:ascii="Calibri" w:hAnsi="Calibri" w:eastAsia="Times New Roman" w:cs="Calibri"/>
                <w:color w:val="000000"/>
                <w:sz w:val="22"/>
              </w:rPr>
            </w:pPr>
            <w:r w:rsidRPr="00D5747C">
              <w:rPr>
                <w:rFonts w:ascii="Calibri" w:hAnsi="Calibri" w:eastAsia="Times New Roman" w:cs="Calibri"/>
                <w:color w:val="000000"/>
                <w:sz w:val="22"/>
              </w:rPr>
              <w:t xml:space="preserve">103,483 </w:t>
            </w:r>
          </w:p>
        </w:tc>
        <w:tc>
          <w:tcPr>
            <w:tcW w:w="1370" w:type="dxa"/>
            <w:tcBorders>
              <w:top w:val="nil"/>
              <w:left w:val="nil"/>
              <w:bottom w:val="single" w:color="auto" w:sz="4" w:space="0"/>
              <w:right w:val="nil"/>
            </w:tcBorders>
            <w:shd w:val="clear" w:color="auto" w:fill="auto"/>
            <w:noWrap/>
            <w:vAlign w:val="bottom"/>
            <w:hideMark/>
          </w:tcPr>
          <w:p w:rsidRPr="00D5747C" w:rsidR="00F85246" w:rsidP="00F85246" w:rsidRDefault="00F85246" w14:paraId="5281485B" w14:textId="77777777">
            <w:pPr>
              <w:spacing w:line="240" w:lineRule="auto"/>
              <w:ind w:firstLine="0"/>
              <w:rPr>
                <w:rFonts w:ascii="Calibri" w:hAnsi="Calibri" w:eastAsia="Times New Roman" w:cs="Calibri"/>
                <w:color w:val="000000"/>
                <w:sz w:val="22"/>
              </w:rPr>
            </w:pPr>
            <w:r w:rsidRPr="00D5747C">
              <w:rPr>
                <w:rFonts w:ascii="Calibri" w:hAnsi="Calibri" w:eastAsia="Times New Roman" w:cs="Calibri"/>
                <w:color w:val="000000"/>
                <w:sz w:val="22"/>
              </w:rPr>
              <w:t> </w:t>
            </w:r>
          </w:p>
        </w:tc>
        <w:tc>
          <w:tcPr>
            <w:tcW w:w="1538" w:type="dxa"/>
            <w:tcBorders>
              <w:top w:val="nil"/>
              <w:left w:val="nil"/>
              <w:bottom w:val="single" w:color="auto" w:sz="4" w:space="0"/>
              <w:right w:val="nil"/>
            </w:tcBorders>
            <w:shd w:val="clear" w:color="auto" w:fill="auto"/>
            <w:noWrap/>
            <w:vAlign w:val="bottom"/>
            <w:hideMark/>
          </w:tcPr>
          <w:p w:rsidRPr="00D5747C" w:rsidR="00F85246" w:rsidP="00F85246" w:rsidRDefault="00F85246" w14:paraId="44C1A7AC" w14:textId="77777777">
            <w:pPr>
              <w:spacing w:line="240" w:lineRule="auto"/>
              <w:ind w:firstLine="0"/>
              <w:jc w:val="right"/>
              <w:rPr>
                <w:rFonts w:ascii="Calibri" w:hAnsi="Calibri" w:eastAsia="Times New Roman" w:cs="Calibri"/>
                <w:color w:val="000000"/>
                <w:sz w:val="22"/>
              </w:rPr>
            </w:pPr>
            <w:r w:rsidRPr="00D5747C">
              <w:rPr>
                <w:rFonts w:ascii="Calibri" w:hAnsi="Calibri" w:eastAsia="Times New Roman" w:cs="Calibri"/>
                <w:color w:val="000000"/>
                <w:sz w:val="22"/>
              </w:rPr>
              <w:t xml:space="preserve">103,483 </w:t>
            </w:r>
          </w:p>
        </w:tc>
      </w:tr>
      <w:tr w:rsidRPr="00F85246" w:rsidR="00F85246" w:rsidTr="003B4BA5" w14:paraId="7634C86B" w14:textId="77777777">
        <w:trPr>
          <w:trHeight w:val="300"/>
        </w:trPr>
        <w:tc>
          <w:tcPr>
            <w:tcW w:w="4636" w:type="dxa"/>
            <w:gridSpan w:val="2"/>
            <w:tcBorders>
              <w:top w:val="nil"/>
              <w:left w:val="nil"/>
              <w:bottom w:val="nil"/>
              <w:right w:val="nil"/>
            </w:tcBorders>
            <w:shd w:val="clear" w:color="auto" w:fill="auto"/>
            <w:noWrap/>
            <w:vAlign w:val="bottom"/>
            <w:hideMark/>
          </w:tcPr>
          <w:p w:rsidRPr="00F85246" w:rsidR="00F85246" w:rsidP="00F85246" w:rsidRDefault="00F85246" w14:paraId="3E64216A"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TOTAL REVENUES</w:t>
            </w:r>
          </w:p>
        </w:tc>
        <w:tc>
          <w:tcPr>
            <w:tcW w:w="1532" w:type="dxa"/>
            <w:tcBorders>
              <w:top w:val="nil"/>
              <w:left w:val="nil"/>
              <w:bottom w:val="nil"/>
              <w:right w:val="nil"/>
            </w:tcBorders>
            <w:shd w:val="clear" w:color="auto" w:fill="auto"/>
            <w:noWrap/>
            <w:vAlign w:val="bottom"/>
            <w:hideMark/>
          </w:tcPr>
          <w:p w:rsidRPr="00D5747C" w:rsidR="00F85246" w:rsidP="00F85246" w:rsidRDefault="00F85246" w14:paraId="2262BB99" w14:textId="77777777">
            <w:pPr>
              <w:spacing w:line="240" w:lineRule="auto"/>
              <w:ind w:firstLine="0"/>
              <w:jc w:val="right"/>
              <w:rPr>
                <w:rFonts w:ascii="Calibri" w:hAnsi="Calibri" w:eastAsia="Times New Roman" w:cs="Calibri"/>
                <w:color w:val="000000"/>
                <w:sz w:val="22"/>
              </w:rPr>
            </w:pPr>
            <w:r w:rsidRPr="00D5747C">
              <w:rPr>
                <w:rFonts w:ascii="Calibri" w:hAnsi="Calibri" w:eastAsia="Times New Roman" w:cs="Calibri"/>
                <w:color w:val="000000"/>
                <w:sz w:val="22"/>
              </w:rPr>
              <w:t xml:space="preserve">23,446,849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40C39920"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(485,999)</w:t>
            </w: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2AD63179"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22,960,850 </w:t>
            </w:r>
          </w:p>
        </w:tc>
      </w:tr>
      <w:tr w:rsidRPr="00F85246" w:rsidR="00F85246" w:rsidTr="003B4BA5" w14:paraId="1B557AC4"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61F9AC6D"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4258BFAB"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61BDD671"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4AD8864A"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-2.07%</w:t>
            </w: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6FA4AB88" w14:textId="77777777">
            <w:pPr>
              <w:spacing w:line="240" w:lineRule="auto"/>
              <w:ind w:firstLine="0"/>
              <w:jc w:val="right"/>
              <w:rPr>
                <w:rFonts w:ascii="Calibri" w:hAnsi="Calibri" w:eastAsia="Times New Roman" w:cs="Calibri"/>
                <w:color w:val="000000"/>
                <w:sz w:val="22"/>
              </w:rPr>
            </w:pPr>
          </w:p>
        </w:tc>
      </w:tr>
      <w:tr w:rsidRPr="00F85246" w:rsidR="00F85246" w:rsidTr="00F85246" w14:paraId="73770A17" w14:textId="77777777">
        <w:trPr>
          <w:trHeight w:val="300"/>
        </w:trPr>
        <w:tc>
          <w:tcPr>
            <w:tcW w:w="4636" w:type="dxa"/>
            <w:gridSpan w:val="2"/>
            <w:tcBorders>
              <w:top w:val="nil"/>
              <w:left w:val="nil"/>
              <w:bottom w:val="nil"/>
              <w:right w:val="nil"/>
            </w:tcBorders>
            <w:shd w:val="clear" w:color="auto" w:fill="auto"/>
            <w:noWrap/>
            <w:vAlign w:val="bottom"/>
            <w:hideMark/>
          </w:tcPr>
          <w:p w:rsidRPr="00F85246" w:rsidR="00F85246" w:rsidP="00F85246" w:rsidRDefault="00F85246" w14:paraId="39537C82"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OPERATIONS &amp; MAINTENANCE</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52DC4FC2" w14:textId="77777777">
            <w:pPr>
              <w:spacing w:line="240" w:lineRule="auto"/>
              <w:ind w:firstLine="0"/>
              <w:rPr>
                <w:rFonts w:ascii="Calibri" w:hAnsi="Calibri" w:eastAsia="Times New Roman" w:cs="Calibri"/>
                <w:color w:val="000000"/>
                <w:sz w:val="22"/>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68EC98B8"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57ABC37A"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63815028"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38CB0E57" w14:textId="77777777">
            <w:pPr>
              <w:spacing w:line="240" w:lineRule="auto"/>
              <w:ind w:firstLine="0"/>
              <w:rPr>
                <w:rFonts w:ascii="Times New Roman" w:hAnsi="Times New Roman" w:eastAsia="Times New Roman" w:cs="Times New Roman"/>
                <w:sz w:val="20"/>
                <w:szCs w:val="20"/>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60F1EE5A"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PAYROLL-OPERATIONS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3C51EF3A"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957,122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2E535991"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4E9FCCD1"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957,122 </w:t>
            </w:r>
          </w:p>
        </w:tc>
      </w:tr>
      <w:tr w:rsidRPr="00F85246" w:rsidR="00F85246" w:rsidTr="00F85246" w14:paraId="42F6ABE4"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72ECED63"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065BED86"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OPERATIONS-OTHER</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0FB3D937"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182,873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01A0DAEA"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12FB04DF"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182,873 </w:t>
            </w:r>
          </w:p>
        </w:tc>
      </w:tr>
      <w:tr w:rsidRPr="00F85246" w:rsidR="00F85246" w:rsidTr="00F85246" w14:paraId="2CF9E4B7"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0C2D16BF"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38CE4F24"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PURCHASED WATER-POTABLE</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5DBEE2EE"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0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7F14AFE8"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57AD4340"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0 </w:t>
            </w:r>
          </w:p>
        </w:tc>
      </w:tr>
      <w:tr w:rsidRPr="00F85246" w:rsidR="00F85246" w:rsidTr="00F85246" w14:paraId="73B3FD7E"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09C7FAA1"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57E6A42A"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PURCHASED POWER</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4634C982"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950,273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7223496E"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4EC4EC8F"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950,273 </w:t>
            </w:r>
          </w:p>
        </w:tc>
      </w:tr>
      <w:tr w:rsidRPr="00F85246" w:rsidR="00F85246" w:rsidTr="00F85246" w14:paraId="55E028BD"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5B10B8EB"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2B92E9D0"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LEASED WATER RIGHTS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3E208D41"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0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01D7D567"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50227B47"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0 </w:t>
            </w:r>
          </w:p>
        </w:tc>
      </w:tr>
      <w:tr w:rsidRPr="00F85246" w:rsidR="00F85246" w:rsidTr="00F85246" w14:paraId="4D903850"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1387B241"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57CE280D"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REPLENISHMENT</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1AE35CA8"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58,798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1F665C05"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34E4EE21"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58,798 </w:t>
            </w:r>
          </w:p>
        </w:tc>
      </w:tr>
      <w:tr w:rsidRPr="00F85246" w:rsidR="00F85246" w:rsidTr="00F85246" w14:paraId="083E6256" w14:textId="77777777">
        <w:trPr>
          <w:trHeight w:val="289"/>
        </w:trPr>
        <w:tc>
          <w:tcPr>
            <w:tcW w:w="136" w:type="dxa"/>
            <w:tcBorders>
              <w:top w:val="nil"/>
              <w:left w:val="nil"/>
              <w:bottom w:val="nil"/>
              <w:right w:val="nil"/>
            </w:tcBorders>
            <w:shd w:val="clear" w:color="auto" w:fill="auto"/>
            <w:noWrap/>
            <w:vAlign w:val="bottom"/>
            <w:hideMark/>
          </w:tcPr>
          <w:p w:rsidRPr="00F85246" w:rsidR="00F85246" w:rsidP="00F85246" w:rsidRDefault="00F85246" w14:paraId="30CD241D"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48EF3836"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CHEMICALS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1C4C5AFE"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37,100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384B80EA"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439D6527"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37,100 </w:t>
            </w:r>
          </w:p>
        </w:tc>
      </w:tr>
      <w:tr w:rsidRPr="00F85246" w:rsidR="00F85246" w:rsidTr="00F85246" w14:paraId="5EAB920D" w14:textId="77777777">
        <w:trPr>
          <w:trHeight w:val="289"/>
        </w:trPr>
        <w:tc>
          <w:tcPr>
            <w:tcW w:w="136" w:type="dxa"/>
            <w:tcBorders>
              <w:top w:val="nil"/>
              <w:left w:val="nil"/>
              <w:bottom w:val="nil"/>
              <w:right w:val="nil"/>
            </w:tcBorders>
            <w:shd w:val="clear" w:color="auto" w:fill="auto"/>
            <w:noWrap/>
            <w:vAlign w:val="bottom"/>
            <w:hideMark/>
          </w:tcPr>
          <w:p w:rsidRPr="00F85246" w:rsidR="00F85246" w:rsidP="00F85246" w:rsidRDefault="00F85246" w14:paraId="5C4F3690"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65ED0A6D"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PAYROLL-CUSTOMERS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51B5E8D0"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595,502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4AB15F02"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1196BBB4"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595,502 </w:t>
            </w:r>
          </w:p>
        </w:tc>
      </w:tr>
      <w:tr w:rsidRPr="00F85246" w:rsidR="00F85246" w:rsidTr="00F85246" w14:paraId="468FACD7" w14:textId="77777777">
        <w:trPr>
          <w:trHeight w:val="289"/>
        </w:trPr>
        <w:tc>
          <w:tcPr>
            <w:tcW w:w="136" w:type="dxa"/>
            <w:tcBorders>
              <w:top w:val="nil"/>
              <w:left w:val="nil"/>
              <w:bottom w:val="nil"/>
              <w:right w:val="nil"/>
            </w:tcBorders>
            <w:shd w:val="clear" w:color="auto" w:fill="auto"/>
            <w:noWrap/>
            <w:vAlign w:val="bottom"/>
            <w:hideMark/>
          </w:tcPr>
          <w:p w:rsidRPr="00F85246" w:rsidR="00F85246" w:rsidP="00F85246" w:rsidRDefault="00F85246" w14:paraId="770ED642"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0F3EA481"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CUSTOMERS-OTHER</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7139AC85"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461,649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4C9C6B58"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27CEE0B8"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461,649 </w:t>
            </w:r>
          </w:p>
        </w:tc>
      </w:tr>
      <w:tr w:rsidRPr="00F85246" w:rsidR="00F85246" w:rsidTr="00F85246" w14:paraId="49ED7D87" w14:textId="77777777">
        <w:trPr>
          <w:trHeight w:val="289"/>
        </w:trPr>
        <w:tc>
          <w:tcPr>
            <w:tcW w:w="136" w:type="dxa"/>
            <w:tcBorders>
              <w:top w:val="nil"/>
              <w:left w:val="nil"/>
              <w:bottom w:val="nil"/>
              <w:right w:val="nil"/>
            </w:tcBorders>
            <w:shd w:val="clear" w:color="auto" w:fill="auto"/>
            <w:noWrap/>
            <w:vAlign w:val="bottom"/>
            <w:hideMark/>
          </w:tcPr>
          <w:p w:rsidRPr="00F85246" w:rsidR="00F85246" w:rsidP="00F85246" w:rsidRDefault="00F85246" w14:paraId="10E67E36"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7584A9BE"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UNCOLLECTIBLES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7D70CCD7"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65,651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6B6F46D2"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26FCC3BA"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64,290 </w:t>
            </w:r>
          </w:p>
        </w:tc>
      </w:tr>
      <w:tr w:rsidRPr="00F85246" w:rsidR="00F85246" w:rsidTr="00F85246" w14:paraId="76EDC3DF" w14:textId="77777777">
        <w:trPr>
          <w:trHeight w:val="289"/>
        </w:trPr>
        <w:tc>
          <w:tcPr>
            <w:tcW w:w="136" w:type="dxa"/>
            <w:tcBorders>
              <w:top w:val="nil"/>
              <w:left w:val="nil"/>
              <w:bottom w:val="nil"/>
              <w:right w:val="nil"/>
            </w:tcBorders>
            <w:shd w:val="clear" w:color="auto" w:fill="auto"/>
            <w:noWrap/>
            <w:vAlign w:val="bottom"/>
            <w:hideMark/>
          </w:tcPr>
          <w:p w:rsidRPr="00F85246" w:rsidR="00F85246" w:rsidP="00F85246" w:rsidRDefault="00F85246" w14:paraId="36F57E68"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02FF37DF"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PAYROLL-MAINTENANCE</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140F228F"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283,838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23AD7270"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500BFCCA"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283,838 </w:t>
            </w:r>
          </w:p>
        </w:tc>
      </w:tr>
      <w:tr w:rsidRPr="00F85246" w:rsidR="00F85246" w:rsidTr="00F85246" w14:paraId="790FDAFF"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1A8030D5"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42DE27BB"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MAINTENANCE-OTHER</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5FA70E4B"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789,843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26DC3986"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6997A132"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789,843 </w:t>
            </w:r>
          </w:p>
        </w:tc>
      </w:tr>
      <w:tr w:rsidRPr="00F85246" w:rsidR="00F85246" w:rsidTr="00F85246" w14:paraId="46451AAE"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70514EB0"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7A449F0F"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PAYROLL-CLEARINGS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3596FCA9"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97,327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7C679CC2"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2DF5B59D"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97,327 </w:t>
            </w:r>
          </w:p>
        </w:tc>
      </w:tr>
      <w:tr w:rsidRPr="00F85246" w:rsidR="00F85246" w:rsidTr="00F85246" w14:paraId="25B14872"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641D6C76"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57D6D03E"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DEPRECIATION-CLEARINGS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66FFD182"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233,979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7F155325"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7023BA5C"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233,979 </w:t>
            </w:r>
          </w:p>
        </w:tc>
      </w:tr>
      <w:tr w:rsidRPr="00F85246" w:rsidR="00F85246" w:rsidTr="00F85246" w14:paraId="425D163C"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1D34FBFB"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14B3995D"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CLEARINGS-OTHER</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490F3BB5"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56,495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68726E10"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08F53774"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56,495 </w:t>
            </w:r>
          </w:p>
        </w:tc>
      </w:tr>
      <w:tr w:rsidRPr="00F85246" w:rsidR="00F85246" w:rsidTr="00F85246" w14:paraId="4BDABD26" w14:textId="77777777">
        <w:trPr>
          <w:trHeight w:val="210"/>
        </w:trPr>
        <w:tc>
          <w:tcPr>
            <w:tcW w:w="136" w:type="dxa"/>
            <w:tcBorders>
              <w:top w:val="nil"/>
              <w:left w:val="nil"/>
              <w:bottom w:val="nil"/>
              <w:right w:val="nil"/>
            </w:tcBorders>
            <w:shd w:val="clear" w:color="auto" w:fill="auto"/>
            <w:noWrap/>
            <w:vAlign w:val="bottom"/>
            <w:hideMark/>
          </w:tcPr>
          <w:p w:rsidRPr="00F85246" w:rsidR="00F85246" w:rsidP="00F85246" w:rsidRDefault="00F85246" w14:paraId="082AE560"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70AE44BA"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688F7DE4"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63DD8A70"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4514D922"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71A39734"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219745CE" w14:textId="77777777">
            <w:pPr>
              <w:spacing w:line="240" w:lineRule="auto"/>
              <w:ind w:firstLine="0"/>
              <w:rPr>
                <w:rFonts w:ascii="Times New Roman" w:hAnsi="Times New Roman" w:eastAsia="Times New Roman" w:cs="Times New Roman"/>
                <w:sz w:val="20"/>
                <w:szCs w:val="20"/>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435DB1FF"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SUB-TOTAL O &amp; M</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7C826C62"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4,770,449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3284E942"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2FF553FB"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4,769,088 </w:t>
            </w:r>
          </w:p>
        </w:tc>
      </w:tr>
      <w:tr w:rsidRPr="00F85246" w:rsidR="00F85246" w:rsidTr="00F85246" w14:paraId="5C90E025" w14:textId="77777777">
        <w:trPr>
          <w:trHeight w:val="195"/>
        </w:trPr>
        <w:tc>
          <w:tcPr>
            <w:tcW w:w="136" w:type="dxa"/>
            <w:tcBorders>
              <w:top w:val="nil"/>
              <w:left w:val="nil"/>
              <w:bottom w:val="nil"/>
              <w:right w:val="nil"/>
            </w:tcBorders>
            <w:shd w:val="clear" w:color="auto" w:fill="auto"/>
            <w:noWrap/>
            <w:vAlign w:val="bottom"/>
            <w:hideMark/>
          </w:tcPr>
          <w:p w:rsidRPr="00F85246" w:rsidR="00F85246" w:rsidP="00F85246" w:rsidRDefault="00F85246" w14:paraId="2BEC899F"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2C68699C"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3CA85F23"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225696E9"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6EE83046"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42E39823" w14:textId="77777777">
        <w:trPr>
          <w:trHeight w:val="300"/>
        </w:trPr>
        <w:tc>
          <w:tcPr>
            <w:tcW w:w="4636" w:type="dxa"/>
            <w:gridSpan w:val="2"/>
            <w:tcBorders>
              <w:top w:val="nil"/>
              <w:left w:val="nil"/>
              <w:bottom w:val="nil"/>
              <w:right w:val="nil"/>
            </w:tcBorders>
            <w:shd w:val="clear" w:color="auto" w:fill="auto"/>
            <w:noWrap/>
            <w:vAlign w:val="bottom"/>
            <w:hideMark/>
          </w:tcPr>
          <w:p w:rsidRPr="00F85246" w:rsidR="00F85246" w:rsidP="00F85246" w:rsidRDefault="00F85246" w14:paraId="3CF3C8E1"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ADMINISTRATIVE &amp; GENERAL</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6F6E269E" w14:textId="77777777">
            <w:pPr>
              <w:spacing w:line="240" w:lineRule="auto"/>
              <w:ind w:firstLine="0"/>
              <w:rPr>
                <w:rFonts w:ascii="Calibri" w:hAnsi="Calibri" w:eastAsia="Times New Roman" w:cs="Calibri"/>
                <w:color w:val="000000"/>
                <w:sz w:val="22"/>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6FCC7528"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11B75FD1"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7B67AABD"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30504DEF" w14:textId="77777777">
            <w:pPr>
              <w:spacing w:line="240" w:lineRule="auto"/>
              <w:ind w:firstLine="0"/>
              <w:rPr>
                <w:rFonts w:ascii="Times New Roman" w:hAnsi="Times New Roman" w:eastAsia="Times New Roman" w:cs="Times New Roman"/>
                <w:sz w:val="20"/>
                <w:szCs w:val="20"/>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13CA8DCA"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A &amp; G PAYROLL</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5CAE2831"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1,405,915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2048C747"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2311C2B7"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1,405,915 </w:t>
            </w:r>
          </w:p>
        </w:tc>
      </w:tr>
      <w:tr w:rsidRPr="00F85246" w:rsidR="00F85246" w:rsidTr="00F85246" w14:paraId="5DBDD260"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530E00B5"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5B3DF6E5"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EMPLOYEE BENEFITS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7335928B"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670,802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6943D927"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6AEE9458"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670,802 </w:t>
            </w:r>
          </w:p>
        </w:tc>
      </w:tr>
      <w:tr w:rsidRPr="00F85246" w:rsidR="00F85246" w:rsidTr="00F85246" w14:paraId="2D5784C6"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563CA7FB"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700532BB"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INSURANCE</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12781504"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317,936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23CAEF48"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3B4A52CE"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317,936 </w:t>
            </w:r>
          </w:p>
        </w:tc>
      </w:tr>
      <w:tr w:rsidRPr="00F85246" w:rsidR="00F85246" w:rsidTr="00F85246" w14:paraId="69B15F9D"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118D74E7"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7ACA74A4"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UNINSURED PROPERTY DAMAGE</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43E9B6A8"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79,506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78112744"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451C4C8C"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79,506 </w:t>
            </w:r>
          </w:p>
        </w:tc>
      </w:tr>
      <w:tr w:rsidRPr="00F85246" w:rsidR="00F85246" w:rsidTr="00F85246" w14:paraId="3C3C5683"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54ADF22F"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3030E159"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REG. COMM. EXPENSE</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5E41D8DD"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125,436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1F2985B5"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16FB280E"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125,436 </w:t>
            </w:r>
          </w:p>
        </w:tc>
      </w:tr>
      <w:tr w:rsidRPr="00F85246" w:rsidR="00F85246" w:rsidTr="00F85246" w14:paraId="44A9DE45"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71CFA69F"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46380318"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FRANCHISE REQUIREMENTS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6DDB87C2"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225,090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19F407BA"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41D933ED"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220,424 </w:t>
            </w:r>
          </w:p>
        </w:tc>
      </w:tr>
      <w:tr w:rsidRPr="00F85246" w:rsidR="00F85246" w:rsidTr="00F85246" w14:paraId="50E695F0"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43C0C85F"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55D3AD0B"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OUTSIDE SERVICES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34A2523E"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475,693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5239E6CB"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1257E486"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475,693 </w:t>
            </w:r>
          </w:p>
        </w:tc>
      </w:tr>
      <w:tr w:rsidRPr="00F85246" w:rsidR="00F85246" w:rsidTr="00F85246" w14:paraId="0A467B56"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3912E6F0"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25325B5B"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A &amp; G - OTHER</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17E7878E"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406,193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28480FBB"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6F9034CC"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406,193 </w:t>
            </w:r>
          </w:p>
        </w:tc>
      </w:tr>
      <w:tr w:rsidRPr="00F85246" w:rsidR="00F85246" w:rsidTr="00F85246" w14:paraId="6BA06638"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4CF64438"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1EA3F81B"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A &amp; G TRANSFERRED CREDIT</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1371DC88"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(579,534)</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12261424"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59DF6E89"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(579,534)</w:t>
            </w:r>
          </w:p>
        </w:tc>
      </w:tr>
      <w:tr w:rsidRPr="00F85246" w:rsidR="00F85246" w:rsidTr="00F85246" w14:paraId="11258BF9"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037E5421"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206E2B1D"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RENTS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3D78C90F"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17,761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5DC60FE7"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125CE763"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17,761 </w:t>
            </w:r>
          </w:p>
        </w:tc>
      </w:tr>
      <w:tr w:rsidRPr="00F85246" w:rsidR="00F85246" w:rsidTr="00F85246" w14:paraId="493FE7C8" w14:textId="77777777">
        <w:trPr>
          <w:trHeight w:val="375"/>
        </w:trPr>
        <w:tc>
          <w:tcPr>
            <w:tcW w:w="136" w:type="dxa"/>
            <w:tcBorders>
              <w:top w:val="nil"/>
              <w:left w:val="nil"/>
              <w:bottom w:val="nil"/>
              <w:right w:val="nil"/>
            </w:tcBorders>
            <w:shd w:val="clear" w:color="auto" w:fill="auto"/>
            <w:noWrap/>
            <w:vAlign w:val="bottom"/>
            <w:hideMark/>
          </w:tcPr>
          <w:p w:rsidRPr="00F85246" w:rsidR="00F85246" w:rsidP="00F85246" w:rsidRDefault="00F85246" w14:paraId="68777C1D" w14:textId="77777777">
            <w:pPr>
              <w:spacing w:line="240" w:lineRule="auto"/>
              <w:ind w:firstLine="0"/>
              <w:jc w:val="right"/>
              <w:rPr>
                <w:rFonts w:ascii="Arial" w:hAnsi="Arial" w:eastAsia="Times New Roman" w:cs="Arial"/>
                <w:sz w:val="24"/>
                <w:szCs w:val="24"/>
              </w:rPr>
            </w:pPr>
            <w:r w:rsidRPr="00F85246">
              <w:rPr>
                <w:rFonts w:ascii="Arial" w:hAnsi="Arial" w:eastAsia="Times New Roman" w:cs="Arial"/>
                <w:sz w:val="24"/>
                <w:szCs w:val="24"/>
                <w:vertAlign w:val="superscript"/>
              </w:rPr>
              <w:t>1</w:t>
            </w: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4AE14844"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ALLOCATIONS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3F9E297A"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3,210,418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31A9FFD1"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61C7CE3D"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3,210,418 </w:t>
            </w:r>
          </w:p>
        </w:tc>
      </w:tr>
      <w:tr w:rsidRPr="00F85246" w:rsidR="00F85246" w:rsidTr="00F85246" w14:paraId="40B4E52C"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33ABB388"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5D133402"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44BF1521"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719A7C1C"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4E98384E"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112D0506"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76C8A4D8" w14:textId="77777777">
            <w:pPr>
              <w:spacing w:line="240" w:lineRule="auto"/>
              <w:ind w:firstLine="0"/>
              <w:rPr>
                <w:rFonts w:ascii="Times New Roman" w:hAnsi="Times New Roman" w:eastAsia="Times New Roman" w:cs="Times New Roman"/>
                <w:sz w:val="20"/>
                <w:szCs w:val="20"/>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0A68E6D6"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756C56A9"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58459711"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00C142D1"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6CE74CF9"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07267A65" w14:textId="77777777">
            <w:pPr>
              <w:spacing w:line="240" w:lineRule="auto"/>
              <w:ind w:firstLine="0"/>
              <w:rPr>
                <w:rFonts w:ascii="Times New Roman" w:hAnsi="Times New Roman" w:eastAsia="Times New Roman" w:cs="Times New Roman"/>
                <w:sz w:val="20"/>
                <w:szCs w:val="20"/>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6A32310B"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SUB-TOTAL A &amp; G</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22906BF8"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6,355,215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198AD9B8"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7ECF2C66"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6,350,549 </w:t>
            </w:r>
          </w:p>
        </w:tc>
      </w:tr>
      <w:tr w:rsidRPr="00F85246" w:rsidR="00F85246" w:rsidTr="00F85246" w14:paraId="4ED4790E" w14:textId="77777777">
        <w:trPr>
          <w:trHeight w:val="195"/>
        </w:trPr>
        <w:tc>
          <w:tcPr>
            <w:tcW w:w="136" w:type="dxa"/>
            <w:tcBorders>
              <w:top w:val="nil"/>
              <w:left w:val="nil"/>
              <w:bottom w:val="nil"/>
              <w:right w:val="nil"/>
            </w:tcBorders>
            <w:shd w:val="clear" w:color="auto" w:fill="auto"/>
            <w:noWrap/>
            <w:vAlign w:val="bottom"/>
            <w:hideMark/>
          </w:tcPr>
          <w:p w:rsidRPr="00F85246" w:rsidR="00F85246" w:rsidP="00F85246" w:rsidRDefault="00F85246" w14:paraId="0080D97B"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6A24023F"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02771E6E"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2ED72459"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0E9A41A1"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650427A4" w14:textId="77777777">
        <w:trPr>
          <w:trHeight w:val="300"/>
        </w:trPr>
        <w:tc>
          <w:tcPr>
            <w:tcW w:w="4636" w:type="dxa"/>
            <w:gridSpan w:val="2"/>
            <w:tcBorders>
              <w:top w:val="nil"/>
              <w:left w:val="nil"/>
              <w:bottom w:val="nil"/>
              <w:right w:val="nil"/>
            </w:tcBorders>
            <w:shd w:val="clear" w:color="auto" w:fill="auto"/>
            <w:noWrap/>
            <w:vAlign w:val="bottom"/>
            <w:hideMark/>
          </w:tcPr>
          <w:p w:rsidRPr="00F85246" w:rsidR="00F85246" w:rsidP="00F85246" w:rsidRDefault="00F85246" w14:paraId="4834F76F"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OTHER TAXES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33054600" w14:textId="77777777">
            <w:pPr>
              <w:spacing w:line="240" w:lineRule="auto"/>
              <w:ind w:firstLine="0"/>
              <w:rPr>
                <w:rFonts w:ascii="Calibri" w:hAnsi="Calibri" w:eastAsia="Times New Roman" w:cs="Calibri"/>
                <w:color w:val="000000"/>
                <w:sz w:val="22"/>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6C5B3E52"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0372C535"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031A6AAD" w14:textId="77777777">
        <w:trPr>
          <w:trHeight w:val="375"/>
        </w:trPr>
        <w:tc>
          <w:tcPr>
            <w:tcW w:w="136" w:type="dxa"/>
            <w:tcBorders>
              <w:top w:val="nil"/>
              <w:left w:val="nil"/>
              <w:bottom w:val="nil"/>
              <w:right w:val="nil"/>
            </w:tcBorders>
            <w:shd w:val="clear" w:color="auto" w:fill="auto"/>
            <w:noWrap/>
            <w:vAlign w:val="bottom"/>
            <w:hideMark/>
          </w:tcPr>
          <w:p w:rsidRPr="00F85246" w:rsidR="00F85246" w:rsidP="00F85246" w:rsidRDefault="00F85246" w14:paraId="6B71B0EB" w14:textId="77777777">
            <w:pPr>
              <w:spacing w:line="240" w:lineRule="auto"/>
              <w:ind w:firstLine="0"/>
              <w:jc w:val="right"/>
              <w:rPr>
                <w:rFonts w:ascii="Arial" w:hAnsi="Arial" w:eastAsia="Times New Roman" w:cs="Arial"/>
                <w:sz w:val="24"/>
                <w:szCs w:val="24"/>
              </w:rPr>
            </w:pPr>
            <w:r w:rsidRPr="00F85246">
              <w:rPr>
                <w:rFonts w:ascii="Arial" w:hAnsi="Arial" w:eastAsia="Times New Roman" w:cs="Arial"/>
                <w:sz w:val="24"/>
                <w:szCs w:val="24"/>
                <w:vertAlign w:val="superscript"/>
              </w:rPr>
              <w:t>1</w:t>
            </w: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039D0842"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PROPERTY TAXES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3A527A35"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826,503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09271FDE"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3CFE4E9B"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826,503 </w:t>
            </w:r>
          </w:p>
        </w:tc>
      </w:tr>
      <w:tr w:rsidRPr="00F85246" w:rsidR="00F85246" w:rsidTr="00F85246" w14:paraId="2F79B54A" w14:textId="77777777">
        <w:trPr>
          <w:trHeight w:val="375"/>
        </w:trPr>
        <w:tc>
          <w:tcPr>
            <w:tcW w:w="136" w:type="dxa"/>
            <w:tcBorders>
              <w:top w:val="nil"/>
              <w:left w:val="nil"/>
              <w:bottom w:val="nil"/>
              <w:right w:val="nil"/>
            </w:tcBorders>
            <w:shd w:val="clear" w:color="auto" w:fill="auto"/>
            <w:noWrap/>
            <w:vAlign w:val="bottom"/>
            <w:hideMark/>
          </w:tcPr>
          <w:p w:rsidRPr="00F85246" w:rsidR="00F85246" w:rsidP="00F85246" w:rsidRDefault="00F85246" w14:paraId="277B2493"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3A36D7F3"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TAXES-OTHER</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650746C3"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50,948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63329D99"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27D4F2F7"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50,948 </w:t>
            </w:r>
          </w:p>
        </w:tc>
      </w:tr>
      <w:tr w:rsidRPr="00F85246" w:rsidR="00F85246" w:rsidTr="00F85246" w14:paraId="7B3D5017" w14:textId="77777777">
        <w:trPr>
          <w:trHeight w:val="375"/>
        </w:trPr>
        <w:tc>
          <w:tcPr>
            <w:tcW w:w="136" w:type="dxa"/>
            <w:tcBorders>
              <w:top w:val="nil"/>
              <w:left w:val="nil"/>
              <w:bottom w:val="nil"/>
              <w:right w:val="nil"/>
            </w:tcBorders>
            <w:shd w:val="clear" w:color="auto" w:fill="auto"/>
            <w:noWrap/>
            <w:vAlign w:val="bottom"/>
            <w:hideMark/>
          </w:tcPr>
          <w:p w:rsidRPr="00F85246" w:rsidR="00F85246" w:rsidP="00F85246" w:rsidRDefault="00F85246" w14:paraId="6B2C9D44" w14:textId="77777777">
            <w:pPr>
              <w:spacing w:line="240" w:lineRule="auto"/>
              <w:ind w:firstLine="0"/>
              <w:jc w:val="right"/>
              <w:rPr>
                <w:rFonts w:ascii="Arial" w:hAnsi="Arial" w:eastAsia="Times New Roman" w:cs="Arial"/>
                <w:sz w:val="24"/>
                <w:szCs w:val="24"/>
              </w:rPr>
            </w:pPr>
            <w:r w:rsidRPr="00F85246">
              <w:rPr>
                <w:rFonts w:ascii="Arial" w:hAnsi="Arial" w:eastAsia="Times New Roman" w:cs="Arial"/>
                <w:sz w:val="24"/>
                <w:szCs w:val="24"/>
                <w:vertAlign w:val="superscript"/>
              </w:rPr>
              <w:t>1</w:t>
            </w: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299A1B30"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PAYROLL TAXES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1811C00E"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318,214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7C0194BA"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63B393E3"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318,214 </w:t>
            </w:r>
          </w:p>
        </w:tc>
      </w:tr>
      <w:tr w:rsidRPr="00F85246" w:rsidR="00F85246" w:rsidTr="00F85246" w14:paraId="72DE420B" w14:textId="77777777">
        <w:trPr>
          <w:trHeight w:val="210"/>
        </w:trPr>
        <w:tc>
          <w:tcPr>
            <w:tcW w:w="136" w:type="dxa"/>
            <w:tcBorders>
              <w:top w:val="nil"/>
              <w:left w:val="nil"/>
              <w:bottom w:val="nil"/>
              <w:right w:val="nil"/>
            </w:tcBorders>
            <w:shd w:val="clear" w:color="auto" w:fill="auto"/>
            <w:noWrap/>
            <w:vAlign w:val="bottom"/>
            <w:hideMark/>
          </w:tcPr>
          <w:p w:rsidRPr="00F85246" w:rsidR="00F85246" w:rsidP="00F85246" w:rsidRDefault="00F85246" w14:paraId="7A368062"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17E81D86"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3EC16323"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1C051E2B"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0B63130B"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021B3EAE"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539890EA" w14:textId="77777777">
            <w:pPr>
              <w:spacing w:line="240" w:lineRule="auto"/>
              <w:ind w:firstLine="0"/>
              <w:rPr>
                <w:rFonts w:ascii="Times New Roman" w:hAnsi="Times New Roman" w:eastAsia="Times New Roman" w:cs="Times New Roman"/>
                <w:sz w:val="20"/>
                <w:szCs w:val="20"/>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1EFC30A9"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SUBTOTAL OTHER TAXES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4BE37A17"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1,195,665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70CFB51F"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6B644E43"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1,195,665 </w:t>
            </w:r>
          </w:p>
        </w:tc>
      </w:tr>
      <w:tr w:rsidRPr="00F85246" w:rsidR="00F85246" w:rsidTr="00F85246" w14:paraId="77717107" w14:textId="77777777">
        <w:trPr>
          <w:trHeight w:val="210"/>
        </w:trPr>
        <w:tc>
          <w:tcPr>
            <w:tcW w:w="136" w:type="dxa"/>
            <w:tcBorders>
              <w:top w:val="nil"/>
              <w:left w:val="nil"/>
              <w:bottom w:val="nil"/>
              <w:right w:val="nil"/>
            </w:tcBorders>
            <w:shd w:val="clear" w:color="auto" w:fill="auto"/>
            <w:noWrap/>
            <w:vAlign w:val="bottom"/>
            <w:hideMark/>
          </w:tcPr>
          <w:p w:rsidRPr="00F85246" w:rsidR="00F85246" w:rsidP="00F85246" w:rsidRDefault="00F85246" w14:paraId="6A4040B2"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3DFEE24E"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763C9B8E"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0E2892E5"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45981BDB"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55D7E044" w14:textId="77777777">
        <w:trPr>
          <w:trHeight w:val="315"/>
        </w:trPr>
        <w:tc>
          <w:tcPr>
            <w:tcW w:w="136" w:type="dxa"/>
            <w:tcBorders>
              <w:top w:val="nil"/>
              <w:left w:val="nil"/>
              <w:bottom w:val="nil"/>
              <w:right w:val="nil"/>
            </w:tcBorders>
            <w:shd w:val="clear" w:color="auto" w:fill="auto"/>
            <w:noWrap/>
            <w:vAlign w:val="bottom"/>
            <w:hideMark/>
          </w:tcPr>
          <w:p w:rsidRPr="00F85246" w:rsidR="00F85246" w:rsidP="00F85246" w:rsidRDefault="00F85246" w14:paraId="560A1CE4" w14:textId="77777777">
            <w:pPr>
              <w:spacing w:line="240" w:lineRule="auto"/>
              <w:ind w:firstLine="0"/>
              <w:rPr>
                <w:rFonts w:ascii="Times New Roman" w:hAnsi="Times New Roman" w:eastAsia="Times New Roman" w:cs="Times New Roman"/>
                <w:sz w:val="20"/>
                <w:szCs w:val="20"/>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5D0340B3"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DEPRECIATION</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60D6061E"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4,175,379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0DB586BE"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07FED256"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4,175,379 </w:t>
            </w:r>
          </w:p>
        </w:tc>
      </w:tr>
      <w:tr w:rsidRPr="00F85246" w:rsidR="00F85246" w:rsidTr="00F85246" w14:paraId="719BD928"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55C3854A"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48DD5A00"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CA INCOME TAXES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6ED27DFA"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489,647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1C37C0B5"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21E88DFD"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447,217 </w:t>
            </w:r>
          </w:p>
        </w:tc>
      </w:tr>
      <w:tr w:rsidRPr="00F85246" w:rsidR="00F85246" w:rsidTr="00F85246" w14:paraId="36BC016F"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02E6C0DB"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698145A2"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FEDERAL INCOME TAXES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1F593AE9"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757,709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3D35CC12"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53E296B2"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656,915 </w:t>
            </w:r>
          </w:p>
        </w:tc>
      </w:tr>
      <w:tr w:rsidRPr="00F85246" w:rsidR="00F85246" w:rsidTr="00F85246" w14:paraId="348A8283" w14:textId="77777777">
        <w:trPr>
          <w:trHeight w:val="210"/>
        </w:trPr>
        <w:tc>
          <w:tcPr>
            <w:tcW w:w="136" w:type="dxa"/>
            <w:tcBorders>
              <w:top w:val="nil"/>
              <w:left w:val="nil"/>
              <w:bottom w:val="nil"/>
              <w:right w:val="nil"/>
            </w:tcBorders>
            <w:shd w:val="clear" w:color="auto" w:fill="auto"/>
            <w:noWrap/>
            <w:vAlign w:val="bottom"/>
            <w:hideMark/>
          </w:tcPr>
          <w:p w:rsidRPr="00F85246" w:rsidR="00F85246" w:rsidP="00F85246" w:rsidRDefault="00F85246" w14:paraId="658FBFD6"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56BF5DA4"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067841CF"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4E8164E3"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55082544"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44EAB6FD" w14:textId="77777777">
        <w:trPr>
          <w:trHeight w:val="300"/>
        </w:trPr>
        <w:tc>
          <w:tcPr>
            <w:tcW w:w="4636" w:type="dxa"/>
            <w:gridSpan w:val="2"/>
            <w:tcBorders>
              <w:top w:val="nil"/>
              <w:left w:val="nil"/>
              <w:bottom w:val="nil"/>
              <w:right w:val="nil"/>
            </w:tcBorders>
            <w:shd w:val="clear" w:color="auto" w:fill="auto"/>
            <w:noWrap/>
            <w:vAlign w:val="bottom"/>
            <w:hideMark/>
          </w:tcPr>
          <w:p w:rsidRPr="00F85246" w:rsidR="00F85246" w:rsidP="00F85246" w:rsidRDefault="00F85246" w14:paraId="40BDA924"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TOTAL EXPENSE</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470EA3D8"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17,744,064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17B0602D"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6466557E"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17,594,814 </w:t>
            </w:r>
          </w:p>
        </w:tc>
      </w:tr>
      <w:tr w:rsidRPr="00F85246" w:rsidR="00F85246" w:rsidTr="00F85246" w14:paraId="3F616A27" w14:textId="77777777">
        <w:trPr>
          <w:trHeight w:val="210"/>
        </w:trPr>
        <w:tc>
          <w:tcPr>
            <w:tcW w:w="136" w:type="dxa"/>
            <w:tcBorders>
              <w:top w:val="nil"/>
              <w:left w:val="nil"/>
              <w:bottom w:val="nil"/>
              <w:right w:val="nil"/>
            </w:tcBorders>
            <w:shd w:val="clear" w:color="auto" w:fill="auto"/>
            <w:noWrap/>
            <w:vAlign w:val="bottom"/>
            <w:hideMark/>
          </w:tcPr>
          <w:p w:rsidRPr="00F85246" w:rsidR="00F85246" w:rsidP="00F85246" w:rsidRDefault="00F85246" w14:paraId="7B7AD72E"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329E06A8"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73723A1D"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002C57A3"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402AA74F"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6A0C693C" w14:textId="77777777">
        <w:trPr>
          <w:trHeight w:val="300"/>
        </w:trPr>
        <w:tc>
          <w:tcPr>
            <w:tcW w:w="4636" w:type="dxa"/>
            <w:gridSpan w:val="2"/>
            <w:tcBorders>
              <w:top w:val="nil"/>
              <w:left w:val="nil"/>
              <w:bottom w:val="nil"/>
              <w:right w:val="nil"/>
            </w:tcBorders>
            <w:shd w:val="clear" w:color="auto" w:fill="auto"/>
            <w:noWrap/>
            <w:vAlign w:val="bottom"/>
            <w:hideMark/>
          </w:tcPr>
          <w:p w:rsidRPr="00F85246" w:rsidR="00F85246" w:rsidP="00F85246" w:rsidRDefault="00F85246" w14:paraId="173223FA"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NET REVENUES</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799ADE12"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5,702,785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454657D8"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36A4C453"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5,366,036 </w:t>
            </w:r>
          </w:p>
        </w:tc>
      </w:tr>
      <w:tr w:rsidRPr="00F85246" w:rsidR="00F85246" w:rsidTr="00F85246" w14:paraId="4B323528" w14:textId="77777777">
        <w:trPr>
          <w:trHeight w:val="195"/>
        </w:trPr>
        <w:tc>
          <w:tcPr>
            <w:tcW w:w="136" w:type="dxa"/>
            <w:tcBorders>
              <w:top w:val="nil"/>
              <w:left w:val="nil"/>
              <w:bottom w:val="nil"/>
              <w:right w:val="nil"/>
            </w:tcBorders>
            <w:shd w:val="clear" w:color="auto" w:fill="auto"/>
            <w:noWrap/>
            <w:vAlign w:val="bottom"/>
            <w:hideMark/>
          </w:tcPr>
          <w:p w:rsidRPr="00F85246" w:rsidR="00F85246" w:rsidP="00F85246" w:rsidRDefault="00F85246" w14:paraId="792E0EC4"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76F96B96"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59A15965"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1DEF53EE"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01739BF2"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0F4C6221" w14:textId="77777777">
        <w:trPr>
          <w:trHeight w:val="300"/>
        </w:trPr>
        <w:tc>
          <w:tcPr>
            <w:tcW w:w="4636" w:type="dxa"/>
            <w:gridSpan w:val="2"/>
            <w:tcBorders>
              <w:top w:val="nil"/>
              <w:left w:val="nil"/>
              <w:bottom w:val="nil"/>
              <w:right w:val="nil"/>
            </w:tcBorders>
            <w:shd w:val="clear" w:color="auto" w:fill="auto"/>
            <w:noWrap/>
            <w:vAlign w:val="bottom"/>
            <w:hideMark/>
          </w:tcPr>
          <w:p w:rsidRPr="00F85246" w:rsidR="00F85246" w:rsidP="00F85246" w:rsidRDefault="00F85246" w14:paraId="602E19BF"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TOTAL RATE BASE</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639E8E00"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73,031,718 </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54BA7921"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10C5CCBE"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 xml:space="preserve">73,031,718 </w:t>
            </w:r>
          </w:p>
        </w:tc>
      </w:tr>
      <w:tr w:rsidRPr="00F85246" w:rsidR="00F85246" w:rsidTr="00F85246" w14:paraId="56A55A25" w14:textId="77777777">
        <w:trPr>
          <w:trHeight w:val="210"/>
        </w:trPr>
        <w:tc>
          <w:tcPr>
            <w:tcW w:w="136" w:type="dxa"/>
            <w:tcBorders>
              <w:top w:val="nil"/>
              <w:left w:val="nil"/>
              <w:bottom w:val="nil"/>
              <w:right w:val="nil"/>
            </w:tcBorders>
            <w:shd w:val="clear" w:color="auto" w:fill="auto"/>
            <w:noWrap/>
            <w:vAlign w:val="bottom"/>
            <w:hideMark/>
          </w:tcPr>
          <w:p w:rsidRPr="00F85246" w:rsidR="00F85246" w:rsidP="00F85246" w:rsidRDefault="00F85246" w14:paraId="005D3BF2"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13D16FFC"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64C1CB72"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79A6C5C2"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0DFDA4BB"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5389E90C" w14:textId="77777777">
        <w:trPr>
          <w:trHeight w:val="300"/>
        </w:trPr>
        <w:tc>
          <w:tcPr>
            <w:tcW w:w="4636" w:type="dxa"/>
            <w:gridSpan w:val="2"/>
            <w:tcBorders>
              <w:top w:val="nil"/>
              <w:left w:val="nil"/>
              <w:bottom w:val="nil"/>
              <w:right w:val="nil"/>
            </w:tcBorders>
            <w:shd w:val="clear" w:color="auto" w:fill="auto"/>
            <w:noWrap/>
            <w:vAlign w:val="bottom"/>
            <w:hideMark/>
          </w:tcPr>
          <w:p w:rsidRPr="00F85246" w:rsidR="00F85246" w:rsidP="00F85246" w:rsidRDefault="00F85246" w14:paraId="208030D5" w14:textId="77777777">
            <w:pPr>
              <w:spacing w:line="240" w:lineRule="auto"/>
              <w:ind w:firstLine="0"/>
              <w:rPr>
                <w:rFonts w:ascii="Calibri" w:hAnsi="Calibri" w:eastAsia="Times New Roman" w:cs="Calibri"/>
                <w:color w:val="000000"/>
                <w:sz w:val="22"/>
              </w:rPr>
            </w:pPr>
            <w:r w:rsidRPr="00F85246">
              <w:rPr>
                <w:rFonts w:ascii="Calibri" w:hAnsi="Calibri" w:eastAsia="Times New Roman" w:cs="Calibri"/>
                <w:color w:val="000000"/>
                <w:sz w:val="22"/>
              </w:rPr>
              <w:t>RATE OF RETURN</w:t>
            </w: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70DE2ABA"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7.81%</w:t>
            </w: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161A0920" w14:textId="77777777">
            <w:pPr>
              <w:spacing w:line="240" w:lineRule="auto"/>
              <w:ind w:firstLine="0"/>
              <w:jc w:val="right"/>
              <w:rPr>
                <w:rFonts w:ascii="Calibri" w:hAnsi="Calibri" w:eastAsia="Times New Roman" w:cs="Calibri"/>
                <w:color w:val="000000"/>
                <w:sz w:val="22"/>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7FDCC54C" w14:textId="77777777">
            <w:pPr>
              <w:spacing w:line="240" w:lineRule="auto"/>
              <w:ind w:firstLine="0"/>
              <w:jc w:val="right"/>
              <w:rPr>
                <w:rFonts w:ascii="Calibri" w:hAnsi="Calibri" w:eastAsia="Times New Roman" w:cs="Calibri"/>
                <w:color w:val="000000"/>
                <w:sz w:val="22"/>
              </w:rPr>
            </w:pPr>
            <w:r w:rsidRPr="00F85246">
              <w:rPr>
                <w:rFonts w:ascii="Calibri" w:hAnsi="Calibri" w:eastAsia="Times New Roman" w:cs="Calibri"/>
                <w:color w:val="000000"/>
                <w:sz w:val="22"/>
              </w:rPr>
              <w:t>7.35%</w:t>
            </w:r>
          </w:p>
        </w:tc>
      </w:tr>
      <w:tr w:rsidRPr="00F85246" w:rsidR="00F85246" w:rsidTr="00F85246" w14:paraId="76F03E86" w14:textId="77777777">
        <w:trPr>
          <w:trHeight w:val="210"/>
        </w:trPr>
        <w:tc>
          <w:tcPr>
            <w:tcW w:w="136" w:type="dxa"/>
            <w:tcBorders>
              <w:top w:val="nil"/>
              <w:left w:val="nil"/>
              <w:bottom w:val="nil"/>
              <w:right w:val="nil"/>
            </w:tcBorders>
            <w:shd w:val="clear" w:color="auto" w:fill="auto"/>
            <w:noWrap/>
            <w:vAlign w:val="bottom"/>
            <w:hideMark/>
          </w:tcPr>
          <w:p w:rsidRPr="00F85246" w:rsidR="00F85246" w:rsidP="00F85246" w:rsidRDefault="00F85246" w14:paraId="6CBE55B0" w14:textId="77777777">
            <w:pPr>
              <w:spacing w:line="240" w:lineRule="auto"/>
              <w:ind w:firstLine="0"/>
              <w:jc w:val="right"/>
              <w:rPr>
                <w:rFonts w:ascii="Calibri" w:hAnsi="Calibri" w:eastAsia="Times New Roman" w:cs="Calibri"/>
                <w:color w:val="000000"/>
                <w:sz w:val="22"/>
              </w:rPr>
            </w:pPr>
          </w:p>
        </w:tc>
        <w:tc>
          <w:tcPr>
            <w:tcW w:w="4500" w:type="dxa"/>
            <w:tcBorders>
              <w:top w:val="nil"/>
              <w:left w:val="nil"/>
              <w:bottom w:val="nil"/>
              <w:right w:val="nil"/>
            </w:tcBorders>
            <w:shd w:val="clear" w:color="auto" w:fill="auto"/>
            <w:noWrap/>
            <w:vAlign w:val="bottom"/>
            <w:hideMark/>
          </w:tcPr>
          <w:p w:rsidRPr="00F85246" w:rsidR="00F85246" w:rsidP="00F85246" w:rsidRDefault="00F85246" w14:paraId="5CEA2318" w14:textId="77777777">
            <w:pPr>
              <w:spacing w:line="240" w:lineRule="auto"/>
              <w:ind w:firstLine="0"/>
              <w:rPr>
                <w:rFonts w:ascii="Times New Roman" w:hAnsi="Times New Roman" w:eastAsia="Times New Roman" w:cs="Times New Roman"/>
                <w:sz w:val="20"/>
                <w:szCs w:val="20"/>
              </w:rPr>
            </w:pPr>
          </w:p>
        </w:tc>
        <w:tc>
          <w:tcPr>
            <w:tcW w:w="1532" w:type="dxa"/>
            <w:tcBorders>
              <w:top w:val="nil"/>
              <w:left w:val="nil"/>
              <w:bottom w:val="nil"/>
              <w:right w:val="nil"/>
            </w:tcBorders>
            <w:shd w:val="clear" w:color="auto" w:fill="auto"/>
            <w:noWrap/>
            <w:vAlign w:val="bottom"/>
            <w:hideMark/>
          </w:tcPr>
          <w:p w:rsidRPr="00F85246" w:rsidR="00F85246" w:rsidP="00F85246" w:rsidRDefault="00F85246" w14:paraId="1D5127C3" w14:textId="77777777">
            <w:pPr>
              <w:spacing w:line="240" w:lineRule="auto"/>
              <w:ind w:firstLine="0"/>
              <w:rPr>
                <w:rFonts w:ascii="Times New Roman" w:hAnsi="Times New Roman" w:eastAsia="Times New Roman" w:cs="Times New Roman"/>
                <w:sz w:val="20"/>
                <w:szCs w:val="20"/>
              </w:rPr>
            </w:pPr>
          </w:p>
        </w:tc>
        <w:tc>
          <w:tcPr>
            <w:tcW w:w="1370" w:type="dxa"/>
            <w:tcBorders>
              <w:top w:val="nil"/>
              <w:left w:val="nil"/>
              <w:bottom w:val="nil"/>
              <w:right w:val="nil"/>
            </w:tcBorders>
            <w:shd w:val="clear" w:color="auto" w:fill="auto"/>
            <w:noWrap/>
            <w:vAlign w:val="bottom"/>
            <w:hideMark/>
          </w:tcPr>
          <w:p w:rsidRPr="00F85246" w:rsidR="00F85246" w:rsidP="00F85246" w:rsidRDefault="00F85246" w14:paraId="4D6F27B9" w14:textId="77777777">
            <w:pPr>
              <w:spacing w:line="240" w:lineRule="auto"/>
              <w:ind w:firstLine="0"/>
              <w:rPr>
                <w:rFonts w:ascii="Times New Roman" w:hAnsi="Times New Roman" w:eastAsia="Times New Roman" w:cs="Times New Roman"/>
                <w:sz w:val="20"/>
                <w:szCs w:val="20"/>
              </w:rPr>
            </w:pPr>
          </w:p>
        </w:tc>
        <w:tc>
          <w:tcPr>
            <w:tcW w:w="1538" w:type="dxa"/>
            <w:tcBorders>
              <w:top w:val="nil"/>
              <w:left w:val="nil"/>
              <w:bottom w:val="nil"/>
              <w:right w:val="nil"/>
            </w:tcBorders>
            <w:shd w:val="clear" w:color="auto" w:fill="auto"/>
            <w:noWrap/>
            <w:vAlign w:val="bottom"/>
            <w:hideMark/>
          </w:tcPr>
          <w:p w:rsidRPr="00F85246" w:rsidR="00F85246" w:rsidP="00F85246" w:rsidRDefault="00F85246" w14:paraId="3C53D3C7" w14:textId="77777777">
            <w:pPr>
              <w:spacing w:line="240" w:lineRule="auto"/>
              <w:ind w:firstLine="0"/>
              <w:rPr>
                <w:rFonts w:ascii="Times New Roman" w:hAnsi="Times New Roman" w:eastAsia="Times New Roman" w:cs="Times New Roman"/>
                <w:sz w:val="20"/>
                <w:szCs w:val="20"/>
              </w:rPr>
            </w:pPr>
          </w:p>
        </w:tc>
      </w:tr>
      <w:tr w:rsidRPr="00F85246" w:rsidR="00F85246" w:rsidTr="00F85246" w14:paraId="7BE02372" w14:textId="77777777">
        <w:trPr>
          <w:trHeight w:val="375"/>
        </w:trPr>
        <w:tc>
          <w:tcPr>
            <w:tcW w:w="136" w:type="dxa"/>
            <w:tcBorders>
              <w:top w:val="nil"/>
              <w:left w:val="nil"/>
              <w:bottom w:val="nil"/>
              <w:right w:val="nil"/>
            </w:tcBorders>
            <w:shd w:val="clear" w:color="auto" w:fill="auto"/>
            <w:noWrap/>
            <w:vAlign w:val="bottom"/>
            <w:hideMark/>
          </w:tcPr>
          <w:p w:rsidRPr="00F85246" w:rsidR="00F85246" w:rsidP="00F85246" w:rsidRDefault="00F85246" w14:paraId="799B9496" w14:textId="77777777">
            <w:pPr>
              <w:spacing w:line="240" w:lineRule="auto"/>
              <w:ind w:firstLine="0"/>
              <w:jc w:val="right"/>
              <w:rPr>
                <w:rFonts w:ascii="Arial" w:hAnsi="Arial" w:eastAsia="Times New Roman" w:cs="Arial"/>
                <w:sz w:val="24"/>
                <w:szCs w:val="24"/>
              </w:rPr>
            </w:pPr>
            <w:r w:rsidRPr="00F85246">
              <w:rPr>
                <w:rFonts w:ascii="Arial" w:hAnsi="Arial" w:eastAsia="Times New Roman" w:cs="Arial"/>
                <w:sz w:val="24"/>
                <w:szCs w:val="24"/>
                <w:vertAlign w:val="superscript"/>
              </w:rPr>
              <w:t>1</w:t>
            </w:r>
          </w:p>
        </w:tc>
        <w:tc>
          <w:tcPr>
            <w:tcW w:w="8940" w:type="dxa"/>
            <w:gridSpan w:val="4"/>
            <w:tcBorders>
              <w:top w:val="nil"/>
              <w:left w:val="nil"/>
              <w:bottom w:val="nil"/>
              <w:right w:val="nil"/>
            </w:tcBorders>
            <w:shd w:val="clear" w:color="auto" w:fill="auto"/>
            <w:noWrap/>
            <w:vAlign w:val="bottom"/>
            <w:hideMark/>
          </w:tcPr>
          <w:p w:rsidRPr="00F85246" w:rsidR="00F85246" w:rsidP="00F85246" w:rsidRDefault="00F85246" w14:paraId="60A02CB6" w14:textId="77777777">
            <w:pPr>
              <w:spacing w:line="240" w:lineRule="auto"/>
              <w:ind w:firstLine="0"/>
              <w:rPr>
                <w:rFonts w:ascii="Arial" w:hAnsi="Arial" w:eastAsia="Times New Roman" w:cs="Arial"/>
                <w:sz w:val="20"/>
                <w:szCs w:val="20"/>
              </w:rPr>
            </w:pPr>
            <w:r w:rsidRPr="00F85246">
              <w:rPr>
                <w:rFonts w:ascii="Arial" w:hAnsi="Arial" w:eastAsia="Times New Roman" w:cs="Arial"/>
                <w:sz w:val="20"/>
                <w:szCs w:val="20"/>
              </w:rPr>
              <w:t>DEPRECIATION, PROPERTY TAX AND PAYROLL TAXES FROM PARK'S GENERAL OFFICE</w:t>
            </w:r>
          </w:p>
        </w:tc>
      </w:tr>
      <w:tr w:rsidRPr="00F85246" w:rsidR="00F85246" w:rsidTr="00F85246" w14:paraId="28294368" w14:textId="77777777">
        <w:trPr>
          <w:trHeight w:val="300"/>
        </w:trPr>
        <w:tc>
          <w:tcPr>
            <w:tcW w:w="136" w:type="dxa"/>
            <w:tcBorders>
              <w:top w:val="nil"/>
              <w:left w:val="nil"/>
              <w:bottom w:val="nil"/>
              <w:right w:val="nil"/>
            </w:tcBorders>
            <w:shd w:val="clear" w:color="auto" w:fill="auto"/>
            <w:noWrap/>
            <w:vAlign w:val="bottom"/>
            <w:hideMark/>
          </w:tcPr>
          <w:p w:rsidRPr="00F85246" w:rsidR="00F85246" w:rsidP="00F85246" w:rsidRDefault="00F85246" w14:paraId="60BCCABE" w14:textId="77777777">
            <w:pPr>
              <w:spacing w:line="240" w:lineRule="auto"/>
              <w:ind w:firstLine="0"/>
              <w:rPr>
                <w:rFonts w:ascii="Arial" w:hAnsi="Arial" w:eastAsia="Times New Roman" w:cs="Arial"/>
                <w:sz w:val="20"/>
                <w:szCs w:val="20"/>
              </w:rPr>
            </w:pPr>
          </w:p>
        </w:tc>
        <w:tc>
          <w:tcPr>
            <w:tcW w:w="8940" w:type="dxa"/>
            <w:gridSpan w:val="4"/>
            <w:tcBorders>
              <w:top w:val="nil"/>
              <w:left w:val="nil"/>
              <w:bottom w:val="nil"/>
              <w:right w:val="nil"/>
            </w:tcBorders>
            <w:shd w:val="clear" w:color="auto" w:fill="auto"/>
            <w:noWrap/>
            <w:vAlign w:val="bottom"/>
            <w:hideMark/>
          </w:tcPr>
          <w:p w:rsidRPr="00F85246" w:rsidR="00F85246" w:rsidP="00F85246" w:rsidRDefault="00F85246" w14:paraId="45BABE74" w14:textId="77777777">
            <w:pPr>
              <w:spacing w:line="240" w:lineRule="auto"/>
              <w:ind w:firstLine="0"/>
              <w:rPr>
                <w:rFonts w:ascii="Arial" w:hAnsi="Arial" w:eastAsia="Times New Roman" w:cs="Arial"/>
                <w:sz w:val="20"/>
                <w:szCs w:val="20"/>
              </w:rPr>
            </w:pPr>
            <w:r w:rsidRPr="00F85246">
              <w:rPr>
                <w:rFonts w:ascii="Arial" w:hAnsi="Arial" w:eastAsia="Times New Roman" w:cs="Arial"/>
                <w:sz w:val="20"/>
                <w:szCs w:val="20"/>
              </w:rPr>
              <w:t>HAVE BEEN INCLUDED IN THE APPROPRIATE LINE ITEM OF EXPENSE.</w:t>
            </w:r>
          </w:p>
        </w:tc>
      </w:tr>
    </w:tbl>
    <w:p w:rsidRPr="00F85246" w:rsidR="00F85246" w:rsidP="00F85246" w:rsidRDefault="00F85246" w14:paraId="520BA966" w14:textId="77777777">
      <w:pPr>
        <w:spacing w:after="160" w:line="259" w:lineRule="auto"/>
        <w:ind w:firstLine="0"/>
        <w:rPr>
          <w:rFonts w:ascii="Calibri" w:hAnsi="Calibri" w:eastAsia="Calibri" w:cs="Times New Roman"/>
          <w:sz w:val="22"/>
        </w:rPr>
      </w:pPr>
    </w:p>
    <w:p w:rsidRPr="00F85246" w:rsidR="00F85246" w:rsidP="00F85246" w:rsidRDefault="00F85246" w14:paraId="246E85DF" w14:textId="77777777">
      <w:pPr>
        <w:spacing w:after="160" w:line="259" w:lineRule="auto"/>
        <w:ind w:firstLine="0"/>
        <w:rPr>
          <w:rFonts w:ascii="Calibri" w:hAnsi="Calibri" w:eastAsia="Calibri" w:cs="Times New Roman"/>
          <w:sz w:val="22"/>
        </w:rPr>
      </w:pPr>
      <w:r w:rsidRPr="00F85246">
        <w:rPr>
          <w:rFonts w:ascii="Calibri" w:hAnsi="Calibri" w:eastAsia="Calibri" w:cs="Times New Roman"/>
          <w:sz w:val="22"/>
        </w:rPr>
        <w:br w:type="page"/>
      </w:r>
    </w:p>
    <w:p w:rsidRPr="00F85246" w:rsidR="00F85246" w:rsidP="00F85246" w:rsidRDefault="00F85246" w14:paraId="3F12915B" w14:textId="77777777">
      <w:pPr>
        <w:spacing w:after="160" w:line="259" w:lineRule="auto"/>
        <w:ind w:firstLine="0"/>
        <w:rPr>
          <w:rFonts w:ascii="Calibri" w:hAnsi="Calibri" w:eastAsia="Calibri" w:cs="Times New Roman"/>
          <w:sz w:val="22"/>
        </w:rPr>
      </w:pPr>
    </w:p>
    <w:tbl>
      <w:tblPr>
        <w:tblW w:w="9360" w:type="dxa"/>
        <w:tblLook w:val="04A0" w:firstRow="1" w:lastRow="0" w:firstColumn="1" w:lastColumn="0" w:noHBand="0" w:noVBand="1"/>
      </w:tblPr>
      <w:tblGrid>
        <w:gridCol w:w="957"/>
        <w:gridCol w:w="3325"/>
        <w:gridCol w:w="1610"/>
        <w:gridCol w:w="1684"/>
        <w:gridCol w:w="1784"/>
      </w:tblGrid>
      <w:tr w:rsidR="002160A9" w:rsidTr="003B4BA5" w14:paraId="0FDD8391" w14:textId="77777777">
        <w:trPr>
          <w:trHeight w:val="315"/>
        </w:trPr>
        <w:tc>
          <w:tcPr>
            <w:tcW w:w="9360" w:type="dxa"/>
            <w:gridSpan w:val="5"/>
            <w:tcBorders>
              <w:top w:val="nil"/>
              <w:left w:val="nil"/>
              <w:bottom w:val="nil"/>
              <w:right w:val="nil"/>
            </w:tcBorders>
            <w:shd w:val="clear" w:color="auto" w:fill="auto"/>
            <w:noWrap/>
            <w:vAlign w:val="bottom"/>
            <w:hideMark/>
          </w:tcPr>
          <w:p w:rsidR="002160A9" w:rsidRDefault="002160A9" w14:paraId="72E9D6AC" w14:textId="77777777">
            <w:pPr>
              <w:spacing w:line="240" w:lineRule="auto"/>
              <w:ind w:firstLine="0"/>
              <w:jc w:val="center"/>
              <w:rPr>
                <w:rFonts w:ascii="Times New Roman" w:hAnsi="Times New Roman"/>
                <w:b/>
                <w:bCs/>
                <w:color w:val="000000"/>
                <w:sz w:val="24"/>
                <w:u w:val="single"/>
              </w:rPr>
            </w:pPr>
            <w:r>
              <w:rPr>
                <w:b/>
                <w:bCs/>
                <w:color w:val="000000"/>
                <w:u w:val="single"/>
              </w:rPr>
              <w:t>LIBERTY UTILITIES (APPLE VALLEY RANCHOS WATER) CORP. - IRRIGATION</w:t>
            </w:r>
          </w:p>
        </w:tc>
      </w:tr>
      <w:tr w:rsidR="002160A9" w:rsidTr="003B4BA5" w14:paraId="4EE776B3" w14:textId="77777777">
        <w:trPr>
          <w:trHeight w:val="315"/>
        </w:trPr>
        <w:tc>
          <w:tcPr>
            <w:tcW w:w="9360" w:type="dxa"/>
            <w:gridSpan w:val="5"/>
            <w:tcBorders>
              <w:top w:val="nil"/>
              <w:left w:val="nil"/>
              <w:bottom w:val="nil"/>
              <w:right w:val="nil"/>
            </w:tcBorders>
            <w:shd w:val="clear" w:color="auto" w:fill="auto"/>
            <w:noWrap/>
            <w:vAlign w:val="bottom"/>
            <w:hideMark/>
          </w:tcPr>
          <w:p w:rsidR="002160A9" w:rsidRDefault="002160A9" w14:paraId="400D078D" w14:textId="77777777">
            <w:pPr>
              <w:jc w:val="center"/>
              <w:rPr>
                <w:b/>
                <w:bCs/>
                <w:color w:val="000000"/>
                <w:u w:val="single"/>
              </w:rPr>
            </w:pPr>
            <w:r>
              <w:rPr>
                <w:b/>
                <w:bCs/>
                <w:color w:val="000000"/>
                <w:u w:val="single"/>
              </w:rPr>
              <w:t>SUMMARY OF EARNINGS</w:t>
            </w:r>
          </w:p>
        </w:tc>
      </w:tr>
      <w:tr w:rsidR="002160A9" w:rsidTr="003B4BA5" w14:paraId="540E4025"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20C1A000" w14:textId="77777777">
            <w:pPr>
              <w:jc w:val="center"/>
              <w:rPr>
                <w:b/>
                <w:bCs/>
                <w:color w:val="000000"/>
                <w:u w:val="single"/>
              </w:rPr>
            </w:pPr>
          </w:p>
        </w:tc>
        <w:tc>
          <w:tcPr>
            <w:tcW w:w="3637" w:type="dxa"/>
            <w:tcBorders>
              <w:top w:val="nil"/>
              <w:left w:val="nil"/>
              <w:bottom w:val="nil"/>
              <w:right w:val="nil"/>
            </w:tcBorders>
            <w:shd w:val="clear" w:color="auto" w:fill="auto"/>
            <w:noWrap/>
            <w:vAlign w:val="bottom"/>
            <w:hideMark/>
          </w:tcPr>
          <w:p w:rsidR="002160A9" w:rsidRDefault="002160A9" w14:paraId="3F23D3DA"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5C832058"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2D7CBB1E"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25233E00" w14:textId="77777777">
            <w:pPr>
              <w:rPr>
                <w:sz w:val="20"/>
                <w:szCs w:val="20"/>
              </w:rPr>
            </w:pPr>
          </w:p>
        </w:tc>
      </w:tr>
      <w:tr w:rsidR="002160A9" w:rsidTr="003B4BA5" w14:paraId="3CC8FCCC"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41BFA37B" w14:textId="77777777">
            <w:pPr>
              <w:rPr>
                <w:sz w:val="20"/>
                <w:szCs w:val="20"/>
              </w:rPr>
            </w:pPr>
          </w:p>
        </w:tc>
        <w:tc>
          <w:tcPr>
            <w:tcW w:w="3637" w:type="dxa"/>
            <w:tcBorders>
              <w:top w:val="nil"/>
              <w:left w:val="nil"/>
              <w:bottom w:val="nil"/>
              <w:right w:val="nil"/>
            </w:tcBorders>
            <w:shd w:val="clear" w:color="auto" w:fill="auto"/>
            <w:noWrap/>
            <w:vAlign w:val="bottom"/>
            <w:hideMark/>
          </w:tcPr>
          <w:p w:rsidR="002160A9" w:rsidRDefault="002160A9" w14:paraId="6FEF8FEE"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54718D07" w14:textId="77777777">
            <w:pPr>
              <w:jc w:val="right"/>
              <w:rPr>
                <w:rFonts w:ascii="Calibri" w:hAnsi="Calibri" w:cs="Calibri"/>
                <w:b/>
                <w:bCs/>
                <w:color w:val="000000"/>
                <w:sz w:val="22"/>
              </w:rPr>
            </w:pPr>
            <w:r>
              <w:rPr>
                <w:rFonts w:ascii="Calibri" w:hAnsi="Calibri" w:cs="Calibri"/>
                <w:b/>
                <w:bCs/>
                <w:color w:val="000000"/>
                <w:sz w:val="22"/>
              </w:rPr>
              <w:t>2019</w:t>
            </w:r>
          </w:p>
        </w:tc>
        <w:tc>
          <w:tcPr>
            <w:tcW w:w="1601" w:type="dxa"/>
            <w:tcBorders>
              <w:top w:val="nil"/>
              <w:left w:val="nil"/>
              <w:bottom w:val="nil"/>
              <w:right w:val="nil"/>
            </w:tcBorders>
            <w:shd w:val="clear" w:color="auto" w:fill="auto"/>
            <w:noWrap/>
            <w:vAlign w:val="bottom"/>
            <w:hideMark/>
          </w:tcPr>
          <w:p w:rsidR="002160A9" w:rsidRDefault="002160A9" w14:paraId="233C3138" w14:textId="77777777">
            <w:pPr>
              <w:jc w:val="right"/>
              <w:rPr>
                <w:rFonts w:ascii="Calibri" w:hAnsi="Calibri" w:cs="Calibri"/>
                <w:b/>
                <w:bCs/>
                <w:color w:val="000000"/>
                <w:sz w:val="22"/>
              </w:rPr>
            </w:pPr>
            <w:r>
              <w:rPr>
                <w:rFonts w:ascii="Calibri" w:hAnsi="Calibri" w:cs="Calibri"/>
                <w:b/>
                <w:bCs/>
                <w:color w:val="000000"/>
                <w:sz w:val="22"/>
              </w:rPr>
              <w:t>INCREASE</w:t>
            </w:r>
          </w:p>
        </w:tc>
        <w:tc>
          <w:tcPr>
            <w:tcW w:w="1693" w:type="dxa"/>
            <w:tcBorders>
              <w:top w:val="nil"/>
              <w:left w:val="nil"/>
              <w:bottom w:val="nil"/>
              <w:right w:val="nil"/>
            </w:tcBorders>
            <w:shd w:val="clear" w:color="auto" w:fill="auto"/>
            <w:noWrap/>
            <w:vAlign w:val="bottom"/>
            <w:hideMark/>
          </w:tcPr>
          <w:p w:rsidR="002160A9" w:rsidRDefault="002160A9" w14:paraId="5738E57E" w14:textId="77777777">
            <w:pPr>
              <w:jc w:val="right"/>
              <w:rPr>
                <w:rFonts w:ascii="Calibri" w:hAnsi="Calibri" w:cs="Calibri"/>
                <w:b/>
                <w:bCs/>
                <w:color w:val="000000"/>
                <w:sz w:val="22"/>
              </w:rPr>
            </w:pPr>
            <w:r>
              <w:rPr>
                <w:rFonts w:ascii="Calibri" w:hAnsi="Calibri" w:cs="Calibri"/>
                <w:b/>
                <w:bCs/>
                <w:color w:val="000000"/>
                <w:sz w:val="22"/>
              </w:rPr>
              <w:t>2019</w:t>
            </w:r>
          </w:p>
        </w:tc>
      </w:tr>
      <w:tr w:rsidR="002160A9" w:rsidTr="003B4BA5" w14:paraId="3EC4D4F1"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0596F8C7" w14:textId="77777777">
            <w:pPr>
              <w:jc w:val="right"/>
              <w:rPr>
                <w:rFonts w:ascii="Calibri" w:hAnsi="Calibri" w:cs="Calibri"/>
                <w:b/>
                <w:bCs/>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0BD29588"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28BF2E77" w14:textId="77777777">
            <w:pPr>
              <w:jc w:val="right"/>
              <w:rPr>
                <w:rFonts w:ascii="Calibri" w:hAnsi="Calibri" w:cs="Calibri"/>
                <w:b/>
                <w:bCs/>
                <w:color w:val="000000"/>
                <w:sz w:val="22"/>
              </w:rPr>
            </w:pPr>
            <w:r>
              <w:rPr>
                <w:rFonts w:ascii="Calibri" w:hAnsi="Calibri" w:cs="Calibri"/>
                <w:b/>
                <w:bCs/>
                <w:color w:val="000000"/>
                <w:sz w:val="22"/>
              </w:rPr>
              <w:t>PRESENT</w:t>
            </w:r>
          </w:p>
        </w:tc>
        <w:tc>
          <w:tcPr>
            <w:tcW w:w="1601" w:type="dxa"/>
            <w:tcBorders>
              <w:top w:val="nil"/>
              <w:left w:val="nil"/>
              <w:bottom w:val="nil"/>
              <w:right w:val="nil"/>
            </w:tcBorders>
            <w:shd w:val="clear" w:color="auto" w:fill="auto"/>
            <w:noWrap/>
            <w:vAlign w:val="bottom"/>
            <w:hideMark/>
          </w:tcPr>
          <w:p w:rsidR="002160A9" w:rsidRDefault="002160A9" w14:paraId="49665D94" w14:textId="77777777">
            <w:pPr>
              <w:jc w:val="right"/>
              <w:rPr>
                <w:rFonts w:ascii="Calibri" w:hAnsi="Calibri" w:cs="Calibri"/>
                <w:b/>
                <w:bCs/>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7720C224" w14:textId="77777777">
            <w:pPr>
              <w:jc w:val="right"/>
              <w:rPr>
                <w:rFonts w:ascii="Calibri" w:hAnsi="Calibri" w:cs="Calibri"/>
                <w:b/>
                <w:bCs/>
                <w:color w:val="000000"/>
                <w:sz w:val="22"/>
              </w:rPr>
            </w:pPr>
            <w:r>
              <w:rPr>
                <w:rFonts w:ascii="Calibri" w:hAnsi="Calibri" w:cs="Calibri"/>
                <w:b/>
                <w:bCs/>
                <w:color w:val="000000"/>
                <w:sz w:val="22"/>
              </w:rPr>
              <w:t>PROPOSED</w:t>
            </w:r>
          </w:p>
        </w:tc>
      </w:tr>
      <w:tr w:rsidR="002160A9" w:rsidTr="003B4BA5" w14:paraId="121BC39D"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2029F0C1" w14:textId="77777777">
            <w:pPr>
              <w:jc w:val="right"/>
              <w:rPr>
                <w:rFonts w:ascii="Calibri" w:hAnsi="Calibri" w:cs="Calibri"/>
                <w:b/>
                <w:bCs/>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0405CF5E"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6DF105EA"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527CC7C2" w14:textId="77777777">
            <w:pPr>
              <w:jc w:val="right"/>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18085118" w14:textId="77777777">
            <w:pPr>
              <w:rPr>
                <w:sz w:val="20"/>
                <w:szCs w:val="20"/>
              </w:rPr>
            </w:pPr>
          </w:p>
        </w:tc>
      </w:tr>
      <w:tr w:rsidR="002160A9" w:rsidTr="003B4BA5" w14:paraId="5E89744A" w14:textId="77777777">
        <w:trPr>
          <w:trHeight w:val="300"/>
        </w:trPr>
        <w:tc>
          <w:tcPr>
            <w:tcW w:w="4533" w:type="dxa"/>
            <w:gridSpan w:val="2"/>
            <w:tcBorders>
              <w:top w:val="nil"/>
              <w:left w:val="nil"/>
              <w:bottom w:val="nil"/>
              <w:right w:val="nil"/>
            </w:tcBorders>
            <w:shd w:val="clear" w:color="auto" w:fill="auto"/>
            <w:noWrap/>
            <w:vAlign w:val="bottom"/>
            <w:hideMark/>
          </w:tcPr>
          <w:p w:rsidR="002160A9" w:rsidRDefault="002160A9" w14:paraId="4E2C12DC" w14:textId="77777777">
            <w:pPr>
              <w:rPr>
                <w:rFonts w:ascii="Calibri" w:hAnsi="Calibri" w:cs="Calibri"/>
                <w:color w:val="000000"/>
                <w:sz w:val="22"/>
              </w:rPr>
            </w:pPr>
            <w:r>
              <w:rPr>
                <w:rFonts w:ascii="Calibri" w:hAnsi="Calibri" w:cs="Calibri"/>
                <w:color w:val="000000"/>
                <w:sz w:val="22"/>
              </w:rPr>
              <w:t>OPERATING REVENUES</w:t>
            </w:r>
          </w:p>
        </w:tc>
        <w:tc>
          <w:tcPr>
            <w:tcW w:w="1533" w:type="dxa"/>
            <w:tcBorders>
              <w:top w:val="nil"/>
              <w:left w:val="nil"/>
              <w:bottom w:val="nil"/>
              <w:right w:val="nil"/>
            </w:tcBorders>
            <w:shd w:val="clear" w:color="auto" w:fill="auto"/>
            <w:noWrap/>
            <w:vAlign w:val="bottom"/>
            <w:hideMark/>
          </w:tcPr>
          <w:p w:rsidR="002160A9" w:rsidRDefault="002160A9" w14:paraId="0BDC5DF0" w14:textId="77777777">
            <w:pPr>
              <w:jc w:val="right"/>
              <w:rPr>
                <w:rFonts w:ascii="Calibri" w:hAnsi="Calibri" w:cs="Calibri"/>
                <w:color w:val="000000"/>
                <w:sz w:val="22"/>
              </w:rPr>
            </w:pPr>
            <w:r>
              <w:rPr>
                <w:rFonts w:ascii="Calibri" w:hAnsi="Calibri" w:cs="Calibri"/>
                <w:color w:val="000000"/>
                <w:sz w:val="22"/>
              </w:rPr>
              <w:t xml:space="preserve">231,024 </w:t>
            </w:r>
          </w:p>
        </w:tc>
        <w:tc>
          <w:tcPr>
            <w:tcW w:w="1601" w:type="dxa"/>
            <w:tcBorders>
              <w:top w:val="nil"/>
              <w:left w:val="nil"/>
              <w:bottom w:val="nil"/>
              <w:right w:val="nil"/>
            </w:tcBorders>
            <w:shd w:val="clear" w:color="auto" w:fill="auto"/>
            <w:noWrap/>
            <w:vAlign w:val="bottom"/>
            <w:hideMark/>
          </w:tcPr>
          <w:p w:rsidR="002160A9" w:rsidRDefault="002160A9" w14:paraId="200C75C3"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190E8ED0" w14:textId="77777777">
            <w:pPr>
              <w:jc w:val="right"/>
              <w:rPr>
                <w:rFonts w:ascii="Calibri" w:hAnsi="Calibri" w:cs="Calibri"/>
                <w:color w:val="000000"/>
                <w:sz w:val="22"/>
              </w:rPr>
            </w:pPr>
            <w:r>
              <w:rPr>
                <w:rFonts w:ascii="Calibri" w:hAnsi="Calibri" w:cs="Calibri"/>
                <w:color w:val="000000"/>
                <w:sz w:val="22"/>
              </w:rPr>
              <w:t xml:space="preserve">200,250 </w:t>
            </w:r>
          </w:p>
        </w:tc>
      </w:tr>
      <w:tr w:rsidR="002160A9" w:rsidTr="003B4BA5" w14:paraId="175E0A33" w14:textId="77777777">
        <w:trPr>
          <w:trHeight w:val="300"/>
        </w:trPr>
        <w:tc>
          <w:tcPr>
            <w:tcW w:w="4533" w:type="dxa"/>
            <w:gridSpan w:val="2"/>
            <w:tcBorders>
              <w:top w:val="nil"/>
              <w:left w:val="nil"/>
              <w:bottom w:val="nil"/>
              <w:right w:val="nil"/>
            </w:tcBorders>
            <w:shd w:val="clear" w:color="auto" w:fill="auto"/>
            <w:noWrap/>
            <w:vAlign w:val="bottom"/>
            <w:hideMark/>
          </w:tcPr>
          <w:p w:rsidR="002160A9" w:rsidRDefault="002160A9" w14:paraId="5A3F1399" w14:textId="77777777">
            <w:pPr>
              <w:rPr>
                <w:rFonts w:ascii="Calibri" w:hAnsi="Calibri" w:cs="Calibri"/>
                <w:color w:val="000000"/>
                <w:sz w:val="22"/>
              </w:rPr>
            </w:pPr>
            <w:r>
              <w:rPr>
                <w:rFonts w:ascii="Calibri" w:hAnsi="Calibri" w:cs="Calibri"/>
                <w:color w:val="000000"/>
                <w:sz w:val="22"/>
              </w:rPr>
              <w:t>DEFERRED REVENUES</w:t>
            </w:r>
          </w:p>
        </w:tc>
        <w:tc>
          <w:tcPr>
            <w:tcW w:w="1533" w:type="dxa"/>
            <w:tcBorders>
              <w:top w:val="nil"/>
              <w:left w:val="nil"/>
              <w:bottom w:val="nil"/>
              <w:right w:val="nil"/>
            </w:tcBorders>
            <w:shd w:val="clear" w:color="auto" w:fill="auto"/>
            <w:noWrap/>
            <w:vAlign w:val="bottom"/>
            <w:hideMark/>
          </w:tcPr>
          <w:p w:rsidR="002160A9" w:rsidRDefault="002160A9" w14:paraId="40DFB0D2" w14:textId="77777777">
            <w:pPr>
              <w:jc w:val="right"/>
              <w:rPr>
                <w:rFonts w:ascii="Calibri" w:hAnsi="Calibri" w:cs="Calibri"/>
                <w:color w:val="000000"/>
                <w:sz w:val="22"/>
              </w:rPr>
            </w:pPr>
            <w:r>
              <w:rPr>
                <w:rFonts w:ascii="Calibri" w:hAnsi="Calibri" w:cs="Calibri"/>
                <w:color w:val="000000"/>
                <w:sz w:val="22"/>
              </w:rPr>
              <w:t>0</w:t>
            </w:r>
          </w:p>
        </w:tc>
        <w:tc>
          <w:tcPr>
            <w:tcW w:w="1601" w:type="dxa"/>
            <w:tcBorders>
              <w:top w:val="nil"/>
              <w:left w:val="nil"/>
              <w:bottom w:val="nil"/>
              <w:right w:val="nil"/>
            </w:tcBorders>
            <w:shd w:val="clear" w:color="auto" w:fill="auto"/>
            <w:noWrap/>
            <w:vAlign w:val="bottom"/>
            <w:hideMark/>
          </w:tcPr>
          <w:p w:rsidR="002160A9" w:rsidRDefault="002160A9" w14:paraId="608F32C4"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709B782B" w14:textId="77777777">
            <w:pPr>
              <w:jc w:val="right"/>
              <w:rPr>
                <w:rFonts w:ascii="Calibri" w:hAnsi="Calibri" w:cs="Calibri"/>
                <w:color w:val="000000"/>
                <w:sz w:val="22"/>
              </w:rPr>
            </w:pPr>
            <w:r>
              <w:rPr>
                <w:rFonts w:ascii="Calibri" w:hAnsi="Calibri" w:cs="Calibri"/>
                <w:color w:val="000000"/>
                <w:sz w:val="22"/>
              </w:rPr>
              <w:t xml:space="preserve">0 </w:t>
            </w:r>
          </w:p>
        </w:tc>
      </w:tr>
      <w:tr w:rsidR="002160A9" w:rsidTr="003B4BA5" w14:paraId="02042EA1"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0DBA14AE"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36B81BFF"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5016D5BC"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17126DCF"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390B4FE1" w14:textId="77777777">
            <w:pPr>
              <w:rPr>
                <w:sz w:val="20"/>
                <w:szCs w:val="20"/>
              </w:rPr>
            </w:pPr>
          </w:p>
        </w:tc>
      </w:tr>
      <w:tr w:rsidR="002160A9" w:rsidTr="003B4BA5" w14:paraId="5DF0F4C2" w14:textId="77777777">
        <w:trPr>
          <w:trHeight w:val="300"/>
        </w:trPr>
        <w:tc>
          <w:tcPr>
            <w:tcW w:w="4533" w:type="dxa"/>
            <w:gridSpan w:val="2"/>
            <w:tcBorders>
              <w:top w:val="nil"/>
              <w:left w:val="nil"/>
              <w:bottom w:val="nil"/>
              <w:right w:val="nil"/>
            </w:tcBorders>
            <w:shd w:val="clear" w:color="auto" w:fill="auto"/>
            <w:noWrap/>
            <w:vAlign w:val="bottom"/>
            <w:hideMark/>
          </w:tcPr>
          <w:p w:rsidR="002160A9" w:rsidRDefault="002160A9" w14:paraId="757D7954" w14:textId="77777777">
            <w:pPr>
              <w:rPr>
                <w:rFonts w:ascii="Calibri" w:hAnsi="Calibri" w:cs="Calibri"/>
                <w:color w:val="000000"/>
                <w:sz w:val="22"/>
              </w:rPr>
            </w:pPr>
            <w:r>
              <w:rPr>
                <w:rFonts w:ascii="Calibri" w:hAnsi="Calibri" w:cs="Calibri"/>
                <w:color w:val="000000"/>
                <w:sz w:val="22"/>
              </w:rPr>
              <w:t>TOTAL REVENUES</w:t>
            </w:r>
          </w:p>
        </w:tc>
        <w:tc>
          <w:tcPr>
            <w:tcW w:w="1533" w:type="dxa"/>
            <w:tcBorders>
              <w:top w:val="nil"/>
              <w:left w:val="nil"/>
              <w:bottom w:val="nil"/>
              <w:right w:val="nil"/>
            </w:tcBorders>
            <w:shd w:val="clear" w:color="auto" w:fill="auto"/>
            <w:noWrap/>
            <w:vAlign w:val="bottom"/>
            <w:hideMark/>
          </w:tcPr>
          <w:p w:rsidR="002160A9" w:rsidRDefault="002160A9" w14:paraId="69A4771D" w14:textId="77777777">
            <w:pPr>
              <w:jc w:val="right"/>
              <w:rPr>
                <w:rFonts w:ascii="Calibri" w:hAnsi="Calibri" w:cs="Calibri"/>
                <w:color w:val="000000"/>
                <w:sz w:val="22"/>
              </w:rPr>
            </w:pPr>
            <w:r>
              <w:rPr>
                <w:rFonts w:ascii="Calibri" w:hAnsi="Calibri" w:cs="Calibri"/>
                <w:color w:val="000000"/>
                <w:sz w:val="22"/>
              </w:rPr>
              <w:t xml:space="preserve">231,024 </w:t>
            </w:r>
          </w:p>
        </w:tc>
        <w:tc>
          <w:tcPr>
            <w:tcW w:w="1601" w:type="dxa"/>
            <w:tcBorders>
              <w:top w:val="nil"/>
              <w:left w:val="nil"/>
              <w:bottom w:val="nil"/>
              <w:right w:val="nil"/>
            </w:tcBorders>
            <w:shd w:val="clear" w:color="auto" w:fill="auto"/>
            <w:noWrap/>
            <w:vAlign w:val="bottom"/>
            <w:hideMark/>
          </w:tcPr>
          <w:p w:rsidR="002160A9" w:rsidRDefault="002160A9" w14:paraId="657A7E28" w14:textId="77777777">
            <w:pPr>
              <w:jc w:val="right"/>
              <w:rPr>
                <w:rFonts w:ascii="Calibri" w:hAnsi="Calibri" w:cs="Calibri"/>
                <w:color w:val="000000"/>
                <w:sz w:val="22"/>
              </w:rPr>
            </w:pPr>
            <w:r>
              <w:rPr>
                <w:rFonts w:ascii="Calibri" w:hAnsi="Calibri" w:cs="Calibri"/>
                <w:color w:val="000000"/>
                <w:sz w:val="22"/>
              </w:rPr>
              <w:t>(30,774)</w:t>
            </w:r>
          </w:p>
        </w:tc>
        <w:tc>
          <w:tcPr>
            <w:tcW w:w="1693" w:type="dxa"/>
            <w:tcBorders>
              <w:top w:val="nil"/>
              <w:left w:val="nil"/>
              <w:bottom w:val="nil"/>
              <w:right w:val="nil"/>
            </w:tcBorders>
            <w:shd w:val="clear" w:color="auto" w:fill="auto"/>
            <w:noWrap/>
            <w:vAlign w:val="bottom"/>
            <w:hideMark/>
          </w:tcPr>
          <w:p w:rsidR="002160A9" w:rsidRDefault="002160A9" w14:paraId="2746B094" w14:textId="77777777">
            <w:pPr>
              <w:jc w:val="right"/>
              <w:rPr>
                <w:rFonts w:ascii="Calibri" w:hAnsi="Calibri" w:cs="Calibri"/>
                <w:color w:val="000000"/>
                <w:sz w:val="22"/>
              </w:rPr>
            </w:pPr>
            <w:r>
              <w:rPr>
                <w:rFonts w:ascii="Calibri" w:hAnsi="Calibri" w:cs="Calibri"/>
                <w:color w:val="000000"/>
                <w:sz w:val="22"/>
              </w:rPr>
              <w:t xml:space="preserve">200,250 </w:t>
            </w:r>
          </w:p>
        </w:tc>
      </w:tr>
      <w:tr w:rsidR="002160A9" w:rsidTr="003B4BA5" w14:paraId="0747F0B8"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7FEA8BE4"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6405ACBA"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48C041FF"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12B0B918" w14:textId="77777777">
            <w:pPr>
              <w:jc w:val="right"/>
              <w:rPr>
                <w:rFonts w:ascii="Calibri" w:hAnsi="Calibri" w:cs="Calibri"/>
                <w:color w:val="000000"/>
                <w:sz w:val="22"/>
              </w:rPr>
            </w:pPr>
            <w:r>
              <w:rPr>
                <w:rFonts w:ascii="Calibri" w:hAnsi="Calibri" w:cs="Calibri"/>
                <w:color w:val="000000"/>
                <w:sz w:val="22"/>
              </w:rPr>
              <w:t>-13.32%</w:t>
            </w:r>
          </w:p>
        </w:tc>
        <w:tc>
          <w:tcPr>
            <w:tcW w:w="1693" w:type="dxa"/>
            <w:tcBorders>
              <w:top w:val="nil"/>
              <w:left w:val="nil"/>
              <w:bottom w:val="nil"/>
              <w:right w:val="nil"/>
            </w:tcBorders>
            <w:shd w:val="clear" w:color="auto" w:fill="auto"/>
            <w:noWrap/>
            <w:vAlign w:val="bottom"/>
            <w:hideMark/>
          </w:tcPr>
          <w:p w:rsidR="002160A9" w:rsidRDefault="002160A9" w14:paraId="20B97EF3" w14:textId="77777777">
            <w:pPr>
              <w:jc w:val="right"/>
              <w:rPr>
                <w:rFonts w:ascii="Calibri" w:hAnsi="Calibri" w:cs="Calibri"/>
                <w:color w:val="000000"/>
                <w:sz w:val="22"/>
              </w:rPr>
            </w:pPr>
          </w:p>
        </w:tc>
      </w:tr>
      <w:tr w:rsidR="002160A9" w:rsidTr="003B4BA5" w14:paraId="7E019546" w14:textId="77777777">
        <w:trPr>
          <w:trHeight w:val="300"/>
        </w:trPr>
        <w:tc>
          <w:tcPr>
            <w:tcW w:w="4533" w:type="dxa"/>
            <w:gridSpan w:val="2"/>
            <w:tcBorders>
              <w:top w:val="nil"/>
              <w:left w:val="nil"/>
              <w:bottom w:val="nil"/>
              <w:right w:val="nil"/>
            </w:tcBorders>
            <w:shd w:val="clear" w:color="auto" w:fill="auto"/>
            <w:noWrap/>
            <w:vAlign w:val="bottom"/>
            <w:hideMark/>
          </w:tcPr>
          <w:p w:rsidR="002160A9" w:rsidRDefault="002160A9" w14:paraId="6DEA7E69" w14:textId="77777777">
            <w:pPr>
              <w:rPr>
                <w:rFonts w:ascii="Calibri" w:hAnsi="Calibri" w:cs="Calibri"/>
                <w:color w:val="000000"/>
                <w:sz w:val="22"/>
              </w:rPr>
            </w:pPr>
            <w:r>
              <w:rPr>
                <w:rFonts w:ascii="Calibri" w:hAnsi="Calibri" w:cs="Calibri"/>
                <w:color w:val="000000"/>
                <w:sz w:val="22"/>
              </w:rPr>
              <w:t>OPERATIONS &amp; MAINTENANCE</w:t>
            </w:r>
          </w:p>
        </w:tc>
        <w:tc>
          <w:tcPr>
            <w:tcW w:w="1533" w:type="dxa"/>
            <w:tcBorders>
              <w:top w:val="nil"/>
              <w:left w:val="nil"/>
              <w:bottom w:val="nil"/>
              <w:right w:val="nil"/>
            </w:tcBorders>
            <w:shd w:val="clear" w:color="auto" w:fill="auto"/>
            <w:noWrap/>
            <w:vAlign w:val="bottom"/>
            <w:hideMark/>
          </w:tcPr>
          <w:p w:rsidR="002160A9" w:rsidRDefault="002160A9" w14:paraId="58006B7E" w14:textId="77777777">
            <w:pPr>
              <w:rPr>
                <w:rFonts w:ascii="Calibri" w:hAnsi="Calibri" w:cs="Calibri"/>
                <w:color w:val="000000"/>
                <w:sz w:val="22"/>
              </w:rPr>
            </w:pPr>
          </w:p>
        </w:tc>
        <w:tc>
          <w:tcPr>
            <w:tcW w:w="1601" w:type="dxa"/>
            <w:tcBorders>
              <w:top w:val="nil"/>
              <w:left w:val="nil"/>
              <w:bottom w:val="nil"/>
              <w:right w:val="nil"/>
            </w:tcBorders>
            <w:shd w:val="clear" w:color="auto" w:fill="auto"/>
            <w:noWrap/>
            <w:vAlign w:val="bottom"/>
            <w:hideMark/>
          </w:tcPr>
          <w:p w:rsidR="002160A9" w:rsidRDefault="002160A9" w14:paraId="2328A99A"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69FF30D7" w14:textId="77777777">
            <w:pPr>
              <w:rPr>
                <w:sz w:val="20"/>
                <w:szCs w:val="20"/>
              </w:rPr>
            </w:pPr>
          </w:p>
        </w:tc>
      </w:tr>
      <w:tr w:rsidR="002160A9" w:rsidTr="003B4BA5" w14:paraId="193100BB"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1DC89139" w14:textId="77777777">
            <w:pPr>
              <w:rPr>
                <w:sz w:val="20"/>
                <w:szCs w:val="20"/>
              </w:rPr>
            </w:pPr>
          </w:p>
        </w:tc>
        <w:tc>
          <w:tcPr>
            <w:tcW w:w="3637" w:type="dxa"/>
            <w:tcBorders>
              <w:top w:val="nil"/>
              <w:left w:val="nil"/>
              <w:bottom w:val="nil"/>
              <w:right w:val="nil"/>
            </w:tcBorders>
            <w:shd w:val="clear" w:color="auto" w:fill="auto"/>
            <w:noWrap/>
            <w:vAlign w:val="bottom"/>
            <w:hideMark/>
          </w:tcPr>
          <w:p w:rsidR="002160A9" w:rsidRDefault="002160A9" w14:paraId="3277F5AD" w14:textId="77777777">
            <w:pPr>
              <w:rPr>
                <w:rFonts w:ascii="Calibri" w:hAnsi="Calibri" w:cs="Calibri"/>
                <w:color w:val="000000"/>
                <w:sz w:val="22"/>
              </w:rPr>
            </w:pPr>
            <w:r>
              <w:rPr>
                <w:rFonts w:ascii="Calibri" w:hAnsi="Calibri" w:cs="Calibri"/>
                <w:color w:val="000000"/>
                <w:sz w:val="22"/>
              </w:rPr>
              <w:t>PAYROLL-OPERATIONS</w:t>
            </w:r>
          </w:p>
        </w:tc>
        <w:tc>
          <w:tcPr>
            <w:tcW w:w="1533" w:type="dxa"/>
            <w:tcBorders>
              <w:top w:val="nil"/>
              <w:left w:val="nil"/>
              <w:bottom w:val="nil"/>
              <w:right w:val="nil"/>
            </w:tcBorders>
            <w:shd w:val="clear" w:color="auto" w:fill="auto"/>
            <w:noWrap/>
            <w:vAlign w:val="bottom"/>
            <w:hideMark/>
          </w:tcPr>
          <w:p w:rsidR="002160A9" w:rsidRDefault="002160A9" w14:paraId="3F18A9A4" w14:textId="77777777">
            <w:pPr>
              <w:jc w:val="right"/>
              <w:rPr>
                <w:rFonts w:ascii="Calibri" w:hAnsi="Calibri" w:cs="Calibri"/>
                <w:color w:val="000000"/>
                <w:sz w:val="22"/>
              </w:rPr>
            </w:pPr>
            <w:r>
              <w:rPr>
                <w:rFonts w:ascii="Calibri" w:hAnsi="Calibri" w:cs="Calibri"/>
                <w:color w:val="000000"/>
                <w:sz w:val="22"/>
              </w:rPr>
              <w:t xml:space="preserve">7,934 </w:t>
            </w:r>
          </w:p>
        </w:tc>
        <w:tc>
          <w:tcPr>
            <w:tcW w:w="1601" w:type="dxa"/>
            <w:tcBorders>
              <w:top w:val="nil"/>
              <w:left w:val="nil"/>
              <w:bottom w:val="nil"/>
              <w:right w:val="nil"/>
            </w:tcBorders>
            <w:shd w:val="clear" w:color="auto" w:fill="auto"/>
            <w:noWrap/>
            <w:vAlign w:val="bottom"/>
            <w:hideMark/>
          </w:tcPr>
          <w:p w:rsidR="002160A9" w:rsidRDefault="002160A9" w14:paraId="3030D078"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5BBA67E7" w14:textId="77777777">
            <w:pPr>
              <w:jc w:val="right"/>
              <w:rPr>
                <w:rFonts w:ascii="Calibri" w:hAnsi="Calibri" w:cs="Calibri"/>
                <w:color w:val="000000"/>
                <w:sz w:val="22"/>
              </w:rPr>
            </w:pPr>
            <w:r>
              <w:rPr>
                <w:rFonts w:ascii="Calibri" w:hAnsi="Calibri" w:cs="Calibri"/>
                <w:color w:val="000000"/>
                <w:sz w:val="22"/>
              </w:rPr>
              <w:t xml:space="preserve">7,934 </w:t>
            </w:r>
          </w:p>
        </w:tc>
      </w:tr>
      <w:tr w:rsidR="002160A9" w:rsidTr="003B4BA5" w14:paraId="110D0AFA"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07F5CA6C"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7B634575" w14:textId="77777777">
            <w:pPr>
              <w:rPr>
                <w:rFonts w:ascii="Calibri" w:hAnsi="Calibri" w:cs="Calibri"/>
                <w:color w:val="000000"/>
                <w:sz w:val="22"/>
              </w:rPr>
            </w:pPr>
            <w:r>
              <w:rPr>
                <w:rFonts w:ascii="Calibri" w:hAnsi="Calibri" w:cs="Calibri"/>
                <w:color w:val="000000"/>
                <w:sz w:val="22"/>
              </w:rPr>
              <w:t>OPERATIONS-OTHER</w:t>
            </w:r>
          </w:p>
        </w:tc>
        <w:tc>
          <w:tcPr>
            <w:tcW w:w="1533" w:type="dxa"/>
            <w:tcBorders>
              <w:top w:val="nil"/>
              <w:left w:val="nil"/>
              <w:bottom w:val="nil"/>
              <w:right w:val="nil"/>
            </w:tcBorders>
            <w:shd w:val="clear" w:color="auto" w:fill="auto"/>
            <w:noWrap/>
            <w:vAlign w:val="bottom"/>
            <w:hideMark/>
          </w:tcPr>
          <w:p w:rsidR="002160A9" w:rsidRDefault="002160A9" w14:paraId="2A6C8A7F" w14:textId="77777777">
            <w:pPr>
              <w:jc w:val="right"/>
              <w:rPr>
                <w:rFonts w:ascii="Calibri" w:hAnsi="Calibri" w:cs="Calibri"/>
                <w:color w:val="000000"/>
                <w:sz w:val="22"/>
              </w:rPr>
            </w:pPr>
            <w:r>
              <w:rPr>
                <w:rFonts w:ascii="Calibri" w:hAnsi="Calibri" w:cs="Calibri"/>
                <w:color w:val="000000"/>
                <w:sz w:val="22"/>
              </w:rPr>
              <w:t xml:space="preserve">0 </w:t>
            </w:r>
          </w:p>
        </w:tc>
        <w:tc>
          <w:tcPr>
            <w:tcW w:w="1601" w:type="dxa"/>
            <w:tcBorders>
              <w:top w:val="nil"/>
              <w:left w:val="nil"/>
              <w:bottom w:val="nil"/>
              <w:right w:val="nil"/>
            </w:tcBorders>
            <w:shd w:val="clear" w:color="auto" w:fill="auto"/>
            <w:noWrap/>
            <w:vAlign w:val="bottom"/>
            <w:hideMark/>
          </w:tcPr>
          <w:p w:rsidR="002160A9" w:rsidRDefault="002160A9" w14:paraId="210A00AE"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17C8E52F" w14:textId="77777777">
            <w:pPr>
              <w:jc w:val="right"/>
              <w:rPr>
                <w:rFonts w:ascii="Calibri" w:hAnsi="Calibri" w:cs="Calibri"/>
                <w:color w:val="000000"/>
                <w:sz w:val="22"/>
              </w:rPr>
            </w:pPr>
            <w:r>
              <w:rPr>
                <w:rFonts w:ascii="Calibri" w:hAnsi="Calibri" w:cs="Calibri"/>
                <w:color w:val="000000"/>
                <w:sz w:val="22"/>
              </w:rPr>
              <w:t xml:space="preserve">0 </w:t>
            </w:r>
          </w:p>
        </w:tc>
      </w:tr>
      <w:tr w:rsidR="002160A9" w:rsidTr="003B4BA5" w14:paraId="20A4B58C"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3C6AD690"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69B61F90" w14:textId="77777777">
            <w:pPr>
              <w:rPr>
                <w:rFonts w:ascii="Calibri" w:hAnsi="Calibri" w:cs="Calibri"/>
                <w:color w:val="000000"/>
                <w:sz w:val="22"/>
              </w:rPr>
            </w:pPr>
            <w:r>
              <w:rPr>
                <w:rFonts w:ascii="Calibri" w:hAnsi="Calibri" w:cs="Calibri"/>
                <w:color w:val="000000"/>
                <w:sz w:val="22"/>
              </w:rPr>
              <w:t>PURCHASED POWER</w:t>
            </w:r>
          </w:p>
        </w:tc>
        <w:tc>
          <w:tcPr>
            <w:tcW w:w="1533" w:type="dxa"/>
            <w:tcBorders>
              <w:top w:val="nil"/>
              <w:left w:val="nil"/>
              <w:bottom w:val="nil"/>
              <w:right w:val="nil"/>
            </w:tcBorders>
            <w:shd w:val="clear" w:color="auto" w:fill="auto"/>
            <w:noWrap/>
            <w:vAlign w:val="bottom"/>
            <w:hideMark/>
          </w:tcPr>
          <w:p w:rsidR="002160A9" w:rsidRDefault="002160A9" w14:paraId="0AE5BB92" w14:textId="77777777">
            <w:pPr>
              <w:jc w:val="right"/>
              <w:rPr>
                <w:rFonts w:ascii="Calibri" w:hAnsi="Calibri" w:cs="Calibri"/>
                <w:color w:val="000000"/>
                <w:sz w:val="22"/>
              </w:rPr>
            </w:pPr>
            <w:r>
              <w:rPr>
                <w:rFonts w:ascii="Calibri" w:hAnsi="Calibri" w:cs="Calibri"/>
                <w:color w:val="000000"/>
                <w:sz w:val="22"/>
              </w:rPr>
              <w:t xml:space="preserve">111,799 </w:t>
            </w:r>
          </w:p>
        </w:tc>
        <w:tc>
          <w:tcPr>
            <w:tcW w:w="1601" w:type="dxa"/>
            <w:tcBorders>
              <w:top w:val="nil"/>
              <w:left w:val="nil"/>
              <w:bottom w:val="nil"/>
              <w:right w:val="nil"/>
            </w:tcBorders>
            <w:shd w:val="clear" w:color="auto" w:fill="auto"/>
            <w:noWrap/>
            <w:vAlign w:val="bottom"/>
            <w:hideMark/>
          </w:tcPr>
          <w:p w:rsidR="002160A9" w:rsidRDefault="002160A9" w14:paraId="2A5984DD"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474AEE4C" w14:textId="77777777">
            <w:pPr>
              <w:jc w:val="right"/>
              <w:rPr>
                <w:rFonts w:ascii="Calibri" w:hAnsi="Calibri" w:cs="Calibri"/>
                <w:color w:val="000000"/>
                <w:sz w:val="22"/>
              </w:rPr>
            </w:pPr>
            <w:r>
              <w:rPr>
                <w:rFonts w:ascii="Calibri" w:hAnsi="Calibri" w:cs="Calibri"/>
                <w:color w:val="000000"/>
                <w:sz w:val="22"/>
              </w:rPr>
              <w:t xml:space="preserve">111,799 </w:t>
            </w:r>
          </w:p>
        </w:tc>
      </w:tr>
      <w:tr w:rsidR="002160A9" w:rsidTr="003B4BA5" w14:paraId="02BA02CE"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69D590D3"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4121EE1B" w14:textId="77777777">
            <w:pPr>
              <w:rPr>
                <w:rFonts w:ascii="Calibri" w:hAnsi="Calibri" w:cs="Calibri"/>
                <w:color w:val="000000"/>
                <w:sz w:val="22"/>
              </w:rPr>
            </w:pPr>
            <w:r>
              <w:rPr>
                <w:rFonts w:ascii="Calibri" w:hAnsi="Calibri" w:cs="Calibri"/>
                <w:color w:val="000000"/>
                <w:sz w:val="22"/>
              </w:rPr>
              <w:t>LEASED WATER RIGHTS</w:t>
            </w:r>
          </w:p>
        </w:tc>
        <w:tc>
          <w:tcPr>
            <w:tcW w:w="1533" w:type="dxa"/>
            <w:tcBorders>
              <w:top w:val="nil"/>
              <w:left w:val="nil"/>
              <w:bottom w:val="nil"/>
              <w:right w:val="nil"/>
            </w:tcBorders>
            <w:shd w:val="clear" w:color="auto" w:fill="auto"/>
            <w:noWrap/>
            <w:vAlign w:val="bottom"/>
            <w:hideMark/>
          </w:tcPr>
          <w:p w:rsidR="002160A9" w:rsidRDefault="002160A9" w14:paraId="4DB85A86" w14:textId="77777777">
            <w:pPr>
              <w:jc w:val="right"/>
              <w:rPr>
                <w:rFonts w:ascii="Calibri" w:hAnsi="Calibri" w:cs="Calibri"/>
                <w:color w:val="000000"/>
                <w:sz w:val="22"/>
              </w:rPr>
            </w:pPr>
            <w:r>
              <w:rPr>
                <w:rFonts w:ascii="Calibri" w:hAnsi="Calibri" w:cs="Calibri"/>
                <w:color w:val="000000"/>
                <w:sz w:val="22"/>
              </w:rPr>
              <w:t xml:space="preserve">0 </w:t>
            </w:r>
          </w:p>
        </w:tc>
        <w:tc>
          <w:tcPr>
            <w:tcW w:w="1601" w:type="dxa"/>
            <w:tcBorders>
              <w:top w:val="nil"/>
              <w:left w:val="nil"/>
              <w:bottom w:val="nil"/>
              <w:right w:val="nil"/>
            </w:tcBorders>
            <w:shd w:val="clear" w:color="auto" w:fill="auto"/>
            <w:noWrap/>
            <w:vAlign w:val="bottom"/>
            <w:hideMark/>
          </w:tcPr>
          <w:p w:rsidR="002160A9" w:rsidRDefault="002160A9" w14:paraId="3475A2EB"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1FF7DBDA" w14:textId="77777777">
            <w:pPr>
              <w:jc w:val="right"/>
              <w:rPr>
                <w:rFonts w:ascii="Calibri" w:hAnsi="Calibri" w:cs="Calibri"/>
                <w:color w:val="000000"/>
                <w:sz w:val="22"/>
              </w:rPr>
            </w:pPr>
            <w:r>
              <w:rPr>
                <w:rFonts w:ascii="Calibri" w:hAnsi="Calibri" w:cs="Calibri"/>
                <w:color w:val="000000"/>
                <w:sz w:val="22"/>
              </w:rPr>
              <w:t xml:space="preserve">0 </w:t>
            </w:r>
          </w:p>
        </w:tc>
      </w:tr>
      <w:tr w:rsidR="002160A9" w:rsidTr="003B4BA5" w14:paraId="14D2D7DA"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350A4CB0"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672CCA17" w14:textId="77777777">
            <w:pPr>
              <w:rPr>
                <w:rFonts w:ascii="Calibri" w:hAnsi="Calibri" w:cs="Calibri"/>
                <w:color w:val="000000"/>
                <w:sz w:val="22"/>
              </w:rPr>
            </w:pPr>
            <w:r>
              <w:rPr>
                <w:rFonts w:ascii="Calibri" w:hAnsi="Calibri" w:cs="Calibri"/>
                <w:color w:val="000000"/>
                <w:sz w:val="22"/>
              </w:rPr>
              <w:t>REPLENISHMENT</w:t>
            </w:r>
          </w:p>
        </w:tc>
        <w:tc>
          <w:tcPr>
            <w:tcW w:w="1533" w:type="dxa"/>
            <w:tcBorders>
              <w:top w:val="nil"/>
              <w:left w:val="nil"/>
              <w:bottom w:val="nil"/>
              <w:right w:val="nil"/>
            </w:tcBorders>
            <w:shd w:val="clear" w:color="auto" w:fill="auto"/>
            <w:noWrap/>
            <w:vAlign w:val="bottom"/>
            <w:hideMark/>
          </w:tcPr>
          <w:p w:rsidR="002160A9" w:rsidRDefault="002160A9" w14:paraId="3C51B025" w14:textId="77777777">
            <w:pPr>
              <w:jc w:val="right"/>
              <w:rPr>
                <w:rFonts w:ascii="Calibri" w:hAnsi="Calibri" w:cs="Calibri"/>
                <w:color w:val="000000"/>
                <w:sz w:val="22"/>
              </w:rPr>
            </w:pPr>
            <w:r>
              <w:rPr>
                <w:rFonts w:ascii="Calibri" w:hAnsi="Calibri" w:cs="Calibri"/>
                <w:color w:val="000000"/>
                <w:sz w:val="22"/>
              </w:rPr>
              <w:t xml:space="preserve">3,853 </w:t>
            </w:r>
          </w:p>
        </w:tc>
        <w:tc>
          <w:tcPr>
            <w:tcW w:w="1601" w:type="dxa"/>
            <w:tcBorders>
              <w:top w:val="nil"/>
              <w:left w:val="nil"/>
              <w:bottom w:val="nil"/>
              <w:right w:val="nil"/>
            </w:tcBorders>
            <w:shd w:val="clear" w:color="auto" w:fill="auto"/>
            <w:noWrap/>
            <w:vAlign w:val="bottom"/>
            <w:hideMark/>
          </w:tcPr>
          <w:p w:rsidR="002160A9" w:rsidRDefault="002160A9" w14:paraId="24DF427A"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2405FD4A" w14:textId="77777777">
            <w:pPr>
              <w:jc w:val="right"/>
              <w:rPr>
                <w:rFonts w:ascii="Calibri" w:hAnsi="Calibri" w:cs="Calibri"/>
                <w:color w:val="000000"/>
                <w:sz w:val="22"/>
              </w:rPr>
            </w:pPr>
            <w:r>
              <w:rPr>
                <w:rFonts w:ascii="Calibri" w:hAnsi="Calibri" w:cs="Calibri"/>
                <w:color w:val="000000"/>
                <w:sz w:val="22"/>
              </w:rPr>
              <w:t xml:space="preserve">3,853 </w:t>
            </w:r>
          </w:p>
        </w:tc>
      </w:tr>
      <w:tr w:rsidR="002160A9" w:rsidTr="003B4BA5" w14:paraId="0966D774"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77AF831C"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2345BCDD" w14:textId="77777777">
            <w:pPr>
              <w:rPr>
                <w:rFonts w:ascii="Calibri" w:hAnsi="Calibri" w:cs="Calibri"/>
                <w:color w:val="000000"/>
                <w:sz w:val="22"/>
              </w:rPr>
            </w:pPr>
            <w:r>
              <w:rPr>
                <w:rFonts w:ascii="Calibri" w:hAnsi="Calibri" w:cs="Calibri"/>
                <w:color w:val="000000"/>
                <w:sz w:val="22"/>
              </w:rPr>
              <w:t>CUSTOMERS-OTHER</w:t>
            </w:r>
          </w:p>
        </w:tc>
        <w:tc>
          <w:tcPr>
            <w:tcW w:w="1533" w:type="dxa"/>
            <w:tcBorders>
              <w:top w:val="nil"/>
              <w:left w:val="nil"/>
              <w:bottom w:val="nil"/>
              <w:right w:val="nil"/>
            </w:tcBorders>
            <w:shd w:val="clear" w:color="auto" w:fill="auto"/>
            <w:noWrap/>
            <w:vAlign w:val="bottom"/>
            <w:hideMark/>
          </w:tcPr>
          <w:p w:rsidR="002160A9" w:rsidRDefault="002160A9" w14:paraId="456B2F25" w14:textId="77777777">
            <w:pPr>
              <w:jc w:val="right"/>
              <w:rPr>
                <w:rFonts w:ascii="Calibri" w:hAnsi="Calibri" w:cs="Calibri"/>
                <w:color w:val="000000"/>
                <w:sz w:val="22"/>
              </w:rPr>
            </w:pPr>
            <w:r>
              <w:rPr>
                <w:rFonts w:ascii="Calibri" w:hAnsi="Calibri" w:cs="Calibri"/>
                <w:color w:val="000000"/>
                <w:sz w:val="22"/>
              </w:rPr>
              <w:t xml:space="preserve">0 </w:t>
            </w:r>
          </w:p>
        </w:tc>
        <w:tc>
          <w:tcPr>
            <w:tcW w:w="1601" w:type="dxa"/>
            <w:tcBorders>
              <w:top w:val="nil"/>
              <w:left w:val="nil"/>
              <w:bottom w:val="nil"/>
              <w:right w:val="nil"/>
            </w:tcBorders>
            <w:shd w:val="clear" w:color="auto" w:fill="auto"/>
            <w:noWrap/>
            <w:vAlign w:val="bottom"/>
            <w:hideMark/>
          </w:tcPr>
          <w:p w:rsidR="002160A9" w:rsidRDefault="002160A9" w14:paraId="3BFC7582"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5F34D89D" w14:textId="77777777">
            <w:pPr>
              <w:jc w:val="right"/>
              <w:rPr>
                <w:rFonts w:ascii="Calibri" w:hAnsi="Calibri" w:cs="Calibri"/>
                <w:color w:val="000000"/>
                <w:sz w:val="22"/>
              </w:rPr>
            </w:pPr>
            <w:r>
              <w:rPr>
                <w:rFonts w:ascii="Calibri" w:hAnsi="Calibri" w:cs="Calibri"/>
                <w:color w:val="000000"/>
                <w:sz w:val="22"/>
              </w:rPr>
              <w:t xml:space="preserve">0 </w:t>
            </w:r>
          </w:p>
        </w:tc>
      </w:tr>
      <w:tr w:rsidR="002160A9" w:rsidTr="003B4BA5" w14:paraId="30E9F330"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49643D81"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259858D4" w14:textId="77777777">
            <w:pPr>
              <w:rPr>
                <w:rFonts w:ascii="Calibri" w:hAnsi="Calibri" w:cs="Calibri"/>
                <w:color w:val="000000"/>
                <w:sz w:val="22"/>
              </w:rPr>
            </w:pPr>
            <w:r>
              <w:rPr>
                <w:rFonts w:ascii="Calibri" w:hAnsi="Calibri" w:cs="Calibri"/>
                <w:color w:val="000000"/>
                <w:sz w:val="22"/>
              </w:rPr>
              <w:t>UNCOLLECTIBLES</w:t>
            </w:r>
          </w:p>
        </w:tc>
        <w:tc>
          <w:tcPr>
            <w:tcW w:w="1533" w:type="dxa"/>
            <w:tcBorders>
              <w:top w:val="nil"/>
              <w:left w:val="nil"/>
              <w:bottom w:val="nil"/>
              <w:right w:val="nil"/>
            </w:tcBorders>
            <w:shd w:val="clear" w:color="auto" w:fill="auto"/>
            <w:noWrap/>
            <w:vAlign w:val="bottom"/>
            <w:hideMark/>
          </w:tcPr>
          <w:p w:rsidR="002160A9" w:rsidRDefault="002160A9" w14:paraId="6094841F" w14:textId="77777777">
            <w:pPr>
              <w:jc w:val="right"/>
              <w:rPr>
                <w:rFonts w:ascii="Calibri" w:hAnsi="Calibri" w:cs="Calibri"/>
                <w:color w:val="000000"/>
                <w:sz w:val="22"/>
              </w:rPr>
            </w:pPr>
            <w:r>
              <w:rPr>
                <w:rFonts w:ascii="Calibri" w:hAnsi="Calibri" w:cs="Calibri"/>
                <w:color w:val="000000"/>
                <w:sz w:val="22"/>
              </w:rPr>
              <w:t xml:space="preserve">0 </w:t>
            </w:r>
          </w:p>
        </w:tc>
        <w:tc>
          <w:tcPr>
            <w:tcW w:w="1601" w:type="dxa"/>
            <w:tcBorders>
              <w:top w:val="nil"/>
              <w:left w:val="nil"/>
              <w:bottom w:val="nil"/>
              <w:right w:val="nil"/>
            </w:tcBorders>
            <w:shd w:val="clear" w:color="auto" w:fill="auto"/>
            <w:noWrap/>
            <w:vAlign w:val="bottom"/>
            <w:hideMark/>
          </w:tcPr>
          <w:p w:rsidR="002160A9" w:rsidRDefault="002160A9" w14:paraId="3C9D8190"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01804529" w14:textId="77777777">
            <w:pPr>
              <w:jc w:val="right"/>
              <w:rPr>
                <w:rFonts w:ascii="Calibri" w:hAnsi="Calibri" w:cs="Calibri"/>
                <w:color w:val="000000"/>
                <w:sz w:val="22"/>
              </w:rPr>
            </w:pPr>
            <w:r>
              <w:rPr>
                <w:rFonts w:ascii="Calibri" w:hAnsi="Calibri" w:cs="Calibri"/>
                <w:color w:val="000000"/>
                <w:sz w:val="22"/>
              </w:rPr>
              <w:t xml:space="preserve">0 </w:t>
            </w:r>
          </w:p>
        </w:tc>
      </w:tr>
      <w:tr w:rsidR="002160A9" w:rsidTr="003B4BA5" w14:paraId="1ED5AEEC"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1A23423F"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55B126A4" w14:textId="77777777">
            <w:pPr>
              <w:rPr>
                <w:rFonts w:ascii="Calibri" w:hAnsi="Calibri" w:cs="Calibri"/>
                <w:color w:val="000000"/>
                <w:sz w:val="22"/>
              </w:rPr>
            </w:pPr>
            <w:r>
              <w:rPr>
                <w:rFonts w:ascii="Calibri" w:hAnsi="Calibri" w:cs="Calibri"/>
                <w:color w:val="000000"/>
                <w:sz w:val="22"/>
              </w:rPr>
              <w:t>PAYROLL-MAINTENANCE</w:t>
            </w:r>
          </w:p>
        </w:tc>
        <w:tc>
          <w:tcPr>
            <w:tcW w:w="1533" w:type="dxa"/>
            <w:tcBorders>
              <w:top w:val="nil"/>
              <w:left w:val="nil"/>
              <w:bottom w:val="nil"/>
              <w:right w:val="nil"/>
            </w:tcBorders>
            <w:shd w:val="clear" w:color="auto" w:fill="auto"/>
            <w:noWrap/>
            <w:vAlign w:val="bottom"/>
            <w:hideMark/>
          </w:tcPr>
          <w:p w:rsidR="002160A9" w:rsidRDefault="002160A9" w14:paraId="0824492C" w14:textId="77777777">
            <w:pPr>
              <w:jc w:val="right"/>
              <w:rPr>
                <w:rFonts w:ascii="Calibri" w:hAnsi="Calibri" w:cs="Calibri"/>
                <w:color w:val="000000"/>
                <w:sz w:val="22"/>
              </w:rPr>
            </w:pPr>
            <w:r>
              <w:rPr>
                <w:rFonts w:ascii="Calibri" w:hAnsi="Calibri" w:cs="Calibri"/>
                <w:color w:val="000000"/>
                <w:sz w:val="22"/>
              </w:rPr>
              <w:t xml:space="preserve">0 </w:t>
            </w:r>
          </w:p>
        </w:tc>
        <w:tc>
          <w:tcPr>
            <w:tcW w:w="1601" w:type="dxa"/>
            <w:tcBorders>
              <w:top w:val="nil"/>
              <w:left w:val="nil"/>
              <w:bottom w:val="nil"/>
              <w:right w:val="nil"/>
            </w:tcBorders>
            <w:shd w:val="clear" w:color="auto" w:fill="auto"/>
            <w:noWrap/>
            <w:vAlign w:val="bottom"/>
            <w:hideMark/>
          </w:tcPr>
          <w:p w:rsidR="002160A9" w:rsidRDefault="002160A9" w14:paraId="7317C1D9"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717489C1" w14:textId="77777777">
            <w:pPr>
              <w:jc w:val="right"/>
              <w:rPr>
                <w:rFonts w:ascii="Calibri" w:hAnsi="Calibri" w:cs="Calibri"/>
                <w:color w:val="000000"/>
                <w:sz w:val="22"/>
              </w:rPr>
            </w:pPr>
            <w:r>
              <w:rPr>
                <w:rFonts w:ascii="Calibri" w:hAnsi="Calibri" w:cs="Calibri"/>
                <w:color w:val="000000"/>
                <w:sz w:val="22"/>
              </w:rPr>
              <w:t xml:space="preserve">0 </w:t>
            </w:r>
          </w:p>
        </w:tc>
      </w:tr>
      <w:tr w:rsidR="002160A9" w:rsidTr="003B4BA5" w14:paraId="5FA6671E"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06A44651"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672A35D7" w14:textId="77777777">
            <w:pPr>
              <w:rPr>
                <w:rFonts w:ascii="Calibri" w:hAnsi="Calibri" w:cs="Calibri"/>
                <w:color w:val="000000"/>
                <w:sz w:val="22"/>
              </w:rPr>
            </w:pPr>
            <w:r>
              <w:rPr>
                <w:rFonts w:ascii="Calibri" w:hAnsi="Calibri" w:cs="Calibri"/>
                <w:color w:val="000000"/>
                <w:sz w:val="22"/>
              </w:rPr>
              <w:t>MAINTENANCE-OTHER</w:t>
            </w:r>
          </w:p>
        </w:tc>
        <w:tc>
          <w:tcPr>
            <w:tcW w:w="1533" w:type="dxa"/>
            <w:tcBorders>
              <w:top w:val="nil"/>
              <w:left w:val="nil"/>
              <w:bottom w:val="nil"/>
              <w:right w:val="nil"/>
            </w:tcBorders>
            <w:shd w:val="clear" w:color="auto" w:fill="auto"/>
            <w:noWrap/>
            <w:vAlign w:val="bottom"/>
            <w:hideMark/>
          </w:tcPr>
          <w:p w:rsidR="002160A9" w:rsidRDefault="002160A9" w14:paraId="59605D95" w14:textId="77777777">
            <w:pPr>
              <w:jc w:val="right"/>
              <w:rPr>
                <w:rFonts w:ascii="Calibri" w:hAnsi="Calibri" w:cs="Calibri"/>
                <w:color w:val="000000"/>
                <w:sz w:val="22"/>
              </w:rPr>
            </w:pPr>
            <w:r>
              <w:rPr>
                <w:rFonts w:ascii="Calibri" w:hAnsi="Calibri" w:cs="Calibri"/>
                <w:color w:val="000000"/>
                <w:sz w:val="22"/>
              </w:rPr>
              <w:t xml:space="preserve">254 </w:t>
            </w:r>
          </w:p>
        </w:tc>
        <w:tc>
          <w:tcPr>
            <w:tcW w:w="1601" w:type="dxa"/>
            <w:tcBorders>
              <w:top w:val="nil"/>
              <w:left w:val="nil"/>
              <w:bottom w:val="nil"/>
              <w:right w:val="nil"/>
            </w:tcBorders>
            <w:shd w:val="clear" w:color="auto" w:fill="auto"/>
            <w:noWrap/>
            <w:vAlign w:val="bottom"/>
            <w:hideMark/>
          </w:tcPr>
          <w:p w:rsidR="002160A9" w:rsidRDefault="002160A9" w14:paraId="60F30D38"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674F135B" w14:textId="77777777">
            <w:pPr>
              <w:jc w:val="right"/>
              <w:rPr>
                <w:rFonts w:ascii="Calibri" w:hAnsi="Calibri" w:cs="Calibri"/>
                <w:color w:val="000000"/>
                <w:sz w:val="22"/>
              </w:rPr>
            </w:pPr>
            <w:r>
              <w:rPr>
                <w:rFonts w:ascii="Calibri" w:hAnsi="Calibri" w:cs="Calibri"/>
                <w:color w:val="000000"/>
                <w:sz w:val="22"/>
              </w:rPr>
              <w:t xml:space="preserve">254 </w:t>
            </w:r>
          </w:p>
        </w:tc>
      </w:tr>
      <w:tr w:rsidR="002160A9" w:rsidTr="003B4BA5" w14:paraId="0F37F05A"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0DCEDAAB"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53A793C2" w14:textId="77777777">
            <w:pPr>
              <w:rPr>
                <w:rFonts w:ascii="Calibri" w:hAnsi="Calibri" w:cs="Calibri"/>
                <w:color w:val="000000"/>
                <w:sz w:val="22"/>
              </w:rPr>
            </w:pPr>
            <w:r>
              <w:rPr>
                <w:rFonts w:ascii="Calibri" w:hAnsi="Calibri" w:cs="Calibri"/>
                <w:color w:val="000000"/>
                <w:sz w:val="22"/>
              </w:rPr>
              <w:t>CLEARINGS-OTHER</w:t>
            </w:r>
          </w:p>
        </w:tc>
        <w:tc>
          <w:tcPr>
            <w:tcW w:w="1533" w:type="dxa"/>
            <w:tcBorders>
              <w:top w:val="nil"/>
              <w:left w:val="nil"/>
              <w:bottom w:val="nil"/>
              <w:right w:val="nil"/>
            </w:tcBorders>
            <w:shd w:val="clear" w:color="auto" w:fill="auto"/>
            <w:noWrap/>
            <w:vAlign w:val="bottom"/>
            <w:hideMark/>
          </w:tcPr>
          <w:p w:rsidR="002160A9" w:rsidRDefault="002160A9" w14:paraId="5EDC57CF" w14:textId="77777777">
            <w:pPr>
              <w:jc w:val="right"/>
              <w:rPr>
                <w:rFonts w:ascii="Calibri" w:hAnsi="Calibri" w:cs="Calibri"/>
                <w:color w:val="000000"/>
                <w:sz w:val="22"/>
              </w:rPr>
            </w:pPr>
            <w:r>
              <w:rPr>
                <w:rFonts w:ascii="Calibri" w:hAnsi="Calibri" w:cs="Calibri"/>
                <w:color w:val="000000"/>
                <w:sz w:val="22"/>
              </w:rPr>
              <w:t xml:space="preserve">4,107 </w:t>
            </w:r>
          </w:p>
        </w:tc>
        <w:tc>
          <w:tcPr>
            <w:tcW w:w="1601" w:type="dxa"/>
            <w:tcBorders>
              <w:top w:val="nil"/>
              <w:left w:val="nil"/>
              <w:bottom w:val="nil"/>
              <w:right w:val="nil"/>
            </w:tcBorders>
            <w:shd w:val="clear" w:color="auto" w:fill="auto"/>
            <w:noWrap/>
            <w:vAlign w:val="bottom"/>
            <w:hideMark/>
          </w:tcPr>
          <w:p w:rsidR="002160A9" w:rsidRDefault="002160A9" w14:paraId="46219457"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114495EA" w14:textId="77777777">
            <w:pPr>
              <w:jc w:val="right"/>
              <w:rPr>
                <w:rFonts w:ascii="Calibri" w:hAnsi="Calibri" w:cs="Calibri"/>
                <w:color w:val="000000"/>
                <w:sz w:val="22"/>
              </w:rPr>
            </w:pPr>
            <w:r>
              <w:rPr>
                <w:rFonts w:ascii="Calibri" w:hAnsi="Calibri" w:cs="Calibri"/>
                <w:color w:val="000000"/>
                <w:sz w:val="22"/>
              </w:rPr>
              <w:t xml:space="preserve">4,107 </w:t>
            </w:r>
          </w:p>
        </w:tc>
      </w:tr>
      <w:tr w:rsidR="002160A9" w:rsidTr="003B4BA5" w14:paraId="5982A828"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700C64F7"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268A4162"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20FB0493"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58EB492D"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55633204" w14:textId="77777777">
            <w:pPr>
              <w:rPr>
                <w:sz w:val="20"/>
                <w:szCs w:val="20"/>
              </w:rPr>
            </w:pPr>
          </w:p>
        </w:tc>
      </w:tr>
      <w:tr w:rsidR="002160A9" w:rsidTr="003B4BA5" w14:paraId="3C192AF7"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0479E52B" w14:textId="77777777">
            <w:pPr>
              <w:rPr>
                <w:sz w:val="20"/>
                <w:szCs w:val="20"/>
              </w:rPr>
            </w:pPr>
          </w:p>
        </w:tc>
        <w:tc>
          <w:tcPr>
            <w:tcW w:w="3637" w:type="dxa"/>
            <w:tcBorders>
              <w:top w:val="nil"/>
              <w:left w:val="nil"/>
              <w:bottom w:val="nil"/>
              <w:right w:val="nil"/>
            </w:tcBorders>
            <w:shd w:val="clear" w:color="auto" w:fill="auto"/>
            <w:noWrap/>
            <w:vAlign w:val="bottom"/>
            <w:hideMark/>
          </w:tcPr>
          <w:p w:rsidR="002160A9" w:rsidRDefault="002160A9" w14:paraId="535965E8" w14:textId="77777777">
            <w:pPr>
              <w:rPr>
                <w:rFonts w:ascii="Calibri" w:hAnsi="Calibri" w:cs="Calibri"/>
                <w:color w:val="000000"/>
                <w:sz w:val="22"/>
              </w:rPr>
            </w:pPr>
            <w:r>
              <w:rPr>
                <w:rFonts w:ascii="Calibri" w:hAnsi="Calibri" w:cs="Calibri"/>
                <w:color w:val="000000"/>
                <w:sz w:val="22"/>
              </w:rPr>
              <w:t>SUB-TOTAL O &amp; M</w:t>
            </w:r>
          </w:p>
        </w:tc>
        <w:tc>
          <w:tcPr>
            <w:tcW w:w="1533" w:type="dxa"/>
            <w:tcBorders>
              <w:top w:val="nil"/>
              <w:left w:val="nil"/>
              <w:bottom w:val="nil"/>
              <w:right w:val="nil"/>
            </w:tcBorders>
            <w:shd w:val="clear" w:color="auto" w:fill="auto"/>
            <w:noWrap/>
            <w:vAlign w:val="bottom"/>
            <w:hideMark/>
          </w:tcPr>
          <w:p w:rsidR="002160A9" w:rsidRDefault="002160A9" w14:paraId="27A75378" w14:textId="77777777">
            <w:pPr>
              <w:jc w:val="right"/>
              <w:rPr>
                <w:rFonts w:ascii="Calibri" w:hAnsi="Calibri" w:cs="Calibri"/>
                <w:color w:val="000000"/>
                <w:sz w:val="22"/>
              </w:rPr>
            </w:pPr>
            <w:r>
              <w:rPr>
                <w:rFonts w:ascii="Calibri" w:hAnsi="Calibri" w:cs="Calibri"/>
                <w:color w:val="000000"/>
                <w:sz w:val="22"/>
              </w:rPr>
              <w:t xml:space="preserve">127,947 </w:t>
            </w:r>
          </w:p>
        </w:tc>
        <w:tc>
          <w:tcPr>
            <w:tcW w:w="1601" w:type="dxa"/>
            <w:tcBorders>
              <w:top w:val="nil"/>
              <w:left w:val="nil"/>
              <w:bottom w:val="nil"/>
              <w:right w:val="nil"/>
            </w:tcBorders>
            <w:shd w:val="clear" w:color="auto" w:fill="auto"/>
            <w:noWrap/>
            <w:vAlign w:val="bottom"/>
            <w:hideMark/>
          </w:tcPr>
          <w:p w:rsidR="002160A9" w:rsidRDefault="002160A9" w14:paraId="5939E26E"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1CB08CE0" w14:textId="77777777">
            <w:pPr>
              <w:jc w:val="right"/>
              <w:rPr>
                <w:rFonts w:ascii="Calibri" w:hAnsi="Calibri" w:cs="Calibri"/>
                <w:color w:val="000000"/>
                <w:sz w:val="22"/>
              </w:rPr>
            </w:pPr>
            <w:r>
              <w:rPr>
                <w:rFonts w:ascii="Calibri" w:hAnsi="Calibri" w:cs="Calibri"/>
                <w:color w:val="000000"/>
                <w:sz w:val="22"/>
              </w:rPr>
              <w:t xml:space="preserve">127,947 </w:t>
            </w:r>
          </w:p>
        </w:tc>
      </w:tr>
      <w:tr w:rsidR="002160A9" w:rsidTr="003B4BA5" w14:paraId="14721C48"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2C922B69"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7E982146"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2D417B3C"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44216990"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50DB9F10" w14:textId="77777777">
            <w:pPr>
              <w:rPr>
                <w:sz w:val="20"/>
                <w:szCs w:val="20"/>
              </w:rPr>
            </w:pPr>
          </w:p>
        </w:tc>
      </w:tr>
      <w:tr w:rsidR="002160A9" w:rsidTr="003B4BA5" w14:paraId="6040D980" w14:textId="77777777">
        <w:trPr>
          <w:trHeight w:val="300"/>
        </w:trPr>
        <w:tc>
          <w:tcPr>
            <w:tcW w:w="4533" w:type="dxa"/>
            <w:gridSpan w:val="2"/>
            <w:tcBorders>
              <w:top w:val="nil"/>
              <w:left w:val="nil"/>
              <w:bottom w:val="nil"/>
              <w:right w:val="nil"/>
            </w:tcBorders>
            <w:shd w:val="clear" w:color="auto" w:fill="auto"/>
            <w:noWrap/>
            <w:vAlign w:val="bottom"/>
            <w:hideMark/>
          </w:tcPr>
          <w:p w:rsidR="002160A9" w:rsidRDefault="002160A9" w14:paraId="78B3A61B" w14:textId="77777777">
            <w:pPr>
              <w:rPr>
                <w:rFonts w:ascii="Calibri" w:hAnsi="Calibri" w:cs="Calibri"/>
                <w:color w:val="000000"/>
                <w:sz w:val="22"/>
              </w:rPr>
            </w:pPr>
            <w:r>
              <w:rPr>
                <w:rFonts w:ascii="Calibri" w:hAnsi="Calibri" w:cs="Calibri"/>
                <w:color w:val="000000"/>
                <w:sz w:val="22"/>
              </w:rPr>
              <w:t>ADMINISTRATIVE &amp; GENERAL</w:t>
            </w:r>
          </w:p>
        </w:tc>
        <w:tc>
          <w:tcPr>
            <w:tcW w:w="1533" w:type="dxa"/>
            <w:tcBorders>
              <w:top w:val="nil"/>
              <w:left w:val="nil"/>
              <w:bottom w:val="nil"/>
              <w:right w:val="nil"/>
            </w:tcBorders>
            <w:shd w:val="clear" w:color="auto" w:fill="auto"/>
            <w:noWrap/>
            <w:vAlign w:val="bottom"/>
            <w:hideMark/>
          </w:tcPr>
          <w:p w:rsidR="002160A9" w:rsidRDefault="002160A9" w14:paraId="1EF8639B" w14:textId="77777777">
            <w:pPr>
              <w:rPr>
                <w:rFonts w:ascii="Calibri" w:hAnsi="Calibri" w:cs="Calibri"/>
                <w:color w:val="000000"/>
                <w:sz w:val="22"/>
              </w:rPr>
            </w:pPr>
          </w:p>
        </w:tc>
        <w:tc>
          <w:tcPr>
            <w:tcW w:w="1601" w:type="dxa"/>
            <w:tcBorders>
              <w:top w:val="nil"/>
              <w:left w:val="nil"/>
              <w:bottom w:val="nil"/>
              <w:right w:val="nil"/>
            </w:tcBorders>
            <w:shd w:val="clear" w:color="auto" w:fill="auto"/>
            <w:noWrap/>
            <w:vAlign w:val="bottom"/>
            <w:hideMark/>
          </w:tcPr>
          <w:p w:rsidR="002160A9" w:rsidRDefault="002160A9" w14:paraId="3A11E649"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5BBC421A" w14:textId="77777777">
            <w:pPr>
              <w:rPr>
                <w:sz w:val="20"/>
                <w:szCs w:val="20"/>
              </w:rPr>
            </w:pPr>
          </w:p>
        </w:tc>
      </w:tr>
      <w:tr w:rsidR="002160A9" w:rsidTr="003B4BA5" w14:paraId="547B12A9"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32E4FF95" w14:textId="77777777">
            <w:pPr>
              <w:rPr>
                <w:sz w:val="20"/>
                <w:szCs w:val="20"/>
              </w:rPr>
            </w:pPr>
          </w:p>
        </w:tc>
        <w:tc>
          <w:tcPr>
            <w:tcW w:w="3637" w:type="dxa"/>
            <w:tcBorders>
              <w:top w:val="nil"/>
              <w:left w:val="nil"/>
              <w:bottom w:val="nil"/>
              <w:right w:val="nil"/>
            </w:tcBorders>
            <w:shd w:val="clear" w:color="auto" w:fill="auto"/>
            <w:noWrap/>
            <w:vAlign w:val="bottom"/>
            <w:hideMark/>
          </w:tcPr>
          <w:p w:rsidR="002160A9" w:rsidRDefault="002160A9" w14:paraId="162DC92E" w14:textId="77777777">
            <w:pPr>
              <w:rPr>
                <w:rFonts w:ascii="Calibri" w:hAnsi="Calibri" w:cs="Calibri"/>
                <w:color w:val="000000"/>
                <w:sz w:val="22"/>
              </w:rPr>
            </w:pPr>
            <w:r>
              <w:rPr>
                <w:rFonts w:ascii="Calibri" w:hAnsi="Calibri" w:cs="Calibri"/>
                <w:color w:val="000000"/>
                <w:sz w:val="22"/>
              </w:rPr>
              <w:t>A &amp; G PAYROLL</w:t>
            </w:r>
          </w:p>
        </w:tc>
        <w:tc>
          <w:tcPr>
            <w:tcW w:w="1533" w:type="dxa"/>
            <w:tcBorders>
              <w:top w:val="nil"/>
              <w:left w:val="nil"/>
              <w:bottom w:val="nil"/>
              <w:right w:val="nil"/>
            </w:tcBorders>
            <w:shd w:val="clear" w:color="auto" w:fill="auto"/>
            <w:noWrap/>
            <w:vAlign w:val="bottom"/>
            <w:hideMark/>
          </w:tcPr>
          <w:p w:rsidR="002160A9" w:rsidRDefault="002160A9" w14:paraId="758B9936" w14:textId="77777777">
            <w:pPr>
              <w:jc w:val="right"/>
              <w:rPr>
                <w:rFonts w:ascii="Calibri" w:hAnsi="Calibri" w:cs="Calibri"/>
                <w:color w:val="000000"/>
                <w:sz w:val="22"/>
              </w:rPr>
            </w:pPr>
            <w:r>
              <w:rPr>
                <w:rFonts w:ascii="Calibri" w:hAnsi="Calibri" w:cs="Calibri"/>
                <w:color w:val="000000"/>
                <w:sz w:val="22"/>
              </w:rPr>
              <w:t xml:space="preserve">147 </w:t>
            </w:r>
          </w:p>
        </w:tc>
        <w:tc>
          <w:tcPr>
            <w:tcW w:w="1601" w:type="dxa"/>
            <w:tcBorders>
              <w:top w:val="nil"/>
              <w:left w:val="nil"/>
              <w:bottom w:val="nil"/>
              <w:right w:val="nil"/>
            </w:tcBorders>
            <w:shd w:val="clear" w:color="auto" w:fill="auto"/>
            <w:noWrap/>
            <w:vAlign w:val="bottom"/>
            <w:hideMark/>
          </w:tcPr>
          <w:p w:rsidR="002160A9" w:rsidRDefault="002160A9" w14:paraId="0781B2F8"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15BB7B6F" w14:textId="77777777">
            <w:pPr>
              <w:jc w:val="right"/>
              <w:rPr>
                <w:rFonts w:ascii="Calibri" w:hAnsi="Calibri" w:cs="Calibri"/>
                <w:color w:val="000000"/>
                <w:sz w:val="22"/>
              </w:rPr>
            </w:pPr>
            <w:r>
              <w:rPr>
                <w:rFonts w:ascii="Calibri" w:hAnsi="Calibri" w:cs="Calibri"/>
                <w:color w:val="000000"/>
                <w:sz w:val="22"/>
              </w:rPr>
              <w:t xml:space="preserve">147 </w:t>
            </w:r>
          </w:p>
        </w:tc>
      </w:tr>
      <w:tr w:rsidR="002160A9" w:rsidTr="003B4BA5" w14:paraId="2C3CECD7"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1087C639"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43CC309B" w14:textId="77777777">
            <w:pPr>
              <w:rPr>
                <w:rFonts w:ascii="Calibri" w:hAnsi="Calibri" w:cs="Calibri"/>
                <w:color w:val="000000"/>
                <w:sz w:val="22"/>
              </w:rPr>
            </w:pPr>
            <w:r>
              <w:rPr>
                <w:rFonts w:ascii="Calibri" w:hAnsi="Calibri" w:cs="Calibri"/>
                <w:color w:val="000000"/>
                <w:sz w:val="22"/>
              </w:rPr>
              <w:t>EMPLOYEE BENEFITS</w:t>
            </w:r>
          </w:p>
        </w:tc>
        <w:tc>
          <w:tcPr>
            <w:tcW w:w="1533" w:type="dxa"/>
            <w:tcBorders>
              <w:top w:val="nil"/>
              <w:left w:val="nil"/>
              <w:bottom w:val="nil"/>
              <w:right w:val="nil"/>
            </w:tcBorders>
            <w:shd w:val="clear" w:color="auto" w:fill="auto"/>
            <w:noWrap/>
            <w:vAlign w:val="bottom"/>
            <w:hideMark/>
          </w:tcPr>
          <w:p w:rsidR="002160A9" w:rsidRDefault="002160A9" w14:paraId="0B71711F" w14:textId="77777777">
            <w:pPr>
              <w:jc w:val="right"/>
              <w:rPr>
                <w:rFonts w:ascii="Calibri" w:hAnsi="Calibri" w:cs="Calibri"/>
                <w:color w:val="000000"/>
                <w:sz w:val="22"/>
              </w:rPr>
            </w:pPr>
            <w:r>
              <w:rPr>
                <w:rFonts w:ascii="Calibri" w:hAnsi="Calibri" w:cs="Calibri"/>
                <w:color w:val="000000"/>
                <w:sz w:val="22"/>
              </w:rPr>
              <w:t xml:space="preserve">6,236 </w:t>
            </w:r>
          </w:p>
        </w:tc>
        <w:tc>
          <w:tcPr>
            <w:tcW w:w="1601" w:type="dxa"/>
            <w:tcBorders>
              <w:top w:val="nil"/>
              <w:left w:val="nil"/>
              <w:bottom w:val="nil"/>
              <w:right w:val="nil"/>
            </w:tcBorders>
            <w:shd w:val="clear" w:color="auto" w:fill="auto"/>
            <w:noWrap/>
            <w:vAlign w:val="bottom"/>
            <w:hideMark/>
          </w:tcPr>
          <w:p w:rsidR="002160A9" w:rsidRDefault="002160A9" w14:paraId="1A0D5854"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0D024C7C" w14:textId="77777777">
            <w:pPr>
              <w:jc w:val="right"/>
              <w:rPr>
                <w:rFonts w:ascii="Calibri" w:hAnsi="Calibri" w:cs="Calibri"/>
                <w:color w:val="000000"/>
                <w:sz w:val="22"/>
              </w:rPr>
            </w:pPr>
            <w:r>
              <w:rPr>
                <w:rFonts w:ascii="Calibri" w:hAnsi="Calibri" w:cs="Calibri"/>
                <w:color w:val="000000"/>
                <w:sz w:val="22"/>
              </w:rPr>
              <w:t xml:space="preserve">6,236 </w:t>
            </w:r>
          </w:p>
        </w:tc>
      </w:tr>
      <w:tr w:rsidR="002160A9" w:rsidTr="003B4BA5" w14:paraId="4555F45E"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3856CBFF"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74DCD1F2" w14:textId="77777777">
            <w:pPr>
              <w:rPr>
                <w:rFonts w:ascii="Calibri" w:hAnsi="Calibri" w:cs="Calibri"/>
                <w:color w:val="000000"/>
                <w:sz w:val="22"/>
              </w:rPr>
            </w:pPr>
            <w:r>
              <w:rPr>
                <w:rFonts w:ascii="Calibri" w:hAnsi="Calibri" w:cs="Calibri"/>
                <w:color w:val="000000"/>
                <w:sz w:val="22"/>
              </w:rPr>
              <w:t>INSURANCE</w:t>
            </w:r>
          </w:p>
        </w:tc>
        <w:tc>
          <w:tcPr>
            <w:tcW w:w="1533" w:type="dxa"/>
            <w:tcBorders>
              <w:top w:val="nil"/>
              <w:left w:val="nil"/>
              <w:bottom w:val="nil"/>
              <w:right w:val="nil"/>
            </w:tcBorders>
            <w:shd w:val="clear" w:color="auto" w:fill="auto"/>
            <w:noWrap/>
            <w:vAlign w:val="bottom"/>
            <w:hideMark/>
          </w:tcPr>
          <w:p w:rsidR="002160A9" w:rsidRDefault="002160A9" w14:paraId="566F28B9" w14:textId="77777777">
            <w:pPr>
              <w:jc w:val="right"/>
              <w:rPr>
                <w:rFonts w:ascii="Calibri" w:hAnsi="Calibri" w:cs="Calibri"/>
                <w:color w:val="000000"/>
                <w:sz w:val="22"/>
              </w:rPr>
            </w:pPr>
            <w:r>
              <w:rPr>
                <w:rFonts w:ascii="Calibri" w:hAnsi="Calibri" w:cs="Calibri"/>
                <w:color w:val="000000"/>
                <w:sz w:val="22"/>
              </w:rPr>
              <w:t xml:space="preserve">485 </w:t>
            </w:r>
          </w:p>
        </w:tc>
        <w:tc>
          <w:tcPr>
            <w:tcW w:w="1601" w:type="dxa"/>
            <w:tcBorders>
              <w:top w:val="nil"/>
              <w:left w:val="nil"/>
              <w:bottom w:val="nil"/>
              <w:right w:val="nil"/>
            </w:tcBorders>
            <w:shd w:val="clear" w:color="auto" w:fill="auto"/>
            <w:noWrap/>
            <w:vAlign w:val="bottom"/>
            <w:hideMark/>
          </w:tcPr>
          <w:p w:rsidR="002160A9" w:rsidRDefault="002160A9" w14:paraId="017A2C22"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46FBCF8B" w14:textId="77777777">
            <w:pPr>
              <w:jc w:val="right"/>
              <w:rPr>
                <w:rFonts w:ascii="Calibri" w:hAnsi="Calibri" w:cs="Calibri"/>
                <w:color w:val="000000"/>
                <w:sz w:val="22"/>
              </w:rPr>
            </w:pPr>
            <w:r>
              <w:rPr>
                <w:rFonts w:ascii="Calibri" w:hAnsi="Calibri" w:cs="Calibri"/>
                <w:color w:val="000000"/>
                <w:sz w:val="22"/>
              </w:rPr>
              <w:t xml:space="preserve">485 </w:t>
            </w:r>
          </w:p>
        </w:tc>
      </w:tr>
      <w:tr w:rsidR="002160A9" w:rsidTr="003B4BA5" w14:paraId="35AE8D90"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0D8C9C88"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665DD3D6" w14:textId="77777777">
            <w:pPr>
              <w:rPr>
                <w:rFonts w:ascii="Calibri" w:hAnsi="Calibri" w:cs="Calibri"/>
                <w:color w:val="000000"/>
                <w:sz w:val="22"/>
              </w:rPr>
            </w:pPr>
            <w:r>
              <w:rPr>
                <w:rFonts w:ascii="Calibri" w:hAnsi="Calibri" w:cs="Calibri"/>
                <w:color w:val="000000"/>
                <w:sz w:val="22"/>
              </w:rPr>
              <w:t>REG. COMM. EXPENSE</w:t>
            </w:r>
          </w:p>
        </w:tc>
        <w:tc>
          <w:tcPr>
            <w:tcW w:w="1533" w:type="dxa"/>
            <w:tcBorders>
              <w:top w:val="nil"/>
              <w:left w:val="nil"/>
              <w:bottom w:val="nil"/>
              <w:right w:val="nil"/>
            </w:tcBorders>
            <w:shd w:val="clear" w:color="auto" w:fill="auto"/>
            <w:noWrap/>
            <w:vAlign w:val="bottom"/>
            <w:hideMark/>
          </w:tcPr>
          <w:p w:rsidR="002160A9" w:rsidRDefault="002160A9" w14:paraId="3894AF0E" w14:textId="77777777">
            <w:pPr>
              <w:jc w:val="right"/>
              <w:rPr>
                <w:rFonts w:ascii="Calibri" w:hAnsi="Calibri" w:cs="Calibri"/>
                <w:color w:val="000000"/>
                <w:sz w:val="22"/>
              </w:rPr>
            </w:pPr>
            <w:r>
              <w:rPr>
                <w:rFonts w:ascii="Calibri" w:hAnsi="Calibri" w:cs="Calibri"/>
                <w:color w:val="000000"/>
                <w:sz w:val="22"/>
              </w:rPr>
              <w:t xml:space="preserve">507 </w:t>
            </w:r>
          </w:p>
        </w:tc>
        <w:tc>
          <w:tcPr>
            <w:tcW w:w="1601" w:type="dxa"/>
            <w:tcBorders>
              <w:top w:val="nil"/>
              <w:left w:val="nil"/>
              <w:bottom w:val="nil"/>
              <w:right w:val="nil"/>
            </w:tcBorders>
            <w:shd w:val="clear" w:color="auto" w:fill="auto"/>
            <w:noWrap/>
            <w:vAlign w:val="bottom"/>
            <w:hideMark/>
          </w:tcPr>
          <w:p w:rsidR="002160A9" w:rsidRDefault="002160A9" w14:paraId="3B0C7EA8"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6963D350" w14:textId="77777777">
            <w:pPr>
              <w:jc w:val="right"/>
              <w:rPr>
                <w:rFonts w:ascii="Calibri" w:hAnsi="Calibri" w:cs="Calibri"/>
                <w:color w:val="000000"/>
                <w:sz w:val="22"/>
              </w:rPr>
            </w:pPr>
            <w:r>
              <w:rPr>
                <w:rFonts w:ascii="Calibri" w:hAnsi="Calibri" w:cs="Calibri"/>
                <w:color w:val="000000"/>
                <w:sz w:val="22"/>
              </w:rPr>
              <w:t xml:space="preserve">507 </w:t>
            </w:r>
          </w:p>
        </w:tc>
      </w:tr>
      <w:tr w:rsidR="002160A9" w:rsidTr="003B4BA5" w14:paraId="291CE416"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04799D91"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489E6565" w14:textId="77777777">
            <w:pPr>
              <w:rPr>
                <w:rFonts w:ascii="Calibri" w:hAnsi="Calibri" w:cs="Calibri"/>
                <w:color w:val="000000"/>
                <w:sz w:val="22"/>
              </w:rPr>
            </w:pPr>
            <w:r>
              <w:rPr>
                <w:rFonts w:ascii="Calibri" w:hAnsi="Calibri" w:cs="Calibri"/>
                <w:color w:val="000000"/>
                <w:sz w:val="22"/>
              </w:rPr>
              <w:t>FRANCHISE REQUIREMENTS</w:t>
            </w:r>
          </w:p>
        </w:tc>
        <w:tc>
          <w:tcPr>
            <w:tcW w:w="1533" w:type="dxa"/>
            <w:tcBorders>
              <w:top w:val="nil"/>
              <w:left w:val="nil"/>
              <w:bottom w:val="nil"/>
              <w:right w:val="nil"/>
            </w:tcBorders>
            <w:shd w:val="clear" w:color="auto" w:fill="auto"/>
            <w:noWrap/>
            <w:vAlign w:val="bottom"/>
            <w:hideMark/>
          </w:tcPr>
          <w:p w:rsidR="002160A9" w:rsidRDefault="002160A9" w14:paraId="7FA4A37D" w14:textId="77777777">
            <w:pPr>
              <w:jc w:val="right"/>
              <w:rPr>
                <w:rFonts w:ascii="Calibri" w:hAnsi="Calibri" w:cs="Calibri"/>
                <w:color w:val="000000"/>
                <w:sz w:val="22"/>
              </w:rPr>
            </w:pPr>
            <w:r>
              <w:rPr>
                <w:rFonts w:ascii="Calibri" w:hAnsi="Calibri" w:cs="Calibri"/>
                <w:color w:val="000000"/>
                <w:sz w:val="22"/>
              </w:rPr>
              <w:t xml:space="preserve">0 </w:t>
            </w:r>
          </w:p>
        </w:tc>
        <w:tc>
          <w:tcPr>
            <w:tcW w:w="1601" w:type="dxa"/>
            <w:tcBorders>
              <w:top w:val="nil"/>
              <w:left w:val="nil"/>
              <w:bottom w:val="nil"/>
              <w:right w:val="nil"/>
            </w:tcBorders>
            <w:shd w:val="clear" w:color="auto" w:fill="auto"/>
            <w:noWrap/>
            <w:vAlign w:val="bottom"/>
            <w:hideMark/>
          </w:tcPr>
          <w:p w:rsidR="002160A9" w:rsidRDefault="002160A9" w14:paraId="6A20DD68"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09DAC74F" w14:textId="77777777">
            <w:pPr>
              <w:jc w:val="right"/>
              <w:rPr>
                <w:rFonts w:ascii="Calibri" w:hAnsi="Calibri" w:cs="Calibri"/>
                <w:color w:val="000000"/>
                <w:sz w:val="22"/>
              </w:rPr>
            </w:pPr>
            <w:r>
              <w:rPr>
                <w:rFonts w:ascii="Calibri" w:hAnsi="Calibri" w:cs="Calibri"/>
                <w:color w:val="000000"/>
                <w:sz w:val="22"/>
              </w:rPr>
              <w:t xml:space="preserve">0 </w:t>
            </w:r>
          </w:p>
        </w:tc>
      </w:tr>
      <w:tr w:rsidR="002160A9" w:rsidTr="003B4BA5" w14:paraId="665AC860"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5466F748"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0D297674" w14:textId="77777777">
            <w:pPr>
              <w:rPr>
                <w:rFonts w:ascii="Calibri" w:hAnsi="Calibri" w:cs="Calibri"/>
                <w:color w:val="000000"/>
                <w:sz w:val="22"/>
              </w:rPr>
            </w:pPr>
            <w:r>
              <w:rPr>
                <w:rFonts w:ascii="Calibri" w:hAnsi="Calibri" w:cs="Calibri"/>
                <w:color w:val="000000"/>
                <w:sz w:val="22"/>
              </w:rPr>
              <w:t>OUTSIDE SERVICES</w:t>
            </w:r>
          </w:p>
        </w:tc>
        <w:tc>
          <w:tcPr>
            <w:tcW w:w="1533" w:type="dxa"/>
            <w:tcBorders>
              <w:top w:val="nil"/>
              <w:left w:val="nil"/>
              <w:bottom w:val="nil"/>
              <w:right w:val="nil"/>
            </w:tcBorders>
            <w:shd w:val="clear" w:color="auto" w:fill="auto"/>
            <w:noWrap/>
            <w:vAlign w:val="bottom"/>
            <w:hideMark/>
          </w:tcPr>
          <w:p w:rsidR="002160A9" w:rsidRDefault="002160A9" w14:paraId="0AB1E5D5" w14:textId="77777777">
            <w:pPr>
              <w:jc w:val="right"/>
              <w:rPr>
                <w:rFonts w:ascii="Calibri" w:hAnsi="Calibri" w:cs="Calibri"/>
                <w:color w:val="000000"/>
                <w:sz w:val="22"/>
              </w:rPr>
            </w:pPr>
            <w:r>
              <w:rPr>
                <w:rFonts w:ascii="Calibri" w:hAnsi="Calibri" w:cs="Calibri"/>
                <w:color w:val="000000"/>
                <w:sz w:val="22"/>
              </w:rPr>
              <w:t xml:space="preserve">41 </w:t>
            </w:r>
          </w:p>
        </w:tc>
        <w:tc>
          <w:tcPr>
            <w:tcW w:w="1601" w:type="dxa"/>
            <w:tcBorders>
              <w:top w:val="nil"/>
              <w:left w:val="nil"/>
              <w:bottom w:val="nil"/>
              <w:right w:val="nil"/>
            </w:tcBorders>
            <w:shd w:val="clear" w:color="auto" w:fill="auto"/>
            <w:noWrap/>
            <w:vAlign w:val="bottom"/>
            <w:hideMark/>
          </w:tcPr>
          <w:p w:rsidR="002160A9" w:rsidRDefault="002160A9" w14:paraId="65CADDDD"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32AE5E0C" w14:textId="77777777">
            <w:pPr>
              <w:jc w:val="right"/>
              <w:rPr>
                <w:rFonts w:ascii="Calibri" w:hAnsi="Calibri" w:cs="Calibri"/>
                <w:color w:val="000000"/>
                <w:sz w:val="22"/>
              </w:rPr>
            </w:pPr>
            <w:r>
              <w:rPr>
                <w:rFonts w:ascii="Calibri" w:hAnsi="Calibri" w:cs="Calibri"/>
                <w:color w:val="000000"/>
                <w:sz w:val="22"/>
              </w:rPr>
              <w:t xml:space="preserve">41 </w:t>
            </w:r>
          </w:p>
        </w:tc>
      </w:tr>
      <w:tr w:rsidR="002160A9" w:rsidTr="003B4BA5" w14:paraId="25F7215A"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43C5F8CB"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1CE66F7F" w14:textId="77777777">
            <w:pPr>
              <w:rPr>
                <w:rFonts w:ascii="Calibri" w:hAnsi="Calibri" w:cs="Calibri"/>
                <w:color w:val="000000"/>
                <w:sz w:val="22"/>
              </w:rPr>
            </w:pPr>
            <w:r>
              <w:rPr>
                <w:rFonts w:ascii="Calibri" w:hAnsi="Calibri" w:cs="Calibri"/>
                <w:color w:val="000000"/>
                <w:sz w:val="22"/>
              </w:rPr>
              <w:t>A &amp; G - OTHER</w:t>
            </w:r>
          </w:p>
        </w:tc>
        <w:tc>
          <w:tcPr>
            <w:tcW w:w="1533" w:type="dxa"/>
            <w:tcBorders>
              <w:top w:val="nil"/>
              <w:left w:val="nil"/>
              <w:bottom w:val="nil"/>
              <w:right w:val="nil"/>
            </w:tcBorders>
            <w:shd w:val="clear" w:color="auto" w:fill="auto"/>
            <w:noWrap/>
            <w:vAlign w:val="bottom"/>
            <w:hideMark/>
          </w:tcPr>
          <w:p w:rsidR="002160A9" w:rsidRDefault="002160A9" w14:paraId="4F501641" w14:textId="77777777">
            <w:pPr>
              <w:jc w:val="right"/>
              <w:rPr>
                <w:rFonts w:ascii="Calibri" w:hAnsi="Calibri" w:cs="Calibri"/>
                <w:color w:val="000000"/>
                <w:sz w:val="22"/>
              </w:rPr>
            </w:pPr>
            <w:r>
              <w:rPr>
                <w:rFonts w:ascii="Calibri" w:hAnsi="Calibri" w:cs="Calibri"/>
                <w:color w:val="000000"/>
                <w:sz w:val="22"/>
              </w:rPr>
              <w:t xml:space="preserve">32 </w:t>
            </w:r>
          </w:p>
        </w:tc>
        <w:tc>
          <w:tcPr>
            <w:tcW w:w="1601" w:type="dxa"/>
            <w:tcBorders>
              <w:top w:val="nil"/>
              <w:left w:val="nil"/>
              <w:bottom w:val="nil"/>
              <w:right w:val="nil"/>
            </w:tcBorders>
            <w:shd w:val="clear" w:color="auto" w:fill="auto"/>
            <w:noWrap/>
            <w:vAlign w:val="bottom"/>
            <w:hideMark/>
          </w:tcPr>
          <w:p w:rsidR="002160A9" w:rsidRDefault="002160A9" w14:paraId="4E72A184"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1EAB1FFE" w14:textId="77777777">
            <w:pPr>
              <w:jc w:val="right"/>
              <w:rPr>
                <w:rFonts w:ascii="Calibri" w:hAnsi="Calibri" w:cs="Calibri"/>
                <w:color w:val="000000"/>
                <w:sz w:val="22"/>
              </w:rPr>
            </w:pPr>
            <w:r>
              <w:rPr>
                <w:rFonts w:ascii="Calibri" w:hAnsi="Calibri" w:cs="Calibri"/>
                <w:color w:val="000000"/>
                <w:sz w:val="22"/>
              </w:rPr>
              <w:t xml:space="preserve">32 </w:t>
            </w:r>
          </w:p>
        </w:tc>
      </w:tr>
      <w:tr w:rsidR="002160A9" w:rsidTr="003B4BA5" w14:paraId="45F527E7"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14C73784"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39A970CF" w14:textId="77777777">
            <w:pPr>
              <w:rPr>
                <w:rFonts w:ascii="Calibri" w:hAnsi="Calibri" w:cs="Calibri"/>
                <w:color w:val="000000"/>
                <w:sz w:val="22"/>
              </w:rPr>
            </w:pPr>
            <w:r>
              <w:rPr>
                <w:rFonts w:ascii="Calibri" w:hAnsi="Calibri" w:cs="Calibri"/>
                <w:color w:val="000000"/>
                <w:sz w:val="22"/>
              </w:rPr>
              <w:t>A &amp; G TRANSFERRED CREDIT</w:t>
            </w:r>
          </w:p>
        </w:tc>
        <w:tc>
          <w:tcPr>
            <w:tcW w:w="1533" w:type="dxa"/>
            <w:tcBorders>
              <w:top w:val="nil"/>
              <w:left w:val="nil"/>
              <w:bottom w:val="nil"/>
              <w:right w:val="nil"/>
            </w:tcBorders>
            <w:shd w:val="clear" w:color="auto" w:fill="auto"/>
            <w:noWrap/>
            <w:vAlign w:val="bottom"/>
            <w:hideMark/>
          </w:tcPr>
          <w:p w:rsidR="002160A9" w:rsidRDefault="002160A9" w14:paraId="34599555" w14:textId="77777777">
            <w:pPr>
              <w:jc w:val="right"/>
              <w:rPr>
                <w:rFonts w:ascii="Calibri" w:hAnsi="Calibri" w:cs="Calibri"/>
                <w:color w:val="000000"/>
                <w:sz w:val="22"/>
              </w:rPr>
            </w:pPr>
            <w:r>
              <w:rPr>
                <w:rFonts w:ascii="Calibri" w:hAnsi="Calibri" w:cs="Calibri"/>
                <w:color w:val="000000"/>
                <w:sz w:val="22"/>
              </w:rPr>
              <w:t xml:space="preserve">0 </w:t>
            </w:r>
          </w:p>
        </w:tc>
        <w:tc>
          <w:tcPr>
            <w:tcW w:w="1601" w:type="dxa"/>
            <w:tcBorders>
              <w:top w:val="nil"/>
              <w:left w:val="nil"/>
              <w:bottom w:val="nil"/>
              <w:right w:val="nil"/>
            </w:tcBorders>
            <w:shd w:val="clear" w:color="auto" w:fill="auto"/>
            <w:noWrap/>
            <w:vAlign w:val="bottom"/>
            <w:hideMark/>
          </w:tcPr>
          <w:p w:rsidR="002160A9" w:rsidRDefault="002160A9" w14:paraId="6BC2B970"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2850FC8B" w14:textId="77777777">
            <w:pPr>
              <w:jc w:val="right"/>
              <w:rPr>
                <w:rFonts w:ascii="Calibri" w:hAnsi="Calibri" w:cs="Calibri"/>
                <w:color w:val="000000"/>
                <w:sz w:val="22"/>
              </w:rPr>
            </w:pPr>
            <w:r>
              <w:rPr>
                <w:rFonts w:ascii="Calibri" w:hAnsi="Calibri" w:cs="Calibri"/>
                <w:color w:val="000000"/>
                <w:sz w:val="22"/>
              </w:rPr>
              <w:t xml:space="preserve">0 </w:t>
            </w:r>
          </w:p>
        </w:tc>
      </w:tr>
      <w:tr w:rsidR="002160A9" w:rsidTr="003B4BA5" w14:paraId="50E8F4A6" w14:textId="77777777">
        <w:trPr>
          <w:trHeight w:val="345"/>
        </w:trPr>
        <w:tc>
          <w:tcPr>
            <w:tcW w:w="896" w:type="dxa"/>
            <w:tcBorders>
              <w:top w:val="nil"/>
              <w:left w:val="nil"/>
              <w:bottom w:val="nil"/>
              <w:right w:val="nil"/>
            </w:tcBorders>
            <w:shd w:val="clear" w:color="auto" w:fill="auto"/>
            <w:noWrap/>
            <w:vAlign w:val="bottom"/>
            <w:hideMark/>
          </w:tcPr>
          <w:p w:rsidR="002160A9" w:rsidRDefault="002160A9" w14:paraId="6908A6BA" w14:textId="77777777">
            <w:pPr>
              <w:jc w:val="right"/>
              <w:rPr>
                <w:rFonts w:ascii="Calibri" w:hAnsi="Calibri" w:cs="Calibri"/>
                <w:color w:val="000000"/>
                <w:sz w:val="22"/>
              </w:rPr>
            </w:pPr>
            <w:r>
              <w:rPr>
                <w:rFonts w:ascii="Calibri" w:hAnsi="Calibri" w:cs="Calibri"/>
                <w:color w:val="000000"/>
                <w:sz w:val="22"/>
                <w:vertAlign w:val="superscript"/>
              </w:rPr>
              <w:t>1</w:t>
            </w:r>
          </w:p>
        </w:tc>
        <w:tc>
          <w:tcPr>
            <w:tcW w:w="3637" w:type="dxa"/>
            <w:tcBorders>
              <w:top w:val="nil"/>
              <w:left w:val="nil"/>
              <w:bottom w:val="nil"/>
              <w:right w:val="nil"/>
            </w:tcBorders>
            <w:shd w:val="clear" w:color="auto" w:fill="auto"/>
            <w:noWrap/>
            <w:vAlign w:val="bottom"/>
            <w:hideMark/>
          </w:tcPr>
          <w:p w:rsidR="002160A9" w:rsidRDefault="002160A9" w14:paraId="0BF1174C" w14:textId="77777777">
            <w:pPr>
              <w:rPr>
                <w:rFonts w:ascii="Calibri" w:hAnsi="Calibri" w:cs="Calibri"/>
                <w:color w:val="000000"/>
                <w:sz w:val="22"/>
              </w:rPr>
            </w:pPr>
            <w:r>
              <w:rPr>
                <w:rFonts w:ascii="Calibri" w:hAnsi="Calibri" w:cs="Calibri"/>
                <w:color w:val="000000"/>
                <w:sz w:val="22"/>
              </w:rPr>
              <w:t>ALLOCATIONS</w:t>
            </w:r>
          </w:p>
        </w:tc>
        <w:tc>
          <w:tcPr>
            <w:tcW w:w="1533" w:type="dxa"/>
            <w:tcBorders>
              <w:top w:val="nil"/>
              <w:left w:val="nil"/>
              <w:bottom w:val="nil"/>
              <w:right w:val="nil"/>
            </w:tcBorders>
            <w:shd w:val="clear" w:color="auto" w:fill="auto"/>
            <w:noWrap/>
            <w:vAlign w:val="bottom"/>
            <w:hideMark/>
          </w:tcPr>
          <w:p w:rsidR="002160A9" w:rsidRDefault="002160A9" w14:paraId="3B177D66" w14:textId="77777777">
            <w:pPr>
              <w:jc w:val="right"/>
              <w:rPr>
                <w:rFonts w:ascii="Calibri" w:hAnsi="Calibri" w:cs="Calibri"/>
                <w:color w:val="000000"/>
                <w:sz w:val="22"/>
              </w:rPr>
            </w:pPr>
            <w:r>
              <w:rPr>
                <w:rFonts w:ascii="Calibri" w:hAnsi="Calibri" w:cs="Calibri"/>
                <w:color w:val="000000"/>
                <w:sz w:val="22"/>
              </w:rPr>
              <w:t xml:space="preserve">18,428 </w:t>
            </w:r>
          </w:p>
        </w:tc>
        <w:tc>
          <w:tcPr>
            <w:tcW w:w="1601" w:type="dxa"/>
            <w:tcBorders>
              <w:top w:val="nil"/>
              <w:left w:val="nil"/>
              <w:bottom w:val="nil"/>
              <w:right w:val="nil"/>
            </w:tcBorders>
            <w:shd w:val="clear" w:color="auto" w:fill="auto"/>
            <w:noWrap/>
            <w:vAlign w:val="bottom"/>
            <w:hideMark/>
          </w:tcPr>
          <w:p w:rsidR="002160A9" w:rsidRDefault="002160A9" w14:paraId="0F329424"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2269D3A4" w14:textId="77777777">
            <w:pPr>
              <w:jc w:val="right"/>
              <w:rPr>
                <w:rFonts w:ascii="Calibri" w:hAnsi="Calibri" w:cs="Calibri"/>
                <w:color w:val="000000"/>
                <w:sz w:val="22"/>
              </w:rPr>
            </w:pPr>
            <w:r>
              <w:rPr>
                <w:rFonts w:ascii="Calibri" w:hAnsi="Calibri" w:cs="Calibri"/>
                <w:color w:val="000000"/>
                <w:sz w:val="22"/>
              </w:rPr>
              <w:t xml:space="preserve">18,428 </w:t>
            </w:r>
          </w:p>
        </w:tc>
      </w:tr>
      <w:tr w:rsidR="002160A9" w:rsidTr="003B4BA5" w14:paraId="7865B534"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13FE5561"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1F1E323F"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647A63B7"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46505299"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127D9FBC" w14:textId="77777777">
            <w:pPr>
              <w:rPr>
                <w:sz w:val="20"/>
                <w:szCs w:val="20"/>
              </w:rPr>
            </w:pPr>
          </w:p>
        </w:tc>
      </w:tr>
      <w:tr w:rsidR="002160A9" w:rsidTr="003B4BA5" w14:paraId="241BC3DC"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70E577C9" w14:textId="77777777">
            <w:pPr>
              <w:rPr>
                <w:sz w:val="20"/>
                <w:szCs w:val="20"/>
              </w:rPr>
            </w:pPr>
          </w:p>
        </w:tc>
        <w:tc>
          <w:tcPr>
            <w:tcW w:w="3637" w:type="dxa"/>
            <w:tcBorders>
              <w:top w:val="nil"/>
              <w:left w:val="nil"/>
              <w:bottom w:val="nil"/>
              <w:right w:val="nil"/>
            </w:tcBorders>
            <w:shd w:val="clear" w:color="auto" w:fill="auto"/>
            <w:noWrap/>
            <w:vAlign w:val="bottom"/>
            <w:hideMark/>
          </w:tcPr>
          <w:p w:rsidR="002160A9" w:rsidRDefault="002160A9" w14:paraId="2E314970"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33DB2B6D"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7A1DB0FD"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601BC32F" w14:textId="77777777">
            <w:pPr>
              <w:rPr>
                <w:sz w:val="20"/>
                <w:szCs w:val="20"/>
              </w:rPr>
            </w:pPr>
          </w:p>
        </w:tc>
      </w:tr>
      <w:tr w:rsidR="002160A9" w:rsidTr="003B4BA5" w14:paraId="4A62F257"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583583F8" w14:textId="77777777">
            <w:pPr>
              <w:rPr>
                <w:sz w:val="20"/>
                <w:szCs w:val="20"/>
              </w:rPr>
            </w:pPr>
          </w:p>
        </w:tc>
        <w:tc>
          <w:tcPr>
            <w:tcW w:w="3637" w:type="dxa"/>
            <w:tcBorders>
              <w:top w:val="nil"/>
              <w:left w:val="nil"/>
              <w:bottom w:val="nil"/>
              <w:right w:val="nil"/>
            </w:tcBorders>
            <w:shd w:val="clear" w:color="auto" w:fill="auto"/>
            <w:noWrap/>
            <w:vAlign w:val="bottom"/>
            <w:hideMark/>
          </w:tcPr>
          <w:p w:rsidR="002160A9" w:rsidRDefault="002160A9" w14:paraId="1814B203" w14:textId="77777777">
            <w:pPr>
              <w:rPr>
                <w:rFonts w:ascii="Calibri" w:hAnsi="Calibri" w:cs="Calibri"/>
                <w:color w:val="000000"/>
                <w:sz w:val="22"/>
              </w:rPr>
            </w:pPr>
            <w:r>
              <w:rPr>
                <w:rFonts w:ascii="Calibri" w:hAnsi="Calibri" w:cs="Calibri"/>
                <w:color w:val="000000"/>
                <w:sz w:val="22"/>
              </w:rPr>
              <w:t>SUB-TOTAL A &amp; G</w:t>
            </w:r>
          </w:p>
        </w:tc>
        <w:tc>
          <w:tcPr>
            <w:tcW w:w="1533" w:type="dxa"/>
            <w:tcBorders>
              <w:top w:val="nil"/>
              <w:left w:val="nil"/>
              <w:bottom w:val="nil"/>
              <w:right w:val="nil"/>
            </w:tcBorders>
            <w:shd w:val="clear" w:color="auto" w:fill="auto"/>
            <w:noWrap/>
            <w:vAlign w:val="bottom"/>
            <w:hideMark/>
          </w:tcPr>
          <w:p w:rsidR="002160A9" w:rsidRDefault="002160A9" w14:paraId="6CFDECA9" w14:textId="77777777">
            <w:pPr>
              <w:jc w:val="right"/>
              <w:rPr>
                <w:rFonts w:ascii="Calibri" w:hAnsi="Calibri" w:cs="Calibri"/>
                <w:color w:val="000000"/>
                <w:sz w:val="22"/>
              </w:rPr>
            </w:pPr>
            <w:r>
              <w:rPr>
                <w:rFonts w:ascii="Calibri" w:hAnsi="Calibri" w:cs="Calibri"/>
                <w:color w:val="000000"/>
                <w:sz w:val="22"/>
              </w:rPr>
              <w:t xml:space="preserve">25,873 </w:t>
            </w:r>
          </w:p>
        </w:tc>
        <w:tc>
          <w:tcPr>
            <w:tcW w:w="1601" w:type="dxa"/>
            <w:tcBorders>
              <w:top w:val="nil"/>
              <w:left w:val="nil"/>
              <w:bottom w:val="nil"/>
              <w:right w:val="nil"/>
            </w:tcBorders>
            <w:shd w:val="clear" w:color="auto" w:fill="auto"/>
            <w:noWrap/>
            <w:vAlign w:val="bottom"/>
            <w:hideMark/>
          </w:tcPr>
          <w:p w:rsidR="002160A9" w:rsidRDefault="002160A9" w14:paraId="646D0BD9"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466C78CC" w14:textId="77777777">
            <w:pPr>
              <w:jc w:val="right"/>
              <w:rPr>
                <w:rFonts w:ascii="Calibri" w:hAnsi="Calibri" w:cs="Calibri"/>
                <w:color w:val="000000"/>
                <w:sz w:val="22"/>
              </w:rPr>
            </w:pPr>
            <w:r>
              <w:rPr>
                <w:rFonts w:ascii="Calibri" w:hAnsi="Calibri" w:cs="Calibri"/>
                <w:color w:val="000000"/>
                <w:sz w:val="22"/>
              </w:rPr>
              <w:t xml:space="preserve">25,873 </w:t>
            </w:r>
          </w:p>
        </w:tc>
      </w:tr>
      <w:tr w:rsidR="002160A9" w:rsidTr="003B4BA5" w14:paraId="17E676AE"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50F7D157"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4E26D95C"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436D87B2"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5BFB995F"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5E37A5F4" w14:textId="77777777">
            <w:pPr>
              <w:rPr>
                <w:sz w:val="20"/>
                <w:szCs w:val="20"/>
              </w:rPr>
            </w:pPr>
          </w:p>
        </w:tc>
      </w:tr>
      <w:tr w:rsidR="002160A9" w:rsidTr="003B4BA5" w14:paraId="3A67D8EA" w14:textId="77777777">
        <w:trPr>
          <w:trHeight w:val="300"/>
        </w:trPr>
        <w:tc>
          <w:tcPr>
            <w:tcW w:w="4533" w:type="dxa"/>
            <w:gridSpan w:val="2"/>
            <w:tcBorders>
              <w:top w:val="nil"/>
              <w:left w:val="nil"/>
              <w:bottom w:val="nil"/>
              <w:right w:val="nil"/>
            </w:tcBorders>
            <w:shd w:val="clear" w:color="auto" w:fill="auto"/>
            <w:noWrap/>
            <w:vAlign w:val="bottom"/>
            <w:hideMark/>
          </w:tcPr>
          <w:p w:rsidR="002160A9" w:rsidRDefault="002160A9" w14:paraId="7F63C068" w14:textId="77777777">
            <w:pPr>
              <w:rPr>
                <w:rFonts w:ascii="Calibri" w:hAnsi="Calibri" w:cs="Calibri"/>
                <w:color w:val="000000"/>
                <w:sz w:val="22"/>
              </w:rPr>
            </w:pPr>
            <w:r>
              <w:rPr>
                <w:rFonts w:ascii="Calibri" w:hAnsi="Calibri" w:cs="Calibri"/>
                <w:color w:val="000000"/>
                <w:sz w:val="22"/>
              </w:rPr>
              <w:t>OTHER TAXES</w:t>
            </w:r>
          </w:p>
        </w:tc>
        <w:tc>
          <w:tcPr>
            <w:tcW w:w="1533" w:type="dxa"/>
            <w:tcBorders>
              <w:top w:val="nil"/>
              <w:left w:val="nil"/>
              <w:bottom w:val="nil"/>
              <w:right w:val="nil"/>
            </w:tcBorders>
            <w:shd w:val="clear" w:color="auto" w:fill="auto"/>
            <w:noWrap/>
            <w:vAlign w:val="bottom"/>
            <w:hideMark/>
          </w:tcPr>
          <w:p w:rsidR="002160A9" w:rsidRDefault="002160A9" w14:paraId="30D955C3" w14:textId="77777777">
            <w:pPr>
              <w:rPr>
                <w:rFonts w:ascii="Calibri" w:hAnsi="Calibri" w:cs="Calibri"/>
                <w:color w:val="000000"/>
                <w:sz w:val="22"/>
              </w:rPr>
            </w:pPr>
          </w:p>
        </w:tc>
        <w:tc>
          <w:tcPr>
            <w:tcW w:w="1601" w:type="dxa"/>
            <w:tcBorders>
              <w:top w:val="nil"/>
              <w:left w:val="nil"/>
              <w:bottom w:val="nil"/>
              <w:right w:val="nil"/>
            </w:tcBorders>
            <w:shd w:val="clear" w:color="auto" w:fill="auto"/>
            <w:noWrap/>
            <w:vAlign w:val="bottom"/>
            <w:hideMark/>
          </w:tcPr>
          <w:p w:rsidR="002160A9" w:rsidRDefault="002160A9" w14:paraId="1CBBD69C"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6D24DE0F" w14:textId="77777777">
            <w:pPr>
              <w:rPr>
                <w:sz w:val="20"/>
                <w:szCs w:val="20"/>
              </w:rPr>
            </w:pPr>
          </w:p>
        </w:tc>
      </w:tr>
      <w:tr w:rsidR="002160A9" w:rsidTr="003B4BA5" w14:paraId="3AF78DF2" w14:textId="77777777">
        <w:trPr>
          <w:trHeight w:val="345"/>
        </w:trPr>
        <w:tc>
          <w:tcPr>
            <w:tcW w:w="896" w:type="dxa"/>
            <w:tcBorders>
              <w:top w:val="nil"/>
              <w:left w:val="nil"/>
              <w:bottom w:val="nil"/>
              <w:right w:val="nil"/>
            </w:tcBorders>
            <w:shd w:val="clear" w:color="auto" w:fill="auto"/>
            <w:noWrap/>
            <w:vAlign w:val="bottom"/>
            <w:hideMark/>
          </w:tcPr>
          <w:p w:rsidR="002160A9" w:rsidRDefault="002160A9" w14:paraId="3CF95F67" w14:textId="77777777">
            <w:pPr>
              <w:jc w:val="right"/>
              <w:rPr>
                <w:rFonts w:ascii="Calibri" w:hAnsi="Calibri" w:cs="Calibri"/>
                <w:color w:val="000000"/>
                <w:sz w:val="22"/>
              </w:rPr>
            </w:pPr>
            <w:r>
              <w:rPr>
                <w:rFonts w:ascii="Calibri" w:hAnsi="Calibri" w:cs="Calibri"/>
                <w:color w:val="000000"/>
                <w:sz w:val="22"/>
                <w:vertAlign w:val="superscript"/>
              </w:rPr>
              <w:t>1</w:t>
            </w:r>
          </w:p>
        </w:tc>
        <w:tc>
          <w:tcPr>
            <w:tcW w:w="3637" w:type="dxa"/>
            <w:tcBorders>
              <w:top w:val="nil"/>
              <w:left w:val="nil"/>
              <w:bottom w:val="nil"/>
              <w:right w:val="nil"/>
            </w:tcBorders>
            <w:shd w:val="clear" w:color="auto" w:fill="auto"/>
            <w:noWrap/>
            <w:vAlign w:val="bottom"/>
            <w:hideMark/>
          </w:tcPr>
          <w:p w:rsidR="002160A9" w:rsidRDefault="002160A9" w14:paraId="45CDB674" w14:textId="77777777">
            <w:pPr>
              <w:rPr>
                <w:rFonts w:ascii="Calibri" w:hAnsi="Calibri" w:cs="Calibri"/>
                <w:color w:val="000000"/>
                <w:sz w:val="22"/>
              </w:rPr>
            </w:pPr>
            <w:r>
              <w:rPr>
                <w:rFonts w:ascii="Calibri" w:hAnsi="Calibri" w:cs="Calibri"/>
                <w:color w:val="000000"/>
                <w:sz w:val="22"/>
              </w:rPr>
              <w:t>PROPERTY TAXES</w:t>
            </w:r>
          </w:p>
        </w:tc>
        <w:tc>
          <w:tcPr>
            <w:tcW w:w="1533" w:type="dxa"/>
            <w:tcBorders>
              <w:top w:val="nil"/>
              <w:left w:val="nil"/>
              <w:bottom w:val="nil"/>
              <w:right w:val="nil"/>
            </w:tcBorders>
            <w:shd w:val="clear" w:color="auto" w:fill="auto"/>
            <w:noWrap/>
            <w:vAlign w:val="bottom"/>
            <w:hideMark/>
          </w:tcPr>
          <w:p w:rsidR="002160A9" w:rsidRDefault="002160A9" w14:paraId="7FDD5747" w14:textId="77777777">
            <w:pPr>
              <w:jc w:val="right"/>
              <w:rPr>
                <w:rFonts w:ascii="Calibri" w:hAnsi="Calibri" w:cs="Calibri"/>
                <w:color w:val="000000"/>
                <w:sz w:val="22"/>
              </w:rPr>
            </w:pPr>
            <w:r>
              <w:rPr>
                <w:rFonts w:ascii="Calibri" w:hAnsi="Calibri" w:cs="Calibri"/>
                <w:color w:val="000000"/>
                <w:sz w:val="22"/>
              </w:rPr>
              <w:t xml:space="preserve">3,617 </w:t>
            </w:r>
          </w:p>
        </w:tc>
        <w:tc>
          <w:tcPr>
            <w:tcW w:w="1601" w:type="dxa"/>
            <w:tcBorders>
              <w:top w:val="nil"/>
              <w:left w:val="nil"/>
              <w:bottom w:val="nil"/>
              <w:right w:val="nil"/>
            </w:tcBorders>
            <w:shd w:val="clear" w:color="auto" w:fill="auto"/>
            <w:noWrap/>
            <w:vAlign w:val="bottom"/>
            <w:hideMark/>
          </w:tcPr>
          <w:p w:rsidR="002160A9" w:rsidRDefault="002160A9" w14:paraId="696A4882"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2D6C9E09" w14:textId="77777777">
            <w:pPr>
              <w:jc w:val="right"/>
              <w:rPr>
                <w:rFonts w:ascii="Calibri" w:hAnsi="Calibri" w:cs="Calibri"/>
                <w:color w:val="000000"/>
                <w:sz w:val="22"/>
              </w:rPr>
            </w:pPr>
            <w:r>
              <w:rPr>
                <w:rFonts w:ascii="Calibri" w:hAnsi="Calibri" w:cs="Calibri"/>
                <w:color w:val="000000"/>
                <w:sz w:val="22"/>
              </w:rPr>
              <w:t xml:space="preserve">3,617 </w:t>
            </w:r>
          </w:p>
        </w:tc>
      </w:tr>
      <w:tr w:rsidR="002160A9" w:rsidTr="003B4BA5" w14:paraId="52DFFBF8" w14:textId="77777777">
        <w:trPr>
          <w:trHeight w:val="345"/>
        </w:trPr>
        <w:tc>
          <w:tcPr>
            <w:tcW w:w="896" w:type="dxa"/>
            <w:tcBorders>
              <w:top w:val="nil"/>
              <w:left w:val="nil"/>
              <w:bottom w:val="nil"/>
              <w:right w:val="nil"/>
            </w:tcBorders>
            <w:shd w:val="clear" w:color="auto" w:fill="auto"/>
            <w:noWrap/>
            <w:vAlign w:val="bottom"/>
            <w:hideMark/>
          </w:tcPr>
          <w:p w:rsidR="002160A9" w:rsidRDefault="002160A9" w14:paraId="460D4C1D" w14:textId="77777777">
            <w:pPr>
              <w:jc w:val="right"/>
              <w:rPr>
                <w:rFonts w:ascii="Calibri" w:hAnsi="Calibri" w:cs="Calibri"/>
                <w:color w:val="000000"/>
                <w:sz w:val="22"/>
              </w:rPr>
            </w:pPr>
            <w:r>
              <w:rPr>
                <w:rFonts w:ascii="Calibri" w:hAnsi="Calibri" w:cs="Calibri"/>
                <w:color w:val="000000"/>
                <w:sz w:val="22"/>
                <w:vertAlign w:val="superscript"/>
              </w:rPr>
              <w:t>1</w:t>
            </w:r>
          </w:p>
        </w:tc>
        <w:tc>
          <w:tcPr>
            <w:tcW w:w="3637" w:type="dxa"/>
            <w:tcBorders>
              <w:top w:val="nil"/>
              <w:left w:val="nil"/>
              <w:bottom w:val="nil"/>
              <w:right w:val="nil"/>
            </w:tcBorders>
            <w:shd w:val="clear" w:color="auto" w:fill="auto"/>
            <w:noWrap/>
            <w:vAlign w:val="bottom"/>
            <w:hideMark/>
          </w:tcPr>
          <w:p w:rsidR="002160A9" w:rsidRDefault="002160A9" w14:paraId="072DCE27" w14:textId="77777777">
            <w:pPr>
              <w:rPr>
                <w:rFonts w:ascii="Calibri" w:hAnsi="Calibri" w:cs="Calibri"/>
                <w:color w:val="000000"/>
                <w:sz w:val="22"/>
              </w:rPr>
            </w:pPr>
            <w:r>
              <w:rPr>
                <w:rFonts w:ascii="Calibri" w:hAnsi="Calibri" w:cs="Calibri"/>
                <w:color w:val="000000"/>
                <w:sz w:val="22"/>
              </w:rPr>
              <w:t>PAYROLL TAXES</w:t>
            </w:r>
          </w:p>
        </w:tc>
        <w:tc>
          <w:tcPr>
            <w:tcW w:w="1533" w:type="dxa"/>
            <w:tcBorders>
              <w:top w:val="nil"/>
              <w:left w:val="nil"/>
              <w:bottom w:val="nil"/>
              <w:right w:val="nil"/>
            </w:tcBorders>
            <w:shd w:val="clear" w:color="auto" w:fill="auto"/>
            <w:noWrap/>
            <w:vAlign w:val="bottom"/>
            <w:hideMark/>
          </w:tcPr>
          <w:p w:rsidR="002160A9" w:rsidRDefault="002160A9" w14:paraId="034A6AF0" w14:textId="77777777">
            <w:pPr>
              <w:jc w:val="right"/>
              <w:rPr>
                <w:rFonts w:ascii="Calibri" w:hAnsi="Calibri" w:cs="Calibri"/>
                <w:color w:val="000000"/>
                <w:sz w:val="22"/>
              </w:rPr>
            </w:pPr>
            <w:r>
              <w:rPr>
                <w:rFonts w:ascii="Calibri" w:hAnsi="Calibri" w:cs="Calibri"/>
                <w:color w:val="000000"/>
                <w:sz w:val="22"/>
              </w:rPr>
              <w:t xml:space="preserve">816 </w:t>
            </w:r>
          </w:p>
        </w:tc>
        <w:tc>
          <w:tcPr>
            <w:tcW w:w="1601" w:type="dxa"/>
            <w:tcBorders>
              <w:top w:val="nil"/>
              <w:left w:val="nil"/>
              <w:bottom w:val="nil"/>
              <w:right w:val="nil"/>
            </w:tcBorders>
            <w:shd w:val="clear" w:color="auto" w:fill="auto"/>
            <w:noWrap/>
            <w:vAlign w:val="bottom"/>
            <w:hideMark/>
          </w:tcPr>
          <w:p w:rsidR="002160A9" w:rsidRDefault="002160A9" w14:paraId="58F53893"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528852DE" w14:textId="77777777">
            <w:pPr>
              <w:jc w:val="right"/>
              <w:rPr>
                <w:rFonts w:ascii="Calibri" w:hAnsi="Calibri" w:cs="Calibri"/>
                <w:color w:val="000000"/>
                <w:sz w:val="22"/>
              </w:rPr>
            </w:pPr>
            <w:r>
              <w:rPr>
                <w:rFonts w:ascii="Calibri" w:hAnsi="Calibri" w:cs="Calibri"/>
                <w:color w:val="000000"/>
                <w:sz w:val="22"/>
              </w:rPr>
              <w:t xml:space="preserve">816 </w:t>
            </w:r>
          </w:p>
        </w:tc>
      </w:tr>
      <w:tr w:rsidR="002160A9" w:rsidTr="003B4BA5" w14:paraId="19E6C4D1"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75D23374"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1C0CEB98"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36B6E2D6"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2129038F"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3D7A5A4B" w14:textId="77777777">
            <w:pPr>
              <w:rPr>
                <w:sz w:val="20"/>
                <w:szCs w:val="20"/>
              </w:rPr>
            </w:pPr>
          </w:p>
        </w:tc>
      </w:tr>
      <w:tr w:rsidR="002160A9" w:rsidTr="003B4BA5" w14:paraId="3DD42C7B"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45194A09" w14:textId="77777777">
            <w:pPr>
              <w:rPr>
                <w:sz w:val="20"/>
                <w:szCs w:val="20"/>
              </w:rPr>
            </w:pPr>
          </w:p>
        </w:tc>
        <w:tc>
          <w:tcPr>
            <w:tcW w:w="3637" w:type="dxa"/>
            <w:tcBorders>
              <w:top w:val="nil"/>
              <w:left w:val="nil"/>
              <w:bottom w:val="nil"/>
              <w:right w:val="nil"/>
            </w:tcBorders>
            <w:shd w:val="clear" w:color="auto" w:fill="auto"/>
            <w:noWrap/>
            <w:vAlign w:val="bottom"/>
            <w:hideMark/>
          </w:tcPr>
          <w:p w:rsidR="002160A9" w:rsidRDefault="002160A9" w14:paraId="763A1960" w14:textId="77777777">
            <w:pPr>
              <w:rPr>
                <w:rFonts w:ascii="Calibri" w:hAnsi="Calibri" w:cs="Calibri"/>
                <w:color w:val="000000"/>
                <w:sz w:val="22"/>
              </w:rPr>
            </w:pPr>
            <w:r>
              <w:rPr>
                <w:rFonts w:ascii="Calibri" w:hAnsi="Calibri" w:cs="Calibri"/>
                <w:color w:val="000000"/>
                <w:sz w:val="22"/>
              </w:rPr>
              <w:t>SUB-TOTAL OTHER TAXES</w:t>
            </w:r>
          </w:p>
        </w:tc>
        <w:tc>
          <w:tcPr>
            <w:tcW w:w="1533" w:type="dxa"/>
            <w:tcBorders>
              <w:top w:val="nil"/>
              <w:left w:val="nil"/>
              <w:bottom w:val="nil"/>
              <w:right w:val="nil"/>
            </w:tcBorders>
            <w:shd w:val="clear" w:color="auto" w:fill="auto"/>
            <w:noWrap/>
            <w:vAlign w:val="bottom"/>
            <w:hideMark/>
          </w:tcPr>
          <w:p w:rsidR="002160A9" w:rsidRDefault="002160A9" w14:paraId="2DEC7D79" w14:textId="77777777">
            <w:pPr>
              <w:jc w:val="right"/>
              <w:rPr>
                <w:rFonts w:ascii="Calibri" w:hAnsi="Calibri" w:cs="Calibri"/>
                <w:color w:val="000000"/>
                <w:sz w:val="22"/>
              </w:rPr>
            </w:pPr>
            <w:r>
              <w:rPr>
                <w:rFonts w:ascii="Calibri" w:hAnsi="Calibri" w:cs="Calibri"/>
                <w:color w:val="000000"/>
                <w:sz w:val="22"/>
              </w:rPr>
              <w:t xml:space="preserve">4,433 </w:t>
            </w:r>
          </w:p>
        </w:tc>
        <w:tc>
          <w:tcPr>
            <w:tcW w:w="1601" w:type="dxa"/>
            <w:tcBorders>
              <w:top w:val="nil"/>
              <w:left w:val="nil"/>
              <w:bottom w:val="nil"/>
              <w:right w:val="nil"/>
            </w:tcBorders>
            <w:shd w:val="clear" w:color="auto" w:fill="auto"/>
            <w:noWrap/>
            <w:vAlign w:val="bottom"/>
            <w:hideMark/>
          </w:tcPr>
          <w:p w:rsidR="002160A9" w:rsidRDefault="002160A9" w14:paraId="64965FB3"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77E24093" w14:textId="77777777">
            <w:pPr>
              <w:jc w:val="right"/>
              <w:rPr>
                <w:rFonts w:ascii="Calibri" w:hAnsi="Calibri" w:cs="Calibri"/>
                <w:color w:val="000000"/>
                <w:sz w:val="22"/>
              </w:rPr>
            </w:pPr>
            <w:r>
              <w:rPr>
                <w:rFonts w:ascii="Calibri" w:hAnsi="Calibri" w:cs="Calibri"/>
                <w:color w:val="000000"/>
                <w:sz w:val="22"/>
              </w:rPr>
              <w:t xml:space="preserve">4,433 </w:t>
            </w:r>
          </w:p>
        </w:tc>
      </w:tr>
      <w:tr w:rsidR="002160A9" w:rsidTr="003B4BA5" w14:paraId="24574132"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0FBB45E0"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1E745807"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7061BA1D"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702DE5DD"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2BD84EE4" w14:textId="77777777">
            <w:pPr>
              <w:rPr>
                <w:sz w:val="20"/>
                <w:szCs w:val="20"/>
              </w:rPr>
            </w:pPr>
          </w:p>
        </w:tc>
      </w:tr>
      <w:tr w:rsidR="002160A9" w:rsidTr="003B4BA5" w14:paraId="194D9E6F" w14:textId="77777777">
        <w:trPr>
          <w:trHeight w:val="345"/>
        </w:trPr>
        <w:tc>
          <w:tcPr>
            <w:tcW w:w="896" w:type="dxa"/>
            <w:tcBorders>
              <w:top w:val="nil"/>
              <w:left w:val="nil"/>
              <w:bottom w:val="nil"/>
              <w:right w:val="nil"/>
            </w:tcBorders>
            <w:shd w:val="clear" w:color="auto" w:fill="auto"/>
            <w:noWrap/>
            <w:vAlign w:val="bottom"/>
            <w:hideMark/>
          </w:tcPr>
          <w:p w:rsidR="002160A9" w:rsidRDefault="002160A9" w14:paraId="426CCFC4" w14:textId="77777777">
            <w:pPr>
              <w:jc w:val="right"/>
              <w:rPr>
                <w:rFonts w:ascii="Calibri" w:hAnsi="Calibri" w:cs="Calibri"/>
                <w:color w:val="000000"/>
                <w:sz w:val="22"/>
              </w:rPr>
            </w:pPr>
            <w:r>
              <w:rPr>
                <w:rFonts w:ascii="Calibri" w:hAnsi="Calibri" w:cs="Calibri"/>
                <w:color w:val="000000"/>
                <w:sz w:val="22"/>
                <w:vertAlign w:val="superscript"/>
              </w:rPr>
              <w:t>1</w:t>
            </w:r>
          </w:p>
        </w:tc>
        <w:tc>
          <w:tcPr>
            <w:tcW w:w="3637" w:type="dxa"/>
            <w:tcBorders>
              <w:top w:val="nil"/>
              <w:left w:val="nil"/>
              <w:bottom w:val="nil"/>
              <w:right w:val="nil"/>
            </w:tcBorders>
            <w:shd w:val="clear" w:color="auto" w:fill="auto"/>
            <w:noWrap/>
            <w:vAlign w:val="bottom"/>
            <w:hideMark/>
          </w:tcPr>
          <w:p w:rsidR="002160A9" w:rsidRDefault="002160A9" w14:paraId="636B594F" w14:textId="77777777">
            <w:pPr>
              <w:rPr>
                <w:rFonts w:ascii="Calibri" w:hAnsi="Calibri" w:cs="Calibri"/>
                <w:color w:val="000000"/>
                <w:sz w:val="22"/>
              </w:rPr>
            </w:pPr>
            <w:r>
              <w:rPr>
                <w:rFonts w:ascii="Calibri" w:hAnsi="Calibri" w:cs="Calibri"/>
                <w:color w:val="000000"/>
                <w:sz w:val="22"/>
              </w:rPr>
              <w:t>DEPRECIATION</w:t>
            </w:r>
          </w:p>
        </w:tc>
        <w:tc>
          <w:tcPr>
            <w:tcW w:w="1533" w:type="dxa"/>
            <w:tcBorders>
              <w:top w:val="nil"/>
              <w:left w:val="nil"/>
              <w:bottom w:val="nil"/>
              <w:right w:val="nil"/>
            </w:tcBorders>
            <w:shd w:val="clear" w:color="auto" w:fill="auto"/>
            <w:noWrap/>
            <w:vAlign w:val="bottom"/>
            <w:hideMark/>
          </w:tcPr>
          <w:p w:rsidR="002160A9" w:rsidRDefault="002160A9" w14:paraId="284E1400" w14:textId="77777777">
            <w:pPr>
              <w:jc w:val="right"/>
              <w:rPr>
                <w:rFonts w:ascii="Calibri" w:hAnsi="Calibri" w:cs="Calibri"/>
                <w:color w:val="000000"/>
                <w:sz w:val="22"/>
              </w:rPr>
            </w:pPr>
            <w:r>
              <w:rPr>
                <w:rFonts w:ascii="Calibri" w:hAnsi="Calibri" w:cs="Calibri"/>
                <w:color w:val="000000"/>
                <w:sz w:val="22"/>
              </w:rPr>
              <w:t xml:space="preserve">15,286 </w:t>
            </w:r>
          </w:p>
        </w:tc>
        <w:tc>
          <w:tcPr>
            <w:tcW w:w="1601" w:type="dxa"/>
            <w:tcBorders>
              <w:top w:val="nil"/>
              <w:left w:val="nil"/>
              <w:bottom w:val="nil"/>
              <w:right w:val="nil"/>
            </w:tcBorders>
            <w:shd w:val="clear" w:color="auto" w:fill="auto"/>
            <w:noWrap/>
            <w:vAlign w:val="bottom"/>
            <w:hideMark/>
          </w:tcPr>
          <w:p w:rsidR="002160A9" w:rsidRDefault="002160A9" w14:paraId="566217D8"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0C399D20" w14:textId="77777777">
            <w:pPr>
              <w:jc w:val="right"/>
              <w:rPr>
                <w:rFonts w:ascii="Calibri" w:hAnsi="Calibri" w:cs="Calibri"/>
                <w:color w:val="000000"/>
                <w:sz w:val="22"/>
              </w:rPr>
            </w:pPr>
            <w:r>
              <w:rPr>
                <w:rFonts w:ascii="Calibri" w:hAnsi="Calibri" w:cs="Calibri"/>
                <w:color w:val="000000"/>
                <w:sz w:val="22"/>
              </w:rPr>
              <w:t xml:space="preserve">15,286 </w:t>
            </w:r>
          </w:p>
        </w:tc>
      </w:tr>
      <w:tr w:rsidR="002160A9" w:rsidTr="003B4BA5" w14:paraId="56A420D0"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51C3B894"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5C8CDEB4" w14:textId="77777777">
            <w:pPr>
              <w:rPr>
                <w:rFonts w:ascii="Calibri" w:hAnsi="Calibri" w:cs="Calibri"/>
                <w:color w:val="000000"/>
                <w:sz w:val="22"/>
              </w:rPr>
            </w:pPr>
            <w:r>
              <w:rPr>
                <w:rFonts w:ascii="Calibri" w:hAnsi="Calibri" w:cs="Calibri"/>
                <w:color w:val="000000"/>
                <w:sz w:val="22"/>
              </w:rPr>
              <w:t>CA INCOME TAXES</w:t>
            </w:r>
          </w:p>
        </w:tc>
        <w:tc>
          <w:tcPr>
            <w:tcW w:w="1533" w:type="dxa"/>
            <w:tcBorders>
              <w:top w:val="nil"/>
              <w:left w:val="nil"/>
              <w:bottom w:val="nil"/>
              <w:right w:val="nil"/>
            </w:tcBorders>
            <w:shd w:val="clear" w:color="auto" w:fill="auto"/>
            <w:noWrap/>
            <w:vAlign w:val="bottom"/>
            <w:hideMark/>
          </w:tcPr>
          <w:p w:rsidR="002160A9" w:rsidRDefault="002160A9" w14:paraId="23489089" w14:textId="77777777">
            <w:pPr>
              <w:jc w:val="right"/>
              <w:rPr>
                <w:rFonts w:ascii="Calibri" w:hAnsi="Calibri" w:cs="Calibri"/>
                <w:color w:val="000000"/>
                <w:sz w:val="22"/>
              </w:rPr>
            </w:pPr>
            <w:r>
              <w:rPr>
                <w:rFonts w:ascii="Calibri" w:hAnsi="Calibri" w:cs="Calibri"/>
                <w:color w:val="000000"/>
                <w:sz w:val="22"/>
              </w:rPr>
              <w:t xml:space="preserve">4,994 </w:t>
            </w:r>
          </w:p>
        </w:tc>
        <w:tc>
          <w:tcPr>
            <w:tcW w:w="1601" w:type="dxa"/>
            <w:tcBorders>
              <w:top w:val="nil"/>
              <w:left w:val="nil"/>
              <w:bottom w:val="nil"/>
              <w:right w:val="nil"/>
            </w:tcBorders>
            <w:shd w:val="clear" w:color="auto" w:fill="auto"/>
            <w:noWrap/>
            <w:vAlign w:val="bottom"/>
            <w:hideMark/>
          </w:tcPr>
          <w:p w:rsidR="002160A9" w:rsidRDefault="002160A9" w14:paraId="31DD95E3"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1CCBEF32" w14:textId="77777777">
            <w:pPr>
              <w:jc w:val="right"/>
              <w:rPr>
                <w:rFonts w:ascii="Calibri" w:hAnsi="Calibri" w:cs="Calibri"/>
                <w:color w:val="000000"/>
                <w:sz w:val="22"/>
              </w:rPr>
            </w:pPr>
            <w:r>
              <w:rPr>
                <w:rFonts w:ascii="Calibri" w:hAnsi="Calibri" w:cs="Calibri"/>
                <w:color w:val="000000"/>
                <w:sz w:val="22"/>
              </w:rPr>
              <w:t xml:space="preserve">2,273 </w:t>
            </w:r>
          </w:p>
        </w:tc>
      </w:tr>
      <w:tr w:rsidR="002160A9" w:rsidTr="003B4BA5" w14:paraId="4897468A"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718BA89F"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15D0CC88" w14:textId="77777777">
            <w:pPr>
              <w:rPr>
                <w:rFonts w:ascii="Calibri" w:hAnsi="Calibri" w:cs="Calibri"/>
                <w:color w:val="000000"/>
                <w:sz w:val="22"/>
              </w:rPr>
            </w:pPr>
            <w:r>
              <w:rPr>
                <w:rFonts w:ascii="Calibri" w:hAnsi="Calibri" w:cs="Calibri"/>
                <w:color w:val="000000"/>
                <w:sz w:val="22"/>
              </w:rPr>
              <w:t>FEDERAL INCOME TAXES</w:t>
            </w:r>
          </w:p>
        </w:tc>
        <w:tc>
          <w:tcPr>
            <w:tcW w:w="1533" w:type="dxa"/>
            <w:tcBorders>
              <w:top w:val="nil"/>
              <w:left w:val="nil"/>
              <w:bottom w:val="nil"/>
              <w:right w:val="nil"/>
            </w:tcBorders>
            <w:shd w:val="clear" w:color="auto" w:fill="auto"/>
            <w:noWrap/>
            <w:vAlign w:val="bottom"/>
            <w:hideMark/>
          </w:tcPr>
          <w:p w:rsidR="002160A9" w:rsidRDefault="002160A9" w14:paraId="06433F1F" w14:textId="77777777">
            <w:pPr>
              <w:jc w:val="right"/>
              <w:rPr>
                <w:rFonts w:ascii="Calibri" w:hAnsi="Calibri" w:cs="Calibri"/>
                <w:color w:val="000000"/>
                <w:sz w:val="22"/>
              </w:rPr>
            </w:pPr>
            <w:r>
              <w:rPr>
                <w:rFonts w:ascii="Calibri" w:hAnsi="Calibri" w:cs="Calibri"/>
                <w:color w:val="000000"/>
                <w:sz w:val="22"/>
              </w:rPr>
              <w:t xml:space="preserve">9,693 </w:t>
            </w:r>
          </w:p>
        </w:tc>
        <w:tc>
          <w:tcPr>
            <w:tcW w:w="1601" w:type="dxa"/>
            <w:tcBorders>
              <w:top w:val="nil"/>
              <w:left w:val="nil"/>
              <w:bottom w:val="nil"/>
              <w:right w:val="nil"/>
            </w:tcBorders>
            <w:shd w:val="clear" w:color="auto" w:fill="auto"/>
            <w:noWrap/>
            <w:vAlign w:val="bottom"/>
            <w:hideMark/>
          </w:tcPr>
          <w:p w:rsidR="002160A9" w:rsidRDefault="002160A9" w14:paraId="5CD94733"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168D5F8C" w14:textId="77777777">
            <w:pPr>
              <w:jc w:val="right"/>
              <w:rPr>
                <w:rFonts w:ascii="Calibri" w:hAnsi="Calibri" w:cs="Calibri"/>
                <w:color w:val="000000"/>
                <w:sz w:val="22"/>
              </w:rPr>
            </w:pPr>
            <w:r>
              <w:rPr>
                <w:rFonts w:ascii="Calibri" w:hAnsi="Calibri" w:cs="Calibri"/>
                <w:color w:val="000000"/>
                <w:sz w:val="22"/>
              </w:rPr>
              <w:t xml:space="preserve">3,230 </w:t>
            </w:r>
          </w:p>
        </w:tc>
      </w:tr>
      <w:tr w:rsidR="002160A9" w:rsidTr="003B4BA5" w14:paraId="544B256E"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6E79FD50"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58F7D674"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36EB0BAA"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722B4555"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010FC026" w14:textId="77777777">
            <w:pPr>
              <w:rPr>
                <w:sz w:val="20"/>
                <w:szCs w:val="20"/>
              </w:rPr>
            </w:pPr>
          </w:p>
        </w:tc>
      </w:tr>
      <w:tr w:rsidR="002160A9" w:rsidTr="003B4BA5" w14:paraId="3EA6CD7F" w14:textId="77777777">
        <w:trPr>
          <w:trHeight w:val="300"/>
        </w:trPr>
        <w:tc>
          <w:tcPr>
            <w:tcW w:w="4533" w:type="dxa"/>
            <w:gridSpan w:val="2"/>
            <w:tcBorders>
              <w:top w:val="nil"/>
              <w:left w:val="nil"/>
              <w:bottom w:val="nil"/>
              <w:right w:val="nil"/>
            </w:tcBorders>
            <w:shd w:val="clear" w:color="auto" w:fill="auto"/>
            <w:noWrap/>
            <w:vAlign w:val="bottom"/>
            <w:hideMark/>
          </w:tcPr>
          <w:p w:rsidR="002160A9" w:rsidRDefault="002160A9" w14:paraId="61E7CC92" w14:textId="77777777">
            <w:pPr>
              <w:rPr>
                <w:rFonts w:ascii="Calibri" w:hAnsi="Calibri" w:cs="Calibri"/>
                <w:color w:val="000000"/>
                <w:sz w:val="22"/>
              </w:rPr>
            </w:pPr>
            <w:r>
              <w:rPr>
                <w:rFonts w:ascii="Calibri" w:hAnsi="Calibri" w:cs="Calibri"/>
                <w:color w:val="000000"/>
                <w:sz w:val="22"/>
              </w:rPr>
              <w:lastRenderedPageBreak/>
              <w:t>TOTAL EXPENSE</w:t>
            </w:r>
          </w:p>
        </w:tc>
        <w:tc>
          <w:tcPr>
            <w:tcW w:w="1533" w:type="dxa"/>
            <w:tcBorders>
              <w:top w:val="nil"/>
              <w:left w:val="nil"/>
              <w:bottom w:val="nil"/>
              <w:right w:val="nil"/>
            </w:tcBorders>
            <w:shd w:val="clear" w:color="auto" w:fill="auto"/>
            <w:noWrap/>
            <w:vAlign w:val="bottom"/>
            <w:hideMark/>
          </w:tcPr>
          <w:p w:rsidR="002160A9" w:rsidRDefault="002160A9" w14:paraId="149FD9A7" w14:textId="77777777">
            <w:pPr>
              <w:jc w:val="right"/>
              <w:rPr>
                <w:rFonts w:ascii="Calibri" w:hAnsi="Calibri" w:cs="Calibri"/>
                <w:color w:val="000000"/>
                <w:sz w:val="22"/>
              </w:rPr>
            </w:pPr>
            <w:r>
              <w:rPr>
                <w:rFonts w:ascii="Calibri" w:hAnsi="Calibri" w:cs="Calibri"/>
                <w:color w:val="000000"/>
                <w:sz w:val="22"/>
              </w:rPr>
              <w:t xml:space="preserve">188,226 </w:t>
            </w:r>
          </w:p>
        </w:tc>
        <w:tc>
          <w:tcPr>
            <w:tcW w:w="1601" w:type="dxa"/>
            <w:tcBorders>
              <w:top w:val="nil"/>
              <w:left w:val="nil"/>
              <w:bottom w:val="nil"/>
              <w:right w:val="nil"/>
            </w:tcBorders>
            <w:shd w:val="clear" w:color="auto" w:fill="auto"/>
            <w:noWrap/>
            <w:vAlign w:val="bottom"/>
            <w:hideMark/>
          </w:tcPr>
          <w:p w:rsidR="002160A9" w:rsidRDefault="002160A9" w14:paraId="536DA2A0"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3004AE7D" w14:textId="77777777">
            <w:pPr>
              <w:jc w:val="right"/>
              <w:rPr>
                <w:rFonts w:ascii="Calibri" w:hAnsi="Calibri" w:cs="Calibri"/>
                <w:color w:val="000000"/>
                <w:sz w:val="22"/>
              </w:rPr>
            </w:pPr>
            <w:r>
              <w:rPr>
                <w:rFonts w:ascii="Calibri" w:hAnsi="Calibri" w:cs="Calibri"/>
                <w:color w:val="000000"/>
                <w:sz w:val="22"/>
              </w:rPr>
              <w:t xml:space="preserve">179,043 </w:t>
            </w:r>
          </w:p>
        </w:tc>
      </w:tr>
      <w:tr w:rsidR="002160A9" w:rsidTr="003B4BA5" w14:paraId="307C39E9"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2026640B"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7BD8CAD7"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46EA99EF"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31203B2B"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3C8AB631" w14:textId="77777777">
            <w:pPr>
              <w:rPr>
                <w:sz w:val="20"/>
                <w:szCs w:val="20"/>
              </w:rPr>
            </w:pPr>
          </w:p>
        </w:tc>
      </w:tr>
      <w:tr w:rsidR="002160A9" w:rsidTr="003B4BA5" w14:paraId="4C8E550A" w14:textId="77777777">
        <w:trPr>
          <w:trHeight w:val="300"/>
        </w:trPr>
        <w:tc>
          <w:tcPr>
            <w:tcW w:w="4533" w:type="dxa"/>
            <w:gridSpan w:val="2"/>
            <w:tcBorders>
              <w:top w:val="nil"/>
              <w:left w:val="nil"/>
              <w:bottom w:val="nil"/>
              <w:right w:val="nil"/>
            </w:tcBorders>
            <w:shd w:val="clear" w:color="auto" w:fill="auto"/>
            <w:noWrap/>
            <w:vAlign w:val="bottom"/>
            <w:hideMark/>
          </w:tcPr>
          <w:p w:rsidR="002160A9" w:rsidRDefault="002160A9" w14:paraId="28C67DC2" w14:textId="77777777">
            <w:pPr>
              <w:rPr>
                <w:rFonts w:ascii="Calibri" w:hAnsi="Calibri" w:cs="Calibri"/>
                <w:color w:val="000000"/>
                <w:sz w:val="22"/>
              </w:rPr>
            </w:pPr>
            <w:r>
              <w:rPr>
                <w:rFonts w:ascii="Calibri" w:hAnsi="Calibri" w:cs="Calibri"/>
                <w:color w:val="000000"/>
                <w:sz w:val="22"/>
              </w:rPr>
              <w:t>NET REVENUES</w:t>
            </w:r>
          </w:p>
        </w:tc>
        <w:tc>
          <w:tcPr>
            <w:tcW w:w="1533" w:type="dxa"/>
            <w:tcBorders>
              <w:top w:val="nil"/>
              <w:left w:val="nil"/>
              <w:bottom w:val="nil"/>
              <w:right w:val="nil"/>
            </w:tcBorders>
            <w:shd w:val="clear" w:color="auto" w:fill="auto"/>
            <w:noWrap/>
            <w:vAlign w:val="bottom"/>
            <w:hideMark/>
          </w:tcPr>
          <w:p w:rsidR="002160A9" w:rsidRDefault="002160A9" w14:paraId="61D33458" w14:textId="77777777">
            <w:pPr>
              <w:jc w:val="right"/>
              <w:rPr>
                <w:rFonts w:ascii="Calibri" w:hAnsi="Calibri" w:cs="Calibri"/>
                <w:color w:val="000000"/>
                <w:sz w:val="22"/>
              </w:rPr>
            </w:pPr>
            <w:r>
              <w:rPr>
                <w:rFonts w:ascii="Calibri" w:hAnsi="Calibri" w:cs="Calibri"/>
                <w:color w:val="000000"/>
                <w:sz w:val="22"/>
              </w:rPr>
              <w:t xml:space="preserve">42,798 </w:t>
            </w:r>
          </w:p>
        </w:tc>
        <w:tc>
          <w:tcPr>
            <w:tcW w:w="1601" w:type="dxa"/>
            <w:tcBorders>
              <w:top w:val="nil"/>
              <w:left w:val="nil"/>
              <w:bottom w:val="nil"/>
              <w:right w:val="nil"/>
            </w:tcBorders>
            <w:shd w:val="clear" w:color="auto" w:fill="auto"/>
            <w:noWrap/>
            <w:vAlign w:val="bottom"/>
            <w:hideMark/>
          </w:tcPr>
          <w:p w:rsidR="002160A9" w:rsidRDefault="002160A9" w14:paraId="7E8C0EFF"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5E285694" w14:textId="77777777">
            <w:pPr>
              <w:jc w:val="right"/>
              <w:rPr>
                <w:rFonts w:ascii="Calibri" w:hAnsi="Calibri" w:cs="Calibri"/>
                <w:color w:val="000000"/>
                <w:sz w:val="22"/>
              </w:rPr>
            </w:pPr>
            <w:r>
              <w:rPr>
                <w:rFonts w:ascii="Calibri" w:hAnsi="Calibri" w:cs="Calibri"/>
                <w:color w:val="000000"/>
                <w:sz w:val="22"/>
              </w:rPr>
              <w:t xml:space="preserve">21,207 </w:t>
            </w:r>
          </w:p>
        </w:tc>
      </w:tr>
      <w:tr w:rsidR="002160A9" w:rsidTr="003B4BA5" w14:paraId="767F6433"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0B614258"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2D3AD80D"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457F3966"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3CC9CD41"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24D4103B" w14:textId="77777777">
            <w:pPr>
              <w:rPr>
                <w:sz w:val="20"/>
                <w:szCs w:val="20"/>
              </w:rPr>
            </w:pPr>
          </w:p>
        </w:tc>
      </w:tr>
      <w:tr w:rsidR="002160A9" w:rsidTr="003B4BA5" w14:paraId="23854385" w14:textId="77777777">
        <w:trPr>
          <w:trHeight w:val="300"/>
        </w:trPr>
        <w:tc>
          <w:tcPr>
            <w:tcW w:w="4533" w:type="dxa"/>
            <w:gridSpan w:val="2"/>
            <w:tcBorders>
              <w:top w:val="nil"/>
              <w:left w:val="nil"/>
              <w:bottom w:val="nil"/>
              <w:right w:val="nil"/>
            </w:tcBorders>
            <w:shd w:val="clear" w:color="auto" w:fill="auto"/>
            <w:noWrap/>
            <w:vAlign w:val="bottom"/>
            <w:hideMark/>
          </w:tcPr>
          <w:p w:rsidR="002160A9" w:rsidRDefault="002160A9" w14:paraId="1033DE49" w14:textId="77777777">
            <w:pPr>
              <w:rPr>
                <w:rFonts w:ascii="Calibri" w:hAnsi="Calibri" w:cs="Calibri"/>
                <w:color w:val="000000"/>
                <w:sz w:val="22"/>
              </w:rPr>
            </w:pPr>
            <w:r>
              <w:rPr>
                <w:rFonts w:ascii="Calibri" w:hAnsi="Calibri" w:cs="Calibri"/>
                <w:color w:val="000000"/>
                <w:sz w:val="22"/>
              </w:rPr>
              <w:t>RATE BASE</w:t>
            </w:r>
          </w:p>
        </w:tc>
        <w:tc>
          <w:tcPr>
            <w:tcW w:w="1533" w:type="dxa"/>
            <w:tcBorders>
              <w:top w:val="nil"/>
              <w:left w:val="nil"/>
              <w:bottom w:val="nil"/>
              <w:right w:val="nil"/>
            </w:tcBorders>
            <w:shd w:val="clear" w:color="auto" w:fill="auto"/>
            <w:noWrap/>
            <w:vAlign w:val="bottom"/>
            <w:hideMark/>
          </w:tcPr>
          <w:p w:rsidR="002160A9" w:rsidRDefault="002160A9" w14:paraId="30E33D69" w14:textId="77777777">
            <w:pPr>
              <w:jc w:val="right"/>
              <w:rPr>
                <w:rFonts w:ascii="Calibri" w:hAnsi="Calibri" w:cs="Calibri"/>
                <w:color w:val="000000"/>
                <w:sz w:val="22"/>
              </w:rPr>
            </w:pPr>
            <w:r>
              <w:rPr>
                <w:rFonts w:ascii="Calibri" w:hAnsi="Calibri" w:cs="Calibri"/>
                <w:color w:val="000000"/>
                <w:sz w:val="22"/>
              </w:rPr>
              <w:t xml:space="preserve">288,629 </w:t>
            </w:r>
          </w:p>
        </w:tc>
        <w:tc>
          <w:tcPr>
            <w:tcW w:w="1601" w:type="dxa"/>
            <w:tcBorders>
              <w:top w:val="nil"/>
              <w:left w:val="nil"/>
              <w:bottom w:val="nil"/>
              <w:right w:val="nil"/>
            </w:tcBorders>
            <w:shd w:val="clear" w:color="auto" w:fill="auto"/>
            <w:noWrap/>
            <w:vAlign w:val="bottom"/>
            <w:hideMark/>
          </w:tcPr>
          <w:p w:rsidR="002160A9" w:rsidRDefault="002160A9" w14:paraId="18B7A30A"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57F66B75" w14:textId="77777777">
            <w:pPr>
              <w:jc w:val="right"/>
              <w:rPr>
                <w:rFonts w:ascii="Calibri" w:hAnsi="Calibri" w:cs="Calibri"/>
                <w:color w:val="000000"/>
                <w:sz w:val="22"/>
              </w:rPr>
            </w:pPr>
            <w:r>
              <w:rPr>
                <w:rFonts w:ascii="Calibri" w:hAnsi="Calibri" w:cs="Calibri"/>
                <w:color w:val="000000"/>
                <w:sz w:val="22"/>
              </w:rPr>
              <w:t xml:space="preserve">288,629 </w:t>
            </w:r>
          </w:p>
        </w:tc>
      </w:tr>
      <w:tr w:rsidR="002160A9" w:rsidTr="003B4BA5" w14:paraId="6CFFAE51"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4A7BFAE4"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1154D1CD"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7E015832"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14A1753F"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111BA7C3" w14:textId="77777777">
            <w:pPr>
              <w:rPr>
                <w:sz w:val="20"/>
                <w:szCs w:val="20"/>
              </w:rPr>
            </w:pPr>
          </w:p>
        </w:tc>
      </w:tr>
      <w:tr w:rsidR="002160A9" w:rsidTr="003B4BA5" w14:paraId="39171379" w14:textId="77777777">
        <w:trPr>
          <w:trHeight w:val="300"/>
        </w:trPr>
        <w:tc>
          <w:tcPr>
            <w:tcW w:w="4533" w:type="dxa"/>
            <w:gridSpan w:val="2"/>
            <w:tcBorders>
              <w:top w:val="nil"/>
              <w:left w:val="nil"/>
              <w:bottom w:val="nil"/>
              <w:right w:val="nil"/>
            </w:tcBorders>
            <w:shd w:val="clear" w:color="auto" w:fill="auto"/>
            <w:noWrap/>
            <w:vAlign w:val="bottom"/>
            <w:hideMark/>
          </w:tcPr>
          <w:p w:rsidR="002160A9" w:rsidRDefault="002160A9" w14:paraId="27CF4865" w14:textId="77777777">
            <w:pPr>
              <w:rPr>
                <w:rFonts w:ascii="Calibri" w:hAnsi="Calibri" w:cs="Calibri"/>
                <w:color w:val="000000"/>
                <w:sz w:val="22"/>
              </w:rPr>
            </w:pPr>
            <w:r>
              <w:rPr>
                <w:rFonts w:ascii="Calibri" w:hAnsi="Calibri" w:cs="Calibri"/>
                <w:color w:val="000000"/>
                <w:sz w:val="22"/>
              </w:rPr>
              <w:t>RATE OF RETURN</w:t>
            </w:r>
          </w:p>
        </w:tc>
        <w:tc>
          <w:tcPr>
            <w:tcW w:w="1533" w:type="dxa"/>
            <w:tcBorders>
              <w:top w:val="nil"/>
              <w:left w:val="nil"/>
              <w:bottom w:val="nil"/>
              <w:right w:val="nil"/>
            </w:tcBorders>
            <w:shd w:val="clear" w:color="auto" w:fill="auto"/>
            <w:noWrap/>
            <w:vAlign w:val="bottom"/>
            <w:hideMark/>
          </w:tcPr>
          <w:p w:rsidR="002160A9" w:rsidRDefault="002160A9" w14:paraId="561924FB" w14:textId="77777777">
            <w:pPr>
              <w:jc w:val="right"/>
              <w:rPr>
                <w:rFonts w:ascii="Calibri" w:hAnsi="Calibri" w:cs="Calibri"/>
                <w:color w:val="000000"/>
                <w:sz w:val="22"/>
              </w:rPr>
            </w:pPr>
            <w:r>
              <w:rPr>
                <w:rFonts w:ascii="Calibri" w:hAnsi="Calibri" w:cs="Calibri"/>
                <w:color w:val="000000"/>
                <w:sz w:val="22"/>
              </w:rPr>
              <w:t>14.83%</w:t>
            </w:r>
          </w:p>
        </w:tc>
        <w:tc>
          <w:tcPr>
            <w:tcW w:w="1601" w:type="dxa"/>
            <w:tcBorders>
              <w:top w:val="nil"/>
              <w:left w:val="nil"/>
              <w:bottom w:val="nil"/>
              <w:right w:val="nil"/>
            </w:tcBorders>
            <w:shd w:val="clear" w:color="auto" w:fill="auto"/>
            <w:noWrap/>
            <w:vAlign w:val="bottom"/>
            <w:hideMark/>
          </w:tcPr>
          <w:p w:rsidR="002160A9" w:rsidRDefault="002160A9" w14:paraId="1DAC864E" w14:textId="77777777">
            <w:pPr>
              <w:jc w:val="right"/>
              <w:rPr>
                <w:rFonts w:ascii="Calibri" w:hAnsi="Calibri" w:cs="Calibri"/>
                <w:color w:val="000000"/>
                <w:sz w:val="22"/>
              </w:rPr>
            </w:pPr>
          </w:p>
        </w:tc>
        <w:tc>
          <w:tcPr>
            <w:tcW w:w="1693" w:type="dxa"/>
            <w:tcBorders>
              <w:top w:val="nil"/>
              <w:left w:val="nil"/>
              <w:bottom w:val="nil"/>
              <w:right w:val="nil"/>
            </w:tcBorders>
            <w:shd w:val="clear" w:color="auto" w:fill="auto"/>
            <w:noWrap/>
            <w:vAlign w:val="bottom"/>
            <w:hideMark/>
          </w:tcPr>
          <w:p w:rsidR="002160A9" w:rsidRDefault="002160A9" w14:paraId="7EA91EFF" w14:textId="77777777">
            <w:pPr>
              <w:jc w:val="right"/>
              <w:rPr>
                <w:rFonts w:ascii="Calibri" w:hAnsi="Calibri" w:cs="Calibri"/>
                <w:color w:val="000000"/>
                <w:sz w:val="22"/>
              </w:rPr>
            </w:pPr>
            <w:r>
              <w:rPr>
                <w:rFonts w:ascii="Calibri" w:hAnsi="Calibri" w:cs="Calibri"/>
                <w:color w:val="000000"/>
                <w:sz w:val="22"/>
              </w:rPr>
              <w:t>7.35%</w:t>
            </w:r>
          </w:p>
        </w:tc>
      </w:tr>
      <w:tr w:rsidR="002160A9" w:rsidTr="003B4BA5" w14:paraId="4DE13BC0"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4552E618" w14:textId="77777777">
            <w:pPr>
              <w:jc w:val="right"/>
              <w:rPr>
                <w:rFonts w:ascii="Calibri" w:hAnsi="Calibri" w:cs="Calibri"/>
                <w:color w:val="000000"/>
                <w:sz w:val="22"/>
              </w:rPr>
            </w:pPr>
          </w:p>
        </w:tc>
        <w:tc>
          <w:tcPr>
            <w:tcW w:w="3637" w:type="dxa"/>
            <w:tcBorders>
              <w:top w:val="nil"/>
              <w:left w:val="nil"/>
              <w:bottom w:val="nil"/>
              <w:right w:val="nil"/>
            </w:tcBorders>
            <w:shd w:val="clear" w:color="auto" w:fill="auto"/>
            <w:noWrap/>
            <w:vAlign w:val="bottom"/>
            <w:hideMark/>
          </w:tcPr>
          <w:p w:rsidR="002160A9" w:rsidRDefault="002160A9" w14:paraId="1851F818" w14:textId="77777777">
            <w:pPr>
              <w:rPr>
                <w:sz w:val="20"/>
                <w:szCs w:val="20"/>
              </w:rPr>
            </w:pPr>
          </w:p>
        </w:tc>
        <w:tc>
          <w:tcPr>
            <w:tcW w:w="1533" w:type="dxa"/>
            <w:tcBorders>
              <w:top w:val="nil"/>
              <w:left w:val="nil"/>
              <w:bottom w:val="nil"/>
              <w:right w:val="nil"/>
            </w:tcBorders>
            <w:shd w:val="clear" w:color="auto" w:fill="auto"/>
            <w:noWrap/>
            <w:vAlign w:val="bottom"/>
            <w:hideMark/>
          </w:tcPr>
          <w:p w:rsidR="002160A9" w:rsidRDefault="002160A9" w14:paraId="1BA76E3D" w14:textId="77777777">
            <w:pPr>
              <w:rPr>
                <w:sz w:val="20"/>
                <w:szCs w:val="20"/>
              </w:rPr>
            </w:pPr>
          </w:p>
        </w:tc>
        <w:tc>
          <w:tcPr>
            <w:tcW w:w="1601" w:type="dxa"/>
            <w:tcBorders>
              <w:top w:val="nil"/>
              <w:left w:val="nil"/>
              <w:bottom w:val="nil"/>
              <w:right w:val="nil"/>
            </w:tcBorders>
            <w:shd w:val="clear" w:color="auto" w:fill="auto"/>
            <w:noWrap/>
            <w:vAlign w:val="bottom"/>
            <w:hideMark/>
          </w:tcPr>
          <w:p w:rsidR="002160A9" w:rsidRDefault="002160A9" w14:paraId="013CD283" w14:textId="77777777">
            <w:pPr>
              <w:rPr>
                <w:sz w:val="20"/>
                <w:szCs w:val="20"/>
              </w:rPr>
            </w:pPr>
          </w:p>
        </w:tc>
        <w:tc>
          <w:tcPr>
            <w:tcW w:w="1693" w:type="dxa"/>
            <w:tcBorders>
              <w:top w:val="nil"/>
              <w:left w:val="nil"/>
              <w:bottom w:val="nil"/>
              <w:right w:val="nil"/>
            </w:tcBorders>
            <w:shd w:val="clear" w:color="auto" w:fill="auto"/>
            <w:noWrap/>
            <w:vAlign w:val="bottom"/>
            <w:hideMark/>
          </w:tcPr>
          <w:p w:rsidR="002160A9" w:rsidRDefault="002160A9" w14:paraId="15648F7C" w14:textId="77777777">
            <w:pPr>
              <w:rPr>
                <w:sz w:val="20"/>
                <w:szCs w:val="20"/>
              </w:rPr>
            </w:pPr>
          </w:p>
        </w:tc>
      </w:tr>
      <w:tr w:rsidR="002160A9" w:rsidTr="003B4BA5" w14:paraId="52A4F3FA" w14:textId="77777777">
        <w:trPr>
          <w:trHeight w:val="375"/>
        </w:trPr>
        <w:tc>
          <w:tcPr>
            <w:tcW w:w="896" w:type="dxa"/>
            <w:tcBorders>
              <w:top w:val="nil"/>
              <w:left w:val="nil"/>
              <w:bottom w:val="nil"/>
              <w:right w:val="nil"/>
            </w:tcBorders>
            <w:shd w:val="clear" w:color="auto" w:fill="auto"/>
            <w:noWrap/>
            <w:vAlign w:val="bottom"/>
            <w:hideMark/>
          </w:tcPr>
          <w:p w:rsidR="002160A9" w:rsidRDefault="002160A9" w14:paraId="54BE0077" w14:textId="77777777">
            <w:pPr>
              <w:jc w:val="right"/>
              <w:rPr>
                <w:rFonts w:ascii="Arial" w:hAnsi="Arial" w:cs="Arial"/>
                <w:sz w:val="24"/>
                <w:szCs w:val="24"/>
              </w:rPr>
            </w:pPr>
            <w:r>
              <w:rPr>
                <w:rFonts w:ascii="Arial" w:hAnsi="Arial" w:cs="Arial"/>
                <w:vertAlign w:val="superscript"/>
              </w:rPr>
              <w:t>1</w:t>
            </w:r>
          </w:p>
        </w:tc>
        <w:tc>
          <w:tcPr>
            <w:tcW w:w="8464" w:type="dxa"/>
            <w:gridSpan w:val="4"/>
            <w:tcBorders>
              <w:top w:val="nil"/>
              <w:left w:val="nil"/>
              <w:bottom w:val="nil"/>
              <w:right w:val="nil"/>
            </w:tcBorders>
            <w:shd w:val="clear" w:color="auto" w:fill="auto"/>
            <w:noWrap/>
            <w:vAlign w:val="bottom"/>
            <w:hideMark/>
          </w:tcPr>
          <w:p w:rsidR="002160A9" w:rsidRDefault="002160A9" w14:paraId="1824B0F2" w14:textId="77777777">
            <w:pPr>
              <w:rPr>
                <w:rFonts w:ascii="Arial" w:hAnsi="Arial" w:cs="Arial"/>
                <w:sz w:val="20"/>
                <w:szCs w:val="20"/>
              </w:rPr>
            </w:pPr>
            <w:r>
              <w:rPr>
                <w:rFonts w:ascii="Arial" w:hAnsi="Arial" w:cs="Arial"/>
                <w:sz w:val="20"/>
                <w:szCs w:val="20"/>
              </w:rPr>
              <w:t>DEPRECIATION, PROPERTY TAX AND PAYROLL TAXES FROM PARK'S GENERAL OFFICE</w:t>
            </w:r>
          </w:p>
        </w:tc>
      </w:tr>
      <w:tr w:rsidR="002160A9" w:rsidTr="003B4BA5" w14:paraId="59AC829E" w14:textId="77777777">
        <w:trPr>
          <w:trHeight w:val="300"/>
        </w:trPr>
        <w:tc>
          <w:tcPr>
            <w:tcW w:w="896" w:type="dxa"/>
            <w:tcBorders>
              <w:top w:val="nil"/>
              <w:left w:val="nil"/>
              <w:bottom w:val="nil"/>
              <w:right w:val="nil"/>
            </w:tcBorders>
            <w:shd w:val="clear" w:color="auto" w:fill="auto"/>
            <w:noWrap/>
            <w:vAlign w:val="bottom"/>
            <w:hideMark/>
          </w:tcPr>
          <w:p w:rsidR="002160A9" w:rsidRDefault="002160A9" w14:paraId="1D30A347" w14:textId="77777777">
            <w:pPr>
              <w:rPr>
                <w:rFonts w:ascii="Arial" w:hAnsi="Arial" w:cs="Arial"/>
                <w:sz w:val="20"/>
                <w:szCs w:val="20"/>
              </w:rPr>
            </w:pPr>
          </w:p>
        </w:tc>
        <w:tc>
          <w:tcPr>
            <w:tcW w:w="8464" w:type="dxa"/>
            <w:gridSpan w:val="4"/>
            <w:tcBorders>
              <w:top w:val="nil"/>
              <w:left w:val="nil"/>
              <w:bottom w:val="nil"/>
              <w:right w:val="nil"/>
            </w:tcBorders>
            <w:shd w:val="clear" w:color="auto" w:fill="auto"/>
            <w:noWrap/>
            <w:vAlign w:val="bottom"/>
            <w:hideMark/>
          </w:tcPr>
          <w:p w:rsidR="002160A9" w:rsidRDefault="002160A9" w14:paraId="6DF48C05" w14:textId="77777777">
            <w:pPr>
              <w:rPr>
                <w:rFonts w:ascii="Arial" w:hAnsi="Arial" w:cs="Arial"/>
                <w:sz w:val="20"/>
                <w:szCs w:val="20"/>
              </w:rPr>
            </w:pPr>
            <w:r>
              <w:rPr>
                <w:rFonts w:ascii="Arial" w:hAnsi="Arial" w:cs="Arial"/>
                <w:sz w:val="20"/>
                <w:szCs w:val="20"/>
              </w:rPr>
              <w:t>HAVE BEEN INCLUDED IN THE APPROPRIATE LINE ITEM OF EXPENSE.</w:t>
            </w:r>
          </w:p>
        </w:tc>
      </w:tr>
    </w:tbl>
    <w:p w:rsidRPr="00F85246" w:rsidR="00F85246" w:rsidP="00F85246" w:rsidRDefault="00F85246" w14:paraId="23FB245B" w14:textId="77777777">
      <w:pPr>
        <w:spacing w:after="160" w:line="259" w:lineRule="auto"/>
        <w:ind w:firstLine="0"/>
        <w:rPr>
          <w:rFonts w:ascii="Calibri" w:hAnsi="Calibri" w:eastAsia="Calibri" w:cs="Times New Roman"/>
          <w:sz w:val="22"/>
        </w:rPr>
      </w:pPr>
      <w:r w:rsidRPr="00F85246">
        <w:rPr>
          <w:rFonts w:ascii="Calibri" w:hAnsi="Calibri" w:eastAsia="Calibri" w:cs="Times New Roman"/>
          <w:sz w:val="22"/>
        </w:rPr>
        <w:br w:type="page"/>
      </w:r>
    </w:p>
    <w:tbl>
      <w:tblPr>
        <w:tblW w:w="9360" w:type="dxa"/>
        <w:tblLook w:val="04A0" w:firstRow="1" w:lastRow="0" w:firstColumn="1" w:lastColumn="0" w:noHBand="0" w:noVBand="1"/>
      </w:tblPr>
      <w:tblGrid>
        <w:gridCol w:w="960"/>
        <w:gridCol w:w="3223"/>
        <w:gridCol w:w="1686"/>
        <w:gridCol w:w="1690"/>
        <w:gridCol w:w="1801"/>
      </w:tblGrid>
      <w:tr w:rsidR="00793C18" w:rsidTr="003B4BA5" w14:paraId="27EDEB9F" w14:textId="77777777">
        <w:trPr>
          <w:trHeight w:val="315"/>
        </w:trPr>
        <w:tc>
          <w:tcPr>
            <w:tcW w:w="9356" w:type="dxa"/>
            <w:gridSpan w:val="5"/>
            <w:tcBorders>
              <w:top w:val="nil"/>
              <w:left w:val="nil"/>
              <w:bottom w:val="nil"/>
              <w:right w:val="nil"/>
            </w:tcBorders>
            <w:shd w:val="clear" w:color="auto" w:fill="auto"/>
            <w:noWrap/>
            <w:vAlign w:val="bottom"/>
            <w:hideMark/>
          </w:tcPr>
          <w:p w:rsidR="00793C18" w:rsidRDefault="00793C18" w14:paraId="4B26BB58" w14:textId="77777777">
            <w:pPr>
              <w:spacing w:line="240" w:lineRule="auto"/>
              <w:ind w:firstLine="0"/>
              <w:jc w:val="center"/>
              <w:rPr>
                <w:rFonts w:ascii="Times New Roman" w:hAnsi="Times New Roman"/>
                <w:b/>
                <w:bCs/>
                <w:color w:val="000000"/>
                <w:sz w:val="24"/>
                <w:u w:val="single"/>
              </w:rPr>
            </w:pPr>
            <w:r>
              <w:rPr>
                <w:b/>
                <w:bCs/>
                <w:color w:val="000000"/>
                <w:u w:val="single"/>
              </w:rPr>
              <w:lastRenderedPageBreak/>
              <w:t>LIBERTY UTILITIES (APPLE VALLEY RANCHOS WATER) CORP. - YERMO</w:t>
            </w:r>
          </w:p>
        </w:tc>
      </w:tr>
      <w:tr w:rsidR="00793C18" w:rsidTr="003B4BA5" w14:paraId="3D65EDA5" w14:textId="77777777">
        <w:trPr>
          <w:trHeight w:val="315"/>
        </w:trPr>
        <w:tc>
          <w:tcPr>
            <w:tcW w:w="9356" w:type="dxa"/>
            <w:gridSpan w:val="5"/>
            <w:tcBorders>
              <w:top w:val="nil"/>
              <w:left w:val="nil"/>
              <w:bottom w:val="nil"/>
              <w:right w:val="nil"/>
            </w:tcBorders>
            <w:shd w:val="clear" w:color="auto" w:fill="auto"/>
            <w:noWrap/>
            <w:vAlign w:val="bottom"/>
            <w:hideMark/>
          </w:tcPr>
          <w:p w:rsidR="00793C18" w:rsidRDefault="00793C18" w14:paraId="6D7505A1" w14:textId="77777777">
            <w:pPr>
              <w:jc w:val="center"/>
              <w:rPr>
                <w:b/>
                <w:bCs/>
                <w:color w:val="000000"/>
                <w:u w:val="single"/>
              </w:rPr>
            </w:pPr>
            <w:r>
              <w:rPr>
                <w:b/>
                <w:bCs/>
                <w:color w:val="000000"/>
                <w:u w:val="single"/>
              </w:rPr>
              <w:t>SUMMARY OF EARNINGS</w:t>
            </w:r>
          </w:p>
        </w:tc>
      </w:tr>
      <w:tr w:rsidR="000D4308" w:rsidTr="00793C18" w14:paraId="6E27ECD6"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0A5AAC09" w14:textId="77777777">
            <w:pPr>
              <w:jc w:val="center"/>
              <w:rPr>
                <w:b/>
                <w:bCs/>
                <w:color w:val="000000"/>
                <w:u w:val="single"/>
              </w:rPr>
            </w:pPr>
          </w:p>
        </w:tc>
        <w:tc>
          <w:tcPr>
            <w:tcW w:w="3512" w:type="dxa"/>
            <w:tcBorders>
              <w:top w:val="nil"/>
              <w:left w:val="nil"/>
              <w:bottom w:val="nil"/>
              <w:right w:val="nil"/>
            </w:tcBorders>
            <w:shd w:val="clear" w:color="auto" w:fill="auto"/>
            <w:noWrap/>
            <w:vAlign w:val="bottom"/>
            <w:hideMark/>
          </w:tcPr>
          <w:p w:rsidR="00793C18" w:rsidRDefault="00793C18" w14:paraId="5386879F"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6B0DBAFF"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08CBB97C"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0A976C71" w14:textId="77777777">
            <w:pPr>
              <w:rPr>
                <w:sz w:val="20"/>
                <w:szCs w:val="20"/>
              </w:rPr>
            </w:pPr>
          </w:p>
        </w:tc>
      </w:tr>
      <w:tr w:rsidR="000D4308" w:rsidTr="00793C18" w14:paraId="5DC4A84C"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0CB5BA04" w14:textId="77777777">
            <w:pPr>
              <w:rPr>
                <w:sz w:val="20"/>
                <w:szCs w:val="20"/>
              </w:rPr>
            </w:pPr>
          </w:p>
        </w:tc>
        <w:tc>
          <w:tcPr>
            <w:tcW w:w="3512" w:type="dxa"/>
            <w:tcBorders>
              <w:top w:val="nil"/>
              <w:left w:val="nil"/>
              <w:bottom w:val="nil"/>
              <w:right w:val="nil"/>
            </w:tcBorders>
            <w:shd w:val="clear" w:color="auto" w:fill="auto"/>
            <w:noWrap/>
            <w:vAlign w:val="bottom"/>
            <w:hideMark/>
          </w:tcPr>
          <w:p w:rsidR="00793C18" w:rsidRDefault="00793C18" w14:paraId="32ADF110"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5605C2D6" w14:textId="77777777">
            <w:pPr>
              <w:jc w:val="right"/>
              <w:rPr>
                <w:rFonts w:ascii="Calibri" w:hAnsi="Calibri" w:cs="Calibri"/>
                <w:b/>
                <w:bCs/>
                <w:color w:val="000000"/>
                <w:sz w:val="22"/>
              </w:rPr>
            </w:pPr>
            <w:r>
              <w:rPr>
                <w:rFonts w:ascii="Calibri" w:hAnsi="Calibri" w:cs="Calibri"/>
                <w:b/>
                <w:bCs/>
                <w:color w:val="000000"/>
                <w:sz w:val="22"/>
              </w:rPr>
              <w:t>2019-TY</w:t>
            </w:r>
          </w:p>
        </w:tc>
        <w:tc>
          <w:tcPr>
            <w:tcW w:w="1616" w:type="dxa"/>
            <w:tcBorders>
              <w:top w:val="nil"/>
              <w:left w:val="nil"/>
              <w:bottom w:val="nil"/>
              <w:right w:val="nil"/>
            </w:tcBorders>
            <w:shd w:val="clear" w:color="auto" w:fill="auto"/>
            <w:noWrap/>
            <w:vAlign w:val="bottom"/>
            <w:hideMark/>
          </w:tcPr>
          <w:p w:rsidR="00793C18" w:rsidRDefault="00793C18" w14:paraId="36106548" w14:textId="77777777">
            <w:pPr>
              <w:jc w:val="right"/>
              <w:rPr>
                <w:rFonts w:ascii="Calibri" w:hAnsi="Calibri" w:cs="Calibri"/>
                <w:b/>
                <w:bCs/>
                <w:color w:val="000000"/>
                <w:sz w:val="22"/>
              </w:rPr>
            </w:pPr>
            <w:r>
              <w:rPr>
                <w:rFonts w:ascii="Calibri" w:hAnsi="Calibri" w:cs="Calibri"/>
                <w:b/>
                <w:bCs/>
                <w:color w:val="000000"/>
                <w:sz w:val="22"/>
              </w:rPr>
              <w:t>INCREASE</w:t>
            </w:r>
          </w:p>
        </w:tc>
        <w:tc>
          <w:tcPr>
            <w:tcW w:w="1710" w:type="dxa"/>
            <w:tcBorders>
              <w:top w:val="nil"/>
              <w:left w:val="nil"/>
              <w:bottom w:val="nil"/>
              <w:right w:val="nil"/>
            </w:tcBorders>
            <w:shd w:val="clear" w:color="auto" w:fill="auto"/>
            <w:noWrap/>
            <w:vAlign w:val="bottom"/>
            <w:hideMark/>
          </w:tcPr>
          <w:p w:rsidR="00793C18" w:rsidRDefault="00793C18" w14:paraId="2E0A5752" w14:textId="77777777">
            <w:pPr>
              <w:jc w:val="right"/>
              <w:rPr>
                <w:rFonts w:ascii="Calibri" w:hAnsi="Calibri" w:cs="Calibri"/>
                <w:b/>
                <w:bCs/>
                <w:color w:val="000000"/>
                <w:sz w:val="22"/>
              </w:rPr>
            </w:pPr>
            <w:r>
              <w:rPr>
                <w:rFonts w:ascii="Calibri" w:hAnsi="Calibri" w:cs="Calibri"/>
                <w:b/>
                <w:bCs/>
                <w:color w:val="000000"/>
                <w:sz w:val="22"/>
              </w:rPr>
              <w:t>2019-TY</w:t>
            </w:r>
          </w:p>
        </w:tc>
      </w:tr>
      <w:tr w:rsidR="000D4308" w:rsidTr="00793C18" w14:paraId="3E69C7F1"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5C795EB3" w14:textId="77777777">
            <w:pPr>
              <w:jc w:val="right"/>
              <w:rPr>
                <w:rFonts w:ascii="Calibri" w:hAnsi="Calibri" w:cs="Calibri"/>
                <w:b/>
                <w:bCs/>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3732D2DE"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33D06052" w14:textId="77777777">
            <w:pPr>
              <w:jc w:val="right"/>
              <w:rPr>
                <w:rFonts w:ascii="Calibri" w:hAnsi="Calibri" w:cs="Calibri"/>
                <w:b/>
                <w:bCs/>
                <w:color w:val="000000"/>
                <w:sz w:val="22"/>
              </w:rPr>
            </w:pPr>
            <w:r>
              <w:rPr>
                <w:rFonts w:ascii="Calibri" w:hAnsi="Calibri" w:cs="Calibri"/>
                <w:b/>
                <w:bCs/>
                <w:color w:val="000000"/>
                <w:sz w:val="22"/>
              </w:rPr>
              <w:t>PRESENT</w:t>
            </w:r>
          </w:p>
        </w:tc>
        <w:tc>
          <w:tcPr>
            <w:tcW w:w="1616" w:type="dxa"/>
            <w:tcBorders>
              <w:top w:val="nil"/>
              <w:left w:val="nil"/>
              <w:bottom w:val="nil"/>
              <w:right w:val="nil"/>
            </w:tcBorders>
            <w:shd w:val="clear" w:color="auto" w:fill="auto"/>
            <w:noWrap/>
            <w:vAlign w:val="bottom"/>
            <w:hideMark/>
          </w:tcPr>
          <w:p w:rsidR="00793C18" w:rsidRDefault="00793C18" w14:paraId="5C0C032D" w14:textId="77777777">
            <w:pPr>
              <w:jc w:val="right"/>
              <w:rPr>
                <w:rFonts w:ascii="Calibri" w:hAnsi="Calibri" w:cs="Calibri"/>
                <w:b/>
                <w:bCs/>
                <w:color w:val="000000"/>
                <w:sz w:val="22"/>
              </w:rPr>
            </w:pPr>
          </w:p>
        </w:tc>
        <w:tc>
          <w:tcPr>
            <w:tcW w:w="1710" w:type="dxa"/>
            <w:tcBorders>
              <w:top w:val="nil"/>
              <w:left w:val="nil"/>
              <w:bottom w:val="nil"/>
              <w:right w:val="nil"/>
            </w:tcBorders>
            <w:shd w:val="clear" w:color="auto" w:fill="auto"/>
            <w:noWrap/>
            <w:vAlign w:val="bottom"/>
            <w:hideMark/>
          </w:tcPr>
          <w:p w:rsidR="00793C18" w:rsidRDefault="000D4308" w14:paraId="53E2C9EF" w14:textId="6E93F7F0">
            <w:pPr>
              <w:jc w:val="right"/>
              <w:rPr>
                <w:rFonts w:ascii="Calibri" w:hAnsi="Calibri" w:cs="Calibri"/>
                <w:b/>
                <w:bCs/>
                <w:color w:val="000000"/>
                <w:sz w:val="22"/>
              </w:rPr>
            </w:pPr>
            <w:r>
              <w:rPr>
                <w:rFonts w:ascii="Calibri" w:hAnsi="Calibri" w:cs="Calibri"/>
                <w:b/>
                <w:bCs/>
                <w:color w:val="000000"/>
                <w:sz w:val="22"/>
              </w:rPr>
              <w:t>APPROVED</w:t>
            </w:r>
          </w:p>
        </w:tc>
      </w:tr>
      <w:tr w:rsidR="000D4308" w:rsidTr="00793C18" w14:paraId="27C0D219"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7B283486" w14:textId="77777777">
            <w:pPr>
              <w:jc w:val="right"/>
              <w:rPr>
                <w:rFonts w:ascii="Calibri" w:hAnsi="Calibri" w:cs="Calibri"/>
                <w:b/>
                <w:bCs/>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5073FFED"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0D2DFBB2"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381D91EA" w14:textId="77777777">
            <w:pPr>
              <w:jc w:val="right"/>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617384F7" w14:textId="77777777">
            <w:pPr>
              <w:rPr>
                <w:sz w:val="20"/>
                <w:szCs w:val="20"/>
              </w:rPr>
            </w:pPr>
          </w:p>
        </w:tc>
      </w:tr>
      <w:tr w:rsidR="00793C18" w:rsidTr="003B4BA5" w14:paraId="42CD05AA" w14:textId="77777777">
        <w:trPr>
          <w:trHeight w:val="300"/>
        </w:trPr>
        <w:tc>
          <w:tcPr>
            <w:tcW w:w="4418" w:type="dxa"/>
            <w:gridSpan w:val="2"/>
            <w:tcBorders>
              <w:top w:val="nil"/>
              <w:left w:val="nil"/>
              <w:bottom w:val="nil"/>
              <w:right w:val="nil"/>
            </w:tcBorders>
            <w:shd w:val="clear" w:color="auto" w:fill="auto"/>
            <w:noWrap/>
            <w:vAlign w:val="bottom"/>
            <w:hideMark/>
          </w:tcPr>
          <w:p w:rsidR="00793C18" w:rsidRDefault="00793C18" w14:paraId="2B48BECF" w14:textId="77777777">
            <w:pPr>
              <w:rPr>
                <w:rFonts w:ascii="Calibri" w:hAnsi="Calibri" w:cs="Calibri"/>
                <w:color w:val="000000"/>
                <w:sz w:val="22"/>
              </w:rPr>
            </w:pPr>
            <w:r>
              <w:rPr>
                <w:rFonts w:ascii="Calibri" w:hAnsi="Calibri" w:cs="Calibri"/>
                <w:color w:val="000000"/>
                <w:sz w:val="22"/>
              </w:rPr>
              <w:t>OPERATING REVENUES</w:t>
            </w:r>
          </w:p>
        </w:tc>
        <w:tc>
          <w:tcPr>
            <w:tcW w:w="1612" w:type="dxa"/>
            <w:tcBorders>
              <w:top w:val="nil"/>
              <w:left w:val="nil"/>
              <w:bottom w:val="nil"/>
              <w:right w:val="nil"/>
            </w:tcBorders>
            <w:shd w:val="clear" w:color="auto" w:fill="auto"/>
            <w:noWrap/>
            <w:vAlign w:val="bottom"/>
            <w:hideMark/>
          </w:tcPr>
          <w:p w:rsidR="00793C18" w:rsidRDefault="00793C18" w14:paraId="20CCC7BE" w14:textId="77777777">
            <w:pPr>
              <w:jc w:val="right"/>
              <w:rPr>
                <w:rFonts w:ascii="Calibri" w:hAnsi="Calibri" w:cs="Calibri"/>
                <w:color w:val="000000"/>
                <w:sz w:val="22"/>
              </w:rPr>
            </w:pPr>
            <w:r>
              <w:rPr>
                <w:rFonts w:ascii="Calibri" w:hAnsi="Calibri" w:cs="Calibri"/>
                <w:color w:val="000000"/>
                <w:sz w:val="22"/>
              </w:rPr>
              <w:t xml:space="preserve">281,732 </w:t>
            </w:r>
          </w:p>
        </w:tc>
        <w:tc>
          <w:tcPr>
            <w:tcW w:w="1616" w:type="dxa"/>
            <w:tcBorders>
              <w:top w:val="nil"/>
              <w:left w:val="nil"/>
              <w:bottom w:val="nil"/>
              <w:right w:val="nil"/>
            </w:tcBorders>
            <w:shd w:val="clear" w:color="auto" w:fill="auto"/>
            <w:noWrap/>
            <w:vAlign w:val="bottom"/>
            <w:hideMark/>
          </w:tcPr>
          <w:p w:rsidR="00793C18" w:rsidRDefault="00793C18" w14:paraId="6B1794DE"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02B7087B" w14:textId="77777777">
            <w:pPr>
              <w:jc w:val="right"/>
              <w:rPr>
                <w:rFonts w:ascii="Calibri" w:hAnsi="Calibri" w:cs="Calibri"/>
                <w:color w:val="000000"/>
                <w:sz w:val="22"/>
              </w:rPr>
            </w:pPr>
            <w:r>
              <w:rPr>
                <w:rFonts w:ascii="Calibri" w:hAnsi="Calibri" w:cs="Calibri"/>
                <w:color w:val="000000"/>
                <w:sz w:val="22"/>
              </w:rPr>
              <w:t xml:space="preserve">468,900 </w:t>
            </w:r>
          </w:p>
        </w:tc>
      </w:tr>
      <w:tr w:rsidR="00793C18" w:rsidTr="003B4BA5" w14:paraId="160EF8D4" w14:textId="77777777">
        <w:trPr>
          <w:trHeight w:val="300"/>
        </w:trPr>
        <w:tc>
          <w:tcPr>
            <w:tcW w:w="4418" w:type="dxa"/>
            <w:gridSpan w:val="2"/>
            <w:tcBorders>
              <w:top w:val="nil"/>
              <w:left w:val="nil"/>
              <w:bottom w:val="nil"/>
              <w:right w:val="nil"/>
            </w:tcBorders>
            <w:shd w:val="clear" w:color="auto" w:fill="auto"/>
            <w:noWrap/>
            <w:vAlign w:val="bottom"/>
            <w:hideMark/>
          </w:tcPr>
          <w:p w:rsidR="00793C18" w:rsidRDefault="00793C18" w14:paraId="4E5F2054" w14:textId="77777777">
            <w:pPr>
              <w:rPr>
                <w:rFonts w:ascii="Calibri" w:hAnsi="Calibri" w:cs="Calibri"/>
                <w:color w:val="000000"/>
                <w:sz w:val="22"/>
              </w:rPr>
            </w:pPr>
            <w:r>
              <w:rPr>
                <w:rFonts w:ascii="Calibri" w:hAnsi="Calibri" w:cs="Calibri"/>
                <w:color w:val="000000"/>
                <w:sz w:val="22"/>
              </w:rPr>
              <w:t>DEFERRED REVENUES</w:t>
            </w:r>
          </w:p>
        </w:tc>
        <w:tc>
          <w:tcPr>
            <w:tcW w:w="1612" w:type="dxa"/>
            <w:tcBorders>
              <w:top w:val="nil"/>
              <w:left w:val="nil"/>
              <w:bottom w:val="nil"/>
              <w:right w:val="nil"/>
            </w:tcBorders>
            <w:shd w:val="clear" w:color="auto" w:fill="auto"/>
            <w:noWrap/>
            <w:vAlign w:val="bottom"/>
            <w:hideMark/>
          </w:tcPr>
          <w:p w:rsidR="00793C18" w:rsidRDefault="00793C18" w14:paraId="326811A1" w14:textId="77777777">
            <w:pPr>
              <w:jc w:val="right"/>
              <w:rPr>
                <w:rFonts w:ascii="Calibri" w:hAnsi="Calibri" w:cs="Calibri"/>
                <w:color w:val="000000"/>
                <w:sz w:val="22"/>
              </w:rPr>
            </w:pPr>
            <w:r>
              <w:rPr>
                <w:rFonts w:ascii="Calibri" w:hAnsi="Calibri" w:cs="Calibri"/>
                <w:color w:val="000000"/>
                <w:sz w:val="22"/>
              </w:rPr>
              <w:t>0</w:t>
            </w:r>
          </w:p>
        </w:tc>
        <w:tc>
          <w:tcPr>
            <w:tcW w:w="1616" w:type="dxa"/>
            <w:tcBorders>
              <w:top w:val="nil"/>
              <w:left w:val="nil"/>
              <w:bottom w:val="nil"/>
              <w:right w:val="nil"/>
            </w:tcBorders>
            <w:shd w:val="clear" w:color="auto" w:fill="auto"/>
            <w:noWrap/>
            <w:vAlign w:val="bottom"/>
            <w:hideMark/>
          </w:tcPr>
          <w:p w:rsidR="00793C18" w:rsidRDefault="00793C18" w14:paraId="5D792288"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0B2E9B78" w14:textId="77777777">
            <w:pPr>
              <w:jc w:val="right"/>
              <w:rPr>
                <w:rFonts w:ascii="Calibri" w:hAnsi="Calibri" w:cs="Calibri"/>
                <w:color w:val="000000"/>
                <w:sz w:val="22"/>
              </w:rPr>
            </w:pPr>
            <w:r>
              <w:rPr>
                <w:rFonts w:ascii="Calibri" w:hAnsi="Calibri" w:cs="Calibri"/>
                <w:color w:val="000000"/>
                <w:sz w:val="22"/>
              </w:rPr>
              <w:t xml:space="preserve">0 </w:t>
            </w:r>
          </w:p>
        </w:tc>
      </w:tr>
      <w:tr w:rsidR="000D4308" w:rsidTr="00793C18" w14:paraId="0DF2C0FA"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576C9343"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7B5A5EA8"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54EE53C2"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561015B6"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421DD7F6" w14:textId="77777777">
            <w:pPr>
              <w:rPr>
                <w:sz w:val="20"/>
                <w:szCs w:val="20"/>
              </w:rPr>
            </w:pPr>
          </w:p>
        </w:tc>
      </w:tr>
      <w:tr w:rsidR="00793C18" w:rsidTr="003B4BA5" w14:paraId="62AD5F96" w14:textId="77777777">
        <w:trPr>
          <w:trHeight w:val="300"/>
        </w:trPr>
        <w:tc>
          <w:tcPr>
            <w:tcW w:w="4418" w:type="dxa"/>
            <w:gridSpan w:val="2"/>
            <w:tcBorders>
              <w:top w:val="nil"/>
              <w:left w:val="nil"/>
              <w:bottom w:val="nil"/>
              <w:right w:val="nil"/>
            </w:tcBorders>
            <w:shd w:val="clear" w:color="auto" w:fill="auto"/>
            <w:noWrap/>
            <w:vAlign w:val="bottom"/>
            <w:hideMark/>
          </w:tcPr>
          <w:p w:rsidR="00793C18" w:rsidRDefault="00793C18" w14:paraId="34E1EAAC" w14:textId="77777777">
            <w:pPr>
              <w:rPr>
                <w:rFonts w:ascii="Calibri" w:hAnsi="Calibri" w:cs="Calibri"/>
                <w:color w:val="000000"/>
                <w:sz w:val="22"/>
              </w:rPr>
            </w:pPr>
            <w:r>
              <w:rPr>
                <w:rFonts w:ascii="Calibri" w:hAnsi="Calibri" w:cs="Calibri"/>
                <w:color w:val="000000"/>
                <w:sz w:val="22"/>
              </w:rPr>
              <w:t>TOTAL REVENUES</w:t>
            </w:r>
          </w:p>
        </w:tc>
        <w:tc>
          <w:tcPr>
            <w:tcW w:w="1612" w:type="dxa"/>
            <w:tcBorders>
              <w:top w:val="nil"/>
              <w:left w:val="nil"/>
              <w:bottom w:val="nil"/>
              <w:right w:val="nil"/>
            </w:tcBorders>
            <w:shd w:val="clear" w:color="auto" w:fill="auto"/>
            <w:noWrap/>
            <w:vAlign w:val="bottom"/>
            <w:hideMark/>
          </w:tcPr>
          <w:p w:rsidR="00793C18" w:rsidRDefault="00793C18" w14:paraId="59F496A2" w14:textId="77777777">
            <w:pPr>
              <w:jc w:val="right"/>
              <w:rPr>
                <w:rFonts w:ascii="Calibri" w:hAnsi="Calibri" w:cs="Calibri"/>
                <w:color w:val="000000"/>
                <w:sz w:val="22"/>
              </w:rPr>
            </w:pPr>
            <w:r>
              <w:rPr>
                <w:rFonts w:ascii="Calibri" w:hAnsi="Calibri" w:cs="Calibri"/>
                <w:color w:val="000000"/>
                <w:sz w:val="22"/>
              </w:rPr>
              <w:t xml:space="preserve">281,732 </w:t>
            </w:r>
          </w:p>
        </w:tc>
        <w:tc>
          <w:tcPr>
            <w:tcW w:w="1616" w:type="dxa"/>
            <w:tcBorders>
              <w:top w:val="nil"/>
              <w:left w:val="nil"/>
              <w:bottom w:val="nil"/>
              <w:right w:val="nil"/>
            </w:tcBorders>
            <w:shd w:val="clear" w:color="auto" w:fill="auto"/>
            <w:noWrap/>
            <w:vAlign w:val="bottom"/>
            <w:hideMark/>
          </w:tcPr>
          <w:p w:rsidR="00793C18" w:rsidRDefault="00793C18" w14:paraId="1743B000" w14:textId="77777777">
            <w:pPr>
              <w:jc w:val="right"/>
              <w:rPr>
                <w:rFonts w:ascii="Calibri" w:hAnsi="Calibri" w:cs="Calibri"/>
                <w:color w:val="000000"/>
                <w:sz w:val="22"/>
              </w:rPr>
            </w:pPr>
            <w:r>
              <w:rPr>
                <w:rFonts w:ascii="Calibri" w:hAnsi="Calibri" w:cs="Calibri"/>
                <w:color w:val="000000"/>
                <w:sz w:val="22"/>
              </w:rPr>
              <w:t xml:space="preserve">187,168 </w:t>
            </w:r>
          </w:p>
        </w:tc>
        <w:tc>
          <w:tcPr>
            <w:tcW w:w="1710" w:type="dxa"/>
            <w:tcBorders>
              <w:top w:val="nil"/>
              <w:left w:val="nil"/>
              <w:bottom w:val="nil"/>
              <w:right w:val="nil"/>
            </w:tcBorders>
            <w:shd w:val="clear" w:color="auto" w:fill="auto"/>
            <w:noWrap/>
            <w:vAlign w:val="bottom"/>
            <w:hideMark/>
          </w:tcPr>
          <w:p w:rsidR="00793C18" w:rsidRDefault="00793C18" w14:paraId="1AC3C01A" w14:textId="77777777">
            <w:pPr>
              <w:jc w:val="right"/>
              <w:rPr>
                <w:rFonts w:ascii="Calibri" w:hAnsi="Calibri" w:cs="Calibri"/>
                <w:color w:val="000000"/>
                <w:sz w:val="22"/>
              </w:rPr>
            </w:pPr>
            <w:r>
              <w:rPr>
                <w:rFonts w:ascii="Calibri" w:hAnsi="Calibri" w:cs="Calibri"/>
                <w:color w:val="000000"/>
                <w:sz w:val="22"/>
              </w:rPr>
              <w:t xml:space="preserve">468,900 </w:t>
            </w:r>
          </w:p>
        </w:tc>
      </w:tr>
      <w:tr w:rsidR="000D4308" w:rsidTr="00793C18" w14:paraId="33D3451D"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3038FBE6"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15246A71"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31143A42"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700BBB35" w14:textId="77777777">
            <w:pPr>
              <w:jc w:val="right"/>
              <w:rPr>
                <w:rFonts w:ascii="Calibri" w:hAnsi="Calibri" w:cs="Calibri"/>
                <w:color w:val="000000"/>
                <w:sz w:val="22"/>
              </w:rPr>
            </w:pPr>
            <w:r>
              <w:rPr>
                <w:rFonts w:ascii="Calibri" w:hAnsi="Calibri" w:cs="Calibri"/>
                <w:color w:val="000000"/>
                <w:sz w:val="22"/>
              </w:rPr>
              <w:t>66.43%</w:t>
            </w:r>
          </w:p>
        </w:tc>
        <w:tc>
          <w:tcPr>
            <w:tcW w:w="1710" w:type="dxa"/>
            <w:tcBorders>
              <w:top w:val="nil"/>
              <w:left w:val="nil"/>
              <w:bottom w:val="nil"/>
              <w:right w:val="nil"/>
            </w:tcBorders>
            <w:shd w:val="clear" w:color="auto" w:fill="auto"/>
            <w:noWrap/>
            <w:vAlign w:val="bottom"/>
            <w:hideMark/>
          </w:tcPr>
          <w:p w:rsidR="00793C18" w:rsidRDefault="00793C18" w14:paraId="0D19DA2A" w14:textId="77777777">
            <w:pPr>
              <w:jc w:val="right"/>
              <w:rPr>
                <w:rFonts w:ascii="Calibri" w:hAnsi="Calibri" w:cs="Calibri"/>
                <w:color w:val="000000"/>
                <w:sz w:val="22"/>
              </w:rPr>
            </w:pPr>
          </w:p>
        </w:tc>
      </w:tr>
      <w:tr w:rsidR="00793C18" w:rsidTr="003B4BA5" w14:paraId="3819399B" w14:textId="77777777">
        <w:trPr>
          <w:trHeight w:val="300"/>
        </w:trPr>
        <w:tc>
          <w:tcPr>
            <w:tcW w:w="4418" w:type="dxa"/>
            <w:gridSpan w:val="2"/>
            <w:tcBorders>
              <w:top w:val="nil"/>
              <w:left w:val="nil"/>
              <w:bottom w:val="nil"/>
              <w:right w:val="nil"/>
            </w:tcBorders>
            <w:shd w:val="clear" w:color="auto" w:fill="auto"/>
            <w:noWrap/>
            <w:vAlign w:val="bottom"/>
            <w:hideMark/>
          </w:tcPr>
          <w:p w:rsidR="00793C18" w:rsidRDefault="00793C18" w14:paraId="4B0F4ACB" w14:textId="77777777">
            <w:pPr>
              <w:rPr>
                <w:rFonts w:ascii="Calibri" w:hAnsi="Calibri" w:cs="Calibri"/>
                <w:color w:val="000000"/>
                <w:sz w:val="22"/>
              </w:rPr>
            </w:pPr>
            <w:r>
              <w:rPr>
                <w:rFonts w:ascii="Calibri" w:hAnsi="Calibri" w:cs="Calibri"/>
                <w:color w:val="000000"/>
                <w:sz w:val="22"/>
              </w:rPr>
              <w:t>OPERATIONS &amp; MAINTENANCE</w:t>
            </w:r>
          </w:p>
        </w:tc>
        <w:tc>
          <w:tcPr>
            <w:tcW w:w="1612" w:type="dxa"/>
            <w:tcBorders>
              <w:top w:val="nil"/>
              <w:left w:val="nil"/>
              <w:bottom w:val="nil"/>
              <w:right w:val="nil"/>
            </w:tcBorders>
            <w:shd w:val="clear" w:color="auto" w:fill="auto"/>
            <w:noWrap/>
            <w:vAlign w:val="bottom"/>
            <w:hideMark/>
          </w:tcPr>
          <w:p w:rsidR="00793C18" w:rsidRDefault="00793C18" w14:paraId="24B51EBF" w14:textId="77777777">
            <w:pPr>
              <w:rPr>
                <w:rFonts w:ascii="Calibri" w:hAnsi="Calibri" w:cs="Calibri"/>
                <w:color w:val="000000"/>
                <w:sz w:val="22"/>
              </w:rPr>
            </w:pPr>
          </w:p>
        </w:tc>
        <w:tc>
          <w:tcPr>
            <w:tcW w:w="1616" w:type="dxa"/>
            <w:tcBorders>
              <w:top w:val="nil"/>
              <w:left w:val="nil"/>
              <w:bottom w:val="nil"/>
              <w:right w:val="nil"/>
            </w:tcBorders>
            <w:shd w:val="clear" w:color="auto" w:fill="auto"/>
            <w:noWrap/>
            <w:vAlign w:val="bottom"/>
            <w:hideMark/>
          </w:tcPr>
          <w:p w:rsidR="00793C18" w:rsidRDefault="00793C18" w14:paraId="5369466C"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08BF908D" w14:textId="77777777">
            <w:pPr>
              <w:rPr>
                <w:sz w:val="20"/>
                <w:szCs w:val="20"/>
              </w:rPr>
            </w:pPr>
          </w:p>
        </w:tc>
      </w:tr>
      <w:tr w:rsidR="000D4308" w:rsidTr="00793C18" w14:paraId="6E6D452E"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3AC3B49E" w14:textId="77777777">
            <w:pPr>
              <w:rPr>
                <w:sz w:val="20"/>
                <w:szCs w:val="20"/>
              </w:rPr>
            </w:pPr>
          </w:p>
        </w:tc>
        <w:tc>
          <w:tcPr>
            <w:tcW w:w="3512" w:type="dxa"/>
            <w:tcBorders>
              <w:top w:val="nil"/>
              <w:left w:val="nil"/>
              <w:bottom w:val="nil"/>
              <w:right w:val="nil"/>
            </w:tcBorders>
            <w:shd w:val="clear" w:color="auto" w:fill="auto"/>
            <w:noWrap/>
            <w:vAlign w:val="bottom"/>
            <w:hideMark/>
          </w:tcPr>
          <w:p w:rsidR="00793C18" w:rsidRDefault="00793C18" w14:paraId="00F4EBEA" w14:textId="77777777">
            <w:pPr>
              <w:rPr>
                <w:rFonts w:ascii="Calibri" w:hAnsi="Calibri" w:cs="Calibri"/>
                <w:color w:val="000000"/>
                <w:sz w:val="22"/>
              </w:rPr>
            </w:pPr>
            <w:r>
              <w:rPr>
                <w:rFonts w:ascii="Calibri" w:hAnsi="Calibri" w:cs="Calibri"/>
                <w:color w:val="000000"/>
                <w:sz w:val="22"/>
              </w:rPr>
              <w:t>PAYROLL-OPERATIONS</w:t>
            </w:r>
          </w:p>
        </w:tc>
        <w:tc>
          <w:tcPr>
            <w:tcW w:w="1612" w:type="dxa"/>
            <w:tcBorders>
              <w:top w:val="nil"/>
              <w:left w:val="nil"/>
              <w:bottom w:val="nil"/>
              <w:right w:val="nil"/>
            </w:tcBorders>
            <w:shd w:val="clear" w:color="auto" w:fill="auto"/>
            <w:noWrap/>
            <w:vAlign w:val="bottom"/>
            <w:hideMark/>
          </w:tcPr>
          <w:p w:rsidR="00793C18" w:rsidRDefault="00793C18" w14:paraId="4F0B33AB" w14:textId="77777777">
            <w:pPr>
              <w:jc w:val="right"/>
              <w:rPr>
                <w:rFonts w:ascii="Calibri" w:hAnsi="Calibri" w:cs="Calibri"/>
                <w:color w:val="000000"/>
                <w:sz w:val="22"/>
              </w:rPr>
            </w:pPr>
            <w:r>
              <w:rPr>
                <w:rFonts w:ascii="Calibri" w:hAnsi="Calibri" w:cs="Calibri"/>
                <w:color w:val="000000"/>
                <w:sz w:val="22"/>
              </w:rPr>
              <w:t xml:space="preserve">15,820 </w:t>
            </w:r>
          </w:p>
        </w:tc>
        <w:tc>
          <w:tcPr>
            <w:tcW w:w="1616" w:type="dxa"/>
            <w:tcBorders>
              <w:top w:val="nil"/>
              <w:left w:val="nil"/>
              <w:bottom w:val="nil"/>
              <w:right w:val="nil"/>
            </w:tcBorders>
            <w:shd w:val="clear" w:color="auto" w:fill="auto"/>
            <w:noWrap/>
            <w:vAlign w:val="bottom"/>
            <w:hideMark/>
          </w:tcPr>
          <w:p w:rsidR="00793C18" w:rsidRDefault="00793C18" w14:paraId="7BCA01C8"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0FB35915" w14:textId="77777777">
            <w:pPr>
              <w:jc w:val="right"/>
              <w:rPr>
                <w:rFonts w:ascii="Calibri" w:hAnsi="Calibri" w:cs="Calibri"/>
                <w:color w:val="000000"/>
                <w:sz w:val="22"/>
              </w:rPr>
            </w:pPr>
            <w:r>
              <w:rPr>
                <w:rFonts w:ascii="Calibri" w:hAnsi="Calibri" w:cs="Calibri"/>
                <w:color w:val="000000"/>
                <w:sz w:val="22"/>
              </w:rPr>
              <w:t xml:space="preserve">15,820 </w:t>
            </w:r>
          </w:p>
        </w:tc>
      </w:tr>
      <w:tr w:rsidR="000D4308" w:rsidTr="00793C18" w14:paraId="477EA765"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7103EBA5"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3E74158C" w14:textId="77777777">
            <w:pPr>
              <w:rPr>
                <w:rFonts w:ascii="Calibri" w:hAnsi="Calibri" w:cs="Calibri"/>
                <w:color w:val="000000"/>
                <w:sz w:val="22"/>
              </w:rPr>
            </w:pPr>
            <w:r>
              <w:rPr>
                <w:rFonts w:ascii="Calibri" w:hAnsi="Calibri" w:cs="Calibri"/>
                <w:color w:val="000000"/>
                <w:sz w:val="22"/>
              </w:rPr>
              <w:t>OPERATIONS-OTHER</w:t>
            </w:r>
          </w:p>
        </w:tc>
        <w:tc>
          <w:tcPr>
            <w:tcW w:w="1612" w:type="dxa"/>
            <w:tcBorders>
              <w:top w:val="nil"/>
              <w:left w:val="nil"/>
              <w:bottom w:val="nil"/>
              <w:right w:val="nil"/>
            </w:tcBorders>
            <w:shd w:val="clear" w:color="auto" w:fill="auto"/>
            <w:noWrap/>
            <w:vAlign w:val="bottom"/>
            <w:hideMark/>
          </w:tcPr>
          <w:p w:rsidR="00793C18" w:rsidRDefault="00793C18" w14:paraId="066B7866" w14:textId="77777777">
            <w:pPr>
              <w:jc w:val="right"/>
              <w:rPr>
                <w:rFonts w:ascii="Calibri" w:hAnsi="Calibri" w:cs="Calibri"/>
                <w:color w:val="000000"/>
                <w:sz w:val="22"/>
              </w:rPr>
            </w:pPr>
            <w:r>
              <w:rPr>
                <w:rFonts w:ascii="Calibri" w:hAnsi="Calibri" w:cs="Calibri"/>
                <w:color w:val="000000"/>
                <w:sz w:val="22"/>
              </w:rPr>
              <w:t xml:space="preserve">5,122 </w:t>
            </w:r>
          </w:p>
        </w:tc>
        <w:tc>
          <w:tcPr>
            <w:tcW w:w="1616" w:type="dxa"/>
            <w:tcBorders>
              <w:top w:val="nil"/>
              <w:left w:val="nil"/>
              <w:bottom w:val="nil"/>
              <w:right w:val="nil"/>
            </w:tcBorders>
            <w:shd w:val="clear" w:color="auto" w:fill="auto"/>
            <w:noWrap/>
            <w:vAlign w:val="bottom"/>
            <w:hideMark/>
          </w:tcPr>
          <w:p w:rsidR="00793C18" w:rsidRDefault="00793C18" w14:paraId="63F6A10B"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078D017C" w14:textId="77777777">
            <w:pPr>
              <w:jc w:val="right"/>
              <w:rPr>
                <w:rFonts w:ascii="Calibri" w:hAnsi="Calibri" w:cs="Calibri"/>
                <w:color w:val="000000"/>
                <w:sz w:val="22"/>
              </w:rPr>
            </w:pPr>
            <w:r>
              <w:rPr>
                <w:rFonts w:ascii="Calibri" w:hAnsi="Calibri" w:cs="Calibri"/>
                <w:color w:val="000000"/>
                <w:sz w:val="22"/>
              </w:rPr>
              <w:t xml:space="preserve">5,122 </w:t>
            </w:r>
          </w:p>
        </w:tc>
      </w:tr>
      <w:tr w:rsidR="000D4308" w:rsidTr="00793C18" w14:paraId="5952D631"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60E8B41E"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5A52C85A" w14:textId="77777777">
            <w:pPr>
              <w:rPr>
                <w:rFonts w:ascii="Calibri" w:hAnsi="Calibri" w:cs="Calibri"/>
                <w:color w:val="000000"/>
                <w:sz w:val="22"/>
              </w:rPr>
            </w:pPr>
            <w:r>
              <w:rPr>
                <w:rFonts w:ascii="Calibri" w:hAnsi="Calibri" w:cs="Calibri"/>
                <w:color w:val="000000"/>
                <w:sz w:val="22"/>
              </w:rPr>
              <w:t>PURCHASED POWER</w:t>
            </w:r>
          </w:p>
        </w:tc>
        <w:tc>
          <w:tcPr>
            <w:tcW w:w="1612" w:type="dxa"/>
            <w:tcBorders>
              <w:top w:val="nil"/>
              <w:left w:val="nil"/>
              <w:bottom w:val="nil"/>
              <w:right w:val="nil"/>
            </w:tcBorders>
            <w:shd w:val="clear" w:color="auto" w:fill="auto"/>
            <w:noWrap/>
            <w:vAlign w:val="bottom"/>
            <w:hideMark/>
          </w:tcPr>
          <w:p w:rsidR="00793C18" w:rsidRDefault="00793C18" w14:paraId="34DCFC4A" w14:textId="77777777">
            <w:pPr>
              <w:jc w:val="right"/>
              <w:rPr>
                <w:rFonts w:ascii="Calibri" w:hAnsi="Calibri" w:cs="Calibri"/>
                <w:color w:val="000000"/>
                <w:sz w:val="22"/>
              </w:rPr>
            </w:pPr>
            <w:r>
              <w:rPr>
                <w:rFonts w:ascii="Calibri" w:hAnsi="Calibri" w:cs="Calibri"/>
                <w:color w:val="000000"/>
                <w:sz w:val="22"/>
              </w:rPr>
              <w:t xml:space="preserve">17,090 </w:t>
            </w:r>
          </w:p>
        </w:tc>
        <w:tc>
          <w:tcPr>
            <w:tcW w:w="1616" w:type="dxa"/>
            <w:tcBorders>
              <w:top w:val="nil"/>
              <w:left w:val="nil"/>
              <w:bottom w:val="nil"/>
              <w:right w:val="nil"/>
            </w:tcBorders>
            <w:shd w:val="clear" w:color="auto" w:fill="auto"/>
            <w:noWrap/>
            <w:vAlign w:val="bottom"/>
            <w:hideMark/>
          </w:tcPr>
          <w:p w:rsidR="00793C18" w:rsidRDefault="00793C18" w14:paraId="1CC76353"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283A22B9" w14:textId="77777777">
            <w:pPr>
              <w:jc w:val="right"/>
              <w:rPr>
                <w:rFonts w:ascii="Calibri" w:hAnsi="Calibri" w:cs="Calibri"/>
                <w:color w:val="000000"/>
                <w:sz w:val="22"/>
              </w:rPr>
            </w:pPr>
            <w:r>
              <w:rPr>
                <w:rFonts w:ascii="Calibri" w:hAnsi="Calibri" w:cs="Calibri"/>
                <w:color w:val="000000"/>
                <w:sz w:val="22"/>
              </w:rPr>
              <w:t xml:space="preserve">17,090 </w:t>
            </w:r>
          </w:p>
        </w:tc>
      </w:tr>
      <w:tr w:rsidR="000D4308" w:rsidTr="00793C18" w14:paraId="5908FF4F"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59EFFE79"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67025EA4" w14:textId="77777777">
            <w:pPr>
              <w:rPr>
                <w:rFonts w:ascii="Calibri" w:hAnsi="Calibri" w:cs="Calibri"/>
                <w:color w:val="000000"/>
                <w:sz w:val="22"/>
              </w:rPr>
            </w:pPr>
            <w:r>
              <w:rPr>
                <w:rFonts w:ascii="Calibri" w:hAnsi="Calibri" w:cs="Calibri"/>
                <w:color w:val="000000"/>
                <w:sz w:val="22"/>
              </w:rPr>
              <w:t>LEASED WATER RIGHTS</w:t>
            </w:r>
          </w:p>
        </w:tc>
        <w:tc>
          <w:tcPr>
            <w:tcW w:w="1612" w:type="dxa"/>
            <w:tcBorders>
              <w:top w:val="nil"/>
              <w:left w:val="nil"/>
              <w:bottom w:val="nil"/>
              <w:right w:val="nil"/>
            </w:tcBorders>
            <w:shd w:val="clear" w:color="auto" w:fill="auto"/>
            <w:noWrap/>
            <w:vAlign w:val="bottom"/>
            <w:hideMark/>
          </w:tcPr>
          <w:p w:rsidR="00793C18" w:rsidRDefault="00793C18" w14:paraId="60F5AEFD" w14:textId="77777777">
            <w:pPr>
              <w:jc w:val="right"/>
              <w:rPr>
                <w:rFonts w:ascii="Calibri" w:hAnsi="Calibri" w:cs="Calibri"/>
                <w:color w:val="000000"/>
                <w:sz w:val="22"/>
              </w:rPr>
            </w:pPr>
            <w:r>
              <w:rPr>
                <w:rFonts w:ascii="Calibri" w:hAnsi="Calibri" w:cs="Calibri"/>
                <w:color w:val="000000"/>
                <w:sz w:val="22"/>
              </w:rPr>
              <w:t xml:space="preserve">0 </w:t>
            </w:r>
          </w:p>
        </w:tc>
        <w:tc>
          <w:tcPr>
            <w:tcW w:w="1616" w:type="dxa"/>
            <w:tcBorders>
              <w:top w:val="nil"/>
              <w:left w:val="nil"/>
              <w:bottom w:val="nil"/>
              <w:right w:val="nil"/>
            </w:tcBorders>
            <w:shd w:val="clear" w:color="auto" w:fill="auto"/>
            <w:noWrap/>
            <w:vAlign w:val="bottom"/>
            <w:hideMark/>
          </w:tcPr>
          <w:p w:rsidR="00793C18" w:rsidRDefault="00793C18" w14:paraId="4C4711F3"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5D8882A6" w14:textId="77777777">
            <w:pPr>
              <w:jc w:val="right"/>
              <w:rPr>
                <w:rFonts w:ascii="Calibri" w:hAnsi="Calibri" w:cs="Calibri"/>
                <w:color w:val="000000"/>
                <w:sz w:val="22"/>
              </w:rPr>
            </w:pPr>
            <w:r>
              <w:rPr>
                <w:rFonts w:ascii="Calibri" w:hAnsi="Calibri" w:cs="Calibri"/>
                <w:color w:val="000000"/>
                <w:sz w:val="22"/>
              </w:rPr>
              <w:t xml:space="preserve">0 </w:t>
            </w:r>
          </w:p>
        </w:tc>
      </w:tr>
      <w:tr w:rsidR="000D4308" w:rsidTr="00793C18" w14:paraId="1A5DC6E0"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49374DD8"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69B230A2" w14:textId="77777777">
            <w:pPr>
              <w:rPr>
                <w:rFonts w:ascii="Calibri" w:hAnsi="Calibri" w:cs="Calibri"/>
                <w:color w:val="000000"/>
                <w:sz w:val="22"/>
              </w:rPr>
            </w:pPr>
            <w:r>
              <w:rPr>
                <w:rFonts w:ascii="Calibri" w:hAnsi="Calibri" w:cs="Calibri"/>
                <w:color w:val="000000"/>
                <w:sz w:val="22"/>
              </w:rPr>
              <w:t>REPLENISHMENT</w:t>
            </w:r>
          </w:p>
        </w:tc>
        <w:tc>
          <w:tcPr>
            <w:tcW w:w="1612" w:type="dxa"/>
            <w:tcBorders>
              <w:top w:val="nil"/>
              <w:left w:val="nil"/>
              <w:bottom w:val="nil"/>
              <w:right w:val="nil"/>
            </w:tcBorders>
            <w:shd w:val="clear" w:color="auto" w:fill="auto"/>
            <w:noWrap/>
            <w:vAlign w:val="bottom"/>
            <w:hideMark/>
          </w:tcPr>
          <w:p w:rsidR="00793C18" w:rsidRDefault="00793C18" w14:paraId="74009688" w14:textId="77777777">
            <w:pPr>
              <w:jc w:val="right"/>
              <w:rPr>
                <w:rFonts w:ascii="Calibri" w:hAnsi="Calibri" w:cs="Calibri"/>
                <w:color w:val="000000"/>
                <w:sz w:val="22"/>
              </w:rPr>
            </w:pPr>
            <w:r>
              <w:rPr>
                <w:rFonts w:ascii="Calibri" w:hAnsi="Calibri" w:cs="Calibri"/>
                <w:color w:val="000000"/>
                <w:sz w:val="22"/>
              </w:rPr>
              <w:t xml:space="preserve">847 </w:t>
            </w:r>
          </w:p>
        </w:tc>
        <w:tc>
          <w:tcPr>
            <w:tcW w:w="1616" w:type="dxa"/>
            <w:tcBorders>
              <w:top w:val="nil"/>
              <w:left w:val="nil"/>
              <w:bottom w:val="nil"/>
              <w:right w:val="nil"/>
            </w:tcBorders>
            <w:shd w:val="clear" w:color="auto" w:fill="auto"/>
            <w:noWrap/>
            <w:vAlign w:val="bottom"/>
            <w:hideMark/>
          </w:tcPr>
          <w:p w:rsidR="00793C18" w:rsidRDefault="00793C18" w14:paraId="559BDDE2"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579C1851" w14:textId="77777777">
            <w:pPr>
              <w:jc w:val="right"/>
              <w:rPr>
                <w:rFonts w:ascii="Calibri" w:hAnsi="Calibri" w:cs="Calibri"/>
                <w:color w:val="000000"/>
                <w:sz w:val="22"/>
              </w:rPr>
            </w:pPr>
            <w:r>
              <w:rPr>
                <w:rFonts w:ascii="Calibri" w:hAnsi="Calibri" w:cs="Calibri"/>
                <w:color w:val="000000"/>
                <w:sz w:val="22"/>
              </w:rPr>
              <w:t xml:space="preserve">847 </w:t>
            </w:r>
          </w:p>
        </w:tc>
      </w:tr>
      <w:tr w:rsidR="000D4308" w:rsidTr="00793C18" w14:paraId="3AA1602F"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1AA344FC"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049A4793" w14:textId="77777777">
            <w:pPr>
              <w:rPr>
                <w:rFonts w:ascii="Calibri" w:hAnsi="Calibri" w:cs="Calibri"/>
                <w:color w:val="000000"/>
                <w:sz w:val="22"/>
              </w:rPr>
            </w:pPr>
            <w:r>
              <w:rPr>
                <w:rFonts w:ascii="Calibri" w:hAnsi="Calibri" w:cs="Calibri"/>
                <w:color w:val="000000"/>
                <w:sz w:val="22"/>
              </w:rPr>
              <w:t>CHEMICALS</w:t>
            </w:r>
          </w:p>
        </w:tc>
        <w:tc>
          <w:tcPr>
            <w:tcW w:w="1612" w:type="dxa"/>
            <w:tcBorders>
              <w:top w:val="nil"/>
              <w:left w:val="nil"/>
              <w:bottom w:val="nil"/>
              <w:right w:val="nil"/>
            </w:tcBorders>
            <w:shd w:val="clear" w:color="auto" w:fill="auto"/>
            <w:noWrap/>
            <w:vAlign w:val="bottom"/>
            <w:hideMark/>
          </w:tcPr>
          <w:p w:rsidR="00793C18" w:rsidRDefault="00793C18" w14:paraId="2DB88594" w14:textId="77777777">
            <w:pPr>
              <w:jc w:val="right"/>
              <w:rPr>
                <w:rFonts w:ascii="Calibri" w:hAnsi="Calibri" w:cs="Calibri"/>
                <w:color w:val="000000"/>
                <w:sz w:val="22"/>
              </w:rPr>
            </w:pPr>
            <w:r>
              <w:rPr>
                <w:rFonts w:ascii="Calibri" w:hAnsi="Calibri" w:cs="Calibri"/>
                <w:color w:val="000000"/>
                <w:sz w:val="22"/>
              </w:rPr>
              <w:t xml:space="preserve">1,000 </w:t>
            </w:r>
          </w:p>
        </w:tc>
        <w:tc>
          <w:tcPr>
            <w:tcW w:w="1616" w:type="dxa"/>
            <w:tcBorders>
              <w:top w:val="nil"/>
              <w:left w:val="nil"/>
              <w:bottom w:val="nil"/>
              <w:right w:val="nil"/>
            </w:tcBorders>
            <w:shd w:val="clear" w:color="auto" w:fill="auto"/>
            <w:noWrap/>
            <w:vAlign w:val="bottom"/>
            <w:hideMark/>
          </w:tcPr>
          <w:p w:rsidR="00793C18" w:rsidRDefault="00793C18" w14:paraId="1AE95AEE"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05521FFA" w14:textId="77777777">
            <w:pPr>
              <w:jc w:val="right"/>
              <w:rPr>
                <w:rFonts w:ascii="Calibri" w:hAnsi="Calibri" w:cs="Calibri"/>
                <w:color w:val="000000"/>
                <w:sz w:val="22"/>
              </w:rPr>
            </w:pPr>
            <w:r>
              <w:rPr>
                <w:rFonts w:ascii="Calibri" w:hAnsi="Calibri" w:cs="Calibri"/>
                <w:color w:val="000000"/>
                <w:sz w:val="22"/>
              </w:rPr>
              <w:t xml:space="preserve">1,000 </w:t>
            </w:r>
          </w:p>
        </w:tc>
      </w:tr>
      <w:tr w:rsidR="000D4308" w:rsidTr="00793C18" w14:paraId="43B119A3"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5BF3C4E9"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31D616AE" w14:textId="77777777">
            <w:pPr>
              <w:rPr>
                <w:rFonts w:ascii="Calibri" w:hAnsi="Calibri" w:cs="Calibri"/>
                <w:color w:val="000000"/>
                <w:sz w:val="22"/>
              </w:rPr>
            </w:pPr>
            <w:r>
              <w:rPr>
                <w:rFonts w:ascii="Calibri" w:hAnsi="Calibri" w:cs="Calibri"/>
                <w:color w:val="000000"/>
                <w:sz w:val="22"/>
              </w:rPr>
              <w:t xml:space="preserve">CUSTOMERS-PAYROLL </w:t>
            </w:r>
          </w:p>
        </w:tc>
        <w:tc>
          <w:tcPr>
            <w:tcW w:w="1612" w:type="dxa"/>
            <w:tcBorders>
              <w:top w:val="nil"/>
              <w:left w:val="nil"/>
              <w:bottom w:val="nil"/>
              <w:right w:val="nil"/>
            </w:tcBorders>
            <w:shd w:val="clear" w:color="auto" w:fill="auto"/>
            <w:noWrap/>
            <w:vAlign w:val="bottom"/>
            <w:hideMark/>
          </w:tcPr>
          <w:p w:rsidR="00793C18" w:rsidRDefault="00793C18" w14:paraId="7D30EA99" w14:textId="77777777">
            <w:pPr>
              <w:jc w:val="right"/>
              <w:rPr>
                <w:rFonts w:ascii="Calibri" w:hAnsi="Calibri" w:cs="Calibri"/>
                <w:color w:val="000000"/>
                <w:sz w:val="22"/>
              </w:rPr>
            </w:pPr>
            <w:r>
              <w:rPr>
                <w:rFonts w:ascii="Calibri" w:hAnsi="Calibri" w:cs="Calibri"/>
                <w:color w:val="000000"/>
                <w:sz w:val="22"/>
              </w:rPr>
              <w:t xml:space="preserve">3,055 </w:t>
            </w:r>
          </w:p>
        </w:tc>
        <w:tc>
          <w:tcPr>
            <w:tcW w:w="1616" w:type="dxa"/>
            <w:tcBorders>
              <w:top w:val="nil"/>
              <w:left w:val="nil"/>
              <w:bottom w:val="nil"/>
              <w:right w:val="nil"/>
            </w:tcBorders>
            <w:shd w:val="clear" w:color="auto" w:fill="auto"/>
            <w:noWrap/>
            <w:vAlign w:val="bottom"/>
            <w:hideMark/>
          </w:tcPr>
          <w:p w:rsidR="00793C18" w:rsidRDefault="00793C18" w14:paraId="58A4E42B"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48D237BD" w14:textId="77777777">
            <w:pPr>
              <w:jc w:val="right"/>
              <w:rPr>
                <w:rFonts w:ascii="Calibri" w:hAnsi="Calibri" w:cs="Calibri"/>
                <w:color w:val="000000"/>
                <w:sz w:val="22"/>
              </w:rPr>
            </w:pPr>
            <w:r>
              <w:rPr>
                <w:rFonts w:ascii="Calibri" w:hAnsi="Calibri" w:cs="Calibri"/>
                <w:color w:val="000000"/>
                <w:sz w:val="22"/>
              </w:rPr>
              <w:t xml:space="preserve">3,055 </w:t>
            </w:r>
          </w:p>
        </w:tc>
      </w:tr>
      <w:tr w:rsidR="000D4308" w:rsidTr="00793C18" w14:paraId="4BB9072C"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7C316318"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0DB38A9B" w14:textId="77777777">
            <w:pPr>
              <w:rPr>
                <w:rFonts w:ascii="Calibri" w:hAnsi="Calibri" w:cs="Calibri"/>
                <w:color w:val="000000"/>
                <w:sz w:val="22"/>
              </w:rPr>
            </w:pPr>
            <w:r>
              <w:rPr>
                <w:rFonts w:ascii="Calibri" w:hAnsi="Calibri" w:cs="Calibri"/>
                <w:color w:val="000000"/>
                <w:sz w:val="22"/>
              </w:rPr>
              <w:t>CUSTOMERS-OTHER</w:t>
            </w:r>
          </w:p>
        </w:tc>
        <w:tc>
          <w:tcPr>
            <w:tcW w:w="1612" w:type="dxa"/>
            <w:tcBorders>
              <w:top w:val="nil"/>
              <w:left w:val="nil"/>
              <w:bottom w:val="nil"/>
              <w:right w:val="nil"/>
            </w:tcBorders>
            <w:shd w:val="clear" w:color="auto" w:fill="auto"/>
            <w:noWrap/>
            <w:vAlign w:val="bottom"/>
            <w:hideMark/>
          </w:tcPr>
          <w:p w:rsidR="00793C18" w:rsidRDefault="00793C18" w14:paraId="3BD90B97" w14:textId="77777777">
            <w:pPr>
              <w:jc w:val="right"/>
              <w:rPr>
                <w:rFonts w:ascii="Calibri" w:hAnsi="Calibri" w:cs="Calibri"/>
                <w:color w:val="000000"/>
                <w:sz w:val="22"/>
              </w:rPr>
            </w:pPr>
            <w:r>
              <w:rPr>
                <w:rFonts w:ascii="Calibri" w:hAnsi="Calibri" w:cs="Calibri"/>
                <w:color w:val="000000"/>
                <w:sz w:val="22"/>
              </w:rPr>
              <w:t xml:space="preserve">5,181 </w:t>
            </w:r>
          </w:p>
        </w:tc>
        <w:tc>
          <w:tcPr>
            <w:tcW w:w="1616" w:type="dxa"/>
            <w:tcBorders>
              <w:top w:val="nil"/>
              <w:left w:val="nil"/>
              <w:bottom w:val="nil"/>
              <w:right w:val="nil"/>
            </w:tcBorders>
            <w:shd w:val="clear" w:color="auto" w:fill="auto"/>
            <w:noWrap/>
            <w:vAlign w:val="bottom"/>
            <w:hideMark/>
          </w:tcPr>
          <w:p w:rsidR="00793C18" w:rsidRDefault="00793C18" w14:paraId="109E6AF0"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28792CD1" w14:textId="77777777">
            <w:pPr>
              <w:jc w:val="right"/>
              <w:rPr>
                <w:rFonts w:ascii="Calibri" w:hAnsi="Calibri" w:cs="Calibri"/>
                <w:color w:val="000000"/>
                <w:sz w:val="22"/>
              </w:rPr>
            </w:pPr>
            <w:r>
              <w:rPr>
                <w:rFonts w:ascii="Calibri" w:hAnsi="Calibri" w:cs="Calibri"/>
                <w:color w:val="000000"/>
                <w:sz w:val="22"/>
              </w:rPr>
              <w:t xml:space="preserve">5,181 </w:t>
            </w:r>
          </w:p>
        </w:tc>
      </w:tr>
      <w:tr w:rsidR="000D4308" w:rsidTr="00793C18" w14:paraId="35C8A733"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1454F422"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1A268B54" w14:textId="77777777">
            <w:pPr>
              <w:rPr>
                <w:rFonts w:ascii="Calibri" w:hAnsi="Calibri" w:cs="Calibri"/>
                <w:color w:val="000000"/>
                <w:sz w:val="22"/>
              </w:rPr>
            </w:pPr>
            <w:r>
              <w:rPr>
                <w:rFonts w:ascii="Calibri" w:hAnsi="Calibri" w:cs="Calibri"/>
                <w:color w:val="000000"/>
                <w:sz w:val="22"/>
              </w:rPr>
              <w:t>UNCOLLECTIBLES</w:t>
            </w:r>
          </w:p>
        </w:tc>
        <w:tc>
          <w:tcPr>
            <w:tcW w:w="1612" w:type="dxa"/>
            <w:tcBorders>
              <w:top w:val="nil"/>
              <w:left w:val="nil"/>
              <w:bottom w:val="nil"/>
              <w:right w:val="nil"/>
            </w:tcBorders>
            <w:shd w:val="clear" w:color="auto" w:fill="auto"/>
            <w:noWrap/>
            <w:vAlign w:val="bottom"/>
            <w:hideMark/>
          </w:tcPr>
          <w:p w:rsidR="00793C18" w:rsidRDefault="00793C18" w14:paraId="53BBDA39" w14:textId="77777777">
            <w:pPr>
              <w:jc w:val="right"/>
              <w:rPr>
                <w:rFonts w:ascii="Calibri" w:hAnsi="Calibri" w:cs="Calibri"/>
                <w:color w:val="000000"/>
                <w:sz w:val="22"/>
              </w:rPr>
            </w:pPr>
            <w:r>
              <w:rPr>
                <w:rFonts w:ascii="Calibri" w:hAnsi="Calibri" w:cs="Calibri"/>
                <w:color w:val="000000"/>
                <w:sz w:val="22"/>
              </w:rPr>
              <w:t xml:space="preserve">789 </w:t>
            </w:r>
          </w:p>
        </w:tc>
        <w:tc>
          <w:tcPr>
            <w:tcW w:w="1616" w:type="dxa"/>
            <w:tcBorders>
              <w:top w:val="nil"/>
              <w:left w:val="nil"/>
              <w:bottom w:val="nil"/>
              <w:right w:val="nil"/>
            </w:tcBorders>
            <w:shd w:val="clear" w:color="auto" w:fill="auto"/>
            <w:noWrap/>
            <w:vAlign w:val="bottom"/>
            <w:hideMark/>
          </w:tcPr>
          <w:p w:rsidR="00793C18" w:rsidRDefault="00793C18" w14:paraId="68AFAC33"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366E0528" w14:textId="77777777">
            <w:pPr>
              <w:jc w:val="right"/>
              <w:rPr>
                <w:rFonts w:ascii="Calibri" w:hAnsi="Calibri" w:cs="Calibri"/>
                <w:color w:val="000000"/>
                <w:sz w:val="22"/>
              </w:rPr>
            </w:pPr>
            <w:r>
              <w:rPr>
                <w:rFonts w:ascii="Calibri" w:hAnsi="Calibri" w:cs="Calibri"/>
                <w:color w:val="000000"/>
                <w:sz w:val="22"/>
              </w:rPr>
              <w:t xml:space="preserve">1,313 </w:t>
            </w:r>
          </w:p>
        </w:tc>
      </w:tr>
      <w:tr w:rsidR="000D4308" w:rsidTr="00793C18" w14:paraId="255067F0"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6DC316EE"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7053ACA2" w14:textId="77777777">
            <w:pPr>
              <w:rPr>
                <w:rFonts w:ascii="Calibri" w:hAnsi="Calibri" w:cs="Calibri"/>
                <w:color w:val="000000"/>
                <w:sz w:val="22"/>
              </w:rPr>
            </w:pPr>
            <w:r>
              <w:rPr>
                <w:rFonts w:ascii="Calibri" w:hAnsi="Calibri" w:cs="Calibri"/>
                <w:color w:val="000000"/>
                <w:sz w:val="22"/>
              </w:rPr>
              <w:t>PAYROLL-MAINTENANCE</w:t>
            </w:r>
          </w:p>
        </w:tc>
        <w:tc>
          <w:tcPr>
            <w:tcW w:w="1612" w:type="dxa"/>
            <w:tcBorders>
              <w:top w:val="nil"/>
              <w:left w:val="nil"/>
              <w:bottom w:val="nil"/>
              <w:right w:val="nil"/>
            </w:tcBorders>
            <w:shd w:val="clear" w:color="auto" w:fill="auto"/>
            <w:noWrap/>
            <w:vAlign w:val="bottom"/>
            <w:hideMark/>
          </w:tcPr>
          <w:p w:rsidR="00793C18" w:rsidRDefault="00793C18" w14:paraId="5512AC93" w14:textId="77777777">
            <w:pPr>
              <w:jc w:val="right"/>
              <w:rPr>
                <w:rFonts w:ascii="Calibri" w:hAnsi="Calibri" w:cs="Calibri"/>
                <w:color w:val="000000"/>
                <w:sz w:val="22"/>
              </w:rPr>
            </w:pPr>
            <w:r>
              <w:rPr>
                <w:rFonts w:ascii="Calibri" w:hAnsi="Calibri" w:cs="Calibri"/>
                <w:color w:val="000000"/>
                <w:sz w:val="22"/>
              </w:rPr>
              <w:t xml:space="preserve">8,361 </w:t>
            </w:r>
          </w:p>
        </w:tc>
        <w:tc>
          <w:tcPr>
            <w:tcW w:w="1616" w:type="dxa"/>
            <w:tcBorders>
              <w:top w:val="nil"/>
              <w:left w:val="nil"/>
              <w:bottom w:val="nil"/>
              <w:right w:val="nil"/>
            </w:tcBorders>
            <w:shd w:val="clear" w:color="auto" w:fill="auto"/>
            <w:noWrap/>
            <w:vAlign w:val="bottom"/>
            <w:hideMark/>
          </w:tcPr>
          <w:p w:rsidR="00793C18" w:rsidRDefault="00793C18" w14:paraId="487368A1"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0E81D18B" w14:textId="77777777">
            <w:pPr>
              <w:jc w:val="right"/>
              <w:rPr>
                <w:rFonts w:ascii="Calibri" w:hAnsi="Calibri" w:cs="Calibri"/>
                <w:color w:val="000000"/>
                <w:sz w:val="22"/>
              </w:rPr>
            </w:pPr>
            <w:r>
              <w:rPr>
                <w:rFonts w:ascii="Calibri" w:hAnsi="Calibri" w:cs="Calibri"/>
                <w:color w:val="000000"/>
                <w:sz w:val="22"/>
              </w:rPr>
              <w:t xml:space="preserve">8,361 </w:t>
            </w:r>
          </w:p>
        </w:tc>
      </w:tr>
      <w:tr w:rsidR="000D4308" w:rsidTr="00793C18" w14:paraId="38FB29B0"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18B01CA2"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37474067" w14:textId="77777777">
            <w:pPr>
              <w:rPr>
                <w:rFonts w:ascii="Calibri" w:hAnsi="Calibri" w:cs="Calibri"/>
                <w:color w:val="000000"/>
                <w:sz w:val="22"/>
              </w:rPr>
            </w:pPr>
            <w:r>
              <w:rPr>
                <w:rFonts w:ascii="Calibri" w:hAnsi="Calibri" w:cs="Calibri"/>
                <w:color w:val="000000"/>
                <w:sz w:val="22"/>
              </w:rPr>
              <w:t>MAINTENANCE-OTHER</w:t>
            </w:r>
          </w:p>
        </w:tc>
        <w:tc>
          <w:tcPr>
            <w:tcW w:w="1612" w:type="dxa"/>
            <w:tcBorders>
              <w:top w:val="nil"/>
              <w:left w:val="nil"/>
              <w:bottom w:val="nil"/>
              <w:right w:val="nil"/>
            </w:tcBorders>
            <w:shd w:val="clear" w:color="auto" w:fill="auto"/>
            <w:noWrap/>
            <w:vAlign w:val="bottom"/>
            <w:hideMark/>
          </w:tcPr>
          <w:p w:rsidR="00793C18" w:rsidRDefault="00793C18" w14:paraId="437E892F" w14:textId="77777777">
            <w:pPr>
              <w:jc w:val="right"/>
              <w:rPr>
                <w:rFonts w:ascii="Calibri" w:hAnsi="Calibri" w:cs="Calibri"/>
                <w:color w:val="000000"/>
                <w:sz w:val="22"/>
              </w:rPr>
            </w:pPr>
            <w:r>
              <w:rPr>
                <w:rFonts w:ascii="Calibri" w:hAnsi="Calibri" w:cs="Calibri"/>
                <w:color w:val="000000"/>
                <w:sz w:val="22"/>
              </w:rPr>
              <w:t xml:space="preserve">8,358 </w:t>
            </w:r>
          </w:p>
        </w:tc>
        <w:tc>
          <w:tcPr>
            <w:tcW w:w="1616" w:type="dxa"/>
            <w:tcBorders>
              <w:top w:val="nil"/>
              <w:left w:val="nil"/>
              <w:bottom w:val="nil"/>
              <w:right w:val="nil"/>
            </w:tcBorders>
            <w:shd w:val="clear" w:color="auto" w:fill="auto"/>
            <w:noWrap/>
            <w:vAlign w:val="bottom"/>
            <w:hideMark/>
          </w:tcPr>
          <w:p w:rsidR="00793C18" w:rsidRDefault="00793C18" w14:paraId="68619AC7"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037BA1CF" w14:textId="77777777">
            <w:pPr>
              <w:jc w:val="right"/>
              <w:rPr>
                <w:rFonts w:ascii="Calibri" w:hAnsi="Calibri" w:cs="Calibri"/>
                <w:color w:val="000000"/>
                <w:sz w:val="22"/>
              </w:rPr>
            </w:pPr>
            <w:r>
              <w:rPr>
                <w:rFonts w:ascii="Calibri" w:hAnsi="Calibri" w:cs="Calibri"/>
                <w:color w:val="000000"/>
                <w:sz w:val="22"/>
              </w:rPr>
              <w:t xml:space="preserve">8,358 </w:t>
            </w:r>
          </w:p>
        </w:tc>
      </w:tr>
      <w:tr w:rsidR="000D4308" w:rsidTr="00793C18" w14:paraId="29E39D4D"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167B1437"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0AC33C34" w14:textId="77777777">
            <w:pPr>
              <w:rPr>
                <w:rFonts w:ascii="Calibri" w:hAnsi="Calibri" w:cs="Calibri"/>
                <w:color w:val="000000"/>
                <w:sz w:val="22"/>
              </w:rPr>
            </w:pPr>
            <w:r>
              <w:rPr>
                <w:rFonts w:ascii="Calibri" w:hAnsi="Calibri" w:cs="Calibri"/>
                <w:color w:val="000000"/>
                <w:sz w:val="22"/>
              </w:rPr>
              <w:t>DEPRECIATION-CLEARINGS</w:t>
            </w:r>
          </w:p>
        </w:tc>
        <w:tc>
          <w:tcPr>
            <w:tcW w:w="1612" w:type="dxa"/>
            <w:tcBorders>
              <w:top w:val="nil"/>
              <w:left w:val="nil"/>
              <w:bottom w:val="nil"/>
              <w:right w:val="nil"/>
            </w:tcBorders>
            <w:shd w:val="clear" w:color="auto" w:fill="auto"/>
            <w:noWrap/>
            <w:vAlign w:val="bottom"/>
            <w:hideMark/>
          </w:tcPr>
          <w:p w:rsidR="00793C18" w:rsidRDefault="00793C18" w14:paraId="7EE94F88" w14:textId="77777777">
            <w:pPr>
              <w:jc w:val="right"/>
              <w:rPr>
                <w:rFonts w:ascii="Calibri" w:hAnsi="Calibri" w:cs="Calibri"/>
                <w:color w:val="000000"/>
                <w:sz w:val="22"/>
              </w:rPr>
            </w:pPr>
            <w:r>
              <w:rPr>
                <w:rFonts w:ascii="Calibri" w:hAnsi="Calibri" w:cs="Calibri"/>
                <w:color w:val="000000"/>
                <w:sz w:val="22"/>
              </w:rPr>
              <w:t xml:space="preserve">39 </w:t>
            </w:r>
          </w:p>
        </w:tc>
        <w:tc>
          <w:tcPr>
            <w:tcW w:w="1616" w:type="dxa"/>
            <w:tcBorders>
              <w:top w:val="nil"/>
              <w:left w:val="nil"/>
              <w:bottom w:val="nil"/>
              <w:right w:val="nil"/>
            </w:tcBorders>
            <w:shd w:val="clear" w:color="auto" w:fill="auto"/>
            <w:noWrap/>
            <w:vAlign w:val="bottom"/>
            <w:hideMark/>
          </w:tcPr>
          <w:p w:rsidR="00793C18" w:rsidRDefault="00793C18" w14:paraId="579D20E5"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4203E136" w14:textId="77777777">
            <w:pPr>
              <w:jc w:val="right"/>
              <w:rPr>
                <w:rFonts w:ascii="Calibri" w:hAnsi="Calibri" w:cs="Calibri"/>
                <w:color w:val="000000"/>
                <w:sz w:val="22"/>
              </w:rPr>
            </w:pPr>
            <w:r>
              <w:rPr>
                <w:rFonts w:ascii="Calibri" w:hAnsi="Calibri" w:cs="Calibri"/>
                <w:color w:val="000000"/>
                <w:sz w:val="22"/>
              </w:rPr>
              <w:t xml:space="preserve">39 </w:t>
            </w:r>
          </w:p>
        </w:tc>
      </w:tr>
      <w:tr w:rsidR="000D4308" w:rsidTr="00793C18" w14:paraId="06073E4E"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1C164DCB"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1EB32EC7" w14:textId="77777777">
            <w:pPr>
              <w:rPr>
                <w:rFonts w:ascii="Calibri" w:hAnsi="Calibri" w:cs="Calibri"/>
                <w:color w:val="000000"/>
                <w:sz w:val="22"/>
              </w:rPr>
            </w:pPr>
            <w:r>
              <w:rPr>
                <w:rFonts w:ascii="Calibri" w:hAnsi="Calibri" w:cs="Calibri"/>
                <w:color w:val="000000"/>
                <w:sz w:val="22"/>
              </w:rPr>
              <w:t>CLEARINGS-OTHER</w:t>
            </w:r>
          </w:p>
        </w:tc>
        <w:tc>
          <w:tcPr>
            <w:tcW w:w="1612" w:type="dxa"/>
            <w:tcBorders>
              <w:top w:val="nil"/>
              <w:left w:val="nil"/>
              <w:bottom w:val="nil"/>
              <w:right w:val="nil"/>
            </w:tcBorders>
            <w:shd w:val="clear" w:color="auto" w:fill="auto"/>
            <w:noWrap/>
            <w:vAlign w:val="bottom"/>
            <w:hideMark/>
          </w:tcPr>
          <w:p w:rsidR="00793C18" w:rsidRDefault="00793C18" w14:paraId="5B164D73" w14:textId="77777777">
            <w:pPr>
              <w:jc w:val="right"/>
              <w:rPr>
                <w:rFonts w:ascii="Calibri" w:hAnsi="Calibri" w:cs="Calibri"/>
                <w:color w:val="000000"/>
                <w:sz w:val="22"/>
              </w:rPr>
            </w:pPr>
            <w:r>
              <w:rPr>
                <w:rFonts w:ascii="Calibri" w:hAnsi="Calibri" w:cs="Calibri"/>
                <w:color w:val="000000"/>
                <w:sz w:val="22"/>
              </w:rPr>
              <w:t xml:space="preserve">18,850 </w:t>
            </w:r>
          </w:p>
        </w:tc>
        <w:tc>
          <w:tcPr>
            <w:tcW w:w="1616" w:type="dxa"/>
            <w:tcBorders>
              <w:top w:val="nil"/>
              <w:left w:val="nil"/>
              <w:bottom w:val="nil"/>
              <w:right w:val="nil"/>
            </w:tcBorders>
            <w:shd w:val="clear" w:color="auto" w:fill="auto"/>
            <w:noWrap/>
            <w:vAlign w:val="bottom"/>
            <w:hideMark/>
          </w:tcPr>
          <w:p w:rsidR="00793C18" w:rsidRDefault="00793C18" w14:paraId="01A627B9"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5E4E89BF" w14:textId="77777777">
            <w:pPr>
              <w:jc w:val="right"/>
              <w:rPr>
                <w:rFonts w:ascii="Calibri" w:hAnsi="Calibri" w:cs="Calibri"/>
                <w:color w:val="000000"/>
                <w:sz w:val="22"/>
              </w:rPr>
            </w:pPr>
            <w:r>
              <w:rPr>
                <w:rFonts w:ascii="Calibri" w:hAnsi="Calibri" w:cs="Calibri"/>
                <w:color w:val="000000"/>
                <w:sz w:val="22"/>
              </w:rPr>
              <w:t xml:space="preserve">18,850 </w:t>
            </w:r>
          </w:p>
        </w:tc>
      </w:tr>
      <w:tr w:rsidR="000D4308" w:rsidTr="00793C18" w14:paraId="716BF8BF"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5EEDF413"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69B97084"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0A1E5C36"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49C43871"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07B62311" w14:textId="77777777">
            <w:pPr>
              <w:rPr>
                <w:sz w:val="20"/>
                <w:szCs w:val="20"/>
              </w:rPr>
            </w:pPr>
          </w:p>
        </w:tc>
      </w:tr>
      <w:tr w:rsidR="000D4308" w:rsidTr="00793C18" w14:paraId="109C5567"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5632B2B8" w14:textId="77777777">
            <w:pPr>
              <w:rPr>
                <w:sz w:val="20"/>
                <w:szCs w:val="20"/>
              </w:rPr>
            </w:pPr>
          </w:p>
        </w:tc>
        <w:tc>
          <w:tcPr>
            <w:tcW w:w="3512" w:type="dxa"/>
            <w:tcBorders>
              <w:top w:val="nil"/>
              <w:left w:val="nil"/>
              <w:bottom w:val="nil"/>
              <w:right w:val="nil"/>
            </w:tcBorders>
            <w:shd w:val="clear" w:color="auto" w:fill="auto"/>
            <w:noWrap/>
            <w:vAlign w:val="bottom"/>
            <w:hideMark/>
          </w:tcPr>
          <w:p w:rsidR="00793C18" w:rsidRDefault="00793C18" w14:paraId="71FF1615" w14:textId="77777777">
            <w:pPr>
              <w:rPr>
                <w:rFonts w:ascii="Calibri" w:hAnsi="Calibri" w:cs="Calibri"/>
                <w:color w:val="000000"/>
                <w:sz w:val="22"/>
              </w:rPr>
            </w:pPr>
            <w:r>
              <w:rPr>
                <w:rFonts w:ascii="Calibri" w:hAnsi="Calibri" w:cs="Calibri"/>
                <w:color w:val="000000"/>
                <w:sz w:val="22"/>
              </w:rPr>
              <w:t>SUB-TOTAL O &amp; M</w:t>
            </w:r>
          </w:p>
        </w:tc>
        <w:tc>
          <w:tcPr>
            <w:tcW w:w="1612" w:type="dxa"/>
            <w:tcBorders>
              <w:top w:val="nil"/>
              <w:left w:val="nil"/>
              <w:bottom w:val="nil"/>
              <w:right w:val="nil"/>
            </w:tcBorders>
            <w:shd w:val="clear" w:color="auto" w:fill="auto"/>
            <w:noWrap/>
            <w:vAlign w:val="bottom"/>
            <w:hideMark/>
          </w:tcPr>
          <w:p w:rsidR="00793C18" w:rsidRDefault="00793C18" w14:paraId="61FF0A47" w14:textId="77777777">
            <w:pPr>
              <w:jc w:val="right"/>
              <w:rPr>
                <w:rFonts w:ascii="Calibri" w:hAnsi="Calibri" w:cs="Calibri"/>
                <w:color w:val="000000"/>
                <w:sz w:val="22"/>
              </w:rPr>
            </w:pPr>
            <w:r>
              <w:rPr>
                <w:rFonts w:ascii="Calibri" w:hAnsi="Calibri" w:cs="Calibri"/>
                <w:color w:val="000000"/>
                <w:sz w:val="22"/>
              </w:rPr>
              <w:t xml:space="preserve">84,509 </w:t>
            </w:r>
          </w:p>
        </w:tc>
        <w:tc>
          <w:tcPr>
            <w:tcW w:w="1616" w:type="dxa"/>
            <w:tcBorders>
              <w:top w:val="nil"/>
              <w:left w:val="nil"/>
              <w:bottom w:val="nil"/>
              <w:right w:val="nil"/>
            </w:tcBorders>
            <w:shd w:val="clear" w:color="auto" w:fill="auto"/>
            <w:noWrap/>
            <w:vAlign w:val="bottom"/>
            <w:hideMark/>
          </w:tcPr>
          <w:p w:rsidR="00793C18" w:rsidRDefault="00793C18" w14:paraId="103A404E"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25C1A324" w14:textId="77777777">
            <w:pPr>
              <w:jc w:val="right"/>
              <w:rPr>
                <w:rFonts w:ascii="Calibri" w:hAnsi="Calibri" w:cs="Calibri"/>
                <w:color w:val="000000"/>
                <w:sz w:val="22"/>
              </w:rPr>
            </w:pPr>
            <w:r>
              <w:rPr>
                <w:rFonts w:ascii="Calibri" w:hAnsi="Calibri" w:cs="Calibri"/>
                <w:color w:val="000000"/>
                <w:sz w:val="22"/>
              </w:rPr>
              <w:t xml:space="preserve">85,034 </w:t>
            </w:r>
          </w:p>
        </w:tc>
      </w:tr>
      <w:tr w:rsidR="000D4308" w:rsidTr="00793C18" w14:paraId="4C450373"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5885022B"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01B11CD8"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02AC2932"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21B5026A"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382A5D2B" w14:textId="77777777">
            <w:pPr>
              <w:rPr>
                <w:sz w:val="20"/>
                <w:szCs w:val="20"/>
              </w:rPr>
            </w:pPr>
          </w:p>
        </w:tc>
      </w:tr>
      <w:tr w:rsidR="00793C18" w:rsidTr="003B4BA5" w14:paraId="5FDD517C" w14:textId="77777777">
        <w:trPr>
          <w:trHeight w:val="300"/>
        </w:trPr>
        <w:tc>
          <w:tcPr>
            <w:tcW w:w="4418" w:type="dxa"/>
            <w:gridSpan w:val="2"/>
            <w:tcBorders>
              <w:top w:val="nil"/>
              <w:left w:val="nil"/>
              <w:bottom w:val="nil"/>
              <w:right w:val="nil"/>
            </w:tcBorders>
            <w:shd w:val="clear" w:color="auto" w:fill="auto"/>
            <w:noWrap/>
            <w:vAlign w:val="bottom"/>
            <w:hideMark/>
          </w:tcPr>
          <w:p w:rsidR="00793C18" w:rsidRDefault="00793C18" w14:paraId="0EA241E6" w14:textId="77777777">
            <w:pPr>
              <w:rPr>
                <w:rFonts w:ascii="Calibri" w:hAnsi="Calibri" w:cs="Calibri"/>
                <w:color w:val="000000"/>
                <w:sz w:val="22"/>
              </w:rPr>
            </w:pPr>
            <w:r>
              <w:rPr>
                <w:rFonts w:ascii="Calibri" w:hAnsi="Calibri" w:cs="Calibri"/>
                <w:color w:val="000000"/>
                <w:sz w:val="22"/>
              </w:rPr>
              <w:t>ADMINISTRATIVE &amp; GENERAL</w:t>
            </w:r>
          </w:p>
        </w:tc>
        <w:tc>
          <w:tcPr>
            <w:tcW w:w="1612" w:type="dxa"/>
            <w:tcBorders>
              <w:top w:val="nil"/>
              <w:left w:val="nil"/>
              <w:bottom w:val="nil"/>
              <w:right w:val="nil"/>
            </w:tcBorders>
            <w:shd w:val="clear" w:color="auto" w:fill="auto"/>
            <w:noWrap/>
            <w:vAlign w:val="bottom"/>
            <w:hideMark/>
          </w:tcPr>
          <w:p w:rsidR="00793C18" w:rsidRDefault="00793C18" w14:paraId="01C6D659" w14:textId="77777777">
            <w:pPr>
              <w:rPr>
                <w:rFonts w:ascii="Calibri" w:hAnsi="Calibri" w:cs="Calibri"/>
                <w:color w:val="000000"/>
                <w:sz w:val="22"/>
              </w:rPr>
            </w:pPr>
          </w:p>
        </w:tc>
        <w:tc>
          <w:tcPr>
            <w:tcW w:w="1616" w:type="dxa"/>
            <w:tcBorders>
              <w:top w:val="nil"/>
              <w:left w:val="nil"/>
              <w:bottom w:val="nil"/>
              <w:right w:val="nil"/>
            </w:tcBorders>
            <w:shd w:val="clear" w:color="auto" w:fill="auto"/>
            <w:noWrap/>
            <w:vAlign w:val="bottom"/>
            <w:hideMark/>
          </w:tcPr>
          <w:p w:rsidR="00793C18" w:rsidRDefault="00793C18" w14:paraId="4419B3E0"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29168447" w14:textId="77777777">
            <w:pPr>
              <w:rPr>
                <w:sz w:val="20"/>
                <w:szCs w:val="20"/>
              </w:rPr>
            </w:pPr>
          </w:p>
        </w:tc>
      </w:tr>
      <w:tr w:rsidR="000D4308" w:rsidTr="00793C18" w14:paraId="54307E8B"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488BFD01" w14:textId="77777777">
            <w:pPr>
              <w:rPr>
                <w:sz w:val="20"/>
                <w:szCs w:val="20"/>
              </w:rPr>
            </w:pPr>
          </w:p>
        </w:tc>
        <w:tc>
          <w:tcPr>
            <w:tcW w:w="3512" w:type="dxa"/>
            <w:tcBorders>
              <w:top w:val="nil"/>
              <w:left w:val="nil"/>
              <w:bottom w:val="nil"/>
              <w:right w:val="nil"/>
            </w:tcBorders>
            <w:shd w:val="clear" w:color="auto" w:fill="auto"/>
            <w:noWrap/>
            <w:vAlign w:val="bottom"/>
            <w:hideMark/>
          </w:tcPr>
          <w:p w:rsidR="00793C18" w:rsidRDefault="00793C18" w14:paraId="3D75EBFA" w14:textId="77777777">
            <w:pPr>
              <w:rPr>
                <w:rFonts w:ascii="Calibri" w:hAnsi="Calibri" w:cs="Calibri"/>
                <w:color w:val="000000"/>
                <w:sz w:val="22"/>
              </w:rPr>
            </w:pPr>
            <w:r>
              <w:rPr>
                <w:rFonts w:ascii="Calibri" w:hAnsi="Calibri" w:cs="Calibri"/>
                <w:color w:val="000000"/>
                <w:sz w:val="22"/>
              </w:rPr>
              <w:t>A &amp; G PAYROLL</w:t>
            </w:r>
          </w:p>
        </w:tc>
        <w:tc>
          <w:tcPr>
            <w:tcW w:w="1612" w:type="dxa"/>
            <w:tcBorders>
              <w:top w:val="nil"/>
              <w:left w:val="nil"/>
              <w:bottom w:val="nil"/>
              <w:right w:val="nil"/>
            </w:tcBorders>
            <w:shd w:val="clear" w:color="auto" w:fill="auto"/>
            <w:noWrap/>
            <w:vAlign w:val="bottom"/>
            <w:hideMark/>
          </w:tcPr>
          <w:p w:rsidR="00793C18" w:rsidRDefault="00793C18" w14:paraId="6FEA9CC6" w14:textId="77777777">
            <w:pPr>
              <w:jc w:val="right"/>
              <w:rPr>
                <w:rFonts w:ascii="Calibri" w:hAnsi="Calibri" w:cs="Calibri"/>
                <w:color w:val="000000"/>
                <w:sz w:val="22"/>
              </w:rPr>
            </w:pPr>
            <w:r>
              <w:rPr>
                <w:rFonts w:ascii="Calibri" w:hAnsi="Calibri" w:cs="Calibri"/>
                <w:color w:val="000000"/>
                <w:sz w:val="22"/>
              </w:rPr>
              <w:t xml:space="preserve">1,154 </w:t>
            </w:r>
          </w:p>
        </w:tc>
        <w:tc>
          <w:tcPr>
            <w:tcW w:w="1616" w:type="dxa"/>
            <w:tcBorders>
              <w:top w:val="nil"/>
              <w:left w:val="nil"/>
              <w:bottom w:val="nil"/>
              <w:right w:val="nil"/>
            </w:tcBorders>
            <w:shd w:val="clear" w:color="auto" w:fill="auto"/>
            <w:noWrap/>
            <w:vAlign w:val="bottom"/>
            <w:hideMark/>
          </w:tcPr>
          <w:p w:rsidR="00793C18" w:rsidRDefault="00793C18" w14:paraId="168D58A9"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478F0145" w14:textId="77777777">
            <w:pPr>
              <w:jc w:val="right"/>
              <w:rPr>
                <w:rFonts w:ascii="Calibri" w:hAnsi="Calibri" w:cs="Calibri"/>
                <w:color w:val="000000"/>
                <w:sz w:val="22"/>
              </w:rPr>
            </w:pPr>
            <w:r>
              <w:rPr>
                <w:rFonts w:ascii="Calibri" w:hAnsi="Calibri" w:cs="Calibri"/>
                <w:color w:val="000000"/>
                <w:sz w:val="22"/>
              </w:rPr>
              <w:t xml:space="preserve">1,154 </w:t>
            </w:r>
          </w:p>
        </w:tc>
      </w:tr>
      <w:tr w:rsidR="000D4308" w:rsidTr="00793C18" w14:paraId="61C7843D"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63738977"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626D7471" w14:textId="77777777">
            <w:pPr>
              <w:rPr>
                <w:rFonts w:ascii="Calibri" w:hAnsi="Calibri" w:cs="Calibri"/>
                <w:color w:val="000000"/>
                <w:sz w:val="22"/>
              </w:rPr>
            </w:pPr>
            <w:r>
              <w:rPr>
                <w:rFonts w:ascii="Calibri" w:hAnsi="Calibri" w:cs="Calibri"/>
                <w:color w:val="000000"/>
                <w:sz w:val="22"/>
              </w:rPr>
              <w:t>EMPLOYEE BENEFITS</w:t>
            </w:r>
          </w:p>
        </w:tc>
        <w:tc>
          <w:tcPr>
            <w:tcW w:w="1612" w:type="dxa"/>
            <w:tcBorders>
              <w:top w:val="nil"/>
              <w:left w:val="nil"/>
              <w:bottom w:val="nil"/>
              <w:right w:val="nil"/>
            </w:tcBorders>
            <w:shd w:val="clear" w:color="auto" w:fill="auto"/>
            <w:noWrap/>
            <w:vAlign w:val="bottom"/>
            <w:hideMark/>
          </w:tcPr>
          <w:p w:rsidR="00793C18" w:rsidRDefault="00793C18" w14:paraId="1C190791" w14:textId="77777777">
            <w:pPr>
              <w:jc w:val="right"/>
              <w:rPr>
                <w:rFonts w:ascii="Calibri" w:hAnsi="Calibri" w:cs="Calibri"/>
                <w:color w:val="000000"/>
                <w:sz w:val="22"/>
              </w:rPr>
            </w:pPr>
            <w:r>
              <w:rPr>
                <w:rFonts w:ascii="Calibri" w:hAnsi="Calibri" w:cs="Calibri"/>
                <w:color w:val="000000"/>
                <w:sz w:val="22"/>
              </w:rPr>
              <w:t xml:space="preserve">21,638 </w:t>
            </w:r>
          </w:p>
        </w:tc>
        <w:tc>
          <w:tcPr>
            <w:tcW w:w="1616" w:type="dxa"/>
            <w:tcBorders>
              <w:top w:val="nil"/>
              <w:left w:val="nil"/>
              <w:bottom w:val="nil"/>
              <w:right w:val="nil"/>
            </w:tcBorders>
            <w:shd w:val="clear" w:color="auto" w:fill="auto"/>
            <w:noWrap/>
            <w:vAlign w:val="bottom"/>
            <w:hideMark/>
          </w:tcPr>
          <w:p w:rsidR="00793C18" w:rsidRDefault="00793C18" w14:paraId="07440A77"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585220F7" w14:textId="77777777">
            <w:pPr>
              <w:jc w:val="right"/>
              <w:rPr>
                <w:rFonts w:ascii="Calibri" w:hAnsi="Calibri" w:cs="Calibri"/>
                <w:color w:val="000000"/>
                <w:sz w:val="22"/>
              </w:rPr>
            </w:pPr>
            <w:r>
              <w:rPr>
                <w:rFonts w:ascii="Calibri" w:hAnsi="Calibri" w:cs="Calibri"/>
                <w:color w:val="000000"/>
                <w:sz w:val="22"/>
              </w:rPr>
              <w:t xml:space="preserve">21,638 </w:t>
            </w:r>
          </w:p>
        </w:tc>
      </w:tr>
      <w:tr w:rsidR="000D4308" w:rsidTr="00793C18" w14:paraId="2D65B940"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3E28F034"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4393BEC7" w14:textId="77777777">
            <w:pPr>
              <w:rPr>
                <w:rFonts w:ascii="Calibri" w:hAnsi="Calibri" w:cs="Calibri"/>
                <w:color w:val="000000"/>
                <w:sz w:val="22"/>
              </w:rPr>
            </w:pPr>
            <w:r>
              <w:rPr>
                <w:rFonts w:ascii="Calibri" w:hAnsi="Calibri" w:cs="Calibri"/>
                <w:color w:val="000000"/>
                <w:sz w:val="22"/>
              </w:rPr>
              <w:t>INSURANCE</w:t>
            </w:r>
          </w:p>
        </w:tc>
        <w:tc>
          <w:tcPr>
            <w:tcW w:w="1612" w:type="dxa"/>
            <w:tcBorders>
              <w:top w:val="nil"/>
              <w:left w:val="nil"/>
              <w:bottom w:val="nil"/>
              <w:right w:val="nil"/>
            </w:tcBorders>
            <w:shd w:val="clear" w:color="auto" w:fill="auto"/>
            <w:noWrap/>
            <w:vAlign w:val="bottom"/>
            <w:hideMark/>
          </w:tcPr>
          <w:p w:rsidR="00793C18" w:rsidRDefault="00793C18" w14:paraId="160AA180" w14:textId="77777777">
            <w:pPr>
              <w:jc w:val="right"/>
              <w:rPr>
                <w:rFonts w:ascii="Calibri" w:hAnsi="Calibri" w:cs="Calibri"/>
                <w:color w:val="000000"/>
                <w:sz w:val="22"/>
              </w:rPr>
            </w:pPr>
            <w:r>
              <w:rPr>
                <w:rFonts w:ascii="Calibri" w:hAnsi="Calibri" w:cs="Calibri"/>
                <w:color w:val="000000"/>
                <w:sz w:val="22"/>
              </w:rPr>
              <w:t xml:space="preserve">1,664 </w:t>
            </w:r>
          </w:p>
        </w:tc>
        <w:tc>
          <w:tcPr>
            <w:tcW w:w="1616" w:type="dxa"/>
            <w:tcBorders>
              <w:top w:val="nil"/>
              <w:left w:val="nil"/>
              <w:bottom w:val="nil"/>
              <w:right w:val="nil"/>
            </w:tcBorders>
            <w:shd w:val="clear" w:color="auto" w:fill="auto"/>
            <w:noWrap/>
            <w:vAlign w:val="bottom"/>
            <w:hideMark/>
          </w:tcPr>
          <w:p w:rsidR="00793C18" w:rsidRDefault="00793C18" w14:paraId="30E270BC"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7A0BAFD7" w14:textId="77777777">
            <w:pPr>
              <w:jc w:val="right"/>
              <w:rPr>
                <w:rFonts w:ascii="Calibri" w:hAnsi="Calibri" w:cs="Calibri"/>
                <w:color w:val="000000"/>
                <w:sz w:val="22"/>
              </w:rPr>
            </w:pPr>
            <w:r>
              <w:rPr>
                <w:rFonts w:ascii="Calibri" w:hAnsi="Calibri" w:cs="Calibri"/>
                <w:color w:val="000000"/>
                <w:sz w:val="22"/>
              </w:rPr>
              <w:t xml:space="preserve">1,664 </w:t>
            </w:r>
          </w:p>
        </w:tc>
      </w:tr>
      <w:tr w:rsidR="000D4308" w:rsidTr="00793C18" w14:paraId="1642B38D"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3280A6B1"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0C8790FF" w14:textId="77777777">
            <w:pPr>
              <w:rPr>
                <w:rFonts w:ascii="Calibri" w:hAnsi="Calibri" w:cs="Calibri"/>
                <w:color w:val="000000"/>
                <w:sz w:val="22"/>
              </w:rPr>
            </w:pPr>
            <w:r>
              <w:rPr>
                <w:rFonts w:ascii="Calibri" w:hAnsi="Calibri" w:cs="Calibri"/>
                <w:color w:val="000000"/>
                <w:sz w:val="22"/>
              </w:rPr>
              <w:t>REG. COMM. EXPENSE</w:t>
            </w:r>
          </w:p>
        </w:tc>
        <w:tc>
          <w:tcPr>
            <w:tcW w:w="1612" w:type="dxa"/>
            <w:tcBorders>
              <w:top w:val="nil"/>
              <w:left w:val="nil"/>
              <w:bottom w:val="nil"/>
              <w:right w:val="nil"/>
            </w:tcBorders>
            <w:shd w:val="clear" w:color="auto" w:fill="auto"/>
            <w:noWrap/>
            <w:vAlign w:val="bottom"/>
            <w:hideMark/>
          </w:tcPr>
          <w:p w:rsidR="00793C18" w:rsidRDefault="00793C18" w14:paraId="47D23F0F" w14:textId="77777777">
            <w:pPr>
              <w:jc w:val="right"/>
              <w:rPr>
                <w:rFonts w:ascii="Calibri" w:hAnsi="Calibri" w:cs="Calibri"/>
                <w:color w:val="000000"/>
                <w:sz w:val="22"/>
              </w:rPr>
            </w:pPr>
            <w:r>
              <w:rPr>
                <w:rFonts w:ascii="Calibri" w:hAnsi="Calibri" w:cs="Calibri"/>
                <w:color w:val="000000"/>
                <w:sz w:val="22"/>
              </w:rPr>
              <w:t xml:space="preserve">1,736 </w:t>
            </w:r>
          </w:p>
        </w:tc>
        <w:tc>
          <w:tcPr>
            <w:tcW w:w="1616" w:type="dxa"/>
            <w:tcBorders>
              <w:top w:val="nil"/>
              <w:left w:val="nil"/>
              <w:bottom w:val="nil"/>
              <w:right w:val="nil"/>
            </w:tcBorders>
            <w:shd w:val="clear" w:color="auto" w:fill="auto"/>
            <w:noWrap/>
            <w:vAlign w:val="bottom"/>
            <w:hideMark/>
          </w:tcPr>
          <w:p w:rsidR="00793C18" w:rsidRDefault="00793C18" w14:paraId="67C9F3AB"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4995E36D" w14:textId="77777777">
            <w:pPr>
              <w:jc w:val="right"/>
              <w:rPr>
                <w:rFonts w:ascii="Calibri" w:hAnsi="Calibri" w:cs="Calibri"/>
                <w:color w:val="000000"/>
                <w:sz w:val="22"/>
              </w:rPr>
            </w:pPr>
            <w:r>
              <w:rPr>
                <w:rFonts w:ascii="Calibri" w:hAnsi="Calibri" w:cs="Calibri"/>
                <w:color w:val="000000"/>
                <w:sz w:val="22"/>
              </w:rPr>
              <w:t xml:space="preserve">1,736 </w:t>
            </w:r>
          </w:p>
        </w:tc>
      </w:tr>
      <w:tr w:rsidR="000D4308" w:rsidTr="00793C18" w14:paraId="5AEFA436"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17EEF1BB"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44BC4DAD" w14:textId="77777777">
            <w:pPr>
              <w:rPr>
                <w:rFonts w:ascii="Calibri" w:hAnsi="Calibri" w:cs="Calibri"/>
                <w:color w:val="000000"/>
                <w:sz w:val="22"/>
              </w:rPr>
            </w:pPr>
            <w:r>
              <w:rPr>
                <w:rFonts w:ascii="Calibri" w:hAnsi="Calibri" w:cs="Calibri"/>
                <w:color w:val="000000"/>
                <w:sz w:val="22"/>
              </w:rPr>
              <w:t>FRANCHISE REQUIREMENTS</w:t>
            </w:r>
          </w:p>
        </w:tc>
        <w:tc>
          <w:tcPr>
            <w:tcW w:w="1612" w:type="dxa"/>
            <w:tcBorders>
              <w:top w:val="nil"/>
              <w:left w:val="nil"/>
              <w:bottom w:val="nil"/>
              <w:right w:val="nil"/>
            </w:tcBorders>
            <w:shd w:val="clear" w:color="auto" w:fill="auto"/>
            <w:noWrap/>
            <w:vAlign w:val="bottom"/>
            <w:hideMark/>
          </w:tcPr>
          <w:p w:rsidR="00793C18" w:rsidRDefault="00793C18" w14:paraId="06FCCF47" w14:textId="77777777">
            <w:pPr>
              <w:jc w:val="right"/>
              <w:rPr>
                <w:rFonts w:ascii="Calibri" w:hAnsi="Calibri" w:cs="Calibri"/>
                <w:color w:val="000000"/>
                <w:sz w:val="22"/>
              </w:rPr>
            </w:pPr>
            <w:r>
              <w:rPr>
                <w:rFonts w:ascii="Calibri" w:hAnsi="Calibri" w:cs="Calibri"/>
                <w:color w:val="000000"/>
                <w:sz w:val="22"/>
              </w:rPr>
              <w:t xml:space="preserve">2,705 </w:t>
            </w:r>
          </w:p>
        </w:tc>
        <w:tc>
          <w:tcPr>
            <w:tcW w:w="1616" w:type="dxa"/>
            <w:tcBorders>
              <w:top w:val="nil"/>
              <w:left w:val="nil"/>
              <w:bottom w:val="nil"/>
              <w:right w:val="nil"/>
            </w:tcBorders>
            <w:shd w:val="clear" w:color="auto" w:fill="auto"/>
            <w:noWrap/>
            <w:vAlign w:val="bottom"/>
            <w:hideMark/>
          </w:tcPr>
          <w:p w:rsidR="00793C18" w:rsidRDefault="00793C18" w14:paraId="2BA879B6"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79520751" w14:textId="77777777">
            <w:pPr>
              <w:jc w:val="right"/>
              <w:rPr>
                <w:rFonts w:ascii="Calibri" w:hAnsi="Calibri" w:cs="Calibri"/>
                <w:color w:val="000000"/>
                <w:sz w:val="22"/>
              </w:rPr>
            </w:pPr>
            <w:r>
              <w:rPr>
                <w:rFonts w:ascii="Calibri" w:hAnsi="Calibri" w:cs="Calibri"/>
                <w:color w:val="000000"/>
                <w:sz w:val="22"/>
              </w:rPr>
              <w:t xml:space="preserve">4,501 </w:t>
            </w:r>
          </w:p>
        </w:tc>
      </w:tr>
      <w:tr w:rsidR="000D4308" w:rsidTr="00793C18" w14:paraId="7C7E9092"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367B9A23"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3ED5077B" w14:textId="77777777">
            <w:pPr>
              <w:rPr>
                <w:rFonts w:ascii="Calibri" w:hAnsi="Calibri" w:cs="Calibri"/>
                <w:color w:val="000000"/>
                <w:sz w:val="22"/>
              </w:rPr>
            </w:pPr>
            <w:r>
              <w:rPr>
                <w:rFonts w:ascii="Calibri" w:hAnsi="Calibri" w:cs="Calibri"/>
                <w:color w:val="000000"/>
                <w:sz w:val="22"/>
              </w:rPr>
              <w:t>OUTSIDE SERVICES</w:t>
            </w:r>
          </w:p>
        </w:tc>
        <w:tc>
          <w:tcPr>
            <w:tcW w:w="1612" w:type="dxa"/>
            <w:tcBorders>
              <w:top w:val="nil"/>
              <w:left w:val="nil"/>
              <w:bottom w:val="nil"/>
              <w:right w:val="nil"/>
            </w:tcBorders>
            <w:shd w:val="clear" w:color="auto" w:fill="auto"/>
            <w:noWrap/>
            <w:vAlign w:val="bottom"/>
            <w:hideMark/>
          </w:tcPr>
          <w:p w:rsidR="00793C18" w:rsidRDefault="00793C18" w14:paraId="0D8CE090" w14:textId="77777777">
            <w:pPr>
              <w:jc w:val="right"/>
              <w:rPr>
                <w:rFonts w:ascii="Calibri" w:hAnsi="Calibri" w:cs="Calibri"/>
                <w:color w:val="000000"/>
                <w:sz w:val="22"/>
              </w:rPr>
            </w:pPr>
            <w:r>
              <w:rPr>
                <w:rFonts w:ascii="Calibri" w:hAnsi="Calibri" w:cs="Calibri"/>
                <w:color w:val="000000"/>
                <w:sz w:val="22"/>
              </w:rPr>
              <w:t xml:space="preserve">0 </w:t>
            </w:r>
          </w:p>
        </w:tc>
        <w:tc>
          <w:tcPr>
            <w:tcW w:w="1616" w:type="dxa"/>
            <w:tcBorders>
              <w:top w:val="nil"/>
              <w:left w:val="nil"/>
              <w:bottom w:val="nil"/>
              <w:right w:val="nil"/>
            </w:tcBorders>
            <w:shd w:val="clear" w:color="auto" w:fill="auto"/>
            <w:noWrap/>
            <w:vAlign w:val="bottom"/>
            <w:hideMark/>
          </w:tcPr>
          <w:p w:rsidR="00793C18" w:rsidRDefault="00793C18" w14:paraId="708FB6D9"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5466880F" w14:textId="77777777">
            <w:pPr>
              <w:jc w:val="right"/>
              <w:rPr>
                <w:rFonts w:ascii="Calibri" w:hAnsi="Calibri" w:cs="Calibri"/>
                <w:color w:val="000000"/>
                <w:sz w:val="22"/>
              </w:rPr>
            </w:pPr>
            <w:r>
              <w:rPr>
                <w:rFonts w:ascii="Calibri" w:hAnsi="Calibri" w:cs="Calibri"/>
                <w:color w:val="000000"/>
                <w:sz w:val="22"/>
              </w:rPr>
              <w:t xml:space="preserve">0 </w:t>
            </w:r>
          </w:p>
        </w:tc>
      </w:tr>
      <w:tr w:rsidR="000D4308" w:rsidTr="00793C18" w14:paraId="627696B8"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1E7D2B2D"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42EE13D2" w14:textId="77777777">
            <w:pPr>
              <w:rPr>
                <w:rFonts w:ascii="Calibri" w:hAnsi="Calibri" w:cs="Calibri"/>
                <w:color w:val="000000"/>
                <w:sz w:val="22"/>
              </w:rPr>
            </w:pPr>
            <w:r>
              <w:rPr>
                <w:rFonts w:ascii="Calibri" w:hAnsi="Calibri" w:cs="Calibri"/>
                <w:color w:val="000000"/>
                <w:sz w:val="22"/>
              </w:rPr>
              <w:t>RENTS</w:t>
            </w:r>
          </w:p>
        </w:tc>
        <w:tc>
          <w:tcPr>
            <w:tcW w:w="1612" w:type="dxa"/>
            <w:tcBorders>
              <w:top w:val="nil"/>
              <w:left w:val="nil"/>
              <w:bottom w:val="nil"/>
              <w:right w:val="nil"/>
            </w:tcBorders>
            <w:shd w:val="clear" w:color="auto" w:fill="auto"/>
            <w:noWrap/>
            <w:vAlign w:val="bottom"/>
            <w:hideMark/>
          </w:tcPr>
          <w:p w:rsidR="00793C18" w:rsidRDefault="00793C18" w14:paraId="427B3B27" w14:textId="77777777">
            <w:pPr>
              <w:jc w:val="right"/>
              <w:rPr>
                <w:rFonts w:ascii="Calibri" w:hAnsi="Calibri" w:cs="Calibri"/>
                <w:color w:val="000000"/>
                <w:sz w:val="22"/>
              </w:rPr>
            </w:pPr>
            <w:r>
              <w:rPr>
                <w:rFonts w:ascii="Calibri" w:hAnsi="Calibri" w:cs="Calibri"/>
                <w:color w:val="000000"/>
                <w:sz w:val="22"/>
              </w:rPr>
              <w:t xml:space="preserve">11,215 </w:t>
            </w:r>
          </w:p>
        </w:tc>
        <w:tc>
          <w:tcPr>
            <w:tcW w:w="1616" w:type="dxa"/>
            <w:tcBorders>
              <w:top w:val="nil"/>
              <w:left w:val="nil"/>
              <w:bottom w:val="nil"/>
              <w:right w:val="nil"/>
            </w:tcBorders>
            <w:shd w:val="clear" w:color="auto" w:fill="auto"/>
            <w:noWrap/>
            <w:vAlign w:val="bottom"/>
            <w:hideMark/>
          </w:tcPr>
          <w:p w:rsidR="00793C18" w:rsidRDefault="00793C18" w14:paraId="0C99152C"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67CDEFD4" w14:textId="77777777">
            <w:pPr>
              <w:jc w:val="right"/>
              <w:rPr>
                <w:rFonts w:ascii="Calibri" w:hAnsi="Calibri" w:cs="Calibri"/>
                <w:color w:val="000000"/>
                <w:sz w:val="22"/>
              </w:rPr>
            </w:pPr>
            <w:r>
              <w:rPr>
                <w:rFonts w:ascii="Calibri" w:hAnsi="Calibri" w:cs="Calibri"/>
                <w:color w:val="000000"/>
                <w:sz w:val="22"/>
              </w:rPr>
              <w:t xml:space="preserve">11,215 </w:t>
            </w:r>
          </w:p>
        </w:tc>
      </w:tr>
      <w:tr w:rsidR="000D4308" w:rsidTr="00793C18" w14:paraId="3FDAB2D4"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7A80F099"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3F9B2308" w14:textId="77777777">
            <w:pPr>
              <w:rPr>
                <w:rFonts w:ascii="Calibri" w:hAnsi="Calibri" w:cs="Calibri"/>
                <w:color w:val="000000"/>
                <w:sz w:val="22"/>
              </w:rPr>
            </w:pPr>
            <w:r>
              <w:rPr>
                <w:rFonts w:ascii="Calibri" w:hAnsi="Calibri" w:cs="Calibri"/>
                <w:color w:val="000000"/>
                <w:sz w:val="22"/>
              </w:rPr>
              <w:t>A &amp; G - OTHER</w:t>
            </w:r>
          </w:p>
        </w:tc>
        <w:tc>
          <w:tcPr>
            <w:tcW w:w="1612" w:type="dxa"/>
            <w:tcBorders>
              <w:top w:val="nil"/>
              <w:left w:val="nil"/>
              <w:bottom w:val="nil"/>
              <w:right w:val="nil"/>
            </w:tcBorders>
            <w:shd w:val="clear" w:color="auto" w:fill="auto"/>
            <w:noWrap/>
            <w:vAlign w:val="bottom"/>
            <w:hideMark/>
          </w:tcPr>
          <w:p w:rsidR="00793C18" w:rsidRDefault="00793C18" w14:paraId="3D9BB0B7" w14:textId="77777777">
            <w:pPr>
              <w:jc w:val="right"/>
              <w:rPr>
                <w:rFonts w:ascii="Calibri" w:hAnsi="Calibri" w:cs="Calibri"/>
                <w:color w:val="000000"/>
                <w:sz w:val="22"/>
              </w:rPr>
            </w:pPr>
            <w:r>
              <w:rPr>
                <w:rFonts w:ascii="Calibri" w:hAnsi="Calibri" w:cs="Calibri"/>
                <w:color w:val="000000"/>
                <w:sz w:val="22"/>
              </w:rPr>
              <w:t xml:space="preserve">1,425 </w:t>
            </w:r>
          </w:p>
        </w:tc>
        <w:tc>
          <w:tcPr>
            <w:tcW w:w="1616" w:type="dxa"/>
            <w:tcBorders>
              <w:top w:val="nil"/>
              <w:left w:val="nil"/>
              <w:bottom w:val="nil"/>
              <w:right w:val="nil"/>
            </w:tcBorders>
            <w:shd w:val="clear" w:color="auto" w:fill="auto"/>
            <w:noWrap/>
            <w:vAlign w:val="bottom"/>
            <w:hideMark/>
          </w:tcPr>
          <w:p w:rsidR="00793C18" w:rsidRDefault="00793C18" w14:paraId="18D728E9"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1149309D" w14:textId="77777777">
            <w:pPr>
              <w:jc w:val="right"/>
              <w:rPr>
                <w:rFonts w:ascii="Calibri" w:hAnsi="Calibri" w:cs="Calibri"/>
                <w:color w:val="000000"/>
                <w:sz w:val="22"/>
              </w:rPr>
            </w:pPr>
            <w:r>
              <w:rPr>
                <w:rFonts w:ascii="Calibri" w:hAnsi="Calibri" w:cs="Calibri"/>
                <w:color w:val="000000"/>
                <w:sz w:val="22"/>
              </w:rPr>
              <w:t xml:space="preserve">1,425 </w:t>
            </w:r>
          </w:p>
        </w:tc>
      </w:tr>
      <w:tr w:rsidR="000D4308" w:rsidTr="00793C18" w14:paraId="590CDA39"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440B46E8"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7FAC0E97" w14:textId="77777777">
            <w:pPr>
              <w:rPr>
                <w:rFonts w:ascii="Calibri" w:hAnsi="Calibri" w:cs="Calibri"/>
                <w:color w:val="000000"/>
                <w:sz w:val="22"/>
              </w:rPr>
            </w:pPr>
            <w:r>
              <w:rPr>
                <w:rFonts w:ascii="Calibri" w:hAnsi="Calibri" w:cs="Calibri"/>
                <w:color w:val="000000"/>
                <w:sz w:val="22"/>
              </w:rPr>
              <w:t>A &amp; G TRANSFERRED CREDIT</w:t>
            </w:r>
          </w:p>
        </w:tc>
        <w:tc>
          <w:tcPr>
            <w:tcW w:w="1612" w:type="dxa"/>
            <w:tcBorders>
              <w:top w:val="nil"/>
              <w:left w:val="nil"/>
              <w:bottom w:val="nil"/>
              <w:right w:val="nil"/>
            </w:tcBorders>
            <w:shd w:val="clear" w:color="auto" w:fill="auto"/>
            <w:noWrap/>
            <w:vAlign w:val="bottom"/>
            <w:hideMark/>
          </w:tcPr>
          <w:p w:rsidR="00793C18" w:rsidRDefault="00793C18" w14:paraId="06B8AEAB" w14:textId="77777777">
            <w:pPr>
              <w:jc w:val="right"/>
              <w:rPr>
                <w:rFonts w:ascii="Calibri" w:hAnsi="Calibri" w:cs="Calibri"/>
                <w:color w:val="000000"/>
                <w:sz w:val="22"/>
              </w:rPr>
            </w:pPr>
            <w:r>
              <w:rPr>
                <w:rFonts w:ascii="Calibri" w:hAnsi="Calibri" w:cs="Calibri"/>
                <w:color w:val="000000"/>
                <w:sz w:val="22"/>
              </w:rPr>
              <w:t>(15,810)</w:t>
            </w:r>
          </w:p>
        </w:tc>
        <w:tc>
          <w:tcPr>
            <w:tcW w:w="1616" w:type="dxa"/>
            <w:tcBorders>
              <w:top w:val="nil"/>
              <w:left w:val="nil"/>
              <w:bottom w:val="nil"/>
              <w:right w:val="nil"/>
            </w:tcBorders>
            <w:shd w:val="clear" w:color="auto" w:fill="auto"/>
            <w:noWrap/>
            <w:vAlign w:val="bottom"/>
            <w:hideMark/>
          </w:tcPr>
          <w:p w:rsidR="00793C18" w:rsidRDefault="00793C18" w14:paraId="76119AAD"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1C67E6C5" w14:textId="77777777">
            <w:pPr>
              <w:jc w:val="right"/>
              <w:rPr>
                <w:rFonts w:ascii="Calibri" w:hAnsi="Calibri" w:cs="Calibri"/>
                <w:color w:val="000000"/>
                <w:sz w:val="22"/>
              </w:rPr>
            </w:pPr>
            <w:r>
              <w:rPr>
                <w:rFonts w:ascii="Calibri" w:hAnsi="Calibri" w:cs="Calibri"/>
                <w:color w:val="000000"/>
                <w:sz w:val="22"/>
              </w:rPr>
              <w:t>(15,810)</w:t>
            </w:r>
          </w:p>
        </w:tc>
      </w:tr>
      <w:tr w:rsidR="000D4308" w:rsidTr="00793C18" w14:paraId="01456FBC" w14:textId="77777777">
        <w:trPr>
          <w:trHeight w:val="345"/>
        </w:trPr>
        <w:tc>
          <w:tcPr>
            <w:tcW w:w="906" w:type="dxa"/>
            <w:tcBorders>
              <w:top w:val="nil"/>
              <w:left w:val="nil"/>
              <w:bottom w:val="nil"/>
              <w:right w:val="nil"/>
            </w:tcBorders>
            <w:shd w:val="clear" w:color="auto" w:fill="auto"/>
            <w:noWrap/>
            <w:vAlign w:val="bottom"/>
            <w:hideMark/>
          </w:tcPr>
          <w:p w:rsidR="00793C18" w:rsidRDefault="00793C18" w14:paraId="5D1CA18F" w14:textId="77777777">
            <w:pPr>
              <w:jc w:val="right"/>
              <w:rPr>
                <w:rFonts w:ascii="Calibri" w:hAnsi="Calibri" w:cs="Calibri"/>
                <w:color w:val="000000"/>
                <w:sz w:val="22"/>
              </w:rPr>
            </w:pPr>
            <w:r>
              <w:rPr>
                <w:rFonts w:ascii="Calibri" w:hAnsi="Calibri" w:cs="Calibri"/>
                <w:color w:val="000000"/>
                <w:sz w:val="22"/>
                <w:vertAlign w:val="superscript"/>
              </w:rPr>
              <w:t>1</w:t>
            </w:r>
          </w:p>
        </w:tc>
        <w:tc>
          <w:tcPr>
            <w:tcW w:w="3512" w:type="dxa"/>
            <w:tcBorders>
              <w:top w:val="nil"/>
              <w:left w:val="nil"/>
              <w:bottom w:val="nil"/>
              <w:right w:val="nil"/>
            </w:tcBorders>
            <w:shd w:val="clear" w:color="auto" w:fill="auto"/>
            <w:noWrap/>
            <w:vAlign w:val="bottom"/>
            <w:hideMark/>
          </w:tcPr>
          <w:p w:rsidR="00793C18" w:rsidRDefault="00793C18" w14:paraId="2E6ED786" w14:textId="77777777">
            <w:pPr>
              <w:rPr>
                <w:rFonts w:ascii="Calibri" w:hAnsi="Calibri" w:cs="Calibri"/>
                <w:color w:val="000000"/>
                <w:sz w:val="22"/>
              </w:rPr>
            </w:pPr>
            <w:r>
              <w:rPr>
                <w:rFonts w:ascii="Calibri" w:hAnsi="Calibri" w:cs="Calibri"/>
                <w:color w:val="000000"/>
                <w:sz w:val="22"/>
              </w:rPr>
              <w:t>ALLOCATIONS</w:t>
            </w:r>
          </w:p>
        </w:tc>
        <w:tc>
          <w:tcPr>
            <w:tcW w:w="1612" w:type="dxa"/>
            <w:tcBorders>
              <w:top w:val="nil"/>
              <w:left w:val="nil"/>
              <w:bottom w:val="nil"/>
              <w:right w:val="nil"/>
            </w:tcBorders>
            <w:shd w:val="clear" w:color="auto" w:fill="auto"/>
            <w:noWrap/>
            <w:vAlign w:val="bottom"/>
            <w:hideMark/>
          </w:tcPr>
          <w:p w:rsidR="00793C18" w:rsidRDefault="00793C18" w14:paraId="6D4EEAB9" w14:textId="77777777">
            <w:pPr>
              <w:jc w:val="right"/>
              <w:rPr>
                <w:rFonts w:ascii="Calibri" w:hAnsi="Calibri" w:cs="Calibri"/>
                <w:color w:val="000000"/>
                <w:sz w:val="22"/>
              </w:rPr>
            </w:pPr>
            <w:r>
              <w:rPr>
                <w:rFonts w:ascii="Calibri" w:hAnsi="Calibri" w:cs="Calibri"/>
                <w:color w:val="000000"/>
                <w:sz w:val="22"/>
              </w:rPr>
              <w:t xml:space="preserve">71,410 </w:t>
            </w:r>
          </w:p>
        </w:tc>
        <w:tc>
          <w:tcPr>
            <w:tcW w:w="1616" w:type="dxa"/>
            <w:tcBorders>
              <w:top w:val="nil"/>
              <w:left w:val="nil"/>
              <w:bottom w:val="nil"/>
              <w:right w:val="nil"/>
            </w:tcBorders>
            <w:shd w:val="clear" w:color="auto" w:fill="auto"/>
            <w:noWrap/>
            <w:vAlign w:val="bottom"/>
            <w:hideMark/>
          </w:tcPr>
          <w:p w:rsidR="00793C18" w:rsidRDefault="00793C18" w14:paraId="078F9A25"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2B193650" w14:textId="77777777">
            <w:pPr>
              <w:jc w:val="right"/>
              <w:rPr>
                <w:rFonts w:ascii="Calibri" w:hAnsi="Calibri" w:cs="Calibri"/>
                <w:color w:val="000000"/>
                <w:sz w:val="22"/>
              </w:rPr>
            </w:pPr>
            <w:r>
              <w:rPr>
                <w:rFonts w:ascii="Calibri" w:hAnsi="Calibri" w:cs="Calibri"/>
                <w:color w:val="000000"/>
                <w:sz w:val="22"/>
              </w:rPr>
              <w:t xml:space="preserve">71,410 </w:t>
            </w:r>
          </w:p>
        </w:tc>
      </w:tr>
      <w:tr w:rsidR="000D4308" w:rsidTr="00793C18" w14:paraId="569E472B"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5FDC3C83"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1F0A56CB"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6AB06995"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0CCF700B"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0D0A1397" w14:textId="77777777">
            <w:pPr>
              <w:rPr>
                <w:sz w:val="20"/>
                <w:szCs w:val="20"/>
              </w:rPr>
            </w:pPr>
          </w:p>
        </w:tc>
      </w:tr>
      <w:tr w:rsidR="000D4308" w:rsidTr="00793C18" w14:paraId="37737BF4"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111D291F" w14:textId="77777777">
            <w:pPr>
              <w:rPr>
                <w:sz w:val="20"/>
                <w:szCs w:val="20"/>
              </w:rPr>
            </w:pPr>
          </w:p>
        </w:tc>
        <w:tc>
          <w:tcPr>
            <w:tcW w:w="3512" w:type="dxa"/>
            <w:tcBorders>
              <w:top w:val="nil"/>
              <w:left w:val="nil"/>
              <w:bottom w:val="nil"/>
              <w:right w:val="nil"/>
            </w:tcBorders>
            <w:shd w:val="clear" w:color="auto" w:fill="auto"/>
            <w:noWrap/>
            <w:vAlign w:val="bottom"/>
            <w:hideMark/>
          </w:tcPr>
          <w:p w:rsidR="00793C18" w:rsidRDefault="00793C18" w14:paraId="26BF3E57"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11C74C4D"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25C6DE65"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594E99EA" w14:textId="77777777">
            <w:pPr>
              <w:rPr>
                <w:sz w:val="20"/>
                <w:szCs w:val="20"/>
              </w:rPr>
            </w:pPr>
          </w:p>
        </w:tc>
      </w:tr>
      <w:tr w:rsidR="000D4308" w:rsidTr="00793C18" w14:paraId="4580CC68"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6467003A" w14:textId="77777777">
            <w:pPr>
              <w:rPr>
                <w:sz w:val="20"/>
                <w:szCs w:val="20"/>
              </w:rPr>
            </w:pPr>
          </w:p>
        </w:tc>
        <w:tc>
          <w:tcPr>
            <w:tcW w:w="3512" w:type="dxa"/>
            <w:tcBorders>
              <w:top w:val="nil"/>
              <w:left w:val="nil"/>
              <w:bottom w:val="nil"/>
              <w:right w:val="nil"/>
            </w:tcBorders>
            <w:shd w:val="clear" w:color="auto" w:fill="auto"/>
            <w:noWrap/>
            <w:vAlign w:val="bottom"/>
            <w:hideMark/>
          </w:tcPr>
          <w:p w:rsidR="00793C18" w:rsidRDefault="00793C18" w14:paraId="5E80A0F0" w14:textId="77777777">
            <w:pPr>
              <w:rPr>
                <w:rFonts w:ascii="Calibri" w:hAnsi="Calibri" w:cs="Calibri"/>
                <w:color w:val="000000"/>
                <w:sz w:val="22"/>
              </w:rPr>
            </w:pPr>
            <w:r>
              <w:rPr>
                <w:rFonts w:ascii="Calibri" w:hAnsi="Calibri" w:cs="Calibri"/>
                <w:color w:val="000000"/>
                <w:sz w:val="22"/>
              </w:rPr>
              <w:t>SUB-TOTAL A &amp; G</w:t>
            </w:r>
          </w:p>
        </w:tc>
        <w:tc>
          <w:tcPr>
            <w:tcW w:w="1612" w:type="dxa"/>
            <w:tcBorders>
              <w:top w:val="nil"/>
              <w:left w:val="nil"/>
              <w:bottom w:val="nil"/>
              <w:right w:val="nil"/>
            </w:tcBorders>
            <w:shd w:val="clear" w:color="auto" w:fill="auto"/>
            <w:noWrap/>
            <w:vAlign w:val="bottom"/>
            <w:hideMark/>
          </w:tcPr>
          <w:p w:rsidR="00793C18" w:rsidRDefault="00793C18" w14:paraId="07AAF84C" w14:textId="77777777">
            <w:pPr>
              <w:jc w:val="right"/>
              <w:rPr>
                <w:rFonts w:ascii="Calibri" w:hAnsi="Calibri" w:cs="Calibri"/>
                <w:color w:val="000000"/>
                <w:sz w:val="22"/>
              </w:rPr>
            </w:pPr>
            <w:r>
              <w:rPr>
                <w:rFonts w:ascii="Calibri" w:hAnsi="Calibri" w:cs="Calibri"/>
                <w:color w:val="000000"/>
                <w:sz w:val="22"/>
              </w:rPr>
              <w:t xml:space="preserve">97,136 </w:t>
            </w:r>
          </w:p>
        </w:tc>
        <w:tc>
          <w:tcPr>
            <w:tcW w:w="1616" w:type="dxa"/>
            <w:tcBorders>
              <w:top w:val="nil"/>
              <w:left w:val="nil"/>
              <w:bottom w:val="nil"/>
              <w:right w:val="nil"/>
            </w:tcBorders>
            <w:shd w:val="clear" w:color="auto" w:fill="auto"/>
            <w:noWrap/>
            <w:vAlign w:val="bottom"/>
            <w:hideMark/>
          </w:tcPr>
          <w:p w:rsidR="00793C18" w:rsidRDefault="00793C18" w14:paraId="45043EAC"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4EE515C3" w14:textId="77777777">
            <w:pPr>
              <w:jc w:val="right"/>
              <w:rPr>
                <w:rFonts w:ascii="Calibri" w:hAnsi="Calibri" w:cs="Calibri"/>
                <w:color w:val="000000"/>
                <w:sz w:val="22"/>
              </w:rPr>
            </w:pPr>
            <w:r>
              <w:rPr>
                <w:rFonts w:ascii="Calibri" w:hAnsi="Calibri" w:cs="Calibri"/>
                <w:color w:val="000000"/>
                <w:sz w:val="22"/>
              </w:rPr>
              <w:t xml:space="preserve">98,933 </w:t>
            </w:r>
          </w:p>
        </w:tc>
      </w:tr>
      <w:tr w:rsidR="000D4308" w:rsidTr="00793C18" w14:paraId="34D3F76A"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792E8134"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081F966A"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3EDA10FD"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4ECA8164"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49D2BE1B" w14:textId="77777777">
            <w:pPr>
              <w:rPr>
                <w:sz w:val="20"/>
                <w:szCs w:val="20"/>
              </w:rPr>
            </w:pPr>
          </w:p>
        </w:tc>
      </w:tr>
      <w:tr w:rsidR="00793C18" w:rsidTr="003B4BA5" w14:paraId="1E28EDF2" w14:textId="77777777">
        <w:trPr>
          <w:trHeight w:val="300"/>
        </w:trPr>
        <w:tc>
          <w:tcPr>
            <w:tcW w:w="4418" w:type="dxa"/>
            <w:gridSpan w:val="2"/>
            <w:tcBorders>
              <w:top w:val="nil"/>
              <w:left w:val="nil"/>
              <w:bottom w:val="nil"/>
              <w:right w:val="nil"/>
            </w:tcBorders>
            <w:shd w:val="clear" w:color="auto" w:fill="auto"/>
            <w:noWrap/>
            <w:vAlign w:val="bottom"/>
            <w:hideMark/>
          </w:tcPr>
          <w:p w:rsidR="00793C18" w:rsidRDefault="00793C18" w14:paraId="42C75CAC" w14:textId="77777777">
            <w:pPr>
              <w:rPr>
                <w:rFonts w:ascii="Calibri" w:hAnsi="Calibri" w:cs="Calibri"/>
                <w:color w:val="000000"/>
                <w:sz w:val="22"/>
              </w:rPr>
            </w:pPr>
            <w:r>
              <w:rPr>
                <w:rFonts w:ascii="Calibri" w:hAnsi="Calibri" w:cs="Calibri"/>
                <w:color w:val="000000"/>
                <w:sz w:val="22"/>
              </w:rPr>
              <w:t>OTHER TAXES</w:t>
            </w:r>
          </w:p>
        </w:tc>
        <w:tc>
          <w:tcPr>
            <w:tcW w:w="1612" w:type="dxa"/>
            <w:tcBorders>
              <w:top w:val="nil"/>
              <w:left w:val="nil"/>
              <w:bottom w:val="nil"/>
              <w:right w:val="nil"/>
            </w:tcBorders>
            <w:shd w:val="clear" w:color="auto" w:fill="auto"/>
            <w:noWrap/>
            <w:vAlign w:val="bottom"/>
            <w:hideMark/>
          </w:tcPr>
          <w:p w:rsidR="00793C18" w:rsidRDefault="00793C18" w14:paraId="753B110A" w14:textId="77777777">
            <w:pPr>
              <w:rPr>
                <w:rFonts w:ascii="Calibri" w:hAnsi="Calibri" w:cs="Calibri"/>
                <w:color w:val="000000"/>
                <w:sz w:val="22"/>
              </w:rPr>
            </w:pPr>
          </w:p>
        </w:tc>
        <w:tc>
          <w:tcPr>
            <w:tcW w:w="1616" w:type="dxa"/>
            <w:tcBorders>
              <w:top w:val="nil"/>
              <w:left w:val="nil"/>
              <w:bottom w:val="nil"/>
              <w:right w:val="nil"/>
            </w:tcBorders>
            <w:shd w:val="clear" w:color="auto" w:fill="auto"/>
            <w:noWrap/>
            <w:vAlign w:val="bottom"/>
            <w:hideMark/>
          </w:tcPr>
          <w:p w:rsidR="00793C18" w:rsidRDefault="00793C18" w14:paraId="7609B5AC"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6D8B903A" w14:textId="77777777">
            <w:pPr>
              <w:rPr>
                <w:sz w:val="20"/>
                <w:szCs w:val="20"/>
              </w:rPr>
            </w:pPr>
          </w:p>
        </w:tc>
      </w:tr>
      <w:tr w:rsidR="000D4308" w:rsidTr="00793C18" w14:paraId="0BFE0D2F" w14:textId="77777777">
        <w:trPr>
          <w:trHeight w:val="345"/>
        </w:trPr>
        <w:tc>
          <w:tcPr>
            <w:tcW w:w="906" w:type="dxa"/>
            <w:tcBorders>
              <w:top w:val="nil"/>
              <w:left w:val="nil"/>
              <w:bottom w:val="nil"/>
              <w:right w:val="nil"/>
            </w:tcBorders>
            <w:shd w:val="clear" w:color="auto" w:fill="auto"/>
            <w:noWrap/>
            <w:vAlign w:val="bottom"/>
            <w:hideMark/>
          </w:tcPr>
          <w:p w:rsidR="00793C18" w:rsidRDefault="00793C18" w14:paraId="233D0D8B" w14:textId="77777777">
            <w:pPr>
              <w:jc w:val="right"/>
              <w:rPr>
                <w:rFonts w:ascii="Calibri" w:hAnsi="Calibri" w:cs="Calibri"/>
                <w:color w:val="000000"/>
                <w:sz w:val="22"/>
              </w:rPr>
            </w:pPr>
            <w:r>
              <w:rPr>
                <w:rFonts w:ascii="Calibri" w:hAnsi="Calibri" w:cs="Calibri"/>
                <w:color w:val="000000"/>
                <w:sz w:val="22"/>
                <w:vertAlign w:val="superscript"/>
              </w:rPr>
              <w:t>1</w:t>
            </w:r>
          </w:p>
        </w:tc>
        <w:tc>
          <w:tcPr>
            <w:tcW w:w="3512" w:type="dxa"/>
            <w:tcBorders>
              <w:top w:val="nil"/>
              <w:left w:val="nil"/>
              <w:bottom w:val="nil"/>
              <w:right w:val="nil"/>
            </w:tcBorders>
            <w:shd w:val="clear" w:color="auto" w:fill="auto"/>
            <w:noWrap/>
            <w:vAlign w:val="bottom"/>
            <w:hideMark/>
          </w:tcPr>
          <w:p w:rsidR="00793C18" w:rsidRDefault="00793C18" w14:paraId="783D62E9" w14:textId="77777777">
            <w:pPr>
              <w:rPr>
                <w:rFonts w:ascii="Calibri" w:hAnsi="Calibri" w:cs="Calibri"/>
                <w:color w:val="000000"/>
                <w:sz w:val="22"/>
              </w:rPr>
            </w:pPr>
            <w:r>
              <w:rPr>
                <w:rFonts w:ascii="Calibri" w:hAnsi="Calibri" w:cs="Calibri"/>
                <w:color w:val="000000"/>
                <w:sz w:val="22"/>
              </w:rPr>
              <w:t>PROPERTY TAXES</w:t>
            </w:r>
          </w:p>
        </w:tc>
        <w:tc>
          <w:tcPr>
            <w:tcW w:w="1612" w:type="dxa"/>
            <w:tcBorders>
              <w:top w:val="nil"/>
              <w:left w:val="nil"/>
              <w:bottom w:val="nil"/>
              <w:right w:val="nil"/>
            </w:tcBorders>
            <w:shd w:val="clear" w:color="auto" w:fill="auto"/>
            <w:noWrap/>
            <w:vAlign w:val="bottom"/>
            <w:hideMark/>
          </w:tcPr>
          <w:p w:rsidR="00793C18" w:rsidRDefault="00793C18" w14:paraId="6608878B" w14:textId="77777777">
            <w:pPr>
              <w:jc w:val="right"/>
              <w:rPr>
                <w:rFonts w:ascii="Calibri" w:hAnsi="Calibri" w:cs="Calibri"/>
                <w:color w:val="000000"/>
                <w:sz w:val="22"/>
              </w:rPr>
            </w:pPr>
            <w:r>
              <w:rPr>
                <w:rFonts w:ascii="Calibri" w:hAnsi="Calibri" w:cs="Calibri"/>
                <w:color w:val="000000"/>
                <w:sz w:val="22"/>
              </w:rPr>
              <w:t xml:space="preserve">22,024 </w:t>
            </w:r>
          </w:p>
        </w:tc>
        <w:tc>
          <w:tcPr>
            <w:tcW w:w="1616" w:type="dxa"/>
            <w:tcBorders>
              <w:top w:val="nil"/>
              <w:left w:val="nil"/>
              <w:bottom w:val="nil"/>
              <w:right w:val="nil"/>
            </w:tcBorders>
            <w:shd w:val="clear" w:color="auto" w:fill="auto"/>
            <w:noWrap/>
            <w:vAlign w:val="bottom"/>
            <w:hideMark/>
          </w:tcPr>
          <w:p w:rsidR="00793C18" w:rsidRDefault="00793C18" w14:paraId="7044C5EC"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1969D431" w14:textId="77777777">
            <w:pPr>
              <w:jc w:val="right"/>
              <w:rPr>
                <w:rFonts w:ascii="Calibri" w:hAnsi="Calibri" w:cs="Calibri"/>
                <w:color w:val="000000"/>
                <w:sz w:val="22"/>
              </w:rPr>
            </w:pPr>
            <w:r>
              <w:rPr>
                <w:rFonts w:ascii="Calibri" w:hAnsi="Calibri" w:cs="Calibri"/>
                <w:color w:val="000000"/>
                <w:sz w:val="22"/>
              </w:rPr>
              <w:t xml:space="preserve">22,024 </w:t>
            </w:r>
          </w:p>
        </w:tc>
      </w:tr>
      <w:tr w:rsidR="000D4308" w:rsidTr="00793C18" w14:paraId="51AA31DB" w14:textId="77777777">
        <w:trPr>
          <w:trHeight w:val="345"/>
        </w:trPr>
        <w:tc>
          <w:tcPr>
            <w:tcW w:w="906" w:type="dxa"/>
            <w:tcBorders>
              <w:top w:val="nil"/>
              <w:left w:val="nil"/>
              <w:bottom w:val="nil"/>
              <w:right w:val="nil"/>
            </w:tcBorders>
            <w:shd w:val="clear" w:color="auto" w:fill="auto"/>
            <w:noWrap/>
            <w:vAlign w:val="bottom"/>
            <w:hideMark/>
          </w:tcPr>
          <w:p w:rsidR="00793C18" w:rsidRDefault="00793C18" w14:paraId="2C4C6C16" w14:textId="77777777">
            <w:pPr>
              <w:jc w:val="right"/>
              <w:rPr>
                <w:rFonts w:ascii="Calibri" w:hAnsi="Calibri" w:cs="Calibri"/>
                <w:color w:val="000000"/>
                <w:sz w:val="22"/>
              </w:rPr>
            </w:pPr>
            <w:r>
              <w:rPr>
                <w:rFonts w:ascii="Calibri" w:hAnsi="Calibri" w:cs="Calibri"/>
                <w:color w:val="000000"/>
                <w:sz w:val="22"/>
                <w:vertAlign w:val="superscript"/>
              </w:rPr>
              <w:t>1</w:t>
            </w:r>
          </w:p>
        </w:tc>
        <w:tc>
          <w:tcPr>
            <w:tcW w:w="3512" w:type="dxa"/>
            <w:tcBorders>
              <w:top w:val="nil"/>
              <w:left w:val="nil"/>
              <w:bottom w:val="nil"/>
              <w:right w:val="nil"/>
            </w:tcBorders>
            <w:shd w:val="clear" w:color="auto" w:fill="auto"/>
            <w:noWrap/>
            <w:vAlign w:val="bottom"/>
            <w:hideMark/>
          </w:tcPr>
          <w:p w:rsidR="00793C18" w:rsidRDefault="00793C18" w14:paraId="0ADB61AF" w14:textId="77777777">
            <w:pPr>
              <w:rPr>
                <w:rFonts w:ascii="Calibri" w:hAnsi="Calibri" w:cs="Calibri"/>
                <w:color w:val="000000"/>
                <w:sz w:val="22"/>
              </w:rPr>
            </w:pPr>
            <w:r>
              <w:rPr>
                <w:rFonts w:ascii="Calibri" w:hAnsi="Calibri" w:cs="Calibri"/>
                <w:color w:val="000000"/>
                <w:sz w:val="22"/>
              </w:rPr>
              <w:t>PAYROLL TAXES</w:t>
            </w:r>
          </w:p>
        </w:tc>
        <w:tc>
          <w:tcPr>
            <w:tcW w:w="1612" w:type="dxa"/>
            <w:tcBorders>
              <w:top w:val="nil"/>
              <w:left w:val="nil"/>
              <w:bottom w:val="nil"/>
              <w:right w:val="nil"/>
            </w:tcBorders>
            <w:shd w:val="clear" w:color="auto" w:fill="auto"/>
            <w:noWrap/>
            <w:vAlign w:val="bottom"/>
            <w:hideMark/>
          </w:tcPr>
          <w:p w:rsidR="00793C18" w:rsidRDefault="00793C18" w14:paraId="1D3F3A50" w14:textId="77777777">
            <w:pPr>
              <w:jc w:val="right"/>
              <w:rPr>
                <w:rFonts w:ascii="Calibri" w:hAnsi="Calibri" w:cs="Calibri"/>
                <w:color w:val="000000"/>
                <w:sz w:val="22"/>
              </w:rPr>
            </w:pPr>
            <w:r>
              <w:rPr>
                <w:rFonts w:ascii="Calibri" w:hAnsi="Calibri" w:cs="Calibri"/>
                <w:color w:val="000000"/>
                <w:sz w:val="22"/>
              </w:rPr>
              <w:t xml:space="preserve">3,672 </w:t>
            </w:r>
          </w:p>
        </w:tc>
        <w:tc>
          <w:tcPr>
            <w:tcW w:w="1616" w:type="dxa"/>
            <w:tcBorders>
              <w:top w:val="nil"/>
              <w:left w:val="nil"/>
              <w:bottom w:val="nil"/>
              <w:right w:val="nil"/>
            </w:tcBorders>
            <w:shd w:val="clear" w:color="auto" w:fill="auto"/>
            <w:noWrap/>
            <w:vAlign w:val="bottom"/>
            <w:hideMark/>
          </w:tcPr>
          <w:p w:rsidR="00793C18" w:rsidRDefault="00793C18" w14:paraId="1DACCA55"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08DAEC5C" w14:textId="77777777">
            <w:pPr>
              <w:jc w:val="right"/>
              <w:rPr>
                <w:rFonts w:ascii="Calibri" w:hAnsi="Calibri" w:cs="Calibri"/>
                <w:color w:val="000000"/>
                <w:sz w:val="22"/>
              </w:rPr>
            </w:pPr>
            <w:r>
              <w:rPr>
                <w:rFonts w:ascii="Calibri" w:hAnsi="Calibri" w:cs="Calibri"/>
                <w:color w:val="000000"/>
                <w:sz w:val="22"/>
              </w:rPr>
              <w:t xml:space="preserve">3,672 </w:t>
            </w:r>
          </w:p>
        </w:tc>
      </w:tr>
      <w:tr w:rsidR="000D4308" w:rsidTr="00793C18" w14:paraId="198CE831" w14:textId="77777777">
        <w:trPr>
          <w:trHeight w:val="345"/>
        </w:trPr>
        <w:tc>
          <w:tcPr>
            <w:tcW w:w="906" w:type="dxa"/>
            <w:tcBorders>
              <w:top w:val="nil"/>
              <w:left w:val="nil"/>
              <w:bottom w:val="nil"/>
              <w:right w:val="nil"/>
            </w:tcBorders>
            <w:shd w:val="clear" w:color="auto" w:fill="auto"/>
            <w:noWrap/>
            <w:vAlign w:val="bottom"/>
            <w:hideMark/>
          </w:tcPr>
          <w:p w:rsidR="00793C18" w:rsidRDefault="00793C18" w14:paraId="09476D63"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143C25BE" w14:textId="77777777">
            <w:pPr>
              <w:rPr>
                <w:rFonts w:ascii="Calibri" w:hAnsi="Calibri" w:cs="Calibri"/>
                <w:color w:val="000000"/>
                <w:sz w:val="22"/>
              </w:rPr>
            </w:pPr>
            <w:r>
              <w:rPr>
                <w:rFonts w:ascii="Calibri" w:hAnsi="Calibri" w:cs="Calibri"/>
                <w:color w:val="000000"/>
                <w:sz w:val="22"/>
              </w:rPr>
              <w:t>TAXES-OTHER</w:t>
            </w:r>
          </w:p>
        </w:tc>
        <w:tc>
          <w:tcPr>
            <w:tcW w:w="1612" w:type="dxa"/>
            <w:tcBorders>
              <w:top w:val="nil"/>
              <w:left w:val="nil"/>
              <w:bottom w:val="nil"/>
              <w:right w:val="nil"/>
            </w:tcBorders>
            <w:shd w:val="clear" w:color="auto" w:fill="auto"/>
            <w:noWrap/>
            <w:vAlign w:val="bottom"/>
            <w:hideMark/>
          </w:tcPr>
          <w:p w:rsidR="00793C18" w:rsidRDefault="00793C18" w14:paraId="62809508" w14:textId="77777777">
            <w:pPr>
              <w:jc w:val="right"/>
              <w:rPr>
                <w:rFonts w:ascii="Calibri" w:hAnsi="Calibri" w:cs="Calibri"/>
                <w:color w:val="000000"/>
                <w:sz w:val="22"/>
              </w:rPr>
            </w:pPr>
            <w:r>
              <w:rPr>
                <w:rFonts w:ascii="Calibri" w:hAnsi="Calibri" w:cs="Calibri"/>
                <w:color w:val="000000"/>
                <w:sz w:val="22"/>
              </w:rPr>
              <w:t xml:space="preserve">1,794 </w:t>
            </w:r>
          </w:p>
        </w:tc>
        <w:tc>
          <w:tcPr>
            <w:tcW w:w="1616" w:type="dxa"/>
            <w:tcBorders>
              <w:top w:val="nil"/>
              <w:left w:val="nil"/>
              <w:bottom w:val="nil"/>
              <w:right w:val="nil"/>
            </w:tcBorders>
            <w:shd w:val="clear" w:color="auto" w:fill="auto"/>
            <w:noWrap/>
            <w:vAlign w:val="bottom"/>
            <w:hideMark/>
          </w:tcPr>
          <w:p w:rsidR="00793C18" w:rsidRDefault="00793C18" w14:paraId="79E237C8"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7682F8BA" w14:textId="77777777">
            <w:pPr>
              <w:jc w:val="right"/>
              <w:rPr>
                <w:rFonts w:ascii="Calibri" w:hAnsi="Calibri" w:cs="Calibri"/>
                <w:color w:val="000000"/>
                <w:sz w:val="22"/>
              </w:rPr>
            </w:pPr>
            <w:r>
              <w:rPr>
                <w:rFonts w:ascii="Calibri" w:hAnsi="Calibri" w:cs="Calibri"/>
                <w:color w:val="000000"/>
                <w:sz w:val="22"/>
              </w:rPr>
              <w:t xml:space="preserve">1,794 </w:t>
            </w:r>
          </w:p>
        </w:tc>
      </w:tr>
      <w:tr w:rsidR="000D4308" w:rsidTr="00793C18" w14:paraId="7D503D5C"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4DB45393"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19F71BF3"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37F8022F"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407894CC"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6CF13A23" w14:textId="77777777">
            <w:pPr>
              <w:rPr>
                <w:sz w:val="20"/>
                <w:szCs w:val="20"/>
              </w:rPr>
            </w:pPr>
          </w:p>
        </w:tc>
      </w:tr>
      <w:tr w:rsidR="000D4308" w:rsidTr="00793C18" w14:paraId="13C65411"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0A4EDAF3" w14:textId="77777777">
            <w:pPr>
              <w:rPr>
                <w:sz w:val="20"/>
                <w:szCs w:val="20"/>
              </w:rPr>
            </w:pPr>
          </w:p>
        </w:tc>
        <w:tc>
          <w:tcPr>
            <w:tcW w:w="3512" w:type="dxa"/>
            <w:tcBorders>
              <w:top w:val="nil"/>
              <w:left w:val="nil"/>
              <w:bottom w:val="nil"/>
              <w:right w:val="nil"/>
            </w:tcBorders>
            <w:shd w:val="clear" w:color="auto" w:fill="auto"/>
            <w:noWrap/>
            <w:vAlign w:val="bottom"/>
            <w:hideMark/>
          </w:tcPr>
          <w:p w:rsidR="00793C18" w:rsidRDefault="00793C18" w14:paraId="0E325EBE" w14:textId="77777777">
            <w:pPr>
              <w:rPr>
                <w:rFonts w:ascii="Calibri" w:hAnsi="Calibri" w:cs="Calibri"/>
                <w:color w:val="000000"/>
                <w:sz w:val="22"/>
              </w:rPr>
            </w:pPr>
            <w:r>
              <w:rPr>
                <w:rFonts w:ascii="Calibri" w:hAnsi="Calibri" w:cs="Calibri"/>
                <w:color w:val="000000"/>
                <w:sz w:val="22"/>
              </w:rPr>
              <w:t>SUB-TOTAL OTHER TAXES</w:t>
            </w:r>
          </w:p>
        </w:tc>
        <w:tc>
          <w:tcPr>
            <w:tcW w:w="1612" w:type="dxa"/>
            <w:tcBorders>
              <w:top w:val="nil"/>
              <w:left w:val="nil"/>
              <w:bottom w:val="nil"/>
              <w:right w:val="nil"/>
            </w:tcBorders>
            <w:shd w:val="clear" w:color="auto" w:fill="auto"/>
            <w:noWrap/>
            <w:vAlign w:val="bottom"/>
            <w:hideMark/>
          </w:tcPr>
          <w:p w:rsidR="00793C18" w:rsidRDefault="00793C18" w14:paraId="3D6956EC" w14:textId="77777777">
            <w:pPr>
              <w:jc w:val="right"/>
              <w:rPr>
                <w:rFonts w:ascii="Calibri" w:hAnsi="Calibri" w:cs="Calibri"/>
                <w:color w:val="000000"/>
                <w:sz w:val="22"/>
              </w:rPr>
            </w:pPr>
            <w:r>
              <w:rPr>
                <w:rFonts w:ascii="Calibri" w:hAnsi="Calibri" w:cs="Calibri"/>
                <w:color w:val="000000"/>
                <w:sz w:val="22"/>
              </w:rPr>
              <w:t xml:space="preserve">27,490 </w:t>
            </w:r>
          </w:p>
        </w:tc>
        <w:tc>
          <w:tcPr>
            <w:tcW w:w="1616" w:type="dxa"/>
            <w:tcBorders>
              <w:top w:val="nil"/>
              <w:left w:val="nil"/>
              <w:bottom w:val="nil"/>
              <w:right w:val="nil"/>
            </w:tcBorders>
            <w:shd w:val="clear" w:color="auto" w:fill="auto"/>
            <w:noWrap/>
            <w:vAlign w:val="bottom"/>
            <w:hideMark/>
          </w:tcPr>
          <w:p w:rsidR="00793C18" w:rsidRDefault="00793C18" w14:paraId="0D38628C"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47293AEC" w14:textId="77777777">
            <w:pPr>
              <w:jc w:val="right"/>
              <w:rPr>
                <w:rFonts w:ascii="Calibri" w:hAnsi="Calibri" w:cs="Calibri"/>
                <w:color w:val="000000"/>
                <w:sz w:val="22"/>
              </w:rPr>
            </w:pPr>
            <w:r>
              <w:rPr>
                <w:rFonts w:ascii="Calibri" w:hAnsi="Calibri" w:cs="Calibri"/>
                <w:color w:val="000000"/>
                <w:sz w:val="22"/>
              </w:rPr>
              <w:t xml:space="preserve">27,490 </w:t>
            </w:r>
          </w:p>
        </w:tc>
      </w:tr>
      <w:tr w:rsidR="000D4308" w:rsidTr="00793C18" w14:paraId="62B29D2B"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3A93CBF8"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5304C0FC"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786C5FDB"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70A64C5E"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36CC9D12" w14:textId="77777777">
            <w:pPr>
              <w:rPr>
                <w:sz w:val="20"/>
                <w:szCs w:val="20"/>
              </w:rPr>
            </w:pPr>
          </w:p>
        </w:tc>
      </w:tr>
      <w:tr w:rsidR="000D4308" w:rsidTr="00793C18" w14:paraId="53C1CEFC" w14:textId="77777777">
        <w:trPr>
          <w:trHeight w:val="345"/>
        </w:trPr>
        <w:tc>
          <w:tcPr>
            <w:tcW w:w="906" w:type="dxa"/>
            <w:tcBorders>
              <w:top w:val="nil"/>
              <w:left w:val="nil"/>
              <w:bottom w:val="nil"/>
              <w:right w:val="nil"/>
            </w:tcBorders>
            <w:shd w:val="clear" w:color="auto" w:fill="auto"/>
            <w:noWrap/>
            <w:vAlign w:val="bottom"/>
            <w:hideMark/>
          </w:tcPr>
          <w:p w:rsidR="00793C18" w:rsidRDefault="00793C18" w14:paraId="79446E75" w14:textId="77777777">
            <w:pPr>
              <w:jc w:val="right"/>
              <w:rPr>
                <w:rFonts w:ascii="Calibri" w:hAnsi="Calibri" w:cs="Calibri"/>
                <w:color w:val="000000"/>
                <w:sz w:val="22"/>
              </w:rPr>
            </w:pPr>
            <w:r>
              <w:rPr>
                <w:rFonts w:ascii="Calibri" w:hAnsi="Calibri" w:cs="Calibri"/>
                <w:color w:val="000000"/>
                <w:sz w:val="22"/>
                <w:vertAlign w:val="superscript"/>
              </w:rPr>
              <w:t>1</w:t>
            </w:r>
          </w:p>
        </w:tc>
        <w:tc>
          <w:tcPr>
            <w:tcW w:w="3512" w:type="dxa"/>
            <w:tcBorders>
              <w:top w:val="nil"/>
              <w:left w:val="nil"/>
              <w:bottom w:val="nil"/>
              <w:right w:val="nil"/>
            </w:tcBorders>
            <w:shd w:val="clear" w:color="auto" w:fill="auto"/>
            <w:noWrap/>
            <w:vAlign w:val="bottom"/>
            <w:hideMark/>
          </w:tcPr>
          <w:p w:rsidR="00793C18" w:rsidRDefault="00793C18" w14:paraId="514E77AA" w14:textId="77777777">
            <w:pPr>
              <w:rPr>
                <w:rFonts w:ascii="Calibri" w:hAnsi="Calibri" w:cs="Calibri"/>
                <w:color w:val="000000"/>
                <w:sz w:val="22"/>
              </w:rPr>
            </w:pPr>
            <w:r>
              <w:rPr>
                <w:rFonts w:ascii="Calibri" w:hAnsi="Calibri" w:cs="Calibri"/>
                <w:color w:val="000000"/>
                <w:sz w:val="22"/>
              </w:rPr>
              <w:t>DEPRECIATION</w:t>
            </w:r>
          </w:p>
        </w:tc>
        <w:tc>
          <w:tcPr>
            <w:tcW w:w="1612" w:type="dxa"/>
            <w:tcBorders>
              <w:top w:val="nil"/>
              <w:left w:val="nil"/>
              <w:bottom w:val="nil"/>
              <w:right w:val="nil"/>
            </w:tcBorders>
            <w:shd w:val="clear" w:color="auto" w:fill="auto"/>
            <w:noWrap/>
            <w:vAlign w:val="bottom"/>
            <w:hideMark/>
          </w:tcPr>
          <w:p w:rsidR="00793C18" w:rsidRDefault="00793C18" w14:paraId="4A5183A8" w14:textId="77777777">
            <w:pPr>
              <w:jc w:val="right"/>
              <w:rPr>
                <w:rFonts w:ascii="Calibri" w:hAnsi="Calibri" w:cs="Calibri"/>
                <w:color w:val="000000"/>
                <w:sz w:val="22"/>
              </w:rPr>
            </w:pPr>
            <w:r>
              <w:rPr>
                <w:rFonts w:ascii="Calibri" w:hAnsi="Calibri" w:cs="Calibri"/>
                <w:color w:val="000000"/>
                <w:sz w:val="22"/>
              </w:rPr>
              <w:t xml:space="preserve">64,912 </w:t>
            </w:r>
          </w:p>
        </w:tc>
        <w:tc>
          <w:tcPr>
            <w:tcW w:w="1616" w:type="dxa"/>
            <w:tcBorders>
              <w:top w:val="nil"/>
              <w:left w:val="nil"/>
              <w:bottom w:val="nil"/>
              <w:right w:val="nil"/>
            </w:tcBorders>
            <w:shd w:val="clear" w:color="auto" w:fill="auto"/>
            <w:noWrap/>
            <w:vAlign w:val="bottom"/>
            <w:hideMark/>
          </w:tcPr>
          <w:p w:rsidR="00793C18" w:rsidRDefault="00793C18" w14:paraId="3434A823"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632313F7" w14:textId="77777777">
            <w:pPr>
              <w:jc w:val="right"/>
              <w:rPr>
                <w:rFonts w:ascii="Calibri" w:hAnsi="Calibri" w:cs="Calibri"/>
                <w:color w:val="000000"/>
                <w:sz w:val="22"/>
              </w:rPr>
            </w:pPr>
            <w:r>
              <w:rPr>
                <w:rFonts w:ascii="Calibri" w:hAnsi="Calibri" w:cs="Calibri"/>
                <w:color w:val="000000"/>
                <w:sz w:val="22"/>
              </w:rPr>
              <w:t xml:space="preserve">64,912 </w:t>
            </w:r>
          </w:p>
        </w:tc>
      </w:tr>
      <w:tr w:rsidR="000D4308" w:rsidTr="00793C18" w14:paraId="15943B7A"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4D2E74BC"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0A412C50" w14:textId="77777777">
            <w:pPr>
              <w:rPr>
                <w:rFonts w:ascii="Calibri" w:hAnsi="Calibri" w:cs="Calibri"/>
                <w:color w:val="000000"/>
                <w:sz w:val="22"/>
              </w:rPr>
            </w:pPr>
            <w:r>
              <w:rPr>
                <w:rFonts w:ascii="Calibri" w:hAnsi="Calibri" w:cs="Calibri"/>
                <w:color w:val="000000"/>
                <w:sz w:val="22"/>
              </w:rPr>
              <w:t>CA INCOME TAXES</w:t>
            </w:r>
          </w:p>
        </w:tc>
        <w:tc>
          <w:tcPr>
            <w:tcW w:w="1612" w:type="dxa"/>
            <w:tcBorders>
              <w:top w:val="nil"/>
              <w:left w:val="nil"/>
              <w:bottom w:val="nil"/>
              <w:right w:val="nil"/>
            </w:tcBorders>
            <w:shd w:val="clear" w:color="auto" w:fill="auto"/>
            <w:noWrap/>
            <w:vAlign w:val="bottom"/>
            <w:hideMark/>
          </w:tcPr>
          <w:p w:rsidR="00793C18" w:rsidRDefault="00793C18" w14:paraId="014DAEA4" w14:textId="77777777">
            <w:pPr>
              <w:jc w:val="right"/>
              <w:rPr>
                <w:rFonts w:ascii="Calibri" w:hAnsi="Calibri" w:cs="Calibri"/>
                <w:color w:val="000000"/>
                <w:sz w:val="22"/>
              </w:rPr>
            </w:pPr>
            <w:r>
              <w:rPr>
                <w:rFonts w:ascii="Calibri" w:hAnsi="Calibri" w:cs="Calibri"/>
                <w:color w:val="000000"/>
                <w:sz w:val="22"/>
              </w:rPr>
              <w:t>(1,941)</w:t>
            </w:r>
          </w:p>
        </w:tc>
        <w:tc>
          <w:tcPr>
            <w:tcW w:w="1616" w:type="dxa"/>
            <w:tcBorders>
              <w:top w:val="nil"/>
              <w:left w:val="nil"/>
              <w:bottom w:val="nil"/>
              <w:right w:val="nil"/>
            </w:tcBorders>
            <w:shd w:val="clear" w:color="auto" w:fill="auto"/>
            <w:noWrap/>
            <w:vAlign w:val="bottom"/>
            <w:hideMark/>
          </w:tcPr>
          <w:p w:rsidR="00793C18" w:rsidRDefault="00793C18" w14:paraId="1C317830"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30DC7C2B" w14:textId="77777777">
            <w:pPr>
              <w:jc w:val="right"/>
              <w:rPr>
                <w:rFonts w:ascii="Calibri" w:hAnsi="Calibri" w:cs="Calibri"/>
                <w:color w:val="000000"/>
                <w:sz w:val="22"/>
              </w:rPr>
            </w:pPr>
            <w:r>
              <w:rPr>
                <w:rFonts w:ascii="Calibri" w:hAnsi="Calibri" w:cs="Calibri"/>
                <w:color w:val="000000"/>
                <w:sz w:val="22"/>
              </w:rPr>
              <w:t xml:space="preserve">14,400 </w:t>
            </w:r>
          </w:p>
        </w:tc>
      </w:tr>
      <w:tr w:rsidR="000D4308" w:rsidTr="00793C18" w14:paraId="63D3AB12"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72BA7BD7"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772DD85B" w14:textId="77777777">
            <w:pPr>
              <w:rPr>
                <w:rFonts w:ascii="Calibri" w:hAnsi="Calibri" w:cs="Calibri"/>
                <w:color w:val="000000"/>
                <w:sz w:val="22"/>
              </w:rPr>
            </w:pPr>
            <w:r>
              <w:rPr>
                <w:rFonts w:ascii="Calibri" w:hAnsi="Calibri" w:cs="Calibri"/>
                <w:color w:val="000000"/>
                <w:sz w:val="22"/>
              </w:rPr>
              <w:t>FEDERAL INCOME TAXES</w:t>
            </w:r>
          </w:p>
        </w:tc>
        <w:tc>
          <w:tcPr>
            <w:tcW w:w="1612" w:type="dxa"/>
            <w:tcBorders>
              <w:top w:val="nil"/>
              <w:left w:val="nil"/>
              <w:bottom w:val="nil"/>
              <w:right w:val="nil"/>
            </w:tcBorders>
            <w:shd w:val="clear" w:color="auto" w:fill="auto"/>
            <w:noWrap/>
            <w:vAlign w:val="bottom"/>
            <w:hideMark/>
          </w:tcPr>
          <w:p w:rsidR="00793C18" w:rsidRDefault="00793C18" w14:paraId="34D21D36" w14:textId="77777777">
            <w:pPr>
              <w:jc w:val="right"/>
              <w:rPr>
                <w:rFonts w:ascii="Calibri" w:hAnsi="Calibri" w:cs="Calibri"/>
                <w:color w:val="000000"/>
                <w:sz w:val="22"/>
              </w:rPr>
            </w:pPr>
            <w:r>
              <w:rPr>
                <w:rFonts w:ascii="Calibri" w:hAnsi="Calibri" w:cs="Calibri"/>
                <w:color w:val="000000"/>
                <w:sz w:val="22"/>
              </w:rPr>
              <w:t>(10,460)</w:t>
            </w:r>
          </w:p>
        </w:tc>
        <w:tc>
          <w:tcPr>
            <w:tcW w:w="1616" w:type="dxa"/>
            <w:tcBorders>
              <w:top w:val="nil"/>
              <w:left w:val="nil"/>
              <w:bottom w:val="nil"/>
              <w:right w:val="nil"/>
            </w:tcBorders>
            <w:shd w:val="clear" w:color="auto" w:fill="auto"/>
            <w:noWrap/>
            <w:vAlign w:val="bottom"/>
            <w:hideMark/>
          </w:tcPr>
          <w:p w:rsidR="00793C18" w:rsidRDefault="00793C18" w14:paraId="7BB767B9"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46130C82" w14:textId="77777777">
            <w:pPr>
              <w:jc w:val="right"/>
              <w:rPr>
                <w:rFonts w:ascii="Calibri" w:hAnsi="Calibri" w:cs="Calibri"/>
                <w:color w:val="000000"/>
                <w:sz w:val="22"/>
              </w:rPr>
            </w:pPr>
            <w:r>
              <w:rPr>
                <w:rFonts w:ascii="Calibri" w:hAnsi="Calibri" w:cs="Calibri"/>
                <w:color w:val="000000"/>
                <w:sz w:val="22"/>
              </w:rPr>
              <w:t xml:space="preserve">28,358 </w:t>
            </w:r>
          </w:p>
        </w:tc>
      </w:tr>
      <w:tr w:rsidR="000D4308" w:rsidTr="00793C18" w14:paraId="7EB616B2"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4A56B532"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7B7208F7"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60CEE8B6"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7CC2670E"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48F8753A" w14:textId="77777777">
            <w:pPr>
              <w:rPr>
                <w:sz w:val="20"/>
                <w:szCs w:val="20"/>
              </w:rPr>
            </w:pPr>
          </w:p>
        </w:tc>
      </w:tr>
      <w:tr w:rsidR="00793C18" w:rsidTr="003B4BA5" w14:paraId="5E205AA5" w14:textId="77777777">
        <w:trPr>
          <w:trHeight w:val="300"/>
        </w:trPr>
        <w:tc>
          <w:tcPr>
            <w:tcW w:w="4418" w:type="dxa"/>
            <w:gridSpan w:val="2"/>
            <w:tcBorders>
              <w:top w:val="nil"/>
              <w:left w:val="nil"/>
              <w:bottom w:val="nil"/>
              <w:right w:val="nil"/>
            </w:tcBorders>
            <w:shd w:val="clear" w:color="auto" w:fill="auto"/>
            <w:noWrap/>
            <w:vAlign w:val="bottom"/>
            <w:hideMark/>
          </w:tcPr>
          <w:p w:rsidR="00793C18" w:rsidRDefault="00793C18" w14:paraId="2A91A8B2" w14:textId="77777777">
            <w:pPr>
              <w:rPr>
                <w:rFonts w:ascii="Calibri" w:hAnsi="Calibri" w:cs="Calibri"/>
                <w:color w:val="000000"/>
                <w:sz w:val="22"/>
              </w:rPr>
            </w:pPr>
            <w:r>
              <w:rPr>
                <w:rFonts w:ascii="Calibri" w:hAnsi="Calibri" w:cs="Calibri"/>
                <w:color w:val="000000"/>
                <w:sz w:val="22"/>
              </w:rPr>
              <w:lastRenderedPageBreak/>
              <w:t>TOTAL EXPENSE</w:t>
            </w:r>
          </w:p>
        </w:tc>
        <w:tc>
          <w:tcPr>
            <w:tcW w:w="1612" w:type="dxa"/>
            <w:tcBorders>
              <w:top w:val="nil"/>
              <w:left w:val="nil"/>
              <w:bottom w:val="nil"/>
              <w:right w:val="nil"/>
            </w:tcBorders>
            <w:shd w:val="clear" w:color="auto" w:fill="auto"/>
            <w:noWrap/>
            <w:vAlign w:val="bottom"/>
            <w:hideMark/>
          </w:tcPr>
          <w:p w:rsidR="00793C18" w:rsidRDefault="00793C18" w14:paraId="31017C39" w14:textId="77777777">
            <w:pPr>
              <w:jc w:val="right"/>
              <w:rPr>
                <w:rFonts w:ascii="Calibri" w:hAnsi="Calibri" w:cs="Calibri"/>
                <w:color w:val="000000"/>
                <w:sz w:val="22"/>
              </w:rPr>
            </w:pPr>
            <w:r>
              <w:rPr>
                <w:rFonts w:ascii="Calibri" w:hAnsi="Calibri" w:cs="Calibri"/>
                <w:color w:val="000000"/>
                <w:sz w:val="22"/>
              </w:rPr>
              <w:t xml:space="preserve">261,646 </w:t>
            </w:r>
          </w:p>
        </w:tc>
        <w:tc>
          <w:tcPr>
            <w:tcW w:w="1616" w:type="dxa"/>
            <w:tcBorders>
              <w:top w:val="nil"/>
              <w:left w:val="nil"/>
              <w:bottom w:val="nil"/>
              <w:right w:val="nil"/>
            </w:tcBorders>
            <w:shd w:val="clear" w:color="auto" w:fill="auto"/>
            <w:noWrap/>
            <w:vAlign w:val="bottom"/>
            <w:hideMark/>
          </w:tcPr>
          <w:p w:rsidR="00793C18" w:rsidRDefault="00793C18" w14:paraId="21075C18"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3264BFD7" w14:textId="77777777">
            <w:pPr>
              <w:jc w:val="right"/>
              <w:rPr>
                <w:rFonts w:ascii="Calibri" w:hAnsi="Calibri" w:cs="Calibri"/>
                <w:color w:val="000000"/>
                <w:sz w:val="22"/>
              </w:rPr>
            </w:pPr>
            <w:r>
              <w:rPr>
                <w:rFonts w:ascii="Calibri" w:hAnsi="Calibri" w:cs="Calibri"/>
                <w:color w:val="000000"/>
                <w:sz w:val="22"/>
              </w:rPr>
              <w:t xml:space="preserve">319,125 </w:t>
            </w:r>
          </w:p>
        </w:tc>
      </w:tr>
      <w:tr w:rsidR="000D4308" w:rsidTr="00793C18" w14:paraId="0290078F"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1A4246FB"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7BA9D941"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3E009D28"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3899DBD4"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019314C2" w14:textId="77777777">
            <w:pPr>
              <w:rPr>
                <w:sz w:val="20"/>
                <w:szCs w:val="20"/>
              </w:rPr>
            </w:pPr>
          </w:p>
        </w:tc>
      </w:tr>
      <w:tr w:rsidR="00793C18" w:rsidTr="003B4BA5" w14:paraId="62084E86" w14:textId="77777777">
        <w:trPr>
          <w:trHeight w:val="300"/>
        </w:trPr>
        <w:tc>
          <w:tcPr>
            <w:tcW w:w="4418" w:type="dxa"/>
            <w:gridSpan w:val="2"/>
            <w:tcBorders>
              <w:top w:val="nil"/>
              <w:left w:val="nil"/>
              <w:bottom w:val="nil"/>
              <w:right w:val="nil"/>
            </w:tcBorders>
            <w:shd w:val="clear" w:color="auto" w:fill="auto"/>
            <w:noWrap/>
            <w:vAlign w:val="bottom"/>
            <w:hideMark/>
          </w:tcPr>
          <w:p w:rsidR="00793C18" w:rsidRDefault="00793C18" w14:paraId="6A7EAB73" w14:textId="77777777">
            <w:pPr>
              <w:rPr>
                <w:rFonts w:ascii="Calibri" w:hAnsi="Calibri" w:cs="Calibri"/>
                <w:color w:val="000000"/>
                <w:sz w:val="22"/>
              </w:rPr>
            </w:pPr>
            <w:r>
              <w:rPr>
                <w:rFonts w:ascii="Calibri" w:hAnsi="Calibri" w:cs="Calibri"/>
                <w:color w:val="000000"/>
                <w:sz w:val="22"/>
              </w:rPr>
              <w:t>NET REVENUES</w:t>
            </w:r>
          </w:p>
        </w:tc>
        <w:tc>
          <w:tcPr>
            <w:tcW w:w="1612" w:type="dxa"/>
            <w:tcBorders>
              <w:top w:val="nil"/>
              <w:left w:val="nil"/>
              <w:bottom w:val="nil"/>
              <w:right w:val="nil"/>
            </w:tcBorders>
            <w:shd w:val="clear" w:color="auto" w:fill="auto"/>
            <w:noWrap/>
            <w:vAlign w:val="bottom"/>
            <w:hideMark/>
          </w:tcPr>
          <w:p w:rsidR="00793C18" w:rsidRDefault="00793C18" w14:paraId="18845074" w14:textId="77777777">
            <w:pPr>
              <w:jc w:val="right"/>
              <w:rPr>
                <w:rFonts w:ascii="Calibri" w:hAnsi="Calibri" w:cs="Calibri"/>
                <w:color w:val="000000"/>
                <w:sz w:val="22"/>
              </w:rPr>
            </w:pPr>
            <w:r>
              <w:rPr>
                <w:rFonts w:ascii="Calibri" w:hAnsi="Calibri" w:cs="Calibri"/>
                <w:color w:val="000000"/>
                <w:sz w:val="22"/>
              </w:rPr>
              <w:t xml:space="preserve">20,086 </w:t>
            </w:r>
          </w:p>
        </w:tc>
        <w:tc>
          <w:tcPr>
            <w:tcW w:w="1616" w:type="dxa"/>
            <w:tcBorders>
              <w:top w:val="nil"/>
              <w:left w:val="nil"/>
              <w:bottom w:val="nil"/>
              <w:right w:val="nil"/>
            </w:tcBorders>
            <w:shd w:val="clear" w:color="auto" w:fill="auto"/>
            <w:noWrap/>
            <w:vAlign w:val="bottom"/>
            <w:hideMark/>
          </w:tcPr>
          <w:p w:rsidR="00793C18" w:rsidRDefault="00793C18" w14:paraId="270F2C10"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0C1A24F4" w14:textId="77777777">
            <w:pPr>
              <w:jc w:val="right"/>
              <w:rPr>
                <w:rFonts w:ascii="Calibri" w:hAnsi="Calibri" w:cs="Calibri"/>
                <w:color w:val="000000"/>
                <w:sz w:val="22"/>
              </w:rPr>
            </w:pPr>
            <w:r>
              <w:rPr>
                <w:rFonts w:ascii="Calibri" w:hAnsi="Calibri" w:cs="Calibri"/>
                <w:color w:val="000000"/>
                <w:sz w:val="22"/>
              </w:rPr>
              <w:t xml:space="preserve">149,775 </w:t>
            </w:r>
          </w:p>
        </w:tc>
      </w:tr>
      <w:tr w:rsidR="000D4308" w:rsidTr="00793C18" w14:paraId="2EBE3F9C"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73B9591F"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289CF06D"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27C04A4F"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16EF81D5"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7D5486A4" w14:textId="77777777">
            <w:pPr>
              <w:rPr>
                <w:sz w:val="20"/>
                <w:szCs w:val="20"/>
              </w:rPr>
            </w:pPr>
          </w:p>
        </w:tc>
      </w:tr>
      <w:tr w:rsidR="00793C18" w:rsidTr="003B4BA5" w14:paraId="336CB58F" w14:textId="77777777">
        <w:trPr>
          <w:trHeight w:val="300"/>
        </w:trPr>
        <w:tc>
          <w:tcPr>
            <w:tcW w:w="4418" w:type="dxa"/>
            <w:gridSpan w:val="2"/>
            <w:tcBorders>
              <w:top w:val="nil"/>
              <w:left w:val="nil"/>
              <w:bottom w:val="nil"/>
              <w:right w:val="nil"/>
            </w:tcBorders>
            <w:shd w:val="clear" w:color="auto" w:fill="auto"/>
            <w:noWrap/>
            <w:vAlign w:val="bottom"/>
            <w:hideMark/>
          </w:tcPr>
          <w:p w:rsidR="00793C18" w:rsidRDefault="00793C18" w14:paraId="539B0B3A" w14:textId="77777777">
            <w:pPr>
              <w:rPr>
                <w:rFonts w:ascii="Calibri" w:hAnsi="Calibri" w:cs="Calibri"/>
                <w:color w:val="000000"/>
                <w:sz w:val="22"/>
              </w:rPr>
            </w:pPr>
            <w:r>
              <w:rPr>
                <w:rFonts w:ascii="Calibri" w:hAnsi="Calibri" w:cs="Calibri"/>
                <w:color w:val="000000"/>
                <w:sz w:val="22"/>
              </w:rPr>
              <w:t>RATE BASE</w:t>
            </w:r>
          </w:p>
        </w:tc>
        <w:tc>
          <w:tcPr>
            <w:tcW w:w="1612" w:type="dxa"/>
            <w:tcBorders>
              <w:top w:val="nil"/>
              <w:left w:val="nil"/>
              <w:bottom w:val="nil"/>
              <w:right w:val="nil"/>
            </w:tcBorders>
            <w:shd w:val="clear" w:color="auto" w:fill="auto"/>
            <w:noWrap/>
            <w:vAlign w:val="bottom"/>
            <w:hideMark/>
          </w:tcPr>
          <w:p w:rsidR="00793C18" w:rsidRDefault="00793C18" w14:paraId="7E0A9BD0" w14:textId="77777777">
            <w:pPr>
              <w:jc w:val="right"/>
              <w:rPr>
                <w:rFonts w:ascii="Calibri" w:hAnsi="Calibri" w:cs="Calibri"/>
                <w:color w:val="000000"/>
                <w:sz w:val="22"/>
              </w:rPr>
            </w:pPr>
            <w:r>
              <w:rPr>
                <w:rFonts w:ascii="Calibri" w:hAnsi="Calibri" w:cs="Calibri"/>
                <w:color w:val="000000"/>
                <w:sz w:val="22"/>
              </w:rPr>
              <w:t xml:space="preserve">2,038,570 </w:t>
            </w:r>
          </w:p>
        </w:tc>
        <w:tc>
          <w:tcPr>
            <w:tcW w:w="1616" w:type="dxa"/>
            <w:tcBorders>
              <w:top w:val="nil"/>
              <w:left w:val="nil"/>
              <w:bottom w:val="nil"/>
              <w:right w:val="nil"/>
            </w:tcBorders>
            <w:shd w:val="clear" w:color="auto" w:fill="auto"/>
            <w:noWrap/>
            <w:vAlign w:val="bottom"/>
            <w:hideMark/>
          </w:tcPr>
          <w:p w:rsidR="00793C18" w:rsidRDefault="00793C18" w14:paraId="78088268"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797FB5C1" w14:textId="77777777">
            <w:pPr>
              <w:jc w:val="right"/>
              <w:rPr>
                <w:rFonts w:ascii="Calibri" w:hAnsi="Calibri" w:cs="Calibri"/>
                <w:color w:val="000000"/>
                <w:sz w:val="22"/>
              </w:rPr>
            </w:pPr>
            <w:r>
              <w:rPr>
                <w:rFonts w:ascii="Calibri" w:hAnsi="Calibri" w:cs="Calibri"/>
                <w:color w:val="000000"/>
                <w:sz w:val="22"/>
              </w:rPr>
              <w:t xml:space="preserve">2,038,570 </w:t>
            </w:r>
          </w:p>
        </w:tc>
      </w:tr>
      <w:tr w:rsidR="000D4308" w:rsidTr="00793C18" w14:paraId="40A7990D"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6C7DFFF2"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38D0CE51"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3D87C661"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1CD23F9F"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48DF7C12" w14:textId="77777777">
            <w:pPr>
              <w:rPr>
                <w:sz w:val="20"/>
                <w:szCs w:val="20"/>
              </w:rPr>
            </w:pPr>
          </w:p>
        </w:tc>
      </w:tr>
      <w:tr w:rsidR="00793C18" w:rsidTr="003B4BA5" w14:paraId="677E70BE" w14:textId="77777777">
        <w:trPr>
          <w:trHeight w:val="300"/>
        </w:trPr>
        <w:tc>
          <w:tcPr>
            <w:tcW w:w="4418" w:type="dxa"/>
            <w:gridSpan w:val="2"/>
            <w:tcBorders>
              <w:top w:val="nil"/>
              <w:left w:val="nil"/>
              <w:bottom w:val="nil"/>
              <w:right w:val="nil"/>
            </w:tcBorders>
            <w:shd w:val="clear" w:color="auto" w:fill="auto"/>
            <w:noWrap/>
            <w:vAlign w:val="bottom"/>
            <w:hideMark/>
          </w:tcPr>
          <w:p w:rsidR="00793C18" w:rsidRDefault="00793C18" w14:paraId="78A771BE" w14:textId="77777777">
            <w:pPr>
              <w:rPr>
                <w:rFonts w:ascii="Calibri" w:hAnsi="Calibri" w:cs="Calibri"/>
                <w:color w:val="000000"/>
                <w:sz w:val="22"/>
              </w:rPr>
            </w:pPr>
            <w:r>
              <w:rPr>
                <w:rFonts w:ascii="Calibri" w:hAnsi="Calibri" w:cs="Calibri"/>
                <w:color w:val="000000"/>
                <w:sz w:val="22"/>
              </w:rPr>
              <w:t>RATE OF RETURN</w:t>
            </w:r>
          </w:p>
        </w:tc>
        <w:tc>
          <w:tcPr>
            <w:tcW w:w="1612" w:type="dxa"/>
            <w:tcBorders>
              <w:top w:val="nil"/>
              <w:left w:val="nil"/>
              <w:bottom w:val="nil"/>
              <w:right w:val="nil"/>
            </w:tcBorders>
            <w:shd w:val="clear" w:color="auto" w:fill="auto"/>
            <w:noWrap/>
            <w:vAlign w:val="bottom"/>
            <w:hideMark/>
          </w:tcPr>
          <w:p w:rsidR="00793C18" w:rsidRDefault="00793C18" w14:paraId="4AC3870D" w14:textId="77777777">
            <w:pPr>
              <w:jc w:val="right"/>
              <w:rPr>
                <w:rFonts w:ascii="Calibri" w:hAnsi="Calibri" w:cs="Calibri"/>
                <w:color w:val="000000"/>
                <w:sz w:val="22"/>
              </w:rPr>
            </w:pPr>
            <w:r>
              <w:rPr>
                <w:rFonts w:ascii="Calibri" w:hAnsi="Calibri" w:cs="Calibri"/>
                <w:color w:val="000000"/>
                <w:sz w:val="22"/>
              </w:rPr>
              <w:t>0.99%</w:t>
            </w:r>
          </w:p>
        </w:tc>
        <w:tc>
          <w:tcPr>
            <w:tcW w:w="1616" w:type="dxa"/>
            <w:tcBorders>
              <w:top w:val="nil"/>
              <w:left w:val="nil"/>
              <w:bottom w:val="nil"/>
              <w:right w:val="nil"/>
            </w:tcBorders>
            <w:shd w:val="clear" w:color="auto" w:fill="auto"/>
            <w:noWrap/>
            <w:vAlign w:val="bottom"/>
            <w:hideMark/>
          </w:tcPr>
          <w:p w:rsidR="00793C18" w:rsidRDefault="00793C18" w14:paraId="4A20CF78" w14:textId="77777777">
            <w:pPr>
              <w:jc w:val="right"/>
              <w:rPr>
                <w:rFonts w:ascii="Calibri" w:hAnsi="Calibri" w:cs="Calibri"/>
                <w:color w:val="000000"/>
                <w:sz w:val="22"/>
              </w:rPr>
            </w:pPr>
          </w:p>
        </w:tc>
        <w:tc>
          <w:tcPr>
            <w:tcW w:w="1710" w:type="dxa"/>
            <w:tcBorders>
              <w:top w:val="nil"/>
              <w:left w:val="nil"/>
              <w:bottom w:val="nil"/>
              <w:right w:val="nil"/>
            </w:tcBorders>
            <w:shd w:val="clear" w:color="auto" w:fill="auto"/>
            <w:noWrap/>
            <w:vAlign w:val="bottom"/>
            <w:hideMark/>
          </w:tcPr>
          <w:p w:rsidR="00793C18" w:rsidRDefault="00793C18" w14:paraId="67C40EF3" w14:textId="77777777">
            <w:pPr>
              <w:jc w:val="right"/>
              <w:rPr>
                <w:rFonts w:ascii="Calibri" w:hAnsi="Calibri" w:cs="Calibri"/>
                <w:color w:val="000000"/>
                <w:sz w:val="22"/>
              </w:rPr>
            </w:pPr>
            <w:r>
              <w:rPr>
                <w:rFonts w:ascii="Calibri" w:hAnsi="Calibri" w:cs="Calibri"/>
                <w:color w:val="000000"/>
                <w:sz w:val="22"/>
              </w:rPr>
              <w:t>7.35%</w:t>
            </w:r>
          </w:p>
        </w:tc>
      </w:tr>
      <w:tr w:rsidR="000D4308" w:rsidTr="00793C18" w14:paraId="5FBF3406"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78B81B83" w14:textId="77777777">
            <w:pPr>
              <w:jc w:val="right"/>
              <w:rPr>
                <w:rFonts w:ascii="Calibri" w:hAnsi="Calibri" w:cs="Calibri"/>
                <w:color w:val="000000"/>
                <w:sz w:val="22"/>
              </w:rPr>
            </w:pPr>
          </w:p>
        </w:tc>
        <w:tc>
          <w:tcPr>
            <w:tcW w:w="3512" w:type="dxa"/>
            <w:tcBorders>
              <w:top w:val="nil"/>
              <w:left w:val="nil"/>
              <w:bottom w:val="nil"/>
              <w:right w:val="nil"/>
            </w:tcBorders>
            <w:shd w:val="clear" w:color="auto" w:fill="auto"/>
            <w:noWrap/>
            <w:vAlign w:val="bottom"/>
            <w:hideMark/>
          </w:tcPr>
          <w:p w:rsidR="00793C18" w:rsidRDefault="00793C18" w14:paraId="4A045F69" w14:textId="77777777">
            <w:pPr>
              <w:rPr>
                <w:sz w:val="20"/>
                <w:szCs w:val="20"/>
              </w:rPr>
            </w:pPr>
          </w:p>
        </w:tc>
        <w:tc>
          <w:tcPr>
            <w:tcW w:w="1612" w:type="dxa"/>
            <w:tcBorders>
              <w:top w:val="nil"/>
              <w:left w:val="nil"/>
              <w:bottom w:val="nil"/>
              <w:right w:val="nil"/>
            </w:tcBorders>
            <w:shd w:val="clear" w:color="auto" w:fill="auto"/>
            <w:noWrap/>
            <w:vAlign w:val="bottom"/>
            <w:hideMark/>
          </w:tcPr>
          <w:p w:rsidR="00793C18" w:rsidRDefault="00793C18" w14:paraId="24CD0B80" w14:textId="77777777">
            <w:pPr>
              <w:rPr>
                <w:sz w:val="20"/>
                <w:szCs w:val="20"/>
              </w:rPr>
            </w:pPr>
          </w:p>
        </w:tc>
        <w:tc>
          <w:tcPr>
            <w:tcW w:w="1616" w:type="dxa"/>
            <w:tcBorders>
              <w:top w:val="nil"/>
              <w:left w:val="nil"/>
              <w:bottom w:val="nil"/>
              <w:right w:val="nil"/>
            </w:tcBorders>
            <w:shd w:val="clear" w:color="auto" w:fill="auto"/>
            <w:noWrap/>
            <w:vAlign w:val="bottom"/>
            <w:hideMark/>
          </w:tcPr>
          <w:p w:rsidR="00793C18" w:rsidRDefault="00793C18" w14:paraId="693EE47F" w14:textId="77777777">
            <w:pPr>
              <w:rPr>
                <w:sz w:val="20"/>
                <w:szCs w:val="20"/>
              </w:rPr>
            </w:pPr>
          </w:p>
        </w:tc>
        <w:tc>
          <w:tcPr>
            <w:tcW w:w="1710" w:type="dxa"/>
            <w:tcBorders>
              <w:top w:val="nil"/>
              <w:left w:val="nil"/>
              <w:bottom w:val="nil"/>
              <w:right w:val="nil"/>
            </w:tcBorders>
            <w:shd w:val="clear" w:color="auto" w:fill="auto"/>
            <w:noWrap/>
            <w:vAlign w:val="bottom"/>
            <w:hideMark/>
          </w:tcPr>
          <w:p w:rsidR="00793C18" w:rsidRDefault="00793C18" w14:paraId="2CD0C26A" w14:textId="77777777">
            <w:pPr>
              <w:rPr>
                <w:sz w:val="20"/>
                <w:szCs w:val="20"/>
              </w:rPr>
            </w:pPr>
          </w:p>
        </w:tc>
      </w:tr>
      <w:tr w:rsidR="00793C18" w:rsidTr="003B4BA5" w14:paraId="287C1D0E" w14:textId="77777777">
        <w:trPr>
          <w:trHeight w:val="375"/>
        </w:trPr>
        <w:tc>
          <w:tcPr>
            <w:tcW w:w="906" w:type="dxa"/>
            <w:tcBorders>
              <w:top w:val="nil"/>
              <w:left w:val="nil"/>
              <w:bottom w:val="nil"/>
              <w:right w:val="nil"/>
            </w:tcBorders>
            <w:shd w:val="clear" w:color="auto" w:fill="auto"/>
            <w:noWrap/>
            <w:vAlign w:val="bottom"/>
            <w:hideMark/>
          </w:tcPr>
          <w:p w:rsidR="00793C18" w:rsidRDefault="00793C18" w14:paraId="453BAA03" w14:textId="77777777">
            <w:pPr>
              <w:jc w:val="right"/>
              <w:rPr>
                <w:rFonts w:ascii="Arial" w:hAnsi="Arial" w:cs="Arial"/>
                <w:sz w:val="24"/>
                <w:szCs w:val="24"/>
              </w:rPr>
            </w:pPr>
            <w:r>
              <w:rPr>
                <w:rFonts w:ascii="Arial" w:hAnsi="Arial" w:cs="Arial"/>
                <w:vertAlign w:val="superscript"/>
              </w:rPr>
              <w:t>1</w:t>
            </w:r>
          </w:p>
        </w:tc>
        <w:tc>
          <w:tcPr>
            <w:tcW w:w="8450" w:type="dxa"/>
            <w:gridSpan w:val="4"/>
            <w:tcBorders>
              <w:top w:val="nil"/>
              <w:left w:val="nil"/>
              <w:bottom w:val="nil"/>
              <w:right w:val="nil"/>
            </w:tcBorders>
            <w:shd w:val="clear" w:color="auto" w:fill="auto"/>
            <w:noWrap/>
            <w:vAlign w:val="bottom"/>
            <w:hideMark/>
          </w:tcPr>
          <w:p w:rsidR="00793C18" w:rsidRDefault="00793C18" w14:paraId="1CF61B25" w14:textId="77777777">
            <w:pPr>
              <w:rPr>
                <w:rFonts w:ascii="Arial" w:hAnsi="Arial" w:cs="Arial"/>
                <w:sz w:val="20"/>
                <w:szCs w:val="20"/>
              </w:rPr>
            </w:pPr>
            <w:r>
              <w:rPr>
                <w:rFonts w:ascii="Arial" w:hAnsi="Arial" w:cs="Arial"/>
                <w:sz w:val="20"/>
                <w:szCs w:val="20"/>
              </w:rPr>
              <w:t>DEPRECIATION, PROPERTY TAX AND PAYROLL TAXES FROM PARK'S GENERAL OFFICE</w:t>
            </w:r>
          </w:p>
        </w:tc>
      </w:tr>
      <w:tr w:rsidR="00793C18" w:rsidTr="003B4BA5" w14:paraId="22616227" w14:textId="77777777">
        <w:trPr>
          <w:trHeight w:val="300"/>
        </w:trPr>
        <w:tc>
          <w:tcPr>
            <w:tcW w:w="906" w:type="dxa"/>
            <w:tcBorders>
              <w:top w:val="nil"/>
              <w:left w:val="nil"/>
              <w:bottom w:val="nil"/>
              <w:right w:val="nil"/>
            </w:tcBorders>
            <w:shd w:val="clear" w:color="auto" w:fill="auto"/>
            <w:noWrap/>
            <w:vAlign w:val="bottom"/>
            <w:hideMark/>
          </w:tcPr>
          <w:p w:rsidR="00793C18" w:rsidRDefault="00793C18" w14:paraId="3C7367EB" w14:textId="77777777">
            <w:pPr>
              <w:rPr>
                <w:rFonts w:ascii="Arial" w:hAnsi="Arial" w:cs="Arial"/>
                <w:sz w:val="20"/>
                <w:szCs w:val="20"/>
              </w:rPr>
            </w:pPr>
          </w:p>
        </w:tc>
        <w:tc>
          <w:tcPr>
            <w:tcW w:w="8450" w:type="dxa"/>
            <w:gridSpan w:val="4"/>
            <w:tcBorders>
              <w:top w:val="nil"/>
              <w:left w:val="nil"/>
              <w:bottom w:val="nil"/>
              <w:right w:val="nil"/>
            </w:tcBorders>
            <w:shd w:val="clear" w:color="auto" w:fill="auto"/>
            <w:noWrap/>
            <w:vAlign w:val="bottom"/>
            <w:hideMark/>
          </w:tcPr>
          <w:p w:rsidR="00793C18" w:rsidRDefault="00793C18" w14:paraId="3266874D" w14:textId="77777777">
            <w:pPr>
              <w:rPr>
                <w:rFonts w:ascii="Arial" w:hAnsi="Arial" w:cs="Arial"/>
                <w:sz w:val="20"/>
                <w:szCs w:val="20"/>
              </w:rPr>
            </w:pPr>
            <w:r>
              <w:rPr>
                <w:rFonts w:ascii="Arial" w:hAnsi="Arial" w:cs="Arial"/>
                <w:sz w:val="20"/>
                <w:szCs w:val="20"/>
              </w:rPr>
              <w:t>HAVE BEEN INCLUDED IN THE APPROPRIATE LINE ITEM OF EXPENSE.</w:t>
            </w:r>
          </w:p>
        </w:tc>
      </w:tr>
    </w:tbl>
    <w:p w:rsidR="00F85246" w:rsidP="00F85246" w:rsidRDefault="00F85246" w14:paraId="54C52A40" w14:textId="670D5C41">
      <w:pPr>
        <w:spacing w:after="160" w:line="259" w:lineRule="auto"/>
        <w:ind w:firstLine="0"/>
        <w:jc w:val="center"/>
        <w:rPr>
          <w:rFonts w:eastAsia="Calibri" w:cs="Times New Roman"/>
          <w:szCs w:val="26"/>
        </w:rPr>
      </w:pPr>
    </w:p>
    <w:p w:rsidR="00F85246" w:rsidP="00F85246" w:rsidRDefault="00F85246" w14:paraId="17EED425" w14:textId="77777777">
      <w:pPr>
        <w:spacing w:after="160" w:line="259" w:lineRule="auto"/>
        <w:ind w:firstLine="0"/>
        <w:jc w:val="center"/>
        <w:rPr>
          <w:rFonts w:eastAsia="Calibri" w:cs="Times New Roman"/>
          <w:b/>
          <w:bCs/>
          <w:szCs w:val="26"/>
        </w:rPr>
        <w:sectPr w:rsidR="00F85246" w:rsidSect="00F85246">
          <w:headerReference w:type="default" r:id="rId22"/>
          <w:footerReference w:type="default" r:id="rId23"/>
          <w:pgSz w:w="12240" w:h="15840"/>
          <w:pgMar w:top="1728" w:right="1440" w:bottom="1440" w:left="1440" w:header="720" w:footer="720" w:gutter="0"/>
          <w:pgNumType w:fmt="numberInDash" w:start="1"/>
          <w:cols w:space="720"/>
          <w:docGrid w:linePitch="360"/>
        </w:sectPr>
      </w:pPr>
      <w:r>
        <w:rPr>
          <w:rFonts w:eastAsia="Calibri" w:cs="Times New Roman"/>
          <w:b/>
          <w:bCs/>
          <w:szCs w:val="26"/>
        </w:rPr>
        <w:t>(END OF APPENDIX A)</w:t>
      </w:r>
    </w:p>
    <w:p w:rsidR="00D2090C" w:rsidP="00D2090C" w:rsidRDefault="00D2090C" w14:paraId="54A21ED8" w14:textId="77777777">
      <w:pPr>
        <w:pStyle w:val="Main"/>
        <w:rPr>
          <w:rFonts w:ascii="Book Antiqua" w:hAnsi="Book Antiqua"/>
          <w:sz w:val="50"/>
          <w:szCs w:val="50"/>
        </w:rPr>
      </w:pPr>
    </w:p>
    <w:p w:rsidR="00D2090C" w:rsidP="00D2090C" w:rsidRDefault="00D2090C" w14:paraId="39AF670F" w14:textId="77777777">
      <w:pPr>
        <w:pStyle w:val="Main"/>
        <w:rPr>
          <w:rFonts w:ascii="Book Antiqua" w:hAnsi="Book Antiqua"/>
          <w:sz w:val="50"/>
          <w:szCs w:val="50"/>
        </w:rPr>
      </w:pPr>
    </w:p>
    <w:p w:rsidR="00D2090C" w:rsidP="00D2090C" w:rsidRDefault="00D2090C" w14:paraId="4C35C8C9" w14:textId="77777777">
      <w:pPr>
        <w:pStyle w:val="Main"/>
        <w:rPr>
          <w:rFonts w:ascii="Book Antiqua" w:hAnsi="Book Antiqua"/>
          <w:sz w:val="50"/>
          <w:szCs w:val="50"/>
        </w:rPr>
      </w:pPr>
    </w:p>
    <w:p w:rsidR="00D2090C" w:rsidP="00D2090C" w:rsidRDefault="00D2090C" w14:paraId="1BE97BB4" w14:textId="77777777">
      <w:pPr>
        <w:pStyle w:val="Main"/>
        <w:rPr>
          <w:rFonts w:ascii="Book Antiqua" w:hAnsi="Book Antiqua"/>
          <w:sz w:val="50"/>
          <w:szCs w:val="50"/>
        </w:rPr>
      </w:pPr>
    </w:p>
    <w:p w:rsidR="00D2090C" w:rsidP="00D2090C" w:rsidRDefault="00D2090C" w14:paraId="6B686382" w14:textId="77777777">
      <w:pPr>
        <w:pStyle w:val="Main"/>
        <w:rPr>
          <w:rFonts w:ascii="Book Antiqua" w:hAnsi="Book Antiqua"/>
          <w:sz w:val="50"/>
          <w:szCs w:val="50"/>
        </w:rPr>
      </w:pPr>
    </w:p>
    <w:p w:rsidR="00D2090C" w:rsidP="00D2090C" w:rsidRDefault="00D2090C" w14:paraId="0841D9DA" w14:textId="77777777">
      <w:pPr>
        <w:pStyle w:val="Main"/>
        <w:rPr>
          <w:rFonts w:ascii="Book Antiqua" w:hAnsi="Book Antiqua"/>
          <w:sz w:val="50"/>
          <w:szCs w:val="50"/>
        </w:rPr>
      </w:pPr>
    </w:p>
    <w:p w:rsidR="00D2090C" w:rsidP="00D2090C" w:rsidRDefault="00D2090C" w14:paraId="39891C1C" w14:textId="77777777">
      <w:pPr>
        <w:pStyle w:val="Main"/>
        <w:rPr>
          <w:rFonts w:ascii="Book Antiqua" w:hAnsi="Book Antiqua"/>
          <w:sz w:val="50"/>
          <w:szCs w:val="50"/>
        </w:rPr>
      </w:pPr>
    </w:p>
    <w:p w:rsidR="00D2090C" w:rsidP="00D2090C" w:rsidRDefault="00D2090C" w14:paraId="41A484E9" w14:textId="77777777">
      <w:pPr>
        <w:pStyle w:val="Main"/>
        <w:rPr>
          <w:rFonts w:ascii="Book Antiqua" w:hAnsi="Book Antiqua"/>
          <w:sz w:val="50"/>
          <w:szCs w:val="50"/>
        </w:rPr>
      </w:pPr>
    </w:p>
    <w:p w:rsidR="00D2090C" w:rsidP="00D2090C" w:rsidRDefault="009C5C3D" w14:paraId="58B3A46F" w14:textId="77777777">
      <w:pPr>
        <w:pStyle w:val="Main"/>
        <w:rPr>
          <w:rFonts w:ascii="Book Antiqua" w:hAnsi="Book Antiqua"/>
          <w:sz w:val="50"/>
          <w:szCs w:val="50"/>
        </w:rPr>
      </w:pPr>
      <w:r w:rsidRPr="00D2090C">
        <w:rPr>
          <w:rFonts w:ascii="Book Antiqua" w:hAnsi="Book Antiqua"/>
          <w:sz w:val="50"/>
          <w:szCs w:val="50"/>
        </w:rPr>
        <w:t xml:space="preserve">Appendix B </w:t>
      </w:r>
    </w:p>
    <w:p w:rsidR="00D2090C" w:rsidP="00D2090C" w:rsidRDefault="00D2090C" w14:paraId="757C367F" w14:textId="77777777"/>
    <w:p w:rsidR="00D2090C" w:rsidP="00D2090C" w:rsidRDefault="00D2090C" w14:paraId="662EE093" w14:textId="77777777">
      <w:pPr>
        <w:spacing w:line="240" w:lineRule="auto"/>
        <w:jc w:val="center"/>
        <w:rPr>
          <w:rFonts w:cs="Arial"/>
          <w:b/>
          <w:bCs/>
          <w:sz w:val="50"/>
          <w:szCs w:val="50"/>
        </w:rPr>
      </w:pPr>
      <w:r w:rsidRPr="00D2090C">
        <w:rPr>
          <w:rFonts w:cs="Arial"/>
          <w:b/>
          <w:bCs/>
          <w:sz w:val="50"/>
          <w:szCs w:val="50"/>
        </w:rPr>
        <w:t>Liberty Apple Valley Rates</w:t>
      </w:r>
    </w:p>
    <w:p w:rsidR="00D2090C" w:rsidP="00D2090C" w:rsidRDefault="00D2090C" w14:paraId="1B838B9E" w14:textId="77777777">
      <w:pPr>
        <w:spacing w:line="240" w:lineRule="auto"/>
        <w:jc w:val="center"/>
        <w:rPr>
          <w:rFonts w:cs="Arial"/>
          <w:b/>
          <w:bCs/>
          <w:sz w:val="50"/>
          <w:szCs w:val="50"/>
        </w:rPr>
      </w:pPr>
    </w:p>
    <w:p w:rsidRPr="00D2090C" w:rsidR="00D2090C" w:rsidP="00D2090C" w:rsidRDefault="00D2090C" w14:paraId="174716C9" w14:textId="2F6A491C">
      <w:pPr>
        <w:spacing w:line="240" w:lineRule="auto"/>
        <w:jc w:val="center"/>
        <w:rPr>
          <w:b/>
          <w:bCs/>
          <w:sz w:val="50"/>
          <w:szCs w:val="50"/>
        </w:rPr>
        <w:sectPr w:rsidRPr="00D2090C" w:rsidR="00D2090C" w:rsidSect="009C5C3D">
          <w:headerReference w:type="default" r:id="rId24"/>
          <w:footerReference w:type="default" r:id="rId25"/>
          <w:pgSz w:w="12240" w:h="15840"/>
          <w:pgMar w:top="1728" w:right="1440" w:bottom="1440" w:left="1440" w:header="720" w:footer="720" w:gutter="0"/>
          <w:pgNumType w:start="2"/>
          <w:cols w:space="720"/>
          <w:docGrid w:linePitch="360"/>
        </w:sectPr>
      </w:pPr>
    </w:p>
    <w:tbl>
      <w:tblPr>
        <w:tblStyle w:val="TableGrid2"/>
        <w:tblW w:w="0" w:type="auto"/>
        <w:tblLayout w:type="fixed"/>
        <w:tblLook w:val="06A0" w:firstRow="1" w:lastRow="0" w:firstColumn="1" w:lastColumn="0" w:noHBand="1" w:noVBand="1"/>
      </w:tblPr>
      <w:tblGrid>
        <w:gridCol w:w="1560"/>
        <w:gridCol w:w="1560"/>
        <w:gridCol w:w="1560"/>
        <w:gridCol w:w="1560"/>
        <w:gridCol w:w="1560"/>
      </w:tblGrid>
      <w:tr w:rsidRPr="00C618BF" w:rsidR="00C618BF" w:rsidTr="00D2090C" w14:paraId="6720AD15" w14:textId="77777777">
        <w:tc>
          <w:tcPr>
            <w:tcW w:w="7800" w:type="dxa"/>
            <w:gridSpan w:val="5"/>
          </w:tcPr>
          <w:p w:rsidRPr="00C618BF" w:rsidR="00C618BF" w:rsidP="00C618BF" w:rsidRDefault="00C618BF" w14:paraId="4FFEB8F1" w14:textId="77777777">
            <w:pPr>
              <w:spacing w:line="240" w:lineRule="auto"/>
              <w:ind w:firstLine="0"/>
              <w:rPr>
                <w:rFonts w:ascii="Calibri" w:hAnsi="Calibri" w:eastAsia="Calibri" w:cs="Times New Roman"/>
                <w:sz w:val="22"/>
              </w:rPr>
            </w:pPr>
            <w:bookmarkStart w:name="_Hlk45809090" w:id="93"/>
            <w:r w:rsidRPr="00C618BF">
              <w:rPr>
                <w:rFonts w:ascii="Calibri" w:hAnsi="Calibri" w:eastAsia="Calibri" w:cs="Times New Roman"/>
                <w:sz w:val="22"/>
              </w:rPr>
              <w:lastRenderedPageBreak/>
              <w:t xml:space="preserve">Apple Valley </w:t>
            </w:r>
          </w:p>
          <w:p w:rsidRPr="00C618BF" w:rsidR="00C618BF" w:rsidP="00C618BF" w:rsidRDefault="00C618BF" w14:paraId="7A09DAED" w14:textId="77777777">
            <w:pPr>
              <w:spacing w:line="240" w:lineRule="auto"/>
              <w:ind w:firstLine="0"/>
              <w:rPr>
                <w:rFonts w:ascii="Calibri" w:hAnsi="Calibri" w:eastAsia="Calibri" w:cs="Calibri"/>
                <w:sz w:val="22"/>
              </w:rPr>
            </w:pPr>
            <w:r w:rsidRPr="00C618BF">
              <w:rPr>
                <w:rFonts w:ascii="Calibri" w:hAnsi="Calibri" w:eastAsia="Calibri" w:cs="Calibri"/>
                <w:sz w:val="22"/>
              </w:rPr>
              <w:t xml:space="preserve">Residential </w:t>
            </w:r>
          </w:p>
        </w:tc>
      </w:tr>
      <w:tr w:rsidRPr="00C618BF" w:rsidR="00C618BF" w:rsidTr="00D2090C" w14:paraId="360B1D37" w14:textId="77777777">
        <w:tc>
          <w:tcPr>
            <w:tcW w:w="1560" w:type="dxa"/>
          </w:tcPr>
          <w:p w:rsidRPr="00C618BF" w:rsidR="00C618BF" w:rsidP="00C618BF" w:rsidRDefault="00C618BF" w14:paraId="6B9CE98D"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7DB8A7C7" w14:textId="77777777">
            <w:pPr>
              <w:spacing w:line="240" w:lineRule="auto"/>
              <w:ind w:firstLine="0"/>
              <w:rPr>
                <w:rFonts w:ascii="Calibri" w:hAnsi="Calibri" w:eastAsia="Calibri" w:cs="Times New Roman"/>
                <w:sz w:val="22"/>
              </w:rPr>
            </w:pPr>
            <w:r w:rsidRPr="00C618BF">
              <w:rPr>
                <w:rFonts w:ascii="Calibri" w:hAnsi="Calibri" w:eastAsia="Calibri" w:cs="Calibri"/>
                <w:sz w:val="22"/>
              </w:rPr>
              <w:t>Meter</w:t>
            </w:r>
          </w:p>
        </w:tc>
        <w:tc>
          <w:tcPr>
            <w:tcW w:w="1560" w:type="dxa"/>
          </w:tcPr>
          <w:p w:rsidRPr="00C618BF" w:rsidR="00C618BF" w:rsidP="00C618BF" w:rsidRDefault="00C618BF" w14:paraId="30096A51"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744063FD"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6548D473" w14:textId="77777777">
            <w:pPr>
              <w:spacing w:line="240" w:lineRule="auto"/>
              <w:ind w:firstLine="0"/>
              <w:rPr>
                <w:rFonts w:ascii="Calibri" w:hAnsi="Calibri" w:eastAsia="Calibri" w:cs="Times New Roman"/>
                <w:sz w:val="22"/>
              </w:rPr>
            </w:pPr>
          </w:p>
        </w:tc>
      </w:tr>
      <w:tr w:rsidRPr="00C618BF" w:rsidR="00C618BF" w:rsidTr="00D2090C" w14:paraId="42B2F017" w14:textId="77777777">
        <w:tc>
          <w:tcPr>
            <w:tcW w:w="1560" w:type="dxa"/>
          </w:tcPr>
          <w:p w:rsidRPr="00C618BF" w:rsidR="00C618BF" w:rsidP="00C618BF" w:rsidRDefault="00C618BF" w14:paraId="636C8DDC"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568B2AAE" w14:textId="77777777">
            <w:pPr>
              <w:spacing w:line="240" w:lineRule="auto"/>
              <w:ind w:firstLine="0"/>
              <w:rPr>
                <w:rFonts w:ascii="Calibri" w:hAnsi="Calibri" w:eastAsia="Calibri" w:cs="Times New Roman"/>
                <w:sz w:val="22"/>
              </w:rPr>
            </w:pPr>
            <w:r w:rsidRPr="00C618BF">
              <w:rPr>
                <w:rFonts w:ascii="Calibri" w:hAnsi="Calibri" w:eastAsia="Calibri" w:cs="Calibri"/>
                <w:sz w:val="22"/>
              </w:rPr>
              <w:t>Size</w:t>
            </w:r>
          </w:p>
        </w:tc>
        <w:tc>
          <w:tcPr>
            <w:tcW w:w="1560" w:type="dxa"/>
          </w:tcPr>
          <w:p w:rsidRPr="00C618BF" w:rsidR="00C618BF" w:rsidP="00C618BF" w:rsidRDefault="00C618BF" w14:paraId="33F1356C" w14:textId="77777777">
            <w:pPr>
              <w:spacing w:line="259" w:lineRule="auto"/>
              <w:ind w:firstLine="0"/>
              <w:jc w:val="center"/>
              <w:rPr>
                <w:rFonts w:ascii="Calibri" w:hAnsi="Calibri" w:eastAsia="Calibri" w:cs="Times New Roman"/>
                <w:sz w:val="22"/>
              </w:rPr>
            </w:pPr>
            <w:r w:rsidRPr="00C618BF">
              <w:rPr>
                <w:rFonts w:ascii="Calibri" w:hAnsi="Calibri" w:eastAsia="Calibri" w:cs="Calibri"/>
                <w:sz w:val="22"/>
              </w:rPr>
              <w:t>Service Charge</w:t>
            </w:r>
          </w:p>
        </w:tc>
        <w:tc>
          <w:tcPr>
            <w:tcW w:w="1560" w:type="dxa"/>
          </w:tcPr>
          <w:p w:rsidRPr="00C618BF" w:rsidR="00C618BF" w:rsidP="00C618BF" w:rsidRDefault="00C618BF" w14:paraId="479B2C67"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27033FCA" w14:textId="77777777">
            <w:pPr>
              <w:spacing w:line="240" w:lineRule="auto"/>
              <w:ind w:firstLine="0"/>
              <w:rPr>
                <w:rFonts w:ascii="Calibri" w:hAnsi="Calibri" w:eastAsia="Calibri" w:cs="Times New Roman"/>
                <w:sz w:val="22"/>
              </w:rPr>
            </w:pPr>
          </w:p>
        </w:tc>
      </w:tr>
      <w:tr w:rsidRPr="00C618BF" w:rsidR="00C618BF" w:rsidTr="00D2090C" w14:paraId="5B1BEA6F" w14:textId="77777777">
        <w:tc>
          <w:tcPr>
            <w:tcW w:w="1560" w:type="dxa"/>
          </w:tcPr>
          <w:p w:rsidRPr="00C618BF" w:rsidR="00C618BF" w:rsidP="00C618BF" w:rsidRDefault="00C618BF" w14:paraId="65B175AC"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63FC4716" w14:textId="77777777">
            <w:pPr>
              <w:spacing w:line="240" w:lineRule="auto"/>
              <w:ind w:firstLine="0"/>
              <w:rPr>
                <w:rFonts w:ascii="Calibri" w:hAnsi="Calibri" w:eastAsia="Calibri" w:cs="Calibri"/>
                <w:sz w:val="22"/>
              </w:rPr>
            </w:pPr>
          </w:p>
        </w:tc>
        <w:tc>
          <w:tcPr>
            <w:tcW w:w="1560" w:type="dxa"/>
          </w:tcPr>
          <w:p w:rsidRPr="00C618BF" w:rsidR="00C618BF" w:rsidP="00C618BF" w:rsidRDefault="00C618BF" w14:paraId="603FFDA4" w14:textId="77777777">
            <w:pPr>
              <w:spacing w:line="240" w:lineRule="auto"/>
              <w:ind w:firstLine="0"/>
              <w:jc w:val="center"/>
              <w:rPr>
                <w:rFonts w:ascii="Calibri" w:hAnsi="Calibri" w:eastAsia="Calibri" w:cs="Calibri"/>
                <w:b/>
                <w:bCs/>
                <w:sz w:val="22"/>
              </w:rPr>
            </w:pPr>
            <w:r w:rsidRPr="00C618BF">
              <w:rPr>
                <w:rFonts w:ascii="Calibri" w:hAnsi="Calibri" w:eastAsia="Calibri" w:cs="Calibri"/>
                <w:b/>
                <w:bCs/>
                <w:sz w:val="22"/>
              </w:rPr>
              <w:t>2019</w:t>
            </w:r>
          </w:p>
        </w:tc>
        <w:tc>
          <w:tcPr>
            <w:tcW w:w="1560" w:type="dxa"/>
          </w:tcPr>
          <w:p w:rsidRPr="00C618BF" w:rsidR="00C618BF" w:rsidP="00C618BF" w:rsidRDefault="00C618BF" w14:paraId="11F276F0" w14:textId="77777777">
            <w:pPr>
              <w:spacing w:line="240" w:lineRule="auto"/>
              <w:ind w:firstLine="0"/>
              <w:jc w:val="center"/>
              <w:rPr>
                <w:rFonts w:ascii="Calibri" w:hAnsi="Calibri" w:eastAsia="Calibri" w:cs="Times New Roman"/>
                <w:b/>
                <w:bCs/>
                <w:sz w:val="22"/>
              </w:rPr>
            </w:pPr>
            <w:r w:rsidRPr="00C618BF">
              <w:rPr>
                <w:rFonts w:ascii="Calibri" w:hAnsi="Calibri" w:eastAsia="Calibri" w:cs="Times New Roman"/>
                <w:b/>
                <w:bCs/>
                <w:sz w:val="22"/>
              </w:rPr>
              <w:t>2020</w:t>
            </w:r>
          </w:p>
        </w:tc>
        <w:tc>
          <w:tcPr>
            <w:tcW w:w="1560" w:type="dxa"/>
          </w:tcPr>
          <w:p w:rsidRPr="00C618BF" w:rsidR="00C618BF" w:rsidP="00C618BF" w:rsidRDefault="00C618BF" w14:paraId="1DC9A06B" w14:textId="77777777">
            <w:pPr>
              <w:spacing w:line="240" w:lineRule="auto"/>
              <w:ind w:firstLine="0"/>
              <w:jc w:val="center"/>
              <w:rPr>
                <w:rFonts w:ascii="Calibri" w:hAnsi="Calibri" w:eastAsia="Calibri" w:cs="Times New Roman"/>
                <w:b/>
                <w:bCs/>
                <w:sz w:val="22"/>
              </w:rPr>
            </w:pPr>
            <w:r w:rsidRPr="00C618BF">
              <w:rPr>
                <w:rFonts w:ascii="Calibri" w:hAnsi="Calibri" w:eastAsia="Calibri" w:cs="Times New Roman"/>
                <w:b/>
                <w:bCs/>
                <w:sz w:val="22"/>
              </w:rPr>
              <w:t>2021</w:t>
            </w:r>
          </w:p>
        </w:tc>
      </w:tr>
      <w:tr w:rsidRPr="00C618BF" w:rsidR="006C4218" w:rsidTr="003B4BA5" w14:paraId="7E0DF9F9" w14:textId="77777777">
        <w:tc>
          <w:tcPr>
            <w:tcW w:w="1560" w:type="dxa"/>
          </w:tcPr>
          <w:p w:rsidRPr="00C618BF" w:rsidR="006C4218" w:rsidP="006C4218" w:rsidRDefault="006C4218" w14:paraId="58FD7BB0" w14:textId="77777777">
            <w:pPr>
              <w:spacing w:line="240" w:lineRule="auto"/>
              <w:ind w:firstLine="0"/>
              <w:rPr>
                <w:rFonts w:ascii="Calibri" w:hAnsi="Calibri" w:eastAsia="Calibri" w:cs="Times New Roman"/>
                <w:sz w:val="22"/>
              </w:rPr>
            </w:pPr>
            <w:r w:rsidRPr="00C618BF">
              <w:rPr>
                <w:rFonts w:ascii="Calibri" w:hAnsi="Calibri" w:eastAsia="Calibri" w:cs="Calibri"/>
                <w:sz w:val="22"/>
              </w:rPr>
              <w:t>Meter Charge</w:t>
            </w:r>
          </w:p>
        </w:tc>
        <w:tc>
          <w:tcPr>
            <w:tcW w:w="1560" w:type="dxa"/>
          </w:tcPr>
          <w:p w:rsidRPr="00C618BF" w:rsidR="006C4218" w:rsidP="006C4218" w:rsidRDefault="006C4218" w14:paraId="0F7F0733" w14:textId="77777777">
            <w:pPr>
              <w:spacing w:line="240" w:lineRule="auto"/>
              <w:ind w:firstLine="0"/>
              <w:rPr>
                <w:rFonts w:ascii="Calibri" w:hAnsi="Calibri" w:eastAsia="Calibri" w:cs="Times New Roman"/>
                <w:sz w:val="22"/>
              </w:rPr>
            </w:pPr>
            <w:r w:rsidRPr="00C618BF">
              <w:rPr>
                <w:rFonts w:ascii="Calibri" w:hAnsi="Calibri" w:eastAsia="Calibri" w:cs="Calibri"/>
                <w:sz w:val="22"/>
              </w:rPr>
              <w:t>5/8"</w:t>
            </w:r>
          </w:p>
        </w:tc>
        <w:tc>
          <w:tcPr>
            <w:tcW w:w="1560" w:type="dxa"/>
            <w:vAlign w:val="bottom"/>
          </w:tcPr>
          <w:p w:rsidRPr="00C618BF" w:rsidR="006C4218" w:rsidP="006C4218" w:rsidRDefault="006C4218" w14:paraId="1743F776" w14:textId="6EC11E71">
            <w:pPr>
              <w:spacing w:line="240" w:lineRule="auto"/>
              <w:ind w:firstLine="0"/>
              <w:rPr>
                <w:rFonts w:ascii="Calibri" w:hAnsi="Calibri" w:eastAsia="Calibri" w:cs="Times New Roman"/>
                <w:sz w:val="22"/>
              </w:rPr>
            </w:pPr>
            <w:r>
              <w:rPr>
                <w:rFonts w:ascii="Calibri" w:hAnsi="Calibri" w:cs="Calibri"/>
                <w:sz w:val="22"/>
              </w:rPr>
              <w:t xml:space="preserve"> $               21.97 </w:t>
            </w:r>
          </w:p>
        </w:tc>
        <w:tc>
          <w:tcPr>
            <w:tcW w:w="1560" w:type="dxa"/>
            <w:vAlign w:val="bottom"/>
          </w:tcPr>
          <w:p w:rsidRPr="00C618BF" w:rsidR="006C4218" w:rsidP="006C4218" w:rsidRDefault="006C4218" w14:paraId="25792BBB" w14:textId="01B9D721">
            <w:pPr>
              <w:spacing w:line="240" w:lineRule="auto"/>
              <w:ind w:firstLine="0"/>
              <w:rPr>
                <w:rFonts w:ascii="Calibri" w:hAnsi="Calibri" w:eastAsia="Calibri" w:cs="Times New Roman"/>
                <w:sz w:val="22"/>
              </w:rPr>
            </w:pPr>
            <w:r>
              <w:rPr>
                <w:rFonts w:ascii="Calibri" w:hAnsi="Calibri" w:cs="Calibri"/>
                <w:sz w:val="22"/>
              </w:rPr>
              <w:t xml:space="preserve"> $           22.87 </w:t>
            </w:r>
          </w:p>
        </w:tc>
        <w:tc>
          <w:tcPr>
            <w:tcW w:w="1560" w:type="dxa"/>
            <w:vAlign w:val="bottom"/>
          </w:tcPr>
          <w:p w:rsidRPr="00C618BF" w:rsidR="006C4218" w:rsidP="006C4218" w:rsidRDefault="006C4218" w14:paraId="348F71D0" w14:textId="517ECD0D">
            <w:pPr>
              <w:spacing w:line="240" w:lineRule="auto"/>
              <w:ind w:firstLine="0"/>
              <w:rPr>
                <w:rFonts w:ascii="Calibri" w:hAnsi="Calibri" w:eastAsia="Calibri" w:cs="Times New Roman"/>
                <w:sz w:val="22"/>
              </w:rPr>
            </w:pPr>
            <w:r>
              <w:rPr>
                <w:rFonts w:ascii="Calibri" w:hAnsi="Calibri" w:cs="Calibri"/>
                <w:sz w:val="22"/>
              </w:rPr>
              <w:t xml:space="preserve"> $            23.56 </w:t>
            </w:r>
          </w:p>
        </w:tc>
      </w:tr>
      <w:tr w:rsidRPr="00C618BF" w:rsidR="006C4218" w:rsidTr="003B4BA5" w14:paraId="57FB9A73" w14:textId="77777777">
        <w:tc>
          <w:tcPr>
            <w:tcW w:w="1560" w:type="dxa"/>
          </w:tcPr>
          <w:p w:rsidRPr="00C618BF" w:rsidR="006C4218" w:rsidP="006C4218" w:rsidRDefault="006C4218" w14:paraId="793BB53F" w14:textId="77777777">
            <w:pPr>
              <w:spacing w:line="240" w:lineRule="auto"/>
              <w:ind w:firstLine="0"/>
              <w:rPr>
                <w:rFonts w:ascii="Calibri" w:hAnsi="Calibri" w:eastAsia="Calibri" w:cs="Times New Roman"/>
                <w:sz w:val="22"/>
              </w:rPr>
            </w:pPr>
          </w:p>
        </w:tc>
        <w:tc>
          <w:tcPr>
            <w:tcW w:w="1560" w:type="dxa"/>
          </w:tcPr>
          <w:p w:rsidRPr="00C618BF" w:rsidR="006C4218" w:rsidP="006C4218" w:rsidRDefault="006C4218" w14:paraId="02A53265" w14:textId="77777777">
            <w:pPr>
              <w:spacing w:line="240" w:lineRule="auto"/>
              <w:ind w:firstLine="0"/>
              <w:rPr>
                <w:rFonts w:ascii="Calibri" w:hAnsi="Calibri" w:eastAsia="Calibri" w:cs="Times New Roman"/>
                <w:sz w:val="22"/>
              </w:rPr>
            </w:pPr>
            <w:r w:rsidRPr="00C618BF">
              <w:rPr>
                <w:rFonts w:ascii="Calibri" w:hAnsi="Calibri" w:eastAsia="Calibri" w:cs="Calibri"/>
                <w:sz w:val="22"/>
              </w:rPr>
              <w:t>3/4"</w:t>
            </w:r>
          </w:p>
        </w:tc>
        <w:tc>
          <w:tcPr>
            <w:tcW w:w="1560" w:type="dxa"/>
            <w:vAlign w:val="bottom"/>
          </w:tcPr>
          <w:p w:rsidRPr="00C618BF" w:rsidR="006C4218" w:rsidP="006C4218" w:rsidRDefault="006C4218" w14:paraId="168AED96" w14:textId="088D512E">
            <w:pPr>
              <w:spacing w:line="240" w:lineRule="auto"/>
              <w:ind w:firstLine="0"/>
              <w:rPr>
                <w:rFonts w:ascii="Calibri" w:hAnsi="Calibri" w:eastAsia="Calibri" w:cs="Times New Roman"/>
                <w:sz w:val="22"/>
              </w:rPr>
            </w:pPr>
            <w:r>
              <w:rPr>
                <w:rFonts w:ascii="Calibri" w:hAnsi="Calibri" w:cs="Calibri"/>
                <w:sz w:val="22"/>
              </w:rPr>
              <w:t xml:space="preserve"> $               32.95 </w:t>
            </w:r>
          </w:p>
        </w:tc>
        <w:tc>
          <w:tcPr>
            <w:tcW w:w="1560" w:type="dxa"/>
            <w:vAlign w:val="bottom"/>
          </w:tcPr>
          <w:p w:rsidRPr="00C618BF" w:rsidR="006C4218" w:rsidP="006C4218" w:rsidRDefault="006C4218" w14:paraId="6AC9635E" w14:textId="307019F1">
            <w:pPr>
              <w:spacing w:line="240" w:lineRule="auto"/>
              <w:ind w:firstLine="0"/>
              <w:rPr>
                <w:rFonts w:ascii="Calibri" w:hAnsi="Calibri" w:eastAsia="Calibri" w:cs="Times New Roman"/>
                <w:sz w:val="22"/>
              </w:rPr>
            </w:pPr>
            <w:r>
              <w:rPr>
                <w:rFonts w:ascii="Calibri" w:hAnsi="Calibri" w:cs="Calibri"/>
                <w:sz w:val="22"/>
              </w:rPr>
              <w:t xml:space="preserve"> $           34.30 </w:t>
            </w:r>
          </w:p>
        </w:tc>
        <w:tc>
          <w:tcPr>
            <w:tcW w:w="1560" w:type="dxa"/>
            <w:vAlign w:val="bottom"/>
          </w:tcPr>
          <w:p w:rsidRPr="00C618BF" w:rsidR="006C4218" w:rsidP="006C4218" w:rsidRDefault="006C4218" w14:paraId="4AF5EFC1" w14:textId="57A01049">
            <w:pPr>
              <w:spacing w:line="240" w:lineRule="auto"/>
              <w:ind w:firstLine="0"/>
              <w:rPr>
                <w:rFonts w:ascii="Calibri" w:hAnsi="Calibri" w:eastAsia="Calibri" w:cs="Times New Roman"/>
                <w:sz w:val="22"/>
              </w:rPr>
            </w:pPr>
            <w:r>
              <w:rPr>
                <w:rFonts w:ascii="Calibri" w:hAnsi="Calibri" w:cs="Calibri"/>
                <w:sz w:val="22"/>
              </w:rPr>
              <w:t xml:space="preserve"> $            35.34 </w:t>
            </w:r>
          </w:p>
        </w:tc>
      </w:tr>
      <w:tr w:rsidRPr="00C618BF" w:rsidR="006C4218" w:rsidTr="003B4BA5" w14:paraId="340E3B2A" w14:textId="77777777">
        <w:tc>
          <w:tcPr>
            <w:tcW w:w="1560" w:type="dxa"/>
          </w:tcPr>
          <w:p w:rsidRPr="00C618BF" w:rsidR="006C4218" w:rsidP="006C4218" w:rsidRDefault="006C4218" w14:paraId="6A6117B9" w14:textId="77777777">
            <w:pPr>
              <w:spacing w:line="240" w:lineRule="auto"/>
              <w:ind w:firstLine="0"/>
              <w:rPr>
                <w:rFonts w:ascii="Calibri" w:hAnsi="Calibri" w:eastAsia="Calibri" w:cs="Times New Roman"/>
                <w:sz w:val="22"/>
              </w:rPr>
            </w:pPr>
          </w:p>
        </w:tc>
        <w:tc>
          <w:tcPr>
            <w:tcW w:w="1560" w:type="dxa"/>
          </w:tcPr>
          <w:p w:rsidRPr="00C618BF" w:rsidR="006C4218" w:rsidP="006C4218" w:rsidRDefault="006C4218" w14:paraId="29D80E44" w14:textId="77777777">
            <w:pPr>
              <w:spacing w:line="240" w:lineRule="auto"/>
              <w:ind w:firstLine="0"/>
              <w:rPr>
                <w:rFonts w:ascii="Calibri" w:hAnsi="Calibri" w:eastAsia="Calibri" w:cs="Times New Roman"/>
                <w:sz w:val="22"/>
              </w:rPr>
            </w:pPr>
            <w:r w:rsidRPr="00C618BF">
              <w:rPr>
                <w:rFonts w:ascii="Calibri" w:hAnsi="Calibri" w:eastAsia="Calibri" w:cs="Calibri"/>
                <w:sz w:val="22"/>
              </w:rPr>
              <w:t>1"</w:t>
            </w:r>
          </w:p>
        </w:tc>
        <w:tc>
          <w:tcPr>
            <w:tcW w:w="1560" w:type="dxa"/>
            <w:vAlign w:val="bottom"/>
          </w:tcPr>
          <w:p w:rsidRPr="00C618BF" w:rsidR="006C4218" w:rsidP="006C4218" w:rsidRDefault="006C4218" w14:paraId="60A81C6B" w14:textId="329DA347">
            <w:pPr>
              <w:spacing w:line="240" w:lineRule="auto"/>
              <w:ind w:firstLine="0"/>
              <w:rPr>
                <w:rFonts w:ascii="Calibri" w:hAnsi="Calibri" w:eastAsia="Calibri" w:cs="Times New Roman"/>
                <w:sz w:val="22"/>
              </w:rPr>
            </w:pPr>
            <w:r>
              <w:rPr>
                <w:rFonts w:ascii="Calibri" w:hAnsi="Calibri" w:cs="Calibri"/>
                <w:sz w:val="22"/>
              </w:rPr>
              <w:t xml:space="preserve"> $               54.91 </w:t>
            </w:r>
          </w:p>
        </w:tc>
        <w:tc>
          <w:tcPr>
            <w:tcW w:w="1560" w:type="dxa"/>
            <w:vAlign w:val="bottom"/>
          </w:tcPr>
          <w:p w:rsidRPr="00C618BF" w:rsidR="006C4218" w:rsidP="006C4218" w:rsidRDefault="006C4218" w14:paraId="2C572D48" w14:textId="648D9DB4">
            <w:pPr>
              <w:spacing w:line="240" w:lineRule="auto"/>
              <w:ind w:firstLine="0"/>
              <w:rPr>
                <w:rFonts w:ascii="Calibri" w:hAnsi="Calibri" w:eastAsia="Calibri" w:cs="Times New Roman"/>
                <w:sz w:val="22"/>
              </w:rPr>
            </w:pPr>
            <w:r>
              <w:rPr>
                <w:rFonts w:ascii="Calibri" w:hAnsi="Calibri" w:cs="Calibri"/>
                <w:sz w:val="22"/>
              </w:rPr>
              <w:t xml:space="preserve"> $           57.17 </w:t>
            </w:r>
          </w:p>
        </w:tc>
        <w:tc>
          <w:tcPr>
            <w:tcW w:w="1560" w:type="dxa"/>
            <w:vAlign w:val="bottom"/>
          </w:tcPr>
          <w:p w:rsidRPr="00C618BF" w:rsidR="006C4218" w:rsidP="006C4218" w:rsidRDefault="006C4218" w14:paraId="2770F907" w14:textId="27E7E419">
            <w:pPr>
              <w:spacing w:line="240" w:lineRule="auto"/>
              <w:ind w:firstLine="0"/>
              <w:rPr>
                <w:rFonts w:ascii="Calibri" w:hAnsi="Calibri" w:eastAsia="Calibri" w:cs="Times New Roman"/>
                <w:sz w:val="22"/>
              </w:rPr>
            </w:pPr>
            <w:r>
              <w:rPr>
                <w:rFonts w:ascii="Calibri" w:hAnsi="Calibri" w:cs="Calibri"/>
                <w:sz w:val="22"/>
              </w:rPr>
              <w:t xml:space="preserve"> $            58.90 </w:t>
            </w:r>
          </w:p>
        </w:tc>
      </w:tr>
      <w:tr w:rsidRPr="00C618BF" w:rsidR="006C4218" w:rsidTr="003B4BA5" w14:paraId="408BB245" w14:textId="77777777">
        <w:tc>
          <w:tcPr>
            <w:tcW w:w="1560" w:type="dxa"/>
          </w:tcPr>
          <w:p w:rsidRPr="00C618BF" w:rsidR="006C4218" w:rsidP="006C4218" w:rsidRDefault="006C4218" w14:paraId="210087E3" w14:textId="77777777">
            <w:pPr>
              <w:spacing w:line="240" w:lineRule="auto"/>
              <w:ind w:firstLine="0"/>
              <w:rPr>
                <w:rFonts w:ascii="Calibri" w:hAnsi="Calibri" w:eastAsia="Calibri" w:cs="Times New Roman"/>
                <w:sz w:val="22"/>
              </w:rPr>
            </w:pPr>
          </w:p>
        </w:tc>
        <w:tc>
          <w:tcPr>
            <w:tcW w:w="1560" w:type="dxa"/>
          </w:tcPr>
          <w:p w:rsidRPr="00C618BF" w:rsidR="006C4218" w:rsidP="006C4218" w:rsidRDefault="006C4218" w14:paraId="2C69C9D6" w14:textId="77777777">
            <w:pPr>
              <w:spacing w:line="240" w:lineRule="auto"/>
              <w:ind w:firstLine="0"/>
              <w:rPr>
                <w:rFonts w:ascii="Calibri" w:hAnsi="Calibri" w:eastAsia="Calibri" w:cs="Times New Roman"/>
                <w:sz w:val="22"/>
              </w:rPr>
            </w:pPr>
            <w:r w:rsidRPr="00C618BF">
              <w:rPr>
                <w:rFonts w:ascii="Calibri" w:hAnsi="Calibri" w:eastAsia="Calibri" w:cs="Calibri"/>
                <w:sz w:val="22"/>
              </w:rPr>
              <w:t>1-1/2"</w:t>
            </w:r>
          </w:p>
        </w:tc>
        <w:tc>
          <w:tcPr>
            <w:tcW w:w="1560" w:type="dxa"/>
            <w:vAlign w:val="bottom"/>
          </w:tcPr>
          <w:p w:rsidRPr="00C618BF" w:rsidR="006C4218" w:rsidP="006C4218" w:rsidRDefault="006C4218" w14:paraId="7170DD52" w14:textId="06266788">
            <w:pPr>
              <w:spacing w:line="240" w:lineRule="auto"/>
              <w:ind w:firstLine="0"/>
              <w:rPr>
                <w:rFonts w:ascii="Calibri" w:hAnsi="Calibri" w:eastAsia="Calibri" w:cs="Times New Roman"/>
                <w:sz w:val="22"/>
              </w:rPr>
            </w:pPr>
            <w:r>
              <w:rPr>
                <w:rFonts w:ascii="Calibri" w:hAnsi="Calibri" w:cs="Calibri"/>
                <w:sz w:val="22"/>
              </w:rPr>
              <w:t xml:space="preserve"> $             109.83 </w:t>
            </w:r>
          </w:p>
        </w:tc>
        <w:tc>
          <w:tcPr>
            <w:tcW w:w="1560" w:type="dxa"/>
            <w:vAlign w:val="bottom"/>
          </w:tcPr>
          <w:p w:rsidRPr="00C618BF" w:rsidR="006C4218" w:rsidP="006C4218" w:rsidRDefault="006C4218" w14:paraId="11E7970A" w14:textId="0A5E74B9">
            <w:pPr>
              <w:spacing w:line="240" w:lineRule="auto"/>
              <w:ind w:firstLine="0"/>
              <w:rPr>
                <w:rFonts w:ascii="Calibri" w:hAnsi="Calibri" w:eastAsia="Calibri" w:cs="Times New Roman"/>
                <w:sz w:val="22"/>
              </w:rPr>
            </w:pPr>
            <w:r>
              <w:rPr>
                <w:rFonts w:ascii="Calibri" w:hAnsi="Calibri" w:cs="Calibri"/>
                <w:sz w:val="22"/>
              </w:rPr>
              <w:t xml:space="preserve"> $         114.34 </w:t>
            </w:r>
          </w:p>
        </w:tc>
        <w:tc>
          <w:tcPr>
            <w:tcW w:w="1560" w:type="dxa"/>
            <w:vAlign w:val="bottom"/>
          </w:tcPr>
          <w:p w:rsidRPr="00C618BF" w:rsidR="006C4218" w:rsidP="006C4218" w:rsidRDefault="006C4218" w14:paraId="7C9A2509" w14:textId="64B0860B">
            <w:pPr>
              <w:spacing w:line="240" w:lineRule="auto"/>
              <w:ind w:firstLine="0"/>
              <w:rPr>
                <w:rFonts w:ascii="Calibri" w:hAnsi="Calibri" w:eastAsia="Calibri" w:cs="Times New Roman"/>
                <w:sz w:val="22"/>
              </w:rPr>
            </w:pPr>
            <w:r>
              <w:rPr>
                <w:rFonts w:ascii="Calibri" w:hAnsi="Calibri" w:cs="Calibri"/>
                <w:sz w:val="22"/>
              </w:rPr>
              <w:t xml:space="preserve"> $          117.80 </w:t>
            </w:r>
          </w:p>
        </w:tc>
      </w:tr>
      <w:tr w:rsidRPr="00C618BF" w:rsidR="006C4218" w:rsidTr="003B4BA5" w14:paraId="631D2478" w14:textId="77777777">
        <w:tc>
          <w:tcPr>
            <w:tcW w:w="1560" w:type="dxa"/>
          </w:tcPr>
          <w:p w:rsidRPr="00C618BF" w:rsidR="006C4218" w:rsidP="006C4218" w:rsidRDefault="006C4218" w14:paraId="4A42DF67" w14:textId="77777777">
            <w:pPr>
              <w:spacing w:line="240" w:lineRule="auto"/>
              <w:ind w:firstLine="0"/>
              <w:rPr>
                <w:rFonts w:ascii="Calibri" w:hAnsi="Calibri" w:eastAsia="Calibri" w:cs="Times New Roman"/>
                <w:sz w:val="22"/>
              </w:rPr>
            </w:pPr>
          </w:p>
        </w:tc>
        <w:tc>
          <w:tcPr>
            <w:tcW w:w="1560" w:type="dxa"/>
          </w:tcPr>
          <w:p w:rsidRPr="00C618BF" w:rsidR="006C4218" w:rsidP="006C4218" w:rsidRDefault="006C4218" w14:paraId="02814033" w14:textId="77777777">
            <w:pPr>
              <w:spacing w:line="240" w:lineRule="auto"/>
              <w:ind w:firstLine="0"/>
              <w:rPr>
                <w:rFonts w:ascii="Calibri" w:hAnsi="Calibri" w:eastAsia="Calibri" w:cs="Times New Roman"/>
                <w:sz w:val="22"/>
              </w:rPr>
            </w:pPr>
            <w:r w:rsidRPr="00C618BF">
              <w:rPr>
                <w:rFonts w:ascii="Calibri" w:hAnsi="Calibri" w:eastAsia="Calibri" w:cs="Calibri"/>
                <w:sz w:val="22"/>
              </w:rPr>
              <w:t>2"</w:t>
            </w:r>
          </w:p>
        </w:tc>
        <w:tc>
          <w:tcPr>
            <w:tcW w:w="1560" w:type="dxa"/>
            <w:vAlign w:val="bottom"/>
          </w:tcPr>
          <w:p w:rsidRPr="00C618BF" w:rsidR="006C4218" w:rsidP="006C4218" w:rsidRDefault="006C4218" w14:paraId="33888679" w14:textId="63132D9C">
            <w:pPr>
              <w:spacing w:line="240" w:lineRule="auto"/>
              <w:ind w:firstLine="0"/>
              <w:rPr>
                <w:rFonts w:ascii="Calibri" w:hAnsi="Calibri" w:eastAsia="Calibri" w:cs="Times New Roman"/>
                <w:sz w:val="22"/>
              </w:rPr>
            </w:pPr>
            <w:r>
              <w:rPr>
                <w:rFonts w:ascii="Calibri" w:hAnsi="Calibri" w:cs="Calibri"/>
                <w:sz w:val="22"/>
              </w:rPr>
              <w:t xml:space="preserve"> $             175.72 </w:t>
            </w:r>
          </w:p>
        </w:tc>
        <w:tc>
          <w:tcPr>
            <w:tcW w:w="1560" w:type="dxa"/>
            <w:vAlign w:val="bottom"/>
          </w:tcPr>
          <w:p w:rsidRPr="00C618BF" w:rsidR="006C4218" w:rsidP="006C4218" w:rsidRDefault="006C4218" w14:paraId="179B8E4D" w14:textId="71C99CCD">
            <w:pPr>
              <w:spacing w:line="240" w:lineRule="auto"/>
              <w:ind w:firstLine="0"/>
              <w:rPr>
                <w:rFonts w:ascii="Calibri" w:hAnsi="Calibri" w:eastAsia="Calibri" w:cs="Times New Roman"/>
                <w:sz w:val="22"/>
              </w:rPr>
            </w:pPr>
            <w:r>
              <w:rPr>
                <w:rFonts w:ascii="Calibri" w:hAnsi="Calibri" w:cs="Calibri"/>
                <w:sz w:val="22"/>
              </w:rPr>
              <w:t xml:space="preserve"> $         182.94 </w:t>
            </w:r>
          </w:p>
        </w:tc>
        <w:tc>
          <w:tcPr>
            <w:tcW w:w="1560" w:type="dxa"/>
            <w:vAlign w:val="bottom"/>
          </w:tcPr>
          <w:p w:rsidRPr="00C618BF" w:rsidR="006C4218" w:rsidP="006C4218" w:rsidRDefault="006C4218" w14:paraId="45AEEF3F" w14:textId="5E914A39">
            <w:pPr>
              <w:spacing w:line="240" w:lineRule="auto"/>
              <w:ind w:firstLine="0"/>
              <w:rPr>
                <w:rFonts w:ascii="Calibri" w:hAnsi="Calibri" w:eastAsia="Calibri" w:cs="Times New Roman"/>
                <w:sz w:val="22"/>
              </w:rPr>
            </w:pPr>
            <w:r>
              <w:rPr>
                <w:rFonts w:ascii="Calibri" w:hAnsi="Calibri" w:cs="Calibri"/>
                <w:sz w:val="22"/>
              </w:rPr>
              <w:t xml:space="preserve"> $          188.48 </w:t>
            </w:r>
          </w:p>
        </w:tc>
      </w:tr>
      <w:tr w:rsidRPr="00C618BF" w:rsidR="006C4218" w:rsidTr="003B4BA5" w14:paraId="740BED83" w14:textId="77777777">
        <w:tc>
          <w:tcPr>
            <w:tcW w:w="1560" w:type="dxa"/>
          </w:tcPr>
          <w:p w:rsidRPr="00C618BF" w:rsidR="006C4218" w:rsidP="006C4218" w:rsidRDefault="006C4218" w14:paraId="700CEE9A" w14:textId="77777777">
            <w:pPr>
              <w:spacing w:line="240" w:lineRule="auto"/>
              <w:ind w:firstLine="0"/>
              <w:rPr>
                <w:rFonts w:ascii="Calibri" w:hAnsi="Calibri" w:eastAsia="Calibri" w:cs="Times New Roman"/>
                <w:sz w:val="22"/>
              </w:rPr>
            </w:pPr>
          </w:p>
        </w:tc>
        <w:tc>
          <w:tcPr>
            <w:tcW w:w="1560" w:type="dxa"/>
          </w:tcPr>
          <w:p w:rsidRPr="00C618BF" w:rsidR="006C4218" w:rsidP="006C4218" w:rsidRDefault="006C4218" w14:paraId="3B2A7013" w14:textId="77777777">
            <w:pPr>
              <w:spacing w:line="240" w:lineRule="auto"/>
              <w:ind w:firstLine="0"/>
              <w:rPr>
                <w:rFonts w:ascii="Calibri" w:hAnsi="Calibri" w:eastAsia="Calibri" w:cs="Times New Roman"/>
                <w:sz w:val="22"/>
              </w:rPr>
            </w:pPr>
            <w:r w:rsidRPr="00C618BF">
              <w:rPr>
                <w:rFonts w:ascii="Calibri" w:hAnsi="Calibri" w:eastAsia="Calibri" w:cs="Calibri"/>
                <w:sz w:val="22"/>
              </w:rPr>
              <w:t>3"</w:t>
            </w:r>
          </w:p>
        </w:tc>
        <w:tc>
          <w:tcPr>
            <w:tcW w:w="1560" w:type="dxa"/>
            <w:vAlign w:val="bottom"/>
          </w:tcPr>
          <w:p w:rsidRPr="00C618BF" w:rsidR="006C4218" w:rsidP="006C4218" w:rsidRDefault="006C4218" w14:paraId="661A528E" w14:textId="06D96053">
            <w:pPr>
              <w:spacing w:line="240" w:lineRule="auto"/>
              <w:ind w:firstLine="0"/>
              <w:rPr>
                <w:rFonts w:ascii="Calibri" w:hAnsi="Calibri" w:eastAsia="Calibri" w:cs="Times New Roman"/>
                <w:sz w:val="22"/>
              </w:rPr>
            </w:pPr>
            <w:r>
              <w:rPr>
                <w:rFonts w:ascii="Calibri" w:hAnsi="Calibri" w:cs="Calibri"/>
                <w:sz w:val="22"/>
              </w:rPr>
              <w:t xml:space="preserve"> $             329.48 </w:t>
            </w:r>
          </w:p>
        </w:tc>
        <w:tc>
          <w:tcPr>
            <w:tcW w:w="1560" w:type="dxa"/>
            <w:vAlign w:val="bottom"/>
          </w:tcPr>
          <w:p w:rsidRPr="00C618BF" w:rsidR="006C4218" w:rsidP="006C4218" w:rsidRDefault="006C4218" w14:paraId="1ADE00A2" w14:textId="5C510E0B">
            <w:pPr>
              <w:spacing w:line="240" w:lineRule="auto"/>
              <w:ind w:firstLine="0"/>
              <w:rPr>
                <w:rFonts w:ascii="Calibri" w:hAnsi="Calibri" w:eastAsia="Calibri" w:cs="Times New Roman"/>
                <w:sz w:val="22"/>
              </w:rPr>
            </w:pPr>
            <w:r>
              <w:rPr>
                <w:rFonts w:ascii="Calibri" w:hAnsi="Calibri" w:cs="Calibri"/>
                <w:sz w:val="22"/>
              </w:rPr>
              <w:t xml:space="preserve"> $         343.02 </w:t>
            </w:r>
          </w:p>
        </w:tc>
        <w:tc>
          <w:tcPr>
            <w:tcW w:w="1560" w:type="dxa"/>
            <w:vAlign w:val="bottom"/>
          </w:tcPr>
          <w:p w:rsidRPr="00C618BF" w:rsidR="006C4218" w:rsidP="006C4218" w:rsidRDefault="006C4218" w14:paraId="51CB01AB" w14:textId="2C94972F">
            <w:pPr>
              <w:spacing w:line="240" w:lineRule="auto"/>
              <w:ind w:firstLine="0"/>
              <w:rPr>
                <w:rFonts w:ascii="Calibri" w:hAnsi="Calibri" w:eastAsia="Calibri" w:cs="Times New Roman"/>
                <w:sz w:val="22"/>
              </w:rPr>
            </w:pPr>
            <w:r>
              <w:rPr>
                <w:rFonts w:ascii="Calibri" w:hAnsi="Calibri" w:cs="Calibri"/>
                <w:sz w:val="22"/>
              </w:rPr>
              <w:t xml:space="preserve"> $          353.40 </w:t>
            </w:r>
          </w:p>
        </w:tc>
      </w:tr>
      <w:tr w:rsidRPr="00C618BF" w:rsidR="006C4218" w:rsidTr="003B4BA5" w14:paraId="137A8C01" w14:textId="77777777">
        <w:tc>
          <w:tcPr>
            <w:tcW w:w="1560" w:type="dxa"/>
          </w:tcPr>
          <w:p w:rsidRPr="00C618BF" w:rsidR="006C4218" w:rsidP="006C4218" w:rsidRDefault="006C4218" w14:paraId="08A3A61E" w14:textId="77777777">
            <w:pPr>
              <w:spacing w:line="240" w:lineRule="auto"/>
              <w:ind w:firstLine="0"/>
              <w:rPr>
                <w:rFonts w:ascii="Calibri" w:hAnsi="Calibri" w:eastAsia="Calibri" w:cs="Times New Roman"/>
                <w:sz w:val="22"/>
              </w:rPr>
            </w:pPr>
          </w:p>
        </w:tc>
        <w:tc>
          <w:tcPr>
            <w:tcW w:w="1560" w:type="dxa"/>
          </w:tcPr>
          <w:p w:rsidRPr="00C618BF" w:rsidR="006C4218" w:rsidP="006C4218" w:rsidRDefault="006C4218" w14:paraId="09287331" w14:textId="77777777">
            <w:pPr>
              <w:spacing w:line="240" w:lineRule="auto"/>
              <w:ind w:firstLine="0"/>
              <w:rPr>
                <w:rFonts w:ascii="Calibri" w:hAnsi="Calibri" w:eastAsia="Calibri" w:cs="Times New Roman"/>
                <w:sz w:val="22"/>
              </w:rPr>
            </w:pPr>
            <w:r w:rsidRPr="00C618BF">
              <w:rPr>
                <w:rFonts w:ascii="Calibri" w:hAnsi="Calibri" w:eastAsia="Calibri" w:cs="Calibri"/>
                <w:sz w:val="22"/>
              </w:rPr>
              <w:t>4"</w:t>
            </w:r>
          </w:p>
        </w:tc>
        <w:tc>
          <w:tcPr>
            <w:tcW w:w="1560" w:type="dxa"/>
            <w:vAlign w:val="bottom"/>
          </w:tcPr>
          <w:p w:rsidRPr="00C618BF" w:rsidR="006C4218" w:rsidP="006C4218" w:rsidRDefault="006C4218" w14:paraId="6FD7CB4E" w14:textId="5B78C216">
            <w:pPr>
              <w:spacing w:line="240" w:lineRule="auto"/>
              <w:ind w:firstLine="0"/>
              <w:rPr>
                <w:rFonts w:ascii="Calibri" w:hAnsi="Calibri" w:eastAsia="Calibri" w:cs="Times New Roman"/>
                <w:sz w:val="22"/>
              </w:rPr>
            </w:pPr>
            <w:r>
              <w:rPr>
                <w:rFonts w:ascii="Calibri" w:hAnsi="Calibri" w:cs="Calibri"/>
                <w:sz w:val="22"/>
              </w:rPr>
              <w:t xml:space="preserve"> $             549.13 </w:t>
            </w:r>
          </w:p>
        </w:tc>
        <w:tc>
          <w:tcPr>
            <w:tcW w:w="1560" w:type="dxa"/>
            <w:vAlign w:val="bottom"/>
          </w:tcPr>
          <w:p w:rsidRPr="00C618BF" w:rsidR="006C4218" w:rsidP="006C4218" w:rsidRDefault="006C4218" w14:paraId="449F6B7E" w14:textId="42BAA1EE">
            <w:pPr>
              <w:spacing w:line="240" w:lineRule="auto"/>
              <w:ind w:firstLine="0"/>
              <w:rPr>
                <w:rFonts w:ascii="Calibri" w:hAnsi="Calibri" w:eastAsia="Calibri" w:cs="Times New Roman"/>
                <w:sz w:val="22"/>
              </w:rPr>
            </w:pPr>
            <w:r>
              <w:rPr>
                <w:rFonts w:ascii="Calibri" w:hAnsi="Calibri" w:cs="Calibri"/>
                <w:sz w:val="22"/>
              </w:rPr>
              <w:t xml:space="preserve"> $         571.70 </w:t>
            </w:r>
          </w:p>
        </w:tc>
        <w:tc>
          <w:tcPr>
            <w:tcW w:w="1560" w:type="dxa"/>
            <w:vAlign w:val="bottom"/>
          </w:tcPr>
          <w:p w:rsidRPr="00C618BF" w:rsidR="006C4218" w:rsidP="006C4218" w:rsidRDefault="006C4218" w14:paraId="32EB99DD" w14:textId="0CE2FC6F">
            <w:pPr>
              <w:spacing w:line="240" w:lineRule="auto"/>
              <w:ind w:firstLine="0"/>
              <w:rPr>
                <w:rFonts w:ascii="Calibri" w:hAnsi="Calibri" w:eastAsia="Calibri" w:cs="Times New Roman"/>
                <w:sz w:val="22"/>
              </w:rPr>
            </w:pPr>
            <w:r>
              <w:rPr>
                <w:rFonts w:ascii="Calibri" w:hAnsi="Calibri" w:cs="Calibri"/>
                <w:sz w:val="22"/>
              </w:rPr>
              <w:t xml:space="preserve"> $          589.00 </w:t>
            </w:r>
          </w:p>
        </w:tc>
      </w:tr>
      <w:tr w:rsidRPr="00C618BF" w:rsidR="006C4218" w:rsidTr="003B4BA5" w14:paraId="40DD8E0E" w14:textId="77777777">
        <w:tc>
          <w:tcPr>
            <w:tcW w:w="1560" w:type="dxa"/>
          </w:tcPr>
          <w:p w:rsidRPr="00C618BF" w:rsidR="006C4218" w:rsidP="006C4218" w:rsidRDefault="006C4218" w14:paraId="5F59B83C" w14:textId="77777777">
            <w:pPr>
              <w:spacing w:line="240" w:lineRule="auto"/>
              <w:ind w:firstLine="0"/>
              <w:rPr>
                <w:rFonts w:ascii="Calibri" w:hAnsi="Calibri" w:eastAsia="Calibri" w:cs="Times New Roman"/>
                <w:sz w:val="22"/>
              </w:rPr>
            </w:pPr>
          </w:p>
        </w:tc>
        <w:tc>
          <w:tcPr>
            <w:tcW w:w="1560" w:type="dxa"/>
          </w:tcPr>
          <w:p w:rsidRPr="00C618BF" w:rsidR="006C4218" w:rsidP="006C4218" w:rsidRDefault="006C4218" w14:paraId="0FFDC6A4" w14:textId="77777777">
            <w:pPr>
              <w:spacing w:line="240" w:lineRule="auto"/>
              <w:ind w:firstLine="0"/>
              <w:rPr>
                <w:rFonts w:ascii="Calibri" w:hAnsi="Calibri" w:eastAsia="Calibri" w:cs="Times New Roman"/>
                <w:sz w:val="22"/>
              </w:rPr>
            </w:pPr>
            <w:r w:rsidRPr="00C618BF">
              <w:rPr>
                <w:rFonts w:ascii="Calibri" w:hAnsi="Calibri" w:eastAsia="Calibri" w:cs="Calibri"/>
                <w:sz w:val="22"/>
              </w:rPr>
              <w:t>6"</w:t>
            </w:r>
          </w:p>
        </w:tc>
        <w:tc>
          <w:tcPr>
            <w:tcW w:w="1560" w:type="dxa"/>
            <w:vAlign w:val="bottom"/>
          </w:tcPr>
          <w:p w:rsidRPr="00C618BF" w:rsidR="006C4218" w:rsidP="006C4218" w:rsidRDefault="006C4218" w14:paraId="15BA4A30" w14:textId="7AFAE10C">
            <w:pPr>
              <w:spacing w:line="240" w:lineRule="auto"/>
              <w:ind w:firstLine="0"/>
              <w:rPr>
                <w:rFonts w:ascii="Calibri" w:hAnsi="Calibri" w:eastAsia="Calibri" w:cs="Times New Roman"/>
                <w:sz w:val="22"/>
              </w:rPr>
            </w:pPr>
            <w:r>
              <w:rPr>
                <w:rFonts w:ascii="Calibri" w:hAnsi="Calibri" w:cs="Calibri"/>
                <w:sz w:val="22"/>
              </w:rPr>
              <w:t xml:space="preserve"> $         1,098.25 </w:t>
            </w:r>
          </w:p>
        </w:tc>
        <w:tc>
          <w:tcPr>
            <w:tcW w:w="1560" w:type="dxa"/>
            <w:vAlign w:val="bottom"/>
          </w:tcPr>
          <w:p w:rsidRPr="00C618BF" w:rsidR="006C4218" w:rsidP="006C4218" w:rsidRDefault="006C4218" w14:paraId="26BCC74A" w14:textId="05988871">
            <w:pPr>
              <w:spacing w:line="240" w:lineRule="auto"/>
              <w:ind w:firstLine="0"/>
              <w:rPr>
                <w:rFonts w:ascii="Calibri" w:hAnsi="Calibri" w:eastAsia="Calibri" w:cs="Times New Roman"/>
                <w:sz w:val="22"/>
              </w:rPr>
            </w:pPr>
            <w:r>
              <w:rPr>
                <w:rFonts w:ascii="Calibri" w:hAnsi="Calibri" w:cs="Calibri"/>
                <w:sz w:val="22"/>
              </w:rPr>
              <w:t xml:space="preserve"> $     1,143.40 </w:t>
            </w:r>
          </w:p>
        </w:tc>
        <w:tc>
          <w:tcPr>
            <w:tcW w:w="1560" w:type="dxa"/>
            <w:vAlign w:val="bottom"/>
          </w:tcPr>
          <w:p w:rsidRPr="00C618BF" w:rsidR="006C4218" w:rsidP="006C4218" w:rsidRDefault="006C4218" w14:paraId="33363009" w14:textId="47B70CED">
            <w:pPr>
              <w:spacing w:line="240" w:lineRule="auto"/>
              <w:ind w:firstLine="0"/>
              <w:rPr>
                <w:rFonts w:ascii="Calibri" w:hAnsi="Calibri" w:eastAsia="Calibri" w:cs="Times New Roman"/>
                <w:sz w:val="22"/>
              </w:rPr>
            </w:pPr>
            <w:r>
              <w:rPr>
                <w:rFonts w:ascii="Calibri" w:hAnsi="Calibri" w:cs="Calibri"/>
                <w:sz w:val="22"/>
              </w:rPr>
              <w:t xml:space="preserve"> $      1,178.00 </w:t>
            </w:r>
          </w:p>
        </w:tc>
      </w:tr>
      <w:tr w:rsidRPr="00C618BF" w:rsidR="006C4218" w:rsidTr="003B4BA5" w14:paraId="09C3CA95" w14:textId="77777777">
        <w:tc>
          <w:tcPr>
            <w:tcW w:w="1560" w:type="dxa"/>
          </w:tcPr>
          <w:p w:rsidRPr="00C618BF" w:rsidR="006C4218" w:rsidP="006C4218" w:rsidRDefault="006C4218" w14:paraId="0E9F7F30" w14:textId="77777777">
            <w:pPr>
              <w:spacing w:line="240" w:lineRule="auto"/>
              <w:ind w:firstLine="0"/>
              <w:rPr>
                <w:rFonts w:ascii="Calibri" w:hAnsi="Calibri" w:eastAsia="Calibri" w:cs="Times New Roman"/>
                <w:sz w:val="22"/>
              </w:rPr>
            </w:pPr>
          </w:p>
        </w:tc>
        <w:tc>
          <w:tcPr>
            <w:tcW w:w="1560" w:type="dxa"/>
          </w:tcPr>
          <w:p w:rsidRPr="00C618BF" w:rsidR="006C4218" w:rsidP="006C4218" w:rsidRDefault="006C4218" w14:paraId="17DF0E96" w14:textId="77777777">
            <w:pPr>
              <w:spacing w:line="240" w:lineRule="auto"/>
              <w:ind w:firstLine="0"/>
              <w:rPr>
                <w:rFonts w:ascii="Calibri" w:hAnsi="Calibri" w:eastAsia="Calibri" w:cs="Times New Roman"/>
                <w:sz w:val="22"/>
              </w:rPr>
            </w:pPr>
            <w:r w:rsidRPr="00C618BF">
              <w:rPr>
                <w:rFonts w:ascii="Calibri" w:hAnsi="Calibri" w:eastAsia="Calibri" w:cs="Calibri"/>
                <w:sz w:val="22"/>
              </w:rPr>
              <w:t>8"</w:t>
            </w:r>
          </w:p>
        </w:tc>
        <w:tc>
          <w:tcPr>
            <w:tcW w:w="1560" w:type="dxa"/>
            <w:vAlign w:val="bottom"/>
          </w:tcPr>
          <w:p w:rsidRPr="00C618BF" w:rsidR="006C4218" w:rsidP="006C4218" w:rsidRDefault="006C4218" w14:paraId="633F422B" w14:textId="5477AA93">
            <w:pPr>
              <w:spacing w:line="240" w:lineRule="auto"/>
              <w:ind w:firstLine="0"/>
              <w:rPr>
                <w:rFonts w:ascii="Calibri" w:hAnsi="Calibri" w:eastAsia="Calibri" w:cs="Times New Roman"/>
                <w:sz w:val="22"/>
              </w:rPr>
            </w:pPr>
            <w:r>
              <w:rPr>
                <w:rFonts w:ascii="Calibri" w:hAnsi="Calibri" w:cs="Calibri"/>
                <w:sz w:val="22"/>
              </w:rPr>
              <w:t xml:space="preserve"> $               21.97 </w:t>
            </w:r>
          </w:p>
        </w:tc>
        <w:tc>
          <w:tcPr>
            <w:tcW w:w="1560" w:type="dxa"/>
            <w:vAlign w:val="bottom"/>
          </w:tcPr>
          <w:p w:rsidRPr="00C618BF" w:rsidR="006C4218" w:rsidP="006C4218" w:rsidRDefault="006C4218" w14:paraId="0CDA55DF" w14:textId="0DD7B860">
            <w:pPr>
              <w:spacing w:line="240" w:lineRule="auto"/>
              <w:ind w:firstLine="0"/>
              <w:rPr>
                <w:rFonts w:ascii="Calibri" w:hAnsi="Calibri" w:eastAsia="Calibri" w:cs="Times New Roman"/>
                <w:sz w:val="22"/>
              </w:rPr>
            </w:pPr>
            <w:r>
              <w:rPr>
                <w:rFonts w:ascii="Calibri" w:hAnsi="Calibri" w:cs="Calibri"/>
                <w:sz w:val="22"/>
              </w:rPr>
              <w:t xml:space="preserve"> $           22.87 </w:t>
            </w:r>
          </w:p>
        </w:tc>
        <w:tc>
          <w:tcPr>
            <w:tcW w:w="1560" w:type="dxa"/>
            <w:vAlign w:val="bottom"/>
          </w:tcPr>
          <w:p w:rsidRPr="00C618BF" w:rsidR="006C4218" w:rsidP="006C4218" w:rsidRDefault="006C4218" w14:paraId="2F1D1538" w14:textId="27C8EEBA">
            <w:pPr>
              <w:spacing w:line="240" w:lineRule="auto"/>
              <w:ind w:firstLine="0"/>
              <w:rPr>
                <w:rFonts w:ascii="Calibri" w:hAnsi="Calibri" w:eastAsia="Calibri" w:cs="Times New Roman"/>
                <w:sz w:val="22"/>
              </w:rPr>
            </w:pPr>
            <w:r>
              <w:rPr>
                <w:rFonts w:ascii="Calibri" w:hAnsi="Calibri" w:cs="Calibri"/>
                <w:sz w:val="22"/>
              </w:rPr>
              <w:t xml:space="preserve"> $            23.56 </w:t>
            </w:r>
          </w:p>
        </w:tc>
      </w:tr>
      <w:tr w:rsidRPr="00C618BF" w:rsidR="006C4218" w:rsidTr="003B4BA5" w14:paraId="756A995B" w14:textId="77777777">
        <w:tc>
          <w:tcPr>
            <w:tcW w:w="1560" w:type="dxa"/>
          </w:tcPr>
          <w:p w:rsidRPr="00C618BF" w:rsidR="006C4218" w:rsidP="006C4218" w:rsidRDefault="006C4218" w14:paraId="373F6350" w14:textId="77777777">
            <w:pPr>
              <w:spacing w:line="240" w:lineRule="auto"/>
              <w:ind w:firstLine="0"/>
              <w:rPr>
                <w:rFonts w:ascii="Calibri" w:hAnsi="Calibri" w:eastAsia="Calibri" w:cs="Times New Roman"/>
                <w:sz w:val="22"/>
              </w:rPr>
            </w:pPr>
          </w:p>
        </w:tc>
        <w:tc>
          <w:tcPr>
            <w:tcW w:w="1560" w:type="dxa"/>
          </w:tcPr>
          <w:p w:rsidRPr="00C618BF" w:rsidR="006C4218" w:rsidP="006C4218" w:rsidRDefault="006C4218" w14:paraId="15D1BBD9" w14:textId="77777777">
            <w:pPr>
              <w:spacing w:line="240" w:lineRule="auto"/>
              <w:ind w:firstLine="0"/>
              <w:rPr>
                <w:rFonts w:ascii="Calibri" w:hAnsi="Calibri" w:eastAsia="Calibri" w:cs="Times New Roman"/>
                <w:sz w:val="22"/>
              </w:rPr>
            </w:pPr>
            <w:r w:rsidRPr="00C618BF">
              <w:rPr>
                <w:rFonts w:ascii="Calibri" w:hAnsi="Calibri" w:eastAsia="Calibri" w:cs="Calibri"/>
                <w:sz w:val="22"/>
              </w:rPr>
              <w:t>10"</w:t>
            </w:r>
          </w:p>
        </w:tc>
        <w:tc>
          <w:tcPr>
            <w:tcW w:w="1560" w:type="dxa"/>
            <w:vAlign w:val="bottom"/>
          </w:tcPr>
          <w:p w:rsidRPr="00C618BF" w:rsidR="006C4218" w:rsidP="006C4218" w:rsidRDefault="006C4218" w14:paraId="2A2027C2" w14:textId="627B23B8">
            <w:pPr>
              <w:spacing w:line="240" w:lineRule="auto"/>
              <w:ind w:firstLine="0"/>
              <w:rPr>
                <w:rFonts w:ascii="Calibri" w:hAnsi="Calibri" w:eastAsia="Calibri" w:cs="Times New Roman"/>
                <w:sz w:val="22"/>
              </w:rPr>
            </w:pPr>
            <w:r>
              <w:rPr>
                <w:rFonts w:ascii="Calibri" w:hAnsi="Calibri" w:cs="Calibri"/>
                <w:sz w:val="22"/>
              </w:rPr>
              <w:t xml:space="preserve"> $               32.95 </w:t>
            </w:r>
          </w:p>
        </w:tc>
        <w:tc>
          <w:tcPr>
            <w:tcW w:w="1560" w:type="dxa"/>
            <w:vAlign w:val="bottom"/>
          </w:tcPr>
          <w:p w:rsidRPr="00C618BF" w:rsidR="006C4218" w:rsidP="006C4218" w:rsidRDefault="006C4218" w14:paraId="2EA21299" w14:textId="291634FE">
            <w:pPr>
              <w:spacing w:line="240" w:lineRule="auto"/>
              <w:ind w:firstLine="0"/>
              <w:rPr>
                <w:rFonts w:ascii="Calibri" w:hAnsi="Calibri" w:eastAsia="Calibri" w:cs="Times New Roman"/>
                <w:sz w:val="22"/>
              </w:rPr>
            </w:pPr>
            <w:r>
              <w:rPr>
                <w:rFonts w:ascii="Calibri" w:hAnsi="Calibri" w:cs="Calibri"/>
                <w:sz w:val="22"/>
              </w:rPr>
              <w:t xml:space="preserve"> $           34.30 </w:t>
            </w:r>
          </w:p>
        </w:tc>
        <w:tc>
          <w:tcPr>
            <w:tcW w:w="1560" w:type="dxa"/>
            <w:vAlign w:val="bottom"/>
          </w:tcPr>
          <w:p w:rsidRPr="00C618BF" w:rsidR="006C4218" w:rsidP="006C4218" w:rsidRDefault="006C4218" w14:paraId="1AB0383F" w14:textId="53FBC45F">
            <w:pPr>
              <w:spacing w:line="240" w:lineRule="auto"/>
              <w:ind w:firstLine="0"/>
              <w:rPr>
                <w:rFonts w:ascii="Calibri" w:hAnsi="Calibri" w:eastAsia="Calibri" w:cs="Times New Roman"/>
                <w:sz w:val="22"/>
              </w:rPr>
            </w:pPr>
            <w:r>
              <w:rPr>
                <w:rFonts w:ascii="Calibri" w:hAnsi="Calibri" w:cs="Calibri"/>
                <w:sz w:val="22"/>
              </w:rPr>
              <w:t xml:space="preserve"> $            35.34 </w:t>
            </w:r>
          </w:p>
        </w:tc>
      </w:tr>
      <w:tr w:rsidRPr="00C618BF" w:rsidR="00C618BF" w:rsidTr="00D2090C" w14:paraId="77951078" w14:textId="77777777">
        <w:tc>
          <w:tcPr>
            <w:tcW w:w="1560" w:type="dxa"/>
          </w:tcPr>
          <w:p w:rsidRPr="00C618BF" w:rsidR="00C618BF" w:rsidP="00C618BF" w:rsidRDefault="00C618BF" w14:paraId="158A3B69"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7315EEA7" w14:textId="77777777">
            <w:pPr>
              <w:spacing w:line="240" w:lineRule="auto"/>
              <w:ind w:firstLine="0"/>
              <w:rPr>
                <w:rFonts w:ascii="Calibri" w:hAnsi="Calibri" w:eastAsia="Calibri" w:cs="Calibri"/>
                <w:sz w:val="22"/>
              </w:rPr>
            </w:pPr>
          </w:p>
        </w:tc>
        <w:tc>
          <w:tcPr>
            <w:tcW w:w="1560" w:type="dxa"/>
          </w:tcPr>
          <w:p w:rsidRPr="00C618BF" w:rsidR="00C618BF" w:rsidP="00C618BF" w:rsidRDefault="00C618BF" w14:paraId="2B716FC2" w14:textId="77777777">
            <w:pPr>
              <w:spacing w:line="240" w:lineRule="auto"/>
              <w:ind w:firstLine="0"/>
              <w:rPr>
                <w:rFonts w:ascii="Calibri" w:hAnsi="Calibri" w:eastAsia="Calibri" w:cs="Calibri"/>
                <w:sz w:val="22"/>
              </w:rPr>
            </w:pPr>
          </w:p>
        </w:tc>
        <w:tc>
          <w:tcPr>
            <w:tcW w:w="1560" w:type="dxa"/>
          </w:tcPr>
          <w:p w:rsidRPr="00C618BF" w:rsidR="00C618BF" w:rsidP="00C618BF" w:rsidRDefault="00C618BF" w14:paraId="39D93F51" w14:textId="77777777">
            <w:pPr>
              <w:spacing w:line="240" w:lineRule="auto"/>
              <w:ind w:firstLine="0"/>
              <w:rPr>
                <w:rFonts w:ascii="Calibri" w:hAnsi="Calibri" w:eastAsia="Calibri" w:cs="Calibri"/>
                <w:sz w:val="22"/>
              </w:rPr>
            </w:pPr>
          </w:p>
        </w:tc>
        <w:tc>
          <w:tcPr>
            <w:tcW w:w="1560" w:type="dxa"/>
          </w:tcPr>
          <w:p w:rsidRPr="00C618BF" w:rsidR="00C618BF" w:rsidP="00C618BF" w:rsidRDefault="00C618BF" w14:paraId="5E5ED819" w14:textId="77777777">
            <w:pPr>
              <w:spacing w:line="240" w:lineRule="auto"/>
              <w:ind w:firstLine="0"/>
              <w:rPr>
                <w:rFonts w:ascii="Calibri" w:hAnsi="Calibri" w:eastAsia="Calibri" w:cs="Calibri"/>
                <w:sz w:val="22"/>
              </w:rPr>
            </w:pPr>
          </w:p>
        </w:tc>
      </w:tr>
    </w:tbl>
    <w:bookmarkEnd w:id="93"/>
    <w:p w:rsidRPr="00C618BF" w:rsidR="00C618BF" w:rsidP="00C618BF" w:rsidRDefault="00C618BF" w14:paraId="2CA5C02F" w14:textId="77777777">
      <w:pPr>
        <w:spacing w:after="160" w:line="259" w:lineRule="auto"/>
        <w:ind w:firstLine="0"/>
        <w:rPr>
          <w:rFonts w:ascii="Calibri" w:hAnsi="Calibri" w:eastAsia="Calibri" w:cs="Times New Roman"/>
          <w:sz w:val="22"/>
        </w:rPr>
      </w:pPr>
      <w:r w:rsidRPr="00C618BF">
        <w:rPr>
          <w:rFonts w:ascii="Calibri" w:hAnsi="Calibri" w:eastAsia="Calibri" w:cs="Times New Roman"/>
          <w:sz w:val="22"/>
        </w:rPr>
        <w:t xml:space="preserve"> </w:t>
      </w:r>
    </w:p>
    <w:tbl>
      <w:tblPr>
        <w:tblStyle w:val="TableGrid2"/>
        <w:tblW w:w="0" w:type="auto"/>
        <w:tblLayout w:type="fixed"/>
        <w:tblLook w:val="06A0" w:firstRow="1" w:lastRow="0" w:firstColumn="1" w:lastColumn="0" w:noHBand="1" w:noVBand="1"/>
      </w:tblPr>
      <w:tblGrid>
        <w:gridCol w:w="2340"/>
        <w:gridCol w:w="1705"/>
        <w:gridCol w:w="1620"/>
        <w:gridCol w:w="990"/>
      </w:tblGrid>
      <w:tr w:rsidRPr="00C618BF" w:rsidR="00C618BF" w:rsidTr="00D2090C" w14:paraId="4BCDC226" w14:textId="77777777">
        <w:tc>
          <w:tcPr>
            <w:tcW w:w="2340" w:type="dxa"/>
          </w:tcPr>
          <w:p w:rsidRPr="00C618BF" w:rsidR="00C618BF" w:rsidP="00C618BF" w:rsidRDefault="00C618BF" w14:paraId="6DCA96D3" w14:textId="77777777">
            <w:pPr>
              <w:spacing w:line="240" w:lineRule="auto"/>
              <w:ind w:firstLine="0"/>
              <w:rPr>
                <w:rFonts w:ascii="Calibri" w:hAnsi="Calibri" w:eastAsia="Calibri" w:cs="Calibri"/>
                <w:sz w:val="22"/>
              </w:rPr>
            </w:pPr>
            <w:r w:rsidRPr="00C618BF">
              <w:rPr>
                <w:rFonts w:ascii="Calibri" w:hAnsi="Calibri" w:eastAsia="Calibri" w:cs="Calibri"/>
                <w:sz w:val="22"/>
              </w:rPr>
              <w:t>Quantity Charge</w:t>
            </w:r>
          </w:p>
        </w:tc>
        <w:tc>
          <w:tcPr>
            <w:tcW w:w="1705" w:type="dxa"/>
          </w:tcPr>
          <w:p w:rsidRPr="00C618BF" w:rsidR="00C618BF" w:rsidP="00C618BF" w:rsidRDefault="00C618BF" w14:paraId="10090EFF" w14:textId="77777777">
            <w:pPr>
              <w:spacing w:line="240" w:lineRule="auto"/>
              <w:ind w:firstLine="0"/>
              <w:rPr>
                <w:rFonts w:ascii="Calibri" w:hAnsi="Calibri" w:eastAsia="Calibri" w:cs="Calibri"/>
                <w:sz w:val="22"/>
                <w:highlight w:val="yellow"/>
              </w:rPr>
            </w:pPr>
          </w:p>
        </w:tc>
        <w:tc>
          <w:tcPr>
            <w:tcW w:w="1620" w:type="dxa"/>
          </w:tcPr>
          <w:p w:rsidRPr="00C618BF" w:rsidR="00C618BF" w:rsidP="00C618BF" w:rsidRDefault="00C618BF" w14:paraId="4691074E" w14:textId="77777777">
            <w:pPr>
              <w:spacing w:line="240" w:lineRule="auto"/>
              <w:ind w:firstLine="0"/>
              <w:rPr>
                <w:rFonts w:ascii="Calibri" w:hAnsi="Calibri" w:eastAsia="Calibri" w:cs="Calibri"/>
                <w:sz w:val="22"/>
                <w:highlight w:val="yellow"/>
              </w:rPr>
            </w:pPr>
          </w:p>
        </w:tc>
        <w:tc>
          <w:tcPr>
            <w:tcW w:w="990" w:type="dxa"/>
          </w:tcPr>
          <w:p w:rsidRPr="00C618BF" w:rsidR="00C618BF" w:rsidP="00C618BF" w:rsidRDefault="00C618BF" w14:paraId="44D21DCB" w14:textId="77777777">
            <w:pPr>
              <w:spacing w:line="240" w:lineRule="auto"/>
              <w:ind w:firstLine="0"/>
              <w:rPr>
                <w:rFonts w:ascii="Calibri" w:hAnsi="Calibri" w:eastAsia="Calibri" w:cs="Calibri"/>
                <w:sz w:val="22"/>
                <w:highlight w:val="yellow"/>
              </w:rPr>
            </w:pPr>
          </w:p>
        </w:tc>
      </w:tr>
      <w:tr w:rsidRPr="00C618BF" w:rsidR="00D70861" w:rsidTr="003B4BA5" w14:paraId="3C3EFB67" w14:textId="77777777">
        <w:tc>
          <w:tcPr>
            <w:tcW w:w="2340" w:type="dxa"/>
            <w:vAlign w:val="bottom"/>
          </w:tcPr>
          <w:p w:rsidRPr="00C618BF" w:rsidR="00D70861" w:rsidP="00D70861" w:rsidRDefault="00D70861" w14:paraId="2F9DF7A2" w14:textId="70A250CD">
            <w:pPr>
              <w:spacing w:line="240" w:lineRule="auto"/>
              <w:ind w:firstLine="0"/>
              <w:rPr>
                <w:rFonts w:ascii="Calibri" w:hAnsi="Calibri" w:eastAsia="Calibri" w:cs="Calibri"/>
                <w:sz w:val="22"/>
              </w:rPr>
            </w:pPr>
            <w:r>
              <w:rPr>
                <w:rFonts w:ascii="Calibri" w:hAnsi="Calibri" w:cs="Calibri"/>
                <w:color w:val="000000"/>
                <w:sz w:val="22"/>
              </w:rPr>
              <w:t>First 11 CCF</w:t>
            </w:r>
          </w:p>
        </w:tc>
        <w:tc>
          <w:tcPr>
            <w:tcW w:w="1705" w:type="dxa"/>
            <w:vAlign w:val="bottom"/>
          </w:tcPr>
          <w:p w:rsidRPr="00C618BF" w:rsidR="00D70861" w:rsidP="00D70861" w:rsidRDefault="00D70861" w14:paraId="5A31D4CC" w14:textId="1E02B5DF">
            <w:pPr>
              <w:spacing w:line="240" w:lineRule="auto"/>
              <w:ind w:firstLine="0"/>
              <w:rPr>
                <w:rFonts w:ascii="Calibri" w:hAnsi="Calibri" w:eastAsia="Calibri" w:cs="Times New Roman"/>
                <w:sz w:val="22"/>
              </w:rPr>
            </w:pPr>
            <w:r>
              <w:rPr>
                <w:rFonts w:ascii="Calibri" w:hAnsi="Calibri" w:cs="Calibri"/>
                <w:sz w:val="22"/>
              </w:rPr>
              <w:t xml:space="preserve"> $               3.819 </w:t>
            </w:r>
          </w:p>
        </w:tc>
        <w:tc>
          <w:tcPr>
            <w:tcW w:w="1620" w:type="dxa"/>
            <w:vAlign w:val="bottom"/>
          </w:tcPr>
          <w:p w:rsidRPr="00C618BF" w:rsidR="00D70861" w:rsidP="00D70861" w:rsidRDefault="00D70861" w14:paraId="44BD72DF" w14:textId="6907E6FA">
            <w:pPr>
              <w:spacing w:line="240" w:lineRule="auto"/>
              <w:ind w:firstLine="0"/>
              <w:rPr>
                <w:rFonts w:ascii="Calibri" w:hAnsi="Calibri" w:eastAsia="Calibri" w:cs="Times New Roman"/>
                <w:sz w:val="22"/>
              </w:rPr>
            </w:pPr>
            <w:r>
              <w:rPr>
                <w:rFonts w:ascii="Calibri" w:hAnsi="Calibri" w:cs="Calibri"/>
                <w:sz w:val="22"/>
              </w:rPr>
              <w:t xml:space="preserve"> $           3.978 </w:t>
            </w:r>
          </w:p>
        </w:tc>
        <w:tc>
          <w:tcPr>
            <w:tcW w:w="990" w:type="dxa"/>
            <w:vAlign w:val="bottom"/>
          </w:tcPr>
          <w:p w:rsidRPr="00C618BF" w:rsidR="00D70861" w:rsidP="00D70861" w:rsidRDefault="00D70861" w14:paraId="32ECA9E8" w14:textId="6F350326">
            <w:pPr>
              <w:spacing w:line="240" w:lineRule="auto"/>
              <w:ind w:firstLine="0"/>
              <w:rPr>
                <w:rFonts w:ascii="Calibri" w:hAnsi="Calibri" w:eastAsia="Calibri" w:cs="Times New Roman"/>
                <w:sz w:val="22"/>
              </w:rPr>
            </w:pPr>
            <w:r>
              <w:rPr>
                <w:rFonts w:ascii="Calibri" w:hAnsi="Calibri" w:cs="Calibri"/>
                <w:sz w:val="22"/>
              </w:rPr>
              <w:t xml:space="preserve"> $            4.102 </w:t>
            </w:r>
          </w:p>
        </w:tc>
      </w:tr>
      <w:tr w:rsidRPr="00C618BF" w:rsidR="00D70861" w:rsidTr="003B4BA5" w14:paraId="46E9B157" w14:textId="77777777">
        <w:tc>
          <w:tcPr>
            <w:tcW w:w="2340" w:type="dxa"/>
            <w:vAlign w:val="bottom"/>
          </w:tcPr>
          <w:p w:rsidRPr="00C618BF" w:rsidR="00D70861" w:rsidP="00D70861" w:rsidRDefault="00D70861" w14:paraId="573F7B41" w14:textId="5FC6AC15">
            <w:pPr>
              <w:spacing w:line="240" w:lineRule="auto"/>
              <w:ind w:firstLine="0"/>
              <w:rPr>
                <w:rFonts w:ascii="Calibri" w:hAnsi="Calibri" w:eastAsia="Calibri" w:cs="Calibri"/>
                <w:sz w:val="22"/>
              </w:rPr>
            </w:pPr>
            <w:r>
              <w:rPr>
                <w:rFonts w:ascii="Calibri" w:hAnsi="Calibri" w:cs="Calibri"/>
                <w:color w:val="000000"/>
                <w:sz w:val="22"/>
              </w:rPr>
              <w:t>All over 11 CCF</w:t>
            </w:r>
          </w:p>
        </w:tc>
        <w:tc>
          <w:tcPr>
            <w:tcW w:w="1705" w:type="dxa"/>
            <w:vAlign w:val="bottom"/>
          </w:tcPr>
          <w:p w:rsidRPr="00C618BF" w:rsidR="00D70861" w:rsidP="00D70861" w:rsidRDefault="00D70861" w14:paraId="3968487A" w14:textId="63C49564">
            <w:pPr>
              <w:spacing w:line="240" w:lineRule="auto"/>
              <w:ind w:firstLine="0"/>
              <w:rPr>
                <w:rFonts w:ascii="Calibri" w:hAnsi="Calibri" w:eastAsia="Calibri" w:cs="Times New Roman"/>
                <w:sz w:val="22"/>
              </w:rPr>
            </w:pPr>
            <w:r>
              <w:rPr>
                <w:rFonts w:ascii="Calibri" w:hAnsi="Calibri" w:cs="Calibri"/>
                <w:sz w:val="22"/>
              </w:rPr>
              <w:t xml:space="preserve"> $               4.422 </w:t>
            </w:r>
          </w:p>
        </w:tc>
        <w:tc>
          <w:tcPr>
            <w:tcW w:w="1620" w:type="dxa"/>
            <w:vAlign w:val="bottom"/>
          </w:tcPr>
          <w:p w:rsidRPr="00C618BF" w:rsidR="00D70861" w:rsidP="00D70861" w:rsidRDefault="00D70861" w14:paraId="70B13E51" w14:textId="07A40F86">
            <w:pPr>
              <w:spacing w:line="240" w:lineRule="auto"/>
              <w:ind w:firstLine="0"/>
              <w:rPr>
                <w:rFonts w:ascii="Calibri" w:hAnsi="Calibri" w:eastAsia="Calibri" w:cs="Times New Roman"/>
                <w:sz w:val="22"/>
              </w:rPr>
            </w:pPr>
            <w:r>
              <w:rPr>
                <w:rFonts w:ascii="Calibri" w:hAnsi="Calibri" w:cs="Calibri"/>
                <w:sz w:val="22"/>
              </w:rPr>
              <w:t xml:space="preserve"> $           4.606 </w:t>
            </w:r>
          </w:p>
        </w:tc>
        <w:tc>
          <w:tcPr>
            <w:tcW w:w="990" w:type="dxa"/>
            <w:vAlign w:val="bottom"/>
          </w:tcPr>
          <w:p w:rsidRPr="00C618BF" w:rsidR="00D70861" w:rsidP="00D70861" w:rsidRDefault="00D70861" w14:paraId="5AB0AD00" w14:textId="3BF43443">
            <w:pPr>
              <w:spacing w:line="240" w:lineRule="auto"/>
              <w:ind w:firstLine="0"/>
              <w:rPr>
                <w:rFonts w:ascii="Calibri" w:hAnsi="Calibri" w:eastAsia="Calibri" w:cs="Times New Roman"/>
                <w:sz w:val="22"/>
              </w:rPr>
            </w:pPr>
            <w:r>
              <w:rPr>
                <w:rFonts w:ascii="Calibri" w:hAnsi="Calibri" w:cs="Calibri"/>
                <w:sz w:val="22"/>
              </w:rPr>
              <w:t xml:space="preserve"> $            4.749 </w:t>
            </w:r>
          </w:p>
        </w:tc>
      </w:tr>
    </w:tbl>
    <w:p w:rsidRPr="00C618BF" w:rsidR="00C618BF" w:rsidP="00C618BF" w:rsidRDefault="00C618BF" w14:paraId="0E45365E" w14:textId="77777777">
      <w:pPr>
        <w:spacing w:after="160" w:line="259" w:lineRule="auto"/>
        <w:ind w:firstLine="0"/>
        <w:rPr>
          <w:rFonts w:ascii="Calibri" w:hAnsi="Calibri" w:eastAsia="Calibri" w:cs="Times New Roman"/>
          <w:sz w:val="22"/>
        </w:rPr>
      </w:pPr>
    </w:p>
    <w:p w:rsidRPr="00C618BF" w:rsidR="00C618BF" w:rsidP="00C618BF" w:rsidRDefault="00C618BF" w14:paraId="10436CDF" w14:textId="77777777">
      <w:pPr>
        <w:spacing w:after="160" w:line="259" w:lineRule="auto"/>
        <w:ind w:firstLine="0"/>
        <w:rPr>
          <w:rFonts w:ascii="Calibri" w:hAnsi="Calibri" w:eastAsia="Calibri" w:cs="Times New Roman"/>
          <w:sz w:val="22"/>
        </w:rPr>
      </w:pPr>
    </w:p>
    <w:p w:rsidRPr="00C618BF" w:rsidR="00C618BF" w:rsidP="00C618BF" w:rsidRDefault="00C618BF" w14:paraId="05B46DBF" w14:textId="77777777">
      <w:pPr>
        <w:spacing w:after="160" w:line="259" w:lineRule="auto"/>
        <w:ind w:firstLine="0"/>
        <w:rPr>
          <w:rFonts w:ascii="Calibri" w:hAnsi="Calibri" w:eastAsia="Calibri" w:cs="Times New Roman"/>
          <w:sz w:val="22"/>
        </w:rPr>
      </w:pPr>
      <w:proofErr w:type="spellStart"/>
      <w:r w:rsidRPr="00C618BF">
        <w:rPr>
          <w:rFonts w:ascii="Calibri" w:hAnsi="Calibri" w:eastAsia="Calibri" w:cs="Times New Roman"/>
          <w:sz w:val="22"/>
        </w:rPr>
        <w:t>Yermo</w:t>
      </w:r>
      <w:proofErr w:type="spellEnd"/>
      <w:r w:rsidRPr="00C618BF">
        <w:rPr>
          <w:rFonts w:ascii="Calibri" w:hAnsi="Calibri" w:eastAsia="Calibri" w:cs="Times New Roman"/>
          <w:sz w:val="22"/>
        </w:rPr>
        <w:t xml:space="preserve"> Residential</w:t>
      </w:r>
    </w:p>
    <w:tbl>
      <w:tblPr>
        <w:tblStyle w:val="TableGrid2"/>
        <w:tblW w:w="0" w:type="auto"/>
        <w:tblLayout w:type="fixed"/>
        <w:tblLook w:val="06A0" w:firstRow="1" w:lastRow="0" w:firstColumn="1" w:lastColumn="0" w:noHBand="1" w:noVBand="1"/>
      </w:tblPr>
      <w:tblGrid>
        <w:gridCol w:w="1560"/>
        <w:gridCol w:w="1560"/>
        <w:gridCol w:w="1560"/>
        <w:gridCol w:w="1560"/>
        <w:gridCol w:w="1560"/>
      </w:tblGrid>
      <w:tr w:rsidRPr="00C618BF" w:rsidR="00C618BF" w:rsidTr="00D2090C" w14:paraId="7953F68D" w14:textId="77777777">
        <w:tc>
          <w:tcPr>
            <w:tcW w:w="1560" w:type="dxa"/>
          </w:tcPr>
          <w:p w:rsidRPr="00C618BF" w:rsidR="00C618BF" w:rsidP="00C618BF" w:rsidRDefault="00C618BF" w14:paraId="75E2FDD8"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20312FEC" w14:textId="77777777">
            <w:pPr>
              <w:spacing w:line="240" w:lineRule="auto"/>
              <w:ind w:firstLine="0"/>
              <w:rPr>
                <w:rFonts w:ascii="Calibri" w:hAnsi="Calibri" w:eastAsia="Calibri" w:cs="Times New Roman"/>
                <w:sz w:val="22"/>
              </w:rPr>
            </w:pPr>
            <w:r w:rsidRPr="00C618BF">
              <w:rPr>
                <w:rFonts w:ascii="Calibri" w:hAnsi="Calibri" w:eastAsia="Calibri" w:cs="Calibri"/>
                <w:sz w:val="22"/>
              </w:rPr>
              <w:t>Meter</w:t>
            </w:r>
          </w:p>
        </w:tc>
        <w:tc>
          <w:tcPr>
            <w:tcW w:w="1560" w:type="dxa"/>
          </w:tcPr>
          <w:p w:rsidRPr="00C618BF" w:rsidR="00C618BF" w:rsidP="00C618BF" w:rsidRDefault="00C618BF" w14:paraId="1A082C4E"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46986F52"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60F38576" w14:textId="77777777">
            <w:pPr>
              <w:spacing w:line="240" w:lineRule="auto"/>
              <w:ind w:firstLine="0"/>
              <w:rPr>
                <w:rFonts w:ascii="Calibri" w:hAnsi="Calibri" w:eastAsia="Calibri" w:cs="Times New Roman"/>
                <w:sz w:val="22"/>
              </w:rPr>
            </w:pPr>
          </w:p>
        </w:tc>
      </w:tr>
      <w:tr w:rsidRPr="00C618BF" w:rsidR="00C618BF" w:rsidTr="00D2090C" w14:paraId="1DC52DC2" w14:textId="77777777">
        <w:tc>
          <w:tcPr>
            <w:tcW w:w="1560" w:type="dxa"/>
          </w:tcPr>
          <w:p w:rsidRPr="00C618BF" w:rsidR="00C618BF" w:rsidP="00C618BF" w:rsidRDefault="00C618BF" w14:paraId="252674A3"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4F555CF7" w14:textId="77777777">
            <w:pPr>
              <w:spacing w:line="240" w:lineRule="auto"/>
              <w:ind w:firstLine="0"/>
              <w:rPr>
                <w:rFonts w:ascii="Calibri" w:hAnsi="Calibri" w:eastAsia="Calibri" w:cs="Times New Roman"/>
                <w:sz w:val="22"/>
              </w:rPr>
            </w:pPr>
            <w:r w:rsidRPr="00C618BF">
              <w:rPr>
                <w:rFonts w:ascii="Calibri" w:hAnsi="Calibri" w:eastAsia="Calibri" w:cs="Calibri"/>
                <w:sz w:val="22"/>
              </w:rPr>
              <w:t>Size</w:t>
            </w:r>
          </w:p>
        </w:tc>
        <w:tc>
          <w:tcPr>
            <w:tcW w:w="1560" w:type="dxa"/>
          </w:tcPr>
          <w:p w:rsidRPr="00C618BF" w:rsidR="00C618BF" w:rsidP="00C618BF" w:rsidRDefault="00C618BF" w14:paraId="18DC6213" w14:textId="77777777">
            <w:pPr>
              <w:spacing w:line="240" w:lineRule="auto"/>
              <w:ind w:firstLine="0"/>
              <w:jc w:val="center"/>
              <w:rPr>
                <w:rFonts w:ascii="Calibri" w:hAnsi="Calibri" w:eastAsia="Calibri" w:cs="Times New Roman"/>
                <w:sz w:val="22"/>
              </w:rPr>
            </w:pPr>
            <w:r w:rsidRPr="00C618BF">
              <w:rPr>
                <w:rFonts w:ascii="Calibri" w:hAnsi="Calibri" w:eastAsia="Calibri" w:cs="Calibri"/>
                <w:sz w:val="22"/>
              </w:rPr>
              <w:t>Meter Charge</w:t>
            </w:r>
          </w:p>
        </w:tc>
        <w:tc>
          <w:tcPr>
            <w:tcW w:w="1560" w:type="dxa"/>
          </w:tcPr>
          <w:p w:rsidRPr="00C618BF" w:rsidR="00C618BF" w:rsidP="00C618BF" w:rsidRDefault="00C618BF" w14:paraId="59AB2D6C"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16FA5CC2" w14:textId="77777777">
            <w:pPr>
              <w:spacing w:line="240" w:lineRule="auto"/>
              <w:ind w:firstLine="0"/>
              <w:rPr>
                <w:rFonts w:ascii="Calibri" w:hAnsi="Calibri" w:eastAsia="Calibri" w:cs="Times New Roman"/>
                <w:sz w:val="22"/>
              </w:rPr>
            </w:pPr>
          </w:p>
        </w:tc>
      </w:tr>
      <w:tr w:rsidRPr="00C618BF" w:rsidR="00664F3C" w:rsidTr="003B4BA5" w14:paraId="43E5206D" w14:textId="77777777">
        <w:tc>
          <w:tcPr>
            <w:tcW w:w="1560" w:type="dxa"/>
          </w:tcPr>
          <w:p w:rsidRPr="00C618BF" w:rsidR="00664F3C" w:rsidP="00664F3C" w:rsidRDefault="00664F3C" w14:paraId="3079368E" w14:textId="77777777">
            <w:pPr>
              <w:spacing w:line="240" w:lineRule="auto"/>
              <w:ind w:firstLine="0"/>
              <w:rPr>
                <w:rFonts w:ascii="Calibri" w:hAnsi="Calibri" w:eastAsia="Calibri" w:cs="Times New Roman"/>
                <w:sz w:val="22"/>
              </w:rPr>
            </w:pPr>
            <w:r w:rsidRPr="00C618BF">
              <w:rPr>
                <w:rFonts w:ascii="Calibri" w:hAnsi="Calibri" w:eastAsia="Calibri" w:cs="Calibri"/>
                <w:sz w:val="22"/>
              </w:rPr>
              <w:t>Meter Charge</w:t>
            </w:r>
          </w:p>
        </w:tc>
        <w:tc>
          <w:tcPr>
            <w:tcW w:w="1560" w:type="dxa"/>
          </w:tcPr>
          <w:p w:rsidRPr="00C618BF" w:rsidR="00664F3C" w:rsidP="00664F3C" w:rsidRDefault="00664F3C" w14:paraId="352EBF93" w14:textId="77777777">
            <w:pPr>
              <w:spacing w:line="240" w:lineRule="auto"/>
              <w:ind w:firstLine="0"/>
              <w:rPr>
                <w:rFonts w:ascii="Calibri" w:hAnsi="Calibri" w:eastAsia="Calibri" w:cs="Times New Roman"/>
                <w:sz w:val="22"/>
              </w:rPr>
            </w:pPr>
            <w:r w:rsidRPr="00C618BF">
              <w:rPr>
                <w:rFonts w:ascii="Calibri" w:hAnsi="Calibri" w:eastAsia="Calibri" w:cs="Calibri"/>
                <w:sz w:val="22"/>
              </w:rPr>
              <w:t>5/8"</w:t>
            </w:r>
          </w:p>
        </w:tc>
        <w:tc>
          <w:tcPr>
            <w:tcW w:w="1560" w:type="dxa"/>
            <w:vAlign w:val="bottom"/>
          </w:tcPr>
          <w:p w:rsidRPr="00C618BF" w:rsidR="00664F3C" w:rsidP="00664F3C" w:rsidRDefault="00664F3C" w14:paraId="5D784A02" w14:textId="2285CB1A">
            <w:pPr>
              <w:spacing w:line="240" w:lineRule="auto"/>
              <w:ind w:firstLine="0"/>
              <w:rPr>
                <w:rFonts w:ascii="Calibri" w:hAnsi="Calibri" w:eastAsia="Calibri" w:cs="Times New Roman"/>
                <w:sz w:val="22"/>
              </w:rPr>
            </w:pPr>
            <w:r>
              <w:rPr>
                <w:rFonts w:ascii="Calibri" w:hAnsi="Calibri" w:cs="Calibri"/>
                <w:color w:val="000000"/>
                <w:sz w:val="22"/>
              </w:rPr>
              <w:t xml:space="preserve"> $               34.70 </w:t>
            </w:r>
          </w:p>
        </w:tc>
        <w:tc>
          <w:tcPr>
            <w:tcW w:w="1560" w:type="dxa"/>
            <w:vAlign w:val="bottom"/>
          </w:tcPr>
          <w:p w:rsidRPr="00C618BF" w:rsidR="00664F3C" w:rsidP="00664F3C" w:rsidRDefault="00664F3C" w14:paraId="6ABC263C" w14:textId="01CD7958">
            <w:pPr>
              <w:spacing w:line="240" w:lineRule="auto"/>
              <w:ind w:firstLine="0"/>
              <w:rPr>
                <w:rFonts w:ascii="Calibri" w:hAnsi="Calibri" w:eastAsia="Calibri" w:cs="Times New Roman"/>
                <w:sz w:val="22"/>
              </w:rPr>
            </w:pPr>
            <w:r>
              <w:rPr>
                <w:rFonts w:ascii="Calibri" w:hAnsi="Calibri" w:cs="Calibri"/>
                <w:color w:val="000000"/>
                <w:sz w:val="22"/>
              </w:rPr>
              <w:t xml:space="preserve"> $           39.26 </w:t>
            </w:r>
          </w:p>
        </w:tc>
        <w:tc>
          <w:tcPr>
            <w:tcW w:w="1560" w:type="dxa"/>
            <w:vAlign w:val="bottom"/>
          </w:tcPr>
          <w:p w:rsidRPr="00C618BF" w:rsidR="00664F3C" w:rsidP="00664F3C" w:rsidRDefault="00664F3C" w14:paraId="4F13C122" w14:textId="42B4D0BA">
            <w:pPr>
              <w:spacing w:line="240" w:lineRule="auto"/>
              <w:ind w:firstLine="0"/>
              <w:rPr>
                <w:rFonts w:ascii="Calibri" w:hAnsi="Calibri" w:eastAsia="Calibri" w:cs="Times New Roman"/>
                <w:sz w:val="22"/>
              </w:rPr>
            </w:pPr>
            <w:r>
              <w:rPr>
                <w:rFonts w:ascii="Calibri" w:hAnsi="Calibri" w:cs="Calibri"/>
                <w:color w:val="000000"/>
                <w:sz w:val="22"/>
              </w:rPr>
              <w:t xml:space="preserve"> $            42.18 </w:t>
            </w:r>
          </w:p>
        </w:tc>
      </w:tr>
      <w:tr w:rsidRPr="00C618BF" w:rsidR="00664F3C" w:rsidTr="003B4BA5" w14:paraId="6EA2F78E" w14:textId="77777777">
        <w:tc>
          <w:tcPr>
            <w:tcW w:w="1560" w:type="dxa"/>
          </w:tcPr>
          <w:p w:rsidRPr="00C618BF" w:rsidR="00664F3C" w:rsidP="00664F3C" w:rsidRDefault="00664F3C" w14:paraId="4819BEBA" w14:textId="77777777">
            <w:pPr>
              <w:spacing w:line="240" w:lineRule="auto"/>
              <w:ind w:firstLine="0"/>
              <w:rPr>
                <w:rFonts w:ascii="Calibri" w:hAnsi="Calibri" w:eastAsia="Calibri" w:cs="Times New Roman"/>
                <w:sz w:val="22"/>
              </w:rPr>
            </w:pPr>
          </w:p>
        </w:tc>
        <w:tc>
          <w:tcPr>
            <w:tcW w:w="1560" w:type="dxa"/>
          </w:tcPr>
          <w:p w:rsidRPr="00C618BF" w:rsidR="00664F3C" w:rsidP="00664F3C" w:rsidRDefault="00664F3C" w14:paraId="1EB6CA34" w14:textId="77777777">
            <w:pPr>
              <w:spacing w:line="240" w:lineRule="auto"/>
              <w:ind w:firstLine="0"/>
              <w:rPr>
                <w:rFonts w:ascii="Calibri" w:hAnsi="Calibri" w:eastAsia="Calibri" w:cs="Times New Roman"/>
                <w:sz w:val="22"/>
              </w:rPr>
            </w:pPr>
            <w:r w:rsidRPr="00C618BF">
              <w:rPr>
                <w:rFonts w:ascii="Calibri" w:hAnsi="Calibri" w:eastAsia="Calibri" w:cs="Calibri"/>
                <w:sz w:val="22"/>
              </w:rPr>
              <w:t>3/4"</w:t>
            </w:r>
          </w:p>
        </w:tc>
        <w:tc>
          <w:tcPr>
            <w:tcW w:w="1560" w:type="dxa"/>
            <w:vAlign w:val="bottom"/>
          </w:tcPr>
          <w:p w:rsidRPr="00C618BF" w:rsidR="00664F3C" w:rsidP="00664F3C" w:rsidRDefault="00664F3C" w14:paraId="6577DE31" w14:textId="2DB84C69">
            <w:pPr>
              <w:spacing w:line="240" w:lineRule="auto"/>
              <w:ind w:firstLine="0"/>
              <w:rPr>
                <w:rFonts w:ascii="Calibri" w:hAnsi="Calibri" w:eastAsia="Calibri" w:cs="Times New Roman"/>
                <w:sz w:val="22"/>
              </w:rPr>
            </w:pPr>
            <w:r>
              <w:rPr>
                <w:rFonts w:ascii="Calibri" w:hAnsi="Calibri" w:cs="Calibri"/>
                <w:color w:val="000000"/>
                <w:sz w:val="22"/>
              </w:rPr>
              <w:t xml:space="preserve"> $               52.05 </w:t>
            </w:r>
          </w:p>
        </w:tc>
        <w:tc>
          <w:tcPr>
            <w:tcW w:w="1560" w:type="dxa"/>
            <w:vAlign w:val="bottom"/>
          </w:tcPr>
          <w:p w:rsidRPr="00C618BF" w:rsidR="00664F3C" w:rsidP="00664F3C" w:rsidRDefault="00664F3C" w14:paraId="4293EB92" w14:textId="125824A6">
            <w:pPr>
              <w:spacing w:line="240" w:lineRule="auto"/>
              <w:ind w:firstLine="0"/>
              <w:rPr>
                <w:rFonts w:ascii="Calibri" w:hAnsi="Calibri" w:eastAsia="Calibri" w:cs="Times New Roman"/>
                <w:sz w:val="22"/>
              </w:rPr>
            </w:pPr>
            <w:r>
              <w:rPr>
                <w:rFonts w:ascii="Calibri" w:hAnsi="Calibri" w:cs="Calibri"/>
                <w:color w:val="000000"/>
                <w:sz w:val="22"/>
              </w:rPr>
              <w:t xml:space="preserve"> $           58.89 </w:t>
            </w:r>
          </w:p>
        </w:tc>
        <w:tc>
          <w:tcPr>
            <w:tcW w:w="1560" w:type="dxa"/>
            <w:vAlign w:val="bottom"/>
          </w:tcPr>
          <w:p w:rsidRPr="00C618BF" w:rsidR="00664F3C" w:rsidP="00664F3C" w:rsidRDefault="00664F3C" w14:paraId="3FC11DDA" w14:textId="5A82B93D">
            <w:pPr>
              <w:spacing w:line="240" w:lineRule="auto"/>
              <w:ind w:firstLine="0"/>
              <w:rPr>
                <w:rFonts w:ascii="Calibri" w:hAnsi="Calibri" w:eastAsia="Calibri" w:cs="Times New Roman"/>
                <w:sz w:val="22"/>
              </w:rPr>
            </w:pPr>
            <w:r>
              <w:rPr>
                <w:rFonts w:ascii="Calibri" w:hAnsi="Calibri" w:cs="Calibri"/>
                <w:color w:val="000000"/>
                <w:sz w:val="22"/>
              </w:rPr>
              <w:t xml:space="preserve"> $            63.27 </w:t>
            </w:r>
          </w:p>
        </w:tc>
      </w:tr>
      <w:tr w:rsidRPr="00C618BF" w:rsidR="00664F3C" w:rsidTr="003B4BA5" w14:paraId="41C9ACE9" w14:textId="77777777">
        <w:tc>
          <w:tcPr>
            <w:tcW w:w="1560" w:type="dxa"/>
          </w:tcPr>
          <w:p w:rsidRPr="00C618BF" w:rsidR="00664F3C" w:rsidP="00664F3C" w:rsidRDefault="00664F3C" w14:paraId="7CFFE7BC" w14:textId="77777777">
            <w:pPr>
              <w:spacing w:line="240" w:lineRule="auto"/>
              <w:ind w:firstLine="0"/>
              <w:rPr>
                <w:rFonts w:ascii="Calibri" w:hAnsi="Calibri" w:eastAsia="Calibri" w:cs="Times New Roman"/>
                <w:sz w:val="22"/>
              </w:rPr>
            </w:pPr>
          </w:p>
        </w:tc>
        <w:tc>
          <w:tcPr>
            <w:tcW w:w="1560" w:type="dxa"/>
          </w:tcPr>
          <w:p w:rsidRPr="00C618BF" w:rsidR="00664F3C" w:rsidP="00664F3C" w:rsidRDefault="00664F3C" w14:paraId="006A1FE5" w14:textId="77777777">
            <w:pPr>
              <w:spacing w:line="240" w:lineRule="auto"/>
              <w:ind w:firstLine="0"/>
              <w:rPr>
                <w:rFonts w:ascii="Calibri" w:hAnsi="Calibri" w:eastAsia="Calibri" w:cs="Times New Roman"/>
                <w:sz w:val="22"/>
              </w:rPr>
            </w:pPr>
            <w:r w:rsidRPr="00C618BF">
              <w:rPr>
                <w:rFonts w:ascii="Calibri" w:hAnsi="Calibri" w:eastAsia="Calibri" w:cs="Calibri"/>
                <w:sz w:val="22"/>
              </w:rPr>
              <w:t>1"</w:t>
            </w:r>
          </w:p>
        </w:tc>
        <w:tc>
          <w:tcPr>
            <w:tcW w:w="1560" w:type="dxa"/>
            <w:vAlign w:val="bottom"/>
          </w:tcPr>
          <w:p w:rsidRPr="00C618BF" w:rsidR="00664F3C" w:rsidP="00664F3C" w:rsidRDefault="00664F3C" w14:paraId="02564CC4" w14:textId="64093731">
            <w:pPr>
              <w:spacing w:line="240" w:lineRule="auto"/>
              <w:ind w:firstLine="0"/>
              <w:rPr>
                <w:rFonts w:ascii="Calibri" w:hAnsi="Calibri" w:eastAsia="Calibri" w:cs="Times New Roman"/>
                <w:sz w:val="22"/>
              </w:rPr>
            </w:pPr>
            <w:r>
              <w:rPr>
                <w:rFonts w:ascii="Calibri" w:hAnsi="Calibri" w:cs="Calibri"/>
                <w:color w:val="000000"/>
                <w:sz w:val="22"/>
              </w:rPr>
              <w:t xml:space="preserve"> $               86.75 </w:t>
            </w:r>
          </w:p>
        </w:tc>
        <w:tc>
          <w:tcPr>
            <w:tcW w:w="1560" w:type="dxa"/>
            <w:vAlign w:val="bottom"/>
          </w:tcPr>
          <w:p w:rsidRPr="00C618BF" w:rsidR="00664F3C" w:rsidP="00664F3C" w:rsidRDefault="00664F3C" w14:paraId="43CBB400" w14:textId="5097516E">
            <w:pPr>
              <w:spacing w:line="240" w:lineRule="auto"/>
              <w:ind w:firstLine="0"/>
              <w:rPr>
                <w:rFonts w:ascii="Calibri" w:hAnsi="Calibri" w:eastAsia="Calibri" w:cs="Times New Roman"/>
                <w:sz w:val="22"/>
              </w:rPr>
            </w:pPr>
            <w:r>
              <w:rPr>
                <w:rFonts w:ascii="Calibri" w:hAnsi="Calibri" w:cs="Calibri"/>
                <w:color w:val="000000"/>
                <w:sz w:val="22"/>
              </w:rPr>
              <w:t xml:space="preserve"> $           98.15 </w:t>
            </w:r>
          </w:p>
        </w:tc>
        <w:tc>
          <w:tcPr>
            <w:tcW w:w="1560" w:type="dxa"/>
            <w:vAlign w:val="bottom"/>
          </w:tcPr>
          <w:p w:rsidRPr="00C618BF" w:rsidR="00664F3C" w:rsidP="00664F3C" w:rsidRDefault="00664F3C" w14:paraId="78C53D32" w14:textId="581BC1C0">
            <w:pPr>
              <w:spacing w:line="240" w:lineRule="auto"/>
              <w:ind w:firstLine="0"/>
              <w:rPr>
                <w:rFonts w:ascii="Calibri" w:hAnsi="Calibri" w:eastAsia="Calibri" w:cs="Times New Roman"/>
                <w:sz w:val="22"/>
              </w:rPr>
            </w:pPr>
            <w:r>
              <w:rPr>
                <w:rFonts w:ascii="Calibri" w:hAnsi="Calibri" w:cs="Calibri"/>
                <w:color w:val="000000"/>
                <w:sz w:val="22"/>
              </w:rPr>
              <w:t xml:space="preserve"> $          105.45 </w:t>
            </w:r>
          </w:p>
        </w:tc>
      </w:tr>
      <w:tr w:rsidRPr="00C618BF" w:rsidR="00664F3C" w:rsidTr="003B4BA5" w14:paraId="1702F8A8" w14:textId="77777777">
        <w:tc>
          <w:tcPr>
            <w:tcW w:w="1560" w:type="dxa"/>
          </w:tcPr>
          <w:p w:rsidRPr="00C618BF" w:rsidR="00664F3C" w:rsidP="00664F3C" w:rsidRDefault="00664F3C" w14:paraId="70FB4953" w14:textId="77777777">
            <w:pPr>
              <w:spacing w:line="240" w:lineRule="auto"/>
              <w:ind w:firstLine="0"/>
              <w:rPr>
                <w:rFonts w:ascii="Calibri" w:hAnsi="Calibri" w:eastAsia="Calibri" w:cs="Times New Roman"/>
                <w:sz w:val="22"/>
              </w:rPr>
            </w:pPr>
          </w:p>
        </w:tc>
        <w:tc>
          <w:tcPr>
            <w:tcW w:w="1560" w:type="dxa"/>
          </w:tcPr>
          <w:p w:rsidRPr="00C618BF" w:rsidR="00664F3C" w:rsidP="00664F3C" w:rsidRDefault="00664F3C" w14:paraId="7338D775" w14:textId="77777777">
            <w:pPr>
              <w:spacing w:line="240" w:lineRule="auto"/>
              <w:ind w:firstLine="0"/>
              <w:rPr>
                <w:rFonts w:ascii="Calibri" w:hAnsi="Calibri" w:eastAsia="Calibri" w:cs="Times New Roman"/>
                <w:sz w:val="22"/>
              </w:rPr>
            </w:pPr>
            <w:r w:rsidRPr="00C618BF">
              <w:rPr>
                <w:rFonts w:ascii="Calibri" w:hAnsi="Calibri" w:eastAsia="Calibri" w:cs="Calibri"/>
                <w:sz w:val="22"/>
              </w:rPr>
              <w:t>1-1/2"</w:t>
            </w:r>
          </w:p>
        </w:tc>
        <w:tc>
          <w:tcPr>
            <w:tcW w:w="1560" w:type="dxa"/>
            <w:vAlign w:val="bottom"/>
          </w:tcPr>
          <w:p w:rsidRPr="00C618BF" w:rsidR="00664F3C" w:rsidP="00664F3C" w:rsidRDefault="00664F3C" w14:paraId="66AE8954" w14:textId="3BE4C5F5">
            <w:pPr>
              <w:spacing w:line="240" w:lineRule="auto"/>
              <w:ind w:firstLine="0"/>
              <w:rPr>
                <w:rFonts w:ascii="Calibri" w:hAnsi="Calibri" w:eastAsia="Calibri" w:cs="Times New Roman"/>
                <w:sz w:val="22"/>
              </w:rPr>
            </w:pPr>
            <w:r>
              <w:rPr>
                <w:rFonts w:ascii="Calibri" w:hAnsi="Calibri" w:cs="Calibri"/>
                <w:color w:val="000000"/>
                <w:sz w:val="22"/>
              </w:rPr>
              <w:t xml:space="preserve"> $             173.50 </w:t>
            </w:r>
          </w:p>
        </w:tc>
        <w:tc>
          <w:tcPr>
            <w:tcW w:w="1560" w:type="dxa"/>
            <w:vAlign w:val="bottom"/>
          </w:tcPr>
          <w:p w:rsidRPr="00C618BF" w:rsidR="00664F3C" w:rsidP="00664F3C" w:rsidRDefault="00664F3C" w14:paraId="50D75606" w14:textId="528B0E5C">
            <w:pPr>
              <w:spacing w:line="240" w:lineRule="auto"/>
              <w:ind w:firstLine="0"/>
              <w:rPr>
                <w:rFonts w:ascii="Calibri" w:hAnsi="Calibri" w:eastAsia="Calibri" w:cs="Times New Roman"/>
                <w:sz w:val="22"/>
              </w:rPr>
            </w:pPr>
            <w:r>
              <w:rPr>
                <w:rFonts w:ascii="Calibri" w:hAnsi="Calibri" w:cs="Calibri"/>
                <w:color w:val="000000"/>
                <w:sz w:val="22"/>
              </w:rPr>
              <w:t xml:space="preserve"> $         196.30 </w:t>
            </w:r>
          </w:p>
        </w:tc>
        <w:tc>
          <w:tcPr>
            <w:tcW w:w="1560" w:type="dxa"/>
            <w:vAlign w:val="bottom"/>
          </w:tcPr>
          <w:p w:rsidRPr="00C618BF" w:rsidR="00664F3C" w:rsidP="00664F3C" w:rsidRDefault="00664F3C" w14:paraId="700BFD57" w14:textId="3BB2CEC4">
            <w:pPr>
              <w:spacing w:line="240" w:lineRule="auto"/>
              <w:ind w:firstLine="0"/>
              <w:rPr>
                <w:rFonts w:ascii="Calibri" w:hAnsi="Calibri" w:eastAsia="Calibri" w:cs="Times New Roman"/>
                <w:sz w:val="22"/>
              </w:rPr>
            </w:pPr>
            <w:r>
              <w:rPr>
                <w:rFonts w:ascii="Calibri" w:hAnsi="Calibri" w:cs="Calibri"/>
                <w:color w:val="000000"/>
                <w:sz w:val="22"/>
              </w:rPr>
              <w:t xml:space="preserve"> $          210.90 </w:t>
            </w:r>
          </w:p>
        </w:tc>
      </w:tr>
      <w:tr w:rsidRPr="00C618BF" w:rsidR="00664F3C" w:rsidTr="003B4BA5" w14:paraId="32A8BD6A" w14:textId="77777777">
        <w:tc>
          <w:tcPr>
            <w:tcW w:w="1560" w:type="dxa"/>
          </w:tcPr>
          <w:p w:rsidRPr="00C618BF" w:rsidR="00664F3C" w:rsidP="00664F3C" w:rsidRDefault="00664F3C" w14:paraId="6809F6DB" w14:textId="77777777">
            <w:pPr>
              <w:spacing w:line="240" w:lineRule="auto"/>
              <w:ind w:firstLine="0"/>
              <w:rPr>
                <w:rFonts w:ascii="Calibri" w:hAnsi="Calibri" w:eastAsia="Calibri" w:cs="Times New Roman"/>
                <w:sz w:val="22"/>
              </w:rPr>
            </w:pPr>
          </w:p>
        </w:tc>
        <w:tc>
          <w:tcPr>
            <w:tcW w:w="1560" w:type="dxa"/>
          </w:tcPr>
          <w:p w:rsidRPr="00C618BF" w:rsidR="00664F3C" w:rsidP="00664F3C" w:rsidRDefault="00664F3C" w14:paraId="615027BE" w14:textId="77777777">
            <w:pPr>
              <w:spacing w:line="240" w:lineRule="auto"/>
              <w:ind w:firstLine="0"/>
              <w:rPr>
                <w:rFonts w:ascii="Calibri" w:hAnsi="Calibri" w:eastAsia="Calibri" w:cs="Times New Roman"/>
                <w:sz w:val="22"/>
              </w:rPr>
            </w:pPr>
            <w:r w:rsidRPr="00C618BF">
              <w:rPr>
                <w:rFonts w:ascii="Calibri" w:hAnsi="Calibri" w:eastAsia="Calibri" w:cs="Calibri"/>
                <w:sz w:val="22"/>
              </w:rPr>
              <w:t>2"</w:t>
            </w:r>
          </w:p>
        </w:tc>
        <w:tc>
          <w:tcPr>
            <w:tcW w:w="1560" w:type="dxa"/>
            <w:vAlign w:val="bottom"/>
          </w:tcPr>
          <w:p w:rsidRPr="00C618BF" w:rsidR="00664F3C" w:rsidP="00664F3C" w:rsidRDefault="00664F3C" w14:paraId="5B118B59" w14:textId="55B30BE5">
            <w:pPr>
              <w:spacing w:line="240" w:lineRule="auto"/>
              <w:ind w:firstLine="0"/>
              <w:rPr>
                <w:rFonts w:ascii="Calibri" w:hAnsi="Calibri" w:eastAsia="Calibri" w:cs="Times New Roman"/>
                <w:sz w:val="22"/>
              </w:rPr>
            </w:pPr>
            <w:r>
              <w:rPr>
                <w:rFonts w:ascii="Calibri" w:hAnsi="Calibri" w:cs="Calibri"/>
                <w:color w:val="000000"/>
                <w:sz w:val="22"/>
              </w:rPr>
              <w:t xml:space="preserve"> $             277.60 </w:t>
            </w:r>
          </w:p>
        </w:tc>
        <w:tc>
          <w:tcPr>
            <w:tcW w:w="1560" w:type="dxa"/>
            <w:vAlign w:val="bottom"/>
          </w:tcPr>
          <w:p w:rsidRPr="00C618BF" w:rsidR="00664F3C" w:rsidP="00664F3C" w:rsidRDefault="00664F3C" w14:paraId="4B1BC1AE" w14:textId="50DC3019">
            <w:pPr>
              <w:spacing w:line="240" w:lineRule="auto"/>
              <w:ind w:firstLine="0"/>
              <w:rPr>
                <w:rFonts w:ascii="Calibri" w:hAnsi="Calibri" w:eastAsia="Calibri" w:cs="Times New Roman"/>
                <w:sz w:val="22"/>
              </w:rPr>
            </w:pPr>
            <w:r>
              <w:rPr>
                <w:rFonts w:ascii="Calibri" w:hAnsi="Calibri" w:cs="Calibri"/>
                <w:color w:val="000000"/>
                <w:sz w:val="22"/>
              </w:rPr>
              <w:t xml:space="preserve"> $         314.08 </w:t>
            </w:r>
          </w:p>
        </w:tc>
        <w:tc>
          <w:tcPr>
            <w:tcW w:w="1560" w:type="dxa"/>
            <w:vAlign w:val="bottom"/>
          </w:tcPr>
          <w:p w:rsidRPr="00C618BF" w:rsidR="00664F3C" w:rsidP="00664F3C" w:rsidRDefault="00664F3C" w14:paraId="02E1FCB7" w14:textId="2A2E1C1B">
            <w:pPr>
              <w:spacing w:line="240" w:lineRule="auto"/>
              <w:ind w:firstLine="0"/>
              <w:rPr>
                <w:rFonts w:ascii="Calibri" w:hAnsi="Calibri" w:eastAsia="Calibri" w:cs="Times New Roman"/>
                <w:sz w:val="22"/>
              </w:rPr>
            </w:pPr>
            <w:r>
              <w:rPr>
                <w:rFonts w:ascii="Calibri" w:hAnsi="Calibri" w:cs="Calibri"/>
                <w:color w:val="000000"/>
                <w:sz w:val="22"/>
              </w:rPr>
              <w:t xml:space="preserve"> $          337.44 </w:t>
            </w:r>
          </w:p>
        </w:tc>
      </w:tr>
      <w:tr w:rsidRPr="00C618BF" w:rsidR="00664F3C" w:rsidTr="003B4BA5" w14:paraId="35110D71" w14:textId="77777777">
        <w:tc>
          <w:tcPr>
            <w:tcW w:w="1560" w:type="dxa"/>
          </w:tcPr>
          <w:p w:rsidRPr="00C618BF" w:rsidR="00664F3C" w:rsidP="00664F3C" w:rsidRDefault="00664F3C" w14:paraId="0E77698C" w14:textId="77777777">
            <w:pPr>
              <w:spacing w:line="240" w:lineRule="auto"/>
              <w:ind w:firstLine="0"/>
              <w:rPr>
                <w:rFonts w:ascii="Calibri" w:hAnsi="Calibri" w:eastAsia="Calibri" w:cs="Times New Roman"/>
                <w:sz w:val="22"/>
              </w:rPr>
            </w:pPr>
          </w:p>
        </w:tc>
        <w:tc>
          <w:tcPr>
            <w:tcW w:w="1560" w:type="dxa"/>
          </w:tcPr>
          <w:p w:rsidRPr="00C618BF" w:rsidR="00664F3C" w:rsidP="00664F3C" w:rsidRDefault="00664F3C" w14:paraId="1618E8C4" w14:textId="77777777">
            <w:pPr>
              <w:spacing w:line="240" w:lineRule="auto"/>
              <w:ind w:firstLine="0"/>
              <w:rPr>
                <w:rFonts w:ascii="Calibri" w:hAnsi="Calibri" w:eastAsia="Calibri" w:cs="Times New Roman"/>
                <w:sz w:val="22"/>
              </w:rPr>
            </w:pPr>
            <w:r w:rsidRPr="00C618BF">
              <w:rPr>
                <w:rFonts w:ascii="Calibri" w:hAnsi="Calibri" w:eastAsia="Calibri" w:cs="Calibri"/>
                <w:sz w:val="22"/>
              </w:rPr>
              <w:t>3"</w:t>
            </w:r>
          </w:p>
        </w:tc>
        <w:tc>
          <w:tcPr>
            <w:tcW w:w="1560" w:type="dxa"/>
            <w:vAlign w:val="bottom"/>
          </w:tcPr>
          <w:p w:rsidRPr="00C618BF" w:rsidR="00664F3C" w:rsidP="00664F3C" w:rsidRDefault="00664F3C" w14:paraId="54A676ED" w14:textId="45F8F64C">
            <w:pPr>
              <w:spacing w:line="240" w:lineRule="auto"/>
              <w:ind w:firstLine="0"/>
              <w:rPr>
                <w:rFonts w:ascii="Calibri" w:hAnsi="Calibri" w:eastAsia="Calibri" w:cs="Times New Roman"/>
                <w:sz w:val="22"/>
              </w:rPr>
            </w:pPr>
            <w:r>
              <w:rPr>
                <w:rFonts w:ascii="Calibri" w:hAnsi="Calibri" w:cs="Calibri"/>
                <w:color w:val="000000"/>
                <w:sz w:val="22"/>
              </w:rPr>
              <w:t xml:space="preserve"> $             520.50 </w:t>
            </w:r>
          </w:p>
        </w:tc>
        <w:tc>
          <w:tcPr>
            <w:tcW w:w="1560" w:type="dxa"/>
            <w:vAlign w:val="bottom"/>
          </w:tcPr>
          <w:p w:rsidRPr="00C618BF" w:rsidR="00664F3C" w:rsidP="00664F3C" w:rsidRDefault="00664F3C" w14:paraId="112D4621" w14:textId="7B0DAE2D">
            <w:pPr>
              <w:spacing w:line="240" w:lineRule="auto"/>
              <w:ind w:firstLine="0"/>
              <w:rPr>
                <w:rFonts w:ascii="Calibri" w:hAnsi="Calibri" w:eastAsia="Calibri" w:cs="Times New Roman"/>
                <w:sz w:val="22"/>
              </w:rPr>
            </w:pPr>
            <w:r>
              <w:rPr>
                <w:rFonts w:ascii="Calibri" w:hAnsi="Calibri" w:cs="Calibri"/>
                <w:color w:val="000000"/>
                <w:sz w:val="22"/>
              </w:rPr>
              <w:t xml:space="preserve"> $         588.90 </w:t>
            </w:r>
          </w:p>
        </w:tc>
        <w:tc>
          <w:tcPr>
            <w:tcW w:w="1560" w:type="dxa"/>
            <w:vAlign w:val="bottom"/>
          </w:tcPr>
          <w:p w:rsidRPr="00C618BF" w:rsidR="00664F3C" w:rsidP="00664F3C" w:rsidRDefault="00664F3C" w14:paraId="10E82646" w14:textId="56DFFC1E">
            <w:pPr>
              <w:spacing w:line="240" w:lineRule="auto"/>
              <w:ind w:firstLine="0"/>
              <w:rPr>
                <w:rFonts w:ascii="Calibri" w:hAnsi="Calibri" w:eastAsia="Calibri" w:cs="Times New Roman"/>
                <w:sz w:val="22"/>
              </w:rPr>
            </w:pPr>
            <w:r>
              <w:rPr>
                <w:rFonts w:ascii="Calibri" w:hAnsi="Calibri" w:cs="Calibri"/>
                <w:color w:val="000000"/>
                <w:sz w:val="22"/>
              </w:rPr>
              <w:t xml:space="preserve"> $          632.70 </w:t>
            </w:r>
          </w:p>
        </w:tc>
      </w:tr>
      <w:tr w:rsidRPr="00C618BF" w:rsidR="00664F3C" w:rsidTr="003B4BA5" w14:paraId="3DDA0ADE" w14:textId="77777777">
        <w:tc>
          <w:tcPr>
            <w:tcW w:w="1560" w:type="dxa"/>
          </w:tcPr>
          <w:p w:rsidRPr="00C618BF" w:rsidR="00664F3C" w:rsidP="00664F3C" w:rsidRDefault="00664F3C" w14:paraId="6A3D82DD" w14:textId="77777777">
            <w:pPr>
              <w:spacing w:line="240" w:lineRule="auto"/>
              <w:ind w:firstLine="0"/>
              <w:rPr>
                <w:rFonts w:ascii="Calibri" w:hAnsi="Calibri" w:eastAsia="Calibri" w:cs="Times New Roman"/>
                <w:sz w:val="22"/>
              </w:rPr>
            </w:pPr>
          </w:p>
        </w:tc>
        <w:tc>
          <w:tcPr>
            <w:tcW w:w="1560" w:type="dxa"/>
          </w:tcPr>
          <w:p w:rsidRPr="00C618BF" w:rsidR="00664F3C" w:rsidP="00664F3C" w:rsidRDefault="00664F3C" w14:paraId="54D237D1" w14:textId="77777777">
            <w:pPr>
              <w:spacing w:line="240" w:lineRule="auto"/>
              <w:ind w:firstLine="0"/>
              <w:rPr>
                <w:rFonts w:ascii="Calibri" w:hAnsi="Calibri" w:eastAsia="Calibri" w:cs="Times New Roman"/>
                <w:sz w:val="22"/>
              </w:rPr>
            </w:pPr>
            <w:r w:rsidRPr="00C618BF">
              <w:rPr>
                <w:rFonts w:ascii="Calibri" w:hAnsi="Calibri" w:eastAsia="Calibri" w:cs="Calibri"/>
                <w:sz w:val="22"/>
              </w:rPr>
              <w:t>4"</w:t>
            </w:r>
          </w:p>
        </w:tc>
        <w:tc>
          <w:tcPr>
            <w:tcW w:w="1560" w:type="dxa"/>
            <w:vAlign w:val="bottom"/>
          </w:tcPr>
          <w:p w:rsidRPr="00C618BF" w:rsidR="00664F3C" w:rsidP="00664F3C" w:rsidRDefault="00664F3C" w14:paraId="1FB43D78" w14:textId="69D7E9D5">
            <w:pPr>
              <w:spacing w:line="240" w:lineRule="auto"/>
              <w:ind w:firstLine="0"/>
              <w:rPr>
                <w:rFonts w:ascii="Calibri" w:hAnsi="Calibri" w:eastAsia="Calibri" w:cs="Times New Roman"/>
                <w:sz w:val="22"/>
              </w:rPr>
            </w:pPr>
            <w:r>
              <w:rPr>
                <w:rFonts w:ascii="Calibri" w:hAnsi="Calibri" w:cs="Calibri"/>
                <w:color w:val="000000"/>
                <w:sz w:val="22"/>
              </w:rPr>
              <w:t xml:space="preserve"> $             867.50 </w:t>
            </w:r>
          </w:p>
        </w:tc>
        <w:tc>
          <w:tcPr>
            <w:tcW w:w="1560" w:type="dxa"/>
            <w:vAlign w:val="bottom"/>
          </w:tcPr>
          <w:p w:rsidRPr="00C618BF" w:rsidR="00664F3C" w:rsidP="00664F3C" w:rsidRDefault="00664F3C" w14:paraId="60A6F7B0" w14:textId="1B326F8A">
            <w:pPr>
              <w:spacing w:line="240" w:lineRule="auto"/>
              <w:ind w:firstLine="0"/>
              <w:rPr>
                <w:rFonts w:ascii="Calibri" w:hAnsi="Calibri" w:eastAsia="Calibri" w:cs="Times New Roman"/>
                <w:sz w:val="22"/>
              </w:rPr>
            </w:pPr>
            <w:r>
              <w:rPr>
                <w:rFonts w:ascii="Calibri" w:hAnsi="Calibri" w:cs="Calibri"/>
                <w:color w:val="000000"/>
                <w:sz w:val="22"/>
              </w:rPr>
              <w:t xml:space="preserve"> $         981.50 </w:t>
            </w:r>
          </w:p>
        </w:tc>
        <w:tc>
          <w:tcPr>
            <w:tcW w:w="1560" w:type="dxa"/>
            <w:vAlign w:val="bottom"/>
          </w:tcPr>
          <w:p w:rsidRPr="00C618BF" w:rsidR="00664F3C" w:rsidP="00664F3C" w:rsidRDefault="00664F3C" w14:paraId="007905A4" w14:textId="78EDCED5">
            <w:pPr>
              <w:spacing w:line="240" w:lineRule="auto"/>
              <w:ind w:firstLine="0"/>
              <w:rPr>
                <w:rFonts w:ascii="Calibri" w:hAnsi="Calibri" w:eastAsia="Calibri" w:cs="Times New Roman"/>
                <w:sz w:val="22"/>
              </w:rPr>
            </w:pPr>
            <w:r>
              <w:rPr>
                <w:rFonts w:ascii="Calibri" w:hAnsi="Calibri" w:cs="Calibri"/>
                <w:color w:val="000000"/>
                <w:sz w:val="22"/>
              </w:rPr>
              <w:t xml:space="preserve"> $      1,054.50 </w:t>
            </w:r>
          </w:p>
        </w:tc>
      </w:tr>
      <w:tr w:rsidRPr="00C618BF" w:rsidR="00664F3C" w:rsidTr="003B4BA5" w14:paraId="6F65FE4A" w14:textId="77777777">
        <w:tc>
          <w:tcPr>
            <w:tcW w:w="1560" w:type="dxa"/>
          </w:tcPr>
          <w:p w:rsidRPr="00C618BF" w:rsidR="00664F3C" w:rsidP="00664F3C" w:rsidRDefault="00664F3C" w14:paraId="70DFB985" w14:textId="77777777">
            <w:pPr>
              <w:spacing w:line="240" w:lineRule="auto"/>
              <w:ind w:firstLine="0"/>
              <w:rPr>
                <w:rFonts w:ascii="Calibri" w:hAnsi="Calibri" w:eastAsia="Calibri" w:cs="Times New Roman"/>
                <w:sz w:val="22"/>
              </w:rPr>
            </w:pPr>
          </w:p>
        </w:tc>
        <w:tc>
          <w:tcPr>
            <w:tcW w:w="1560" w:type="dxa"/>
          </w:tcPr>
          <w:p w:rsidRPr="00C618BF" w:rsidR="00664F3C" w:rsidP="00664F3C" w:rsidRDefault="00664F3C" w14:paraId="51DD0493" w14:textId="77777777">
            <w:pPr>
              <w:spacing w:line="240" w:lineRule="auto"/>
              <w:ind w:firstLine="0"/>
              <w:rPr>
                <w:rFonts w:ascii="Calibri" w:hAnsi="Calibri" w:eastAsia="Calibri" w:cs="Times New Roman"/>
                <w:sz w:val="22"/>
              </w:rPr>
            </w:pPr>
            <w:r w:rsidRPr="00C618BF">
              <w:rPr>
                <w:rFonts w:ascii="Calibri" w:hAnsi="Calibri" w:eastAsia="Calibri" w:cs="Calibri"/>
                <w:sz w:val="22"/>
              </w:rPr>
              <w:t>6"</w:t>
            </w:r>
          </w:p>
        </w:tc>
        <w:tc>
          <w:tcPr>
            <w:tcW w:w="1560" w:type="dxa"/>
            <w:vAlign w:val="bottom"/>
          </w:tcPr>
          <w:p w:rsidRPr="00C618BF" w:rsidR="00664F3C" w:rsidP="00664F3C" w:rsidRDefault="00664F3C" w14:paraId="27054C8D" w14:textId="5624A914">
            <w:pPr>
              <w:spacing w:line="240" w:lineRule="auto"/>
              <w:ind w:firstLine="0"/>
              <w:rPr>
                <w:rFonts w:ascii="Calibri" w:hAnsi="Calibri" w:eastAsia="Calibri" w:cs="Times New Roman"/>
                <w:sz w:val="22"/>
              </w:rPr>
            </w:pPr>
            <w:r>
              <w:rPr>
                <w:rFonts w:ascii="Calibri" w:hAnsi="Calibri" w:cs="Calibri"/>
                <w:color w:val="000000"/>
                <w:sz w:val="22"/>
              </w:rPr>
              <w:t xml:space="preserve"> $         1,735.00 </w:t>
            </w:r>
          </w:p>
        </w:tc>
        <w:tc>
          <w:tcPr>
            <w:tcW w:w="1560" w:type="dxa"/>
            <w:vAlign w:val="bottom"/>
          </w:tcPr>
          <w:p w:rsidRPr="00C618BF" w:rsidR="00664F3C" w:rsidP="00664F3C" w:rsidRDefault="00664F3C" w14:paraId="11568C33" w14:textId="57774D17">
            <w:pPr>
              <w:spacing w:line="240" w:lineRule="auto"/>
              <w:ind w:firstLine="0"/>
              <w:rPr>
                <w:rFonts w:ascii="Calibri" w:hAnsi="Calibri" w:eastAsia="Calibri" w:cs="Times New Roman"/>
                <w:sz w:val="22"/>
              </w:rPr>
            </w:pPr>
            <w:r>
              <w:rPr>
                <w:rFonts w:ascii="Calibri" w:hAnsi="Calibri" w:cs="Calibri"/>
                <w:color w:val="000000"/>
                <w:sz w:val="22"/>
              </w:rPr>
              <w:t xml:space="preserve"> $     1,963.00 </w:t>
            </w:r>
          </w:p>
        </w:tc>
        <w:tc>
          <w:tcPr>
            <w:tcW w:w="1560" w:type="dxa"/>
            <w:vAlign w:val="bottom"/>
          </w:tcPr>
          <w:p w:rsidRPr="00C618BF" w:rsidR="00664F3C" w:rsidP="00664F3C" w:rsidRDefault="00664F3C" w14:paraId="404D453D" w14:textId="16D5499E">
            <w:pPr>
              <w:spacing w:line="240" w:lineRule="auto"/>
              <w:ind w:firstLine="0"/>
              <w:rPr>
                <w:rFonts w:ascii="Calibri" w:hAnsi="Calibri" w:eastAsia="Calibri" w:cs="Times New Roman"/>
                <w:sz w:val="22"/>
              </w:rPr>
            </w:pPr>
            <w:r>
              <w:rPr>
                <w:rFonts w:ascii="Calibri" w:hAnsi="Calibri" w:cs="Calibri"/>
                <w:color w:val="000000"/>
                <w:sz w:val="22"/>
              </w:rPr>
              <w:t xml:space="preserve"> $      2,109.00 </w:t>
            </w:r>
          </w:p>
        </w:tc>
      </w:tr>
      <w:tr w:rsidRPr="00C618BF" w:rsidR="00664F3C" w:rsidTr="003B4BA5" w14:paraId="1387F42C" w14:textId="77777777">
        <w:tc>
          <w:tcPr>
            <w:tcW w:w="1560" w:type="dxa"/>
          </w:tcPr>
          <w:p w:rsidRPr="00C618BF" w:rsidR="00664F3C" w:rsidP="00664F3C" w:rsidRDefault="00664F3C" w14:paraId="36D94183" w14:textId="77777777">
            <w:pPr>
              <w:spacing w:line="240" w:lineRule="auto"/>
              <w:ind w:firstLine="0"/>
              <w:rPr>
                <w:rFonts w:ascii="Calibri" w:hAnsi="Calibri" w:eastAsia="Calibri" w:cs="Times New Roman"/>
                <w:sz w:val="22"/>
              </w:rPr>
            </w:pPr>
          </w:p>
        </w:tc>
        <w:tc>
          <w:tcPr>
            <w:tcW w:w="1560" w:type="dxa"/>
          </w:tcPr>
          <w:p w:rsidRPr="00C618BF" w:rsidR="00664F3C" w:rsidP="00664F3C" w:rsidRDefault="00664F3C" w14:paraId="47B31655" w14:textId="77777777">
            <w:pPr>
              <w:spacing w:line="240" w:lineRule="auto"/>
              <w:ind w:firstLine="0"/>
              <w:rPr>
                <w:rFonts w:ascii="Calibri" w:hAnsi="Calibri" w:eastAsia="Calibri" w:cs="Times New Roman"/>
                <w:sz w:val="22"/>
              </w:rPr>
            </w:pPr>
            <w:r w:rsidRPr="00C618BF">
              <w:rPr>
                <w:rFonts w:ascii="Calibri" w:hAnsi="Calibri" w:eastAsia="Calibri" w:cs="Calibri"/>
                <w:sz w:val="22"/>
              </w:rPr>
              <w:t>8"</w:t>
            </w:r>
          </w:p>
        </w:tc>
        <w:tc>
          <w:tcPr>
            <w:tcW w:w="1560" w:type="dxa"/>
            <w:vAlign w:val="bottom"/>
          </w:tcPr>
          <w:p w:rsidRPr="00C618BF" w:rsidR="00664F3C" w:rsidP="00664F3C" w:rsidRDefault="00664F3C" w14:paraId="3C6C8941" w14:textId="0F75F935">
            <w:pPr>
              <w:spacing w:line="240" w:lineRule="auto"/>
              <w:ind w:firstLine="0"/>
              <w:rPr>
                <w:rFonts w:ascii="Calibri" w:hAnsi="Calibri" w:eastAsia="Calibri" w:cs="Times New Roman"/>
                <w:sz w:val="22"/>
              </w:rPr>
            </w:pPr>
            <w:r>
              <w:rPr>
                <w:rFonts w:ascii="Calibri" w:hAnsi="Calibri" w:cs="Calibri"/>
                <w:color w:val="000000"/>
                <w:sz w:val="22"/>
              </w:rPr>
              <w:t xml:space="preserve"> $         2,776.00 </w:t>
            </w:r>
          </w:p>
        </w:tc>
        <w:tc>
          <w:tcPr>
            <w:tcW w:w="1560" w:type="dxa"/>
            <w:vAlign w:val="bottom"/>
          </w:tcPr>
          <w:p w:rsidRPr="00C618BF" w:rsidR="00664F3C" w:rsidP="00664F3C" w:rsidRDefault="00664F3C" w14:paraId="2ADA5C4E" w14:textId="3BE632AE">
            <w:pPr>
              <w:spacing w:line="240" w:lineRule="auto"/>
              <w:ind w:firstLine="0"/>
              <w:rPr>
                <w:rFonts w:ascii="Calibri" w:hAnsi="Calibri" w:eastAsia="Calibri" w:cs="Times New Roman"/>
                <w:sz w:val="22"/>
              </w:rPr>
            </w:pPr>
            <w:r>
              <w:rPr>
                <w:rFonts w:ascii="Calibri" w:hAnsi="Calibri" w:cs="Calibri"/>
                <w:color w:val="000000"/>
                <w:sz w:val="22"/>
              </w:rPr>
              <w:t xml:space="preserve"> $     3,140.80 </w:t>
            </w:r>
          </w:p>
        </w:tc>
        <w:tc>
          <w:tcPr>
            <w:tcW w:w="1560" w:type="dxa"/>
            <w:vAlign w:val="bottom"/>
          </w:tcPr>
          <w:p w:rsidRPr="00C618BF" w:rsidR="00664F3C" w:rsidP="00664F3C" w:rsidRDefault="00664F3C" w14:paraId="1613E013" w14:textId="0933218B">
            <w:pPr>
              <w:spacing w:line="240" w:lineRule="auto"/>
              <w:ind w:firstLine="0"/>
              <w:rPr>
                <w:rFonts w:ascii="Calibri" w:hAnsi="Calibri" w:eastAsia="Calibri" w:cs="Times New Roman"/>
                <w:sz w:val="22"/>
              </w:rPr>
            </w:pPr>
            <w:r>
              <w:rPr>
                <w:rFonts w:ascii="Calibri" w:hAnsi="Calibri" w:cs="Calibri"/>
                <w:color w:val="000000"/>
                <w:sz w:val="22"/>
              </w:rPr>
              <w:t xml:space="preserve"> $      3,374.40 </w:t>
            </w:r>
          </w:p>
        </w:tc>
      </w:tr>
      <w:tr w:rsidRPr="00C618BF" w:rsidR="00664F3C" w:rsidTr="003B4BA5" w14:paraId="1EFAFDC9" w14:textId="77777777">
        <w:tc>
          <w:tcPr>
            <w:tcW w:w="1560" w:type="dxa"/>
          </w:tcPr>
          <w:p w:rsidRPr="00C618BF" w:rsidR="00664F3C" w:rsidP="00664F3C" w:rsidRDefault="00664F3C" w14:paraId="61AF0975" w14:textId="77777777">
            <w:pPr>
              <w:spacing w:line="240" w:lineRule="auto"/>
              <w:ind w:firstLine="0"/>
              <w:rPr>
                <w:rFonts w:ascii="Calibri" w:hAnsi="Calibri" w:eastAsia="Calibri" w:cs="Times New Roman"/>
                <w:sz w:val="22"/>
              </w:rPr>
            </w:pPr>
          </w:p>
        </w:tc>
        <w:tc>
          <w:tcPr>
            <w:tcW w:w="1560" w:type="dxa"/>
          </w:tcPr>
          <w:p w:rsidRPr="00C618BF" w:rsidR="00664F3C" w:rsidP="00664F3C" w:rsidRDefault="00664F3C" w14:paraId="130AC6AB" w14:textId="77777777">
            <w:pPr>
              <w:spacing w:line="240" w:lineRule="auto"/>
              <w:ind w:firstLine="0"/>
              <w:rPr>
                <w:rFonts w:ascii="Calibri" w:hAnsi="Calibri" w:eastAsia="Calibri" w:cs="Times New Roman"/>
                <w:sz w:val="22"/>
              </w:rPr>
            </w:pPr>
            <w:r w:rsidRPr="00C618BF">
              <w:rPr>
                <w:rFonts w:ascii="Calibri" w:hAnsi="Calibri" w:eastAsia="Calibri" w:cs="Calibri"/>
                <w:sz w:val="22"/>
              </w:rPr>
              <w:t>10"</w:t>
            </w:r>
          </w:p>
        </w:tc>
        <w:tc>
          <w:tcPr>
            <w:tcW w:w="1560" w:type="dxa"/>
            <w:vAlign w:val="bottom"/>
          </w:tcPr>
          <w:p w:rsidRPr="00C618BF" w:rsidR="00664F3C" w:rsidP="00664F3C" w:rsidRDefault="00664F3C" w14:paraId="1F743696" w14:textId="099A8D4B">
            <w:pPr>
              <w:spacing w:line="240" w:lineRule="auto"/>
              <w:ind w:firstLine="0"/>
              <w:rPr>
                <w:rFonts w:ascii="Calibri" w:hAnsi="Calibri" w:eastAsia="Calibri" w:cs="Times New Roman"/>
                <w:sz w:val="22"/>
              </w:rPr>
            </w:pPr>
            <w:r>
              <w:rPr>
                <w:rFonts w:ascii="Calibri" w:hAnsi="Calibri" w:cs="Calibri"/>
                <w:color w:val="000000"/>
                <w:sz w:val="22"/>
              </w:rPr>
              <w:t xml:space="preserve"> $         5,031.50 </w:t>
            </w:r>
          </w:p>
        </w:tc>
        <w:tc>
          <w:tcPr>
            <w:tcW w:w="1560" w:type="dxa"/>
            <w:vAlign w:val="bottom"/>
          </w:tcPr>
          <w:p w:rsidRPr="00C618BF" w:rsidR="00664F3C" w:rsidP="00664F3C" w:rsidRDefault="00664F3C" w14:paraId="485ECF44" w14:textId="092B27C7">
            <w:pPr>
              <w:spacing w:line="240" w:lineRule="auto"/>
              <w:ind w:firstLine="0"/>
              <w:rPr>
                <w:rFonts w:ascii="Calibri" w:hAnsi="Calibri" w:eastAsia="Calibri" w:cs="Times New Roman"/>
                <w:sz w:val="22"/>
              </w:rPr>
            </w:pPr>
            <w:r>
              <w:rPr>
                <w:rFonts w:ascii="Calibri" w:hAnsi="Calibri" w:cs="Calibri"/>
                <w:color w:val="000000"/>
                <w:sz w:val="22"/>
              </w:rPr>
              <w:t xml:space="preserve"> $     5,692.70 </w:t>
            </w:r>
          </w:p>
        </w:tc>
        <w:tc>
          <w:tcPr>
            <w:tcW w:w="1560" w:type="dxa"/>
            <w:vAlign w:val="bottom"/>
          </w:tcPr>
          <w:p w:rsidRPr="00C618BF" w:rsidR="00664F3C" w:rsidP="00664F3C" w:rsidRDefault="00664F3C" w14:paraId="78423512" w14:textId="57A1B33D">
            <w:pPr>
              <w:spacing w:line="240" w:lineRule="auto"/>
              <w:ind w:firstLine="0"/>
              <w:rPr>
                <w:rFonts w:ascii="Calibri" w:hAnsi="Calibri" w:eastAsia="Calibri" w:cs="Times New Roman"/>
                <w:sz w:val="22"/>
              </w:rPr>
            </w:pPr>
            <w:r>
              <w:rPr>
                <w:rFonts w:ascii="Calibri" w:hAnsi="Calibri" w:cs="Calibri"/>
                <w:color w:val="000000"/>
                <w:sz w:val="22"/>
              </w:rPr>
              <w:t xml:space="preserve"> $      6,116.10 </w:t>
            </w:r>
          </w:p>
        </w:tc>
      </w:tr>
    </w:tbl>
    <w:p w:rsidRPr="00C618BF" w:rsidR="00C618BF" w:rsidP="00C618BF" w:rsidRDefault="00C618BF" w14:paraId="1DE6C071" w14:textId="77777777">
      <w:pPr>
        <w:spacing w:after="160" w:line="259" w:lineRule="auto"/>
        <w:ind w:firstLine="0"/>
        <w:rPr>
          <w:rFonts w:ascii="Calibri" w:hAnsi="Calibri" w:eastAsia="Calibri" w:cs="Times New Roman"/>
          <w:sz w:val="22"/>
        </w:rPr>
      </w:pPr>
    </w:p>
    <w:tbl>
      <w:tblPr>
        <w:tblStyle w:val="TableGrid2"/>
        <w:tblW w:w="0" w:type="auto"/>
        <w:tblLayout w:type="fixed"/>
        <w:tblLook w:val="06A0" w:firstRow="1" w:lastRow="0" w:firstColumn="1" w:lastColumn="0" w:noHBand="1" w:noVBand="1"/>
      </w:tblPr>
      <w:tblGrid>
        <w:gridCol w:w="1560"/>
        <w:gridCol w:w="1560"/>
        <w:gridCol w:w="1560"/>
        <w:gridCol w:w="1560"/>
      </w:tblGrid>
      <w:tr w:rsidRPr="00C618BF" w:rsidR="007F1E22" w:rsidTr="003B4BA5" w14:paraId="575DCD25" w14:textId="77777777">
        <w:tc>
          <w:tcPr>
            <w:tcW w:w="1560" w:type="dxa"/>
            <w:vAlign w:val="bottom"/>
          </w:tcPr>
          <w:p w:rsidRPr="00C618BF" w:rsidR="007F1E22" w:rsidP="007F1E22" w:rsidRDefault="007F1E22" w14:paraId="38718046" w14:textId="716622F8">
            <w:pPr>
              <w:spacing w:line="240" w:lineRule="auto"/>
              <w:ind w:firstLine="0"/>
              <w:rPr>
                <w:rFonts w:ascii="Calibri" w:hAnsi="Calibri" w:eastAsia="Calibri" w:cs="Times New Roman"/>
                <w:sz w:val="22"/>
              </w:rPr>
            </w:pPr>
            <w:r>
              <w:rPr>
                <w:rFonts w:ascii="Calibri" w:hAnsi="Calibri" w:cs="Calibri"/>
                <w:color w:val="000000"/>
                <w:sz w:val="22"/>
              </w:rPr>
              <w:t xml:space="preserve">First 11 </w:t>
            </w:r>
            <w:proofErr w:type="spellStart"/>
            <w:r>
              <w:rPr>
                <w:rFonts w:ascii="Calibri" w:hAnsi="Calibri" w:cs="Calibri"/>
                <w:color w:val="000000"/>
                <w:sz w:val="22"/>
              </w:rPr>
              <w:t>ccf</w:t>
            </w:r>
            <w:proofErr w:type="spellEnd"/>
            <w:r>
              <w:rPr>
                <w:rFonts w:ascii="Calibri" w:hAnsi="Calibri" w:cs="Calibri"/>
                <w:color w:val="000000"/>
                <w:sz w:val="22"/>
              </w:rPr>
              <w:t xml:space="preserve"> /bill</w:t>
            </w:r>
          </w:p>
        </w:tc>
        <w:tc>
          <w:tcPr>
            <w:tcW w:w="1560" w:type="dxa"/>
            <w:vAlign w:val="bottom"/>
          </w:tcPr>
          <w:p w:rsidRPr="00C618BF" w:rsidR="007F1E22" w:rsidP="007F1E22" w:rsidRDefault="007F1E22" w14:paraId="7552D35F" w14:textId="76586EF0">
            <w:pPr>
              <w:spacing w:line="240" w:lineRule="auto"/>
              <w:ind w:firstLine="0"/>
              <w:rPr>
                <w:rFonts w:ascii="Calibri" w:hAnsi="Calibri" w:eastAsia="Calibri" w:cs="Times New Roman"/>
                <w:sz w:val="22"/>
              </w:rPr>
            </w:pPr>
            <w:r>
              <w:rPr>
                <w:rFonts w:ascii="Calibri" w:hAnsi="Calibri" w:cs="Calibri"/>
                <w:color w:val="000000"/>
                <w:sz w:val="22"/>
              </w:rPr>
              <w:t xml:space="preserve"> $                  4.71 </w:t>
            </w:r>
          </w:p>
        </w:tc>
        <w:tc>
          <w:tcPr>
            <w:tcW w:w="1560" w:type="dxa"/>
            <w:vAlign w:val="bottom"/>
          </w:tcPr>
          <w:p w:rsidRPr="00C618BF" w:rsidR="007F1E22" w:rsidP="007F1E22" w:rsidRDefault="007F1E22" w14:paraId="0583CA78" w14:textId="39A4EE4A">
            <w:pPr>
              <w:spacing w:line="240" w:lineRule="auto"/>
              <w:ind w:firstLine="0"/>
              <w:rPr>
                <w:rFonts w:ascii="Calibri" w:hAnsi="Calibri" w:eastAsia="Calibri" w:cs="Times New Roman"/>
                <w:sz w:val="22"/>
              </w:rPr>
            </w:pPr>
            <w:r>
              <w:rPr>
                <w:rFonts w:ascii="Calibri" w:hAnsi="Calibri" w:cs="Calibri"/>
                <w:color w:val="000000"/>
                <w:sz w:val="22"/>
              </w:rPr>
              <w:t xml:space="preserve"> $              5.33 </w:t>
            </w:r>
          </w:p>
        </w:tc>
        <w:tc>
          <w:tcPr>
            <w:tcW w:w="1560" w:type="dxa"/>
            <w:vAlign w:val="bottom"/>
          </w:tcPr>
          <w:p w:rsidRPr="00C618BF" w:rsidR="007F1E22" w:rsidP="007F1E22" w:rsidRDefault="007F1E22" w14:paraId="2BFB00E3" w14:textId="07566587">
            <w:pPr>
              <w:spacing w:line="240" w:lineRule="auto"/>
              <w:ind w:firstLine="0"/>
              <w:rPr>
                <w:rFonts w:ascii="Calibri" w:hAnsi="Calibri" w:eastAsia="Calibri" w:cs="Times New Roman"/>
                <w:sz w:val="22"/>
              </w:rPr>
            </w:pPr>
            <w:r>
              <w:rPr>
                <w:rFonts w:ascii="Calibri" w:hAnsi="Calibri" w:cs="Calibri"/>
                <w:color w:val="000000"/>
                <w:sz w:val="22"/>
              </w:rPr>
              <w:t xml:space="preserve"> $               5.72 </w:t>
            </w:r>
          </w:p>
        </w:tc>
      </w:tr>
      <w:tr w:rsidRPr="00C618BF" w:rsidR="007F1E22" w:rsidTr="003B4BA5" w14:paraId="36950D8D" w14:textId="77777777">
        <w:tc>
          <w:tcPr>
            <w:tcW w:w="1560" w:type="dxa"/>
            <w:vAlign w:val="bottom"/>
          </w:tcPr>
          <w:p w:rsidRPr="00C618BF" w:rsidR="007F1E22" w:rsidP="007F1E22" w:rsidRDefault="007F1E22" w14:paraId="29FE8812" w14:textId="3982C6CA">
            <w:pPr>
              <w:spacing w:line="240" w:lineRule="auto"/>
              <w:ind w:firstLine="0"/>
              <w:rPr>
                <w:rFonts w:ascii="Calibri" w:hAnsi="Calibri" w:eastAsia="Calibri" w:cs="Calibri"/>
                <w:sz w:val="22"/>
              </w:rPr>
            </w:pPr>
            <w:r>
              <w:rPr>
                <w:rFonts w:ascii="Calibri" w:hAnsi="Calibri" w:cs="Calibri"/>
                <w:color w:val="000000"/>
                <w:sz w:val="22"/>
              </w:rPr>
              <w:t>Next 11-20</w:t>
            </w:r>
          </w:p>
        </w:tc>
        <w:tc>
          <w:tcPr>
            <w:tcW w:w="1560" w:type="dxa"/>
            <w:vAlign w:val="bottom"/>
          </w:tcPr>
          <w:p w:rsidRPr="00C618BF" w:rsidR="007F1E22" w:rsidP="007F1E22" w:rsidRDefault="007F1E22" w14:paraId="24B6F5E1" w14:textId="6910FD09">
            <w:pPr>
              <w:spacing w:line="240" w:lineRule="auto"/>
              <w:ind w:firstLine="0"/>
              <w:rPr>
                <w:rFonts w:ascii="Calibri" w:hAnsi="Calibri" w:eastAsia="Calibri" w:cs="Calibri"/>
                <w:sz w:val="22"/>
              </w:rPr>
            </w:pPr>
            <w:r>
              <w:rPr>
                <w:rFonts w:ascii="Calibri" w:hAnsi="Calibri" w:cs="Calibri"/>
                <w:color w:val="000000"/>
                <w:sz w:val="22"/>
              </w:rPr>
              <w:t xml:space="preserve"> $                  5.46 </w:t>
            </w:r>
          </w:p>
        </w:tc>
        <w:tc>
          <w:tcPr>
            <w:tcW w:w="1560" w:type="dxa"/>
            <w:vAlign w:val="bottom"/>
          </w:tcPr>
          <w:p w:rsidRPr="00C618BF" w:rsidR="007F1E22" w:rsidP="007F1E22" w:rsidRDefault="007F1E22" w14:paraId="1A037C54" w14:textId="4BC83150">
            <w:pPr>
              <w:spacing w:line="240" w:lineRule="auto"/>
              <w:ind w:firstLine="0"/>
              <w:rPr>
                <w:rFonts w:ascii="Calibri" w:hAnsi="Calibri" w:eastAsia="Calibri" w:cs="Calibri"/>
                <w:sz w:val="22"/>
              </w:rPr>
            </w:pPr>
            <w:r>
              <w:rPr>
                <w:rFonts w:ascii="Calibri" w:hAnsi="Calibri" w:cs="Calibri"/>
                <w:color w:val="000000"/>
                <w:sz w:val="22"/>
              </w:rPr>
              <w:t xml:space="preserve"> $              6.18 </w:t>
            </w:r>
          </w:p>
        </w:tc>
        <w:tc>
          <w:tcPr>
            <w:tcW w:w="1560" w:type="dxa"/>
            <w:vAlign w:val="bottom"/>
          </w:tcPr>
          <w:p w:rsidRPr="00C618BF" w:rsidR="007F1E22" w:rsidP="007F1E22" w:rsidRDefault="007F1E22" w14:paraId="12C54FDA" w14:textId="5A18AB3E">
            <w:pPr>
              <w:spacing w:line="240" w:lineRule="auto"/>
              <w:ind w:firstLine="0"/>
              <w:rPr>
                <w:rFonts w:ascii="Calibri" w:hAnsi="Calibri" w:eastAsia="Calibri" w:cs="Calibri"/>
                <w:sz w:val="22"/>
              </w:rPr>
            </w:pPr>
            <w:r>
              <w:rPr>
                <w:rFonts w:ascii="Calibri" w:hAnsi="Calibri" w:cs="Calibri"/>
                <w:color w:val="000000"/>
                <w:sz w:val="22"/>
              </w:rPr>
              <w:t xml:space="preserve"> $               6.62 </w:t>
            </w:r>
          </w:p>
        </w:tc>
      </w:tr>
      <w:tr w:rsidRPr="00C618BF" w:rsidR="007F1E22" w:rsidTr="003B4BA5" w14:paraId="4F20DB2A" w14:textId="77777777">
        <w:tc>
          <w:tcPr>
            <w:tcW w:w="1560" w:type="dxa"/>
            <w:vAlign w:val="bottom"/>
          </w:tcPr>
          <w:p w:rsidRPr="00C618BF" w:rsidR="007F1E22" w:rsidP="007F1E22" w:rsidRDefault="007F1E22" w14:paraId="7F474162" w14:textId="7F6E59EA">
            <w:pPr>
              <w:spacing w:line="240" w:lineRule="auto"/>
              <w:ind w:firstLine="0"/>
              <w:rPr>
                <w:rFonts w:ascii="Calibri" w:hAnsi="Calibri" w:eastAsia="Calibri" w:cs="Calibri"/>
                <w:sz w:val="22"/>
              </w:rPr>
            </w:pPr>
            <w:r>
              <w:rPr>
                <w:rFonts w:ascii="Calibri" w:hAnsi="Calibri" w:cs="Calibri"/>
                <w:color w:val="000000"/>
                <w:sz w:val="22"/>
              </w:rPr>
              <w:t>all over 20</w:t>
            </w:r>
          </w:p>
        </w:tc>
        <w:tc>
          <w:tcPr>
            <w:tcW w:w="1560" w:type="dxa"/>
            <w:vAlign w:val="bottom"/>
          </w:tcPr>
          <w:p w:rsidRPr="00C618BF" w:rsidR="007F1E22" w:rsidP="007F1E22" w:rsidRDefault="007F1E22" w14:paraId="6BA4398C" w14:textId="477C5188">
            <w:pPr>
              <w:spacing w:line="240" w:lineRule="auto"/>
              <w:ind w:firstLine="0"/>
              <w:rPr>
                <w:rFonts w:ascii="Calibri" w:hAnsi="Calibri" w:eastAsia="Calibri" w:cs="Calibri"/>
                <w:sz w:val="22"/>
              </w:rPr>
            </w:pPr>
            <w:r>
              <w:rPr>
                <w:rFonts w:ascii="Calibri" w:hAnsi="Calibri" w:cs="Calibri"/>
                <w:color w:val="000000"/>
                <w:sz w:val="22"/>
              </w:rPr>
              <w:t xml:space="preserve"> $                  6.20 </w:t>
            </w:r>
          </w:p>
        </w:tc>
        <w:tc>
          <w:tcPr>
            <w:tcW w:w="1560" w:type="dxa"/>
            <w:vAlign w:val="bottom"/>
          </w:tcPr>
          <w:p w:rsidRPr="00C618BF" w:rsidR="007F1E22" w:rsidP="007F1E22" w:rsidRDefault="007F1E22" w14:paraId="16408DE6" w14:textId="07509B10">
            <w:pPr>
              <w:spacing w:line="240" w:lineRule="auto"/>
              <w:ind w:firstLine="0"/>
              <w:rPr>
                <w:rFonts w:ascii="Calibri" w:hAnsi="Calibri" w:eastAsia="Calibri" w:cs="Calibri"/>
                <w:sz w:val="22"/>
              </w:rPr>
            </w:pPr>
            <w:r>
              <w:rPr>
                <w:rFonts w:ascii="Calibri" w:hAnsi="Calibri" w:cs="Calibri"/>
                <w:color w:val="000000"/>
                <w:sz w:val="22"/>
              </w:rPr>
              <w:t xml:space="preserve"> $              7.02 </w:t>
            </w:r>
          </w:p>
        </w:tc>
        <w:tc>
          <w:tcPr>
            <w:tcW w:w="1560" w:type="dxa"/>
            <w:vAlign w:val="bottom"/>
          </w:tcPr>
          <w:p w:rsidRPr="00C618BF" w:rsidR="007F1E22" w:rsidP="007F1E22" w:rsidRDefault="007F1E22" w14:paraId="45906288" w14:textId="3A596152">
            <w:pPr>
              <w:spacing w:line="240" w:lineRule="auto"/>
              <w:ind w:firstLine="0"/>
              <w:rPr>
                <w:rFonts w:ascii="Calibri" w:hAnsi="Calibri" w:eastAsia="Calibri" w:cs="Calibri"/>
                <w:sz w:val="22"/>
              </w:rPr>
            </w:pPr>
            <w:r>
              <w:rPr>
                <w:rFonts w:ascii="Calibri" w:hAnsi="Calibri" w:cs="Calibri"/>
                <w:color w:val="000000"/>
                <w:sz w:val="22"/>
              </w:rPr>
              <w:t xml:space="preserve"> $               7.52 </w:t>
            </w:r>
          </w:p>
        </w:tc>
      </w:tr>
    </w:tbl>
    <w:p w:rsidRPr="00C618BF" w:rsidR="00C618BF" w:rsidP="00C618BF" w:rsidRDefault="00C618BF" w14:paraId="4493E5A0" w14:textId="77777777">
      <w:pPr>
        <w:spacing w:after="160" w:line="259" w:lineRule="auto"/>
        <w:ind w:firstLine="0"/>
        <w:rPr>
          <w:rFonts w:ascii="Calibri" w:hAnsi="Calibri" w:eastAsia="Calibri" w:cs="Times New Roman"/>
          <w:sz w:val="22"/>
        </w:rPr>
      </w:pPr>
    </w:p>
    <w:p w:rsidRPr="00C618BF" w:rsidR="00C618BF" w:rsidP="00C618BF" w:rsidRDefault="00C618BF" w14:paraId="78DCF527" w14:textId="77777777">
      <w:pPr>
        <w:spacing w:after="160" w:line="259" w:lineRule="auto"/>
        <w:ind w:firstLine="0"/>
        <w:rPr>
          <w:rFonts w:ascii="Calibri" w:hAnsi="Calibri" w:eastAsia="Calibri" w:cs="Times New Roman"/>
          <w:sz w:val="22"/>
        </w:rPr>
      </w:pPr>
    </w:p>
    <w:p w:rsidRPr="00C618BF" w:rsidR="00C618BF" w:rsidP="00C618BF" w:rsidRDefault="00C618BF" w14:paraId="4FB5C4B0" w14:textId="77777777">
      <w:pPr>
        <w:spacing w:after="160" w:line="259" w:lineRule="auto"/>
        <w:ind w:firstLine="0"/>
        <w:rPr>
          <w:rFonts w:ascii="Calibri" w:hAnsi="Calibri" w:eastAsia="Calibri" w:cs="Times New Roman"/>
          <w:sz w:val="22"/>
        </w:rPr>
      </w:pPr>
    </w:p>
    <w:tbl>
      <w:tblPr>
        <w:tblStyle w:val="TableGrid2"/>
        <w:tblW w:w="0" w:type="auto"/>
        <w:tblLayout w:type="fixed"/>
        <w:tblLook w:val="06A0" w:firstRow="1" w:lastRow="0" w:firstColumn="1" w:lastColumn="0" w:noHBand="1" w:noVBand="1"/>
      </w:tblPr>
      <w:tblGrid>
        <w:gridCol w:w="1560"/>
        <w:gridCol w:w="1560"/>
        <w:gridCol w:w="1560"/>
        <w:gridCol w:w="1560"/>
        <w:gridCol w:w="1560"/>
      </w:tblGrid>
      <w:tr w:rsidRPr="00C618BF" w:rsidR="00C618BF" w:rsidTr="00D2090C" w14:paraId="73D9A461" w14:textId="77777777">
        <w:tc>
          <w:tcPr>
            <w:tcW w:w="7800" w:type="dxa"/>
            <w:gridSpan w:val="5"/>
          </w:tcPr>
          <w:p w:rsidRPr="00C618BF" w:rsidR="00C618BF" w:rsidP="00C618BF" w:rsidRDefault="00C618BF" w14:paraId="0B4786F5" w14:textId="77777777">
            <w:pPr>
              <w:spacing w:line="240" w:lineRule="auto"/>
              <w:ind w:firstLine="0"/>
              <w:rPr>
                <w:rFonts w:ascii="Calibri" w:hAnsi="Calibri" w:eastAsia="Calibri" w:cs="Calibri"/>
                <w:b/>
                <w:bCs/>
                <w:sz w:val="22"/>
              </w:rPr>
            </w:pPr>
            <w:r w:rsidRPr="00C618BF">
              <w:rPr>
                <w:rFonts w:ascii="Calibri" w:hAnsi="Calibri" w:eastAsia="Calibri" w:cs="Calibri"/>
                <w:b/>
                <w:bCs/>
                <w:sz w:val="22"/>
              </w:rPr>
              <w:t>Private Fire Service</w:t>
            </w:r>
          </w:p>
          <w:p w:rsidRPr="00C618BF" w:rsidR="00C618BF" w:rsidP="00C618BF" w:rsidRDefault="00C618BF" w14:paraId="52111183" w14:textId="77777777">
            <w:pPr>
              <w:spacing w:line="240" w:lineRule="auto"/>
              <w:ind w:firstLine="0"/>
              <w:rPr>
                <w:rFonts w:ascii="Calibri" w:hAnsi="Calibri" w:eastAsia="Calibri" w:cs="Times New Roman"/>
                <w:b/>
                <w:bCs/>
                <w:sz w:val="22"/>
              </w:rPr>
            </w:pPr>
          </w:p>
        </w:tc>
      </w:tr>
      <w:tr w:rsidRPr="00C618BF" w:rsidR="006276CF" w:rsidTr="003B4BA5" w14:paraId="0B0562AB" w14:textId="77777777">
        <w:tc>
          <w:tcPr>
            <w:tcW w:w="1560" w:type="dxa"/>
          </w:tcPr>
          <w:p w:rsidRPr="00C618BF" w:rsidR="006276CF" w:rsidP="006276CF" w:rsidRDefault="006276CF" w14:paraId="7F841C9D"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t>2"</w:t>
            </w:r>
          </w:p>
        </w:tc>
        <w:tc>
          <w:tcPr>
            <w:tcW w:w="1560" w:type="dxa"/>
          </w:tcPr>
          <w:p w:rsidRPr="00C618BF" w:rsidR="006276CF" w:rsidP="006276CF" w:rsidRDefault="006276CF" w14:paraId="0A4AAB26" w14:textId="77777777">
            <w:pPr>
              <w:spacing w:line="240" w:lineRule="auto"/>
              <w:ind w:firstLine="0"/>
              <w:rPr>
                <w:rFonts w:ascii="Calibri" w:hAnsi="Calibri" w:eastAsia="Calibri" w:cs="Times New Roman"/>
                <w:sz w:val="22"/>
              </w:rPr>
            </w:pPr>
          </w:p>
        </w:tc>
        <w:tc>
          <w:tcPr>
            <w:tcW w:w="1560" w:type="dxa"/>
            <w:vAlign w:val="bottom"/>
          </w:tcPr>
          <w:p w:rsidRPr="00C618BF" w:rsidR="006276CF" w:rsidP="006276CF" w:rsidRDefault="006276CF" w14:paraId="6D948ADF" w14:textId="18819AF3">
            <w:pPr>
              <w:spacing w:line="240" w:lineRule="auto"/>
              <w:ind w:firstLine="0"/>
              <w:jc w:val="center"/>
              <w:rPr>
                <w:rFonts w:ascii="Calibri" w:hAnsi="Calibri" w:eastAsia="Calibri" w:cs="Times New Roman"/>
                <w:sz w:val="22"/>
              </w:rPr>
            </w:pPr>
            <w:r>
              <w:rPr>
                <w:rFonts w:ascii="Calibri" w:hAnsi="Calibri" w:cs="Calibri"/>
                <w:sz w:val="22"/>
              </w:rPr>
              <w:t xml:space="preserve"> $               45.69 </w:t>
            </w:r>
          </w:p>
        </w:tc>
        <w:tc>
          <w:tcPr>
            <w:tcW w:w="1560" w:type="dxa"/>
            <w:vAlign w:val="bottom"/>
          </w:tcPr>
          <w:p w:rsidRPr="00C618BF" w:rsidR="006276CF" w:rsidP="006276CF" w:rsidRDefault="006276CF" w14:paraId="76A08472" w14:textId="3F222AE1">
            <w:pPr>
              <w:spacing w:line="240" w:lineRule="auto"/>
              <w:ind w:firstLine="0"/>
              <w:jc w:val="center"/>
              <w:rPr>
                <w:rFonts w:ascii="Calibri" w:hAnsi="Calibri" w:eastAsia="Calibri" w:cs="Times New Roman"/>
                <w:sz w:val="22"/>
              </w:rPr>
            </w:pPr>
            <w:r>
              <w:rPr>
                <w:rFonts w:ascii="Calibri" w:hAnsi="Calibri" w:cs="Calibri"/>
                <w:sz w:val="22"/>
              </w:rPr>
              <w:t xml:space="preserve"> $           51.21 </w:t>
            </w:r>
          </w:p>
        </w:tc>
        <w:tc>
          <w:tcPr>
            <w:tcW w:w="1560" w:type="dxa"/>
            <w:vAlign w:val="bottom"/>
          </w:tcPr>
          <w:p w:rsidRPr="00C618BF" w:rsidR="006276CF" w:rsidP="006276CF" w:rsidRDefault="006276CF" w14:paraId="0705F7F0" w14:textId="1CD3C1F9">
            <w:pPr>
              <w:spacing w:line="240" w:lineRule="auto"/>
              <w:ind w:firstLine="0"/>
              <w:jc w:val="center"/>
              <w:rPr>
                <w:rFonts w:ascii="Calibri" w:hAnsi="Calibri" w:eastAsia="Calibri" w:cs="Times New Roman"/>
                <w:sz w:val="22"/>
              </w:rPr>
            </w:pPr>
            <w:r>
              <w:rPr>
                <w:rFonts w:ascii="Calibri" w:hAnsi="Calibri" w:cs="Calibri"/>
                <w:sz w:val="22"/>
              </w:rPr>
              <w:t xml:space="preserve"> $            56.82 </w:t>
            </w:r>
          </w:p>
        </w:tc>
      </w:tr>
      <w:tr w:rsidRPr="00C618BF" w:rsidR="006276CF" w:rsidTr="003B4BA5" w14:paraId="30080FAC" w14:textId="77777777">
        <w:tc>
          <w:tcPr>
            <w:tcW w:w="1560" w:type="dxa"/>
          </w:tcPr>
          <w:p w:rsidRPr="00C618BF" w:rsidR="006276CF" w:rsidP="006276CF" w:rsidRDefault="006276CF" w14:paraId="68A7019A"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t>3"</w:t>
            </w:r>
          </w:p>
        </w:tc>
        <w:tc>
          <w:tcPr>
            <w:tcW w:w="1560" w:type="dxa"/>
          </w:tcPr>
          <w:p w:rsidRPr="00C618BF" w:rsidR="006276CF" w:rsidP="006276CF" w:rsidRDefault="006276CF" w14:paraId="69F555B9" w14:textId="77777777">
            <w:pPr>
              <w:spacing w:line="240" w:lineRule="auto"/>
              <w:ind w:firstLine="0"/>
              <w:rPr>
                <w:rFonts w:ascii="Calibri" w:hAnsi="Calibri" w:eastAsia="Calibri" w:cs="Times New Roman"/>
                <w:sz w:val="22"/>
              </w:rPr>
            </w:pPr>
          </w:p>
        </w:tc>
        <w:tc>
          <w:tcPr>
            <w:tcW w:w="1560" w:type="dxa"/>
            <w:vAlign w:val="bottom"/>
          </w:tcPr>
          <w:p w:rsidRPr="00C618BF" w:rsidR="006276CF" w:rsidP="006276CF" w:rsidRDefault="006276CF" w14:paraId="03E67FD0" w14:textId="02C524D5">
            <w:pPr>
              <w:spacing w:line="240" w:lineRule="auto"/>
              <w:ind w:firstLine="0"/>
              <w:jc w:val="center"/>
              <w:rPr>
                <w:rFonts w:ascii="Calibri" w:hAnsi="Calibri" w:eastAsia="Calibri" w:cs="Times New Roman"/>
                <w:sz w:val="22"/>
              </w:rPr>
            </w:pPr>
            <w:r>
              <w:rPr>
                <w:rFonts w:ascii="Calibri" w:hAnsi="Calibri" w:cs="Calibri"/>
                <w:sz w:val="22"/>
              </w:rPr>
              <w:t xml:space="preserve"> $               68.56 </w:t>
            </w:r>
          </w:p>
        </w:tc>
        <w:tc>
          <w:tcPr>
            <w:tcW w:w="1560" w:type="dxa"/>
            <w:vAlign w:val="bottom"/>
          </w:tcPr>
          <w:p w:rsidRPr="00C618BF" w:rsidR="006276CF" w:rsidP="006276CF" w:rsidRDefault="006276CF" w14:paraId="3CC20DBA" w14:textId="6022BBC5">
            <w:pPr>
              <w:spacing w:line="240" w:lineRule="auto"/>
              <w:ind w:firstLine="0"/>
              <w:jc w:val="center"/>
              <w:rPr>
                <w:rFonts w:ascii="Calibri" w:hAnsi="Calibri" w:eastAsia="Calibri" w:cs="Times New Roman"/>
                <w:sz w:val="22"/>
              </w:rPr>
            </w:pPr>
            <w:r>
              <w:rPr>
                <w:rFonts w:ascii="Calibri" w:hAnsi="Calibri" w:cs="Calibri"/>
                <w:sz w:val="22"/>
              </w:rPr>
              <w:t xml:space="preserve"> $           76.85 </w:t>
            </w:r>
          </w:p>
        </w:tc>
        <w:tc>
          <w:tcPr>
            <w:tcW w:w="1560" w:type="dxa"/>
            <w:vAlign w:val="bottom"/>
          </w:tcPr>
          <w:p w:rsidRPr="00C618BF" w:rsidR="006276CF" w:rsidP="006276CF" w:rsidRDefault="006276CF" w14:paraId="7B957720" w14:textId="2F8A5DD8">
            <w:pPr>
              <w:spacing w:line="240" w:lineRule="auto"/>
              <w:ind w:firstLine="0"/>
              <w:jc w:val="center"/>
              <w:rPr>
                <w:rFonts w:ascii="Calibri" w:hAnsi="Calibri" w:eastAsia="Calibri" w:cs="Times New Roman"/>
                <w:sz w:val="22"/>
              </w:rPr>
            </w:pPr>
            <w:r>
              <w:rPr>
                <w:rFonts w:ascii="Calibri" w:hAnsi="Calibri" w:cs="Calibri"/>
                <w:sz w:val="22"/>
              </w:rPr>
              <w:t xml:space="preserve"> $            85.26 </w:t>
            </w:r>
          </w:p>
        </w:tc>
      </w:tr>
      <w:tr w:rsidRPr="00C618BF" w:rsidR="006276CF" w:rsidTr="003B4BA5" w14:paraId="6242C814" w14:textId="77777777">
        <w:tc>
          <w:tcPr>
            <w:tcW w:w="1560" w:type="dxa"/>
          </w:tcPr>
          <w:p w:rsidRPr="00C618BF" w:rsidR="006276CF" w:rsidP="006276CF" w:rsidRDefault="006276CF" w14:paraId="404DF581"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t>4"</w:t>
            </w:r>
          </w:p>
        </w:tc>
        <w:tc>
          <w:tcPr>
            <w:tcW w:w="1560" w:type="dxa"/>
          </w:tcPr>
          <w:p w:rsidRPr="00C618BF" w:rsidR="006276CF" w:rsidP="006276CF" w:rsidRDefault="006276CF" w14:paraId="09D01C4D" w14:textId="77777777">
            <w:pPr>
              <w:spacing w:line="240" w:lineRule="auto"/>
              <w:ind w:firstLine="0"/>
              <w:rPr>
                <w:rFonts w:ascii="Calibri" w:hAnsi="Calibri" w:eastAsia="Calibri" w:cs="Times New Roman"/>
                <w:sz w:val="22"/>
              </w:rPr>
            </w:pPr>
          </w:p>
        </w:tc>
        <w:tc>
          <w:tcPr>
            <w:tcW w:w="1560" w:type="dxa"/>
            <w:vAlign w:val="bottom"/>
          </w:tcPr>
          <w:p w:rsidRPr="00C618BF" w:rsidR="006276CF" w:rsidP="006276CF" w:rsidRDefault="006276CF" w14:paraId="0FDA5F90" w14:textId="6A3EF9D0">
            <w:pPr>
              <w:spacing w:line="240" w:lineRule="auto"/>
              <w:ind w:firstLine="0"/>
              <w:jc w:val="center"/>
              <w:rPr>
                <w:rFonts w:ascii="Calibri" w:hAnsi="Calibri" w:eastAsia="Calibri" w:cs="Times New Roman"/>
                <w:sz w:val="22"/>
              </w:rPr>
            </w:pPr>
            <w:r>
              <w:rPr>
                <w:rFonts w:ascii="Calibri" w:hAnsi="Calibri" w:cs="Calibri"/>
                <w:sz w:val="22"/>
              </w:rPr>
              <w:t xml:space="preserve"> $               91.29 </w:t>
            </w:r>
          </w:p>
        </w:tc>
        <w:tc>
          <w:tcPr>
            <w:tcW w:w="1560" w:type="dxa"/>
            <w:vAlign w:val="bottom"/>
          </w:tcPr>
          <w:p w:rsidRPr="00C618BF" w:rsidR="006276CF" w:rsidP="006276CF" w:rsidRDefault="006276CF" w14:paraId="4790C385" w14:textId="0D02924F">
            <w:pPr>
              <w:spacing w:line="240" w:lineRule="auto"/>
              <w:ind w:firstLine="0"/>
              <w:jc w:val="center"/>
              <w:rPr>
                <w:rFonts w:ascii="Calibri" w:hAnsi="Calibri" w:eastAsia="Calibri" w:cs="Times New Roman"/>
                <w:sz w:val="22"/>
              </w:rPr>
            </w:pPr>
            <w:r>
              <w:rPr>
                <w:rFonts w:ascii="Calibri" w:hAnsi="Calibri" w:cs="Calibri"/>
                <w:sz w:val="22"/>
              </w:rPr>
              <w:t xml:space="preserve"> $         102.33 </w:t>
            </w:r>
          </w:p>
        </w:tc>
        <w:tc>
          <w:tcPr>
            <w:tcW w:w="1560" w:type="dxa"/>
            <w:vAlign w:val="bottom"/>
          </w:tcPr>
          <w:p w:rsidRPr="00C618BF" w:rsidR="006276CF" w:rsidP="006276CF" w:rsidRDefault="006276CF" w14:paraId="17A9A59A" w14:textId="36B389D6">
            <w:pPr>
              <w:spacing w:line="240" w:lineRule="auto"/>
              <w:ind w:firstLine="0"/>
              <w:jc w:val="center"/>
              <w:rPr>
                <w:rFonts w:ascii="Calibri" w:hAnsi="Calibri" w:eastAsia="Calibri" w:cs="Times New Roman"/>
                <w:sz w:val="22"/>
              </w:rPr>
            </w:pPr>
            <w:r>
              <w:rPr>
                <w:rFonts w:ascii="Calibri" w:hAnsi="Calibri" w:cs="Calibri"/>
                <w:sz w:val="22"/>
              </w:rPr>
              <w:t xml:space="preserve"> $          113.53 </w:t>
            </w:r>
          </w:p>
        </w:tc>
      </w:tr>
      <w:tr w:rsidRPr="00C618BF" w:rsidR="006276CF" w:rsidTr="003B4BA5" w14:paraId="448214F7" w14:textId="77777777">
        <w:tc>
          <w:tcPr>
            <w:tcW w:w="1560" w:type="dxa"/>
          </w:tcPr>
          <w:p w:rsidRPr="00C618BF" w:rsidR="006276CF" w:rsidP="006276CF" w:rsidRDefault="006276CF" w14:paraId="37029DE1"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t>6"</w:t>
            </w:r>
          </w:p>
        </w:tc>
        <w:tc>
          <w:tcPr>
            <w:tcW w:w="1560" w:type="dxa"/>
          </w:tcPr>
          <w:p w:rsidRPr="00C618BF" w:rsidR="006276CF" w:rsidP="006276CF" w:rsidRDefault="006276CF" w14:paraId="7A6F88D1" w14:textId="77777777">
            <w:pPr>
              <w:spacing w:line="240" w:lineRule="auto"/>
              <w:ind w:firstLine="0"/>
              <w:rPr>
                <w:rFonts w:ascii="Calibri" w:hAnsi="Calibri" w:eastAsia="Calibri" w:cs="Times New Roman"/>
                <w:sz w:val="22"/>
              </w:rPr>
            </w:pPr>
          </w:p>
        </w:tc>
        <w:tc>
          <w:tcPr>
            <w:tcW w:w="1560" w:type="dxa"/>
            <w:vAlign w:val="bottom"/>
          </w:tcPr>
          <w:p w:rsidRPr="00C618BF" w:rsidR="006276CF" w:rsidP="006276CF" w:rsidRDefault="006276CF" w14:paraId="23E0B017" w14:textId="20BBA5DE">
            <w:pPr>
              <w:spacing w:line="240" w:lineRule="auto"/>
              <w:ind w:firstLine="0"/>
              <w:jc w:val="center"/>
              <w:rPr>
                <w:rFonts w:ascii="Calibri" w:hAnsi="Calibri" w:eastAsia="Calibri" w:cs="Times New Roman"/>
                <w:sz w:val="22"/>
              </w:rPr>
            </w:pPr>
            <w:r>
              <w:rPr>
                <w:rFonts w:ascii="Calibri" w:hAnsi="Calibri" w:cs="Calibri"/>
                <w:sz w:val="22"/>
              </w:rPr>
              <w:t xml:space="preserve"> $             136.68 </w:t>
            </w:r>
          </w:p>
        </w:tc>
        <w:tc>
          <w:tcPr>
            <w:tcW w:w="1560" w:type="dxa"/>
            <w:vAlign w:val="bottom"/>
          </w:tcPr>
          <w:p w:rsidRPr="00C618BF" w:rsidR="006276CF" w:rsidP="006276CF" w:rsidRDefault="006276CF" w14:paraId="7DD02710" w14:textId="59D7084B">
            <w:pPr>
              <w:spacing w:line="240" w:lineRule="auto"/>
              <w:ind w:firstLine="0"/>
              <w:jc w:val="center"/>
              <w:rPr>
                <w:rFonts w:ascii="Calibri" w:hAnsi="Calibri" w:eastAsia="Calibri" w:cs="Times New Roman"/>
                <w:sz w:val="22"/>
              </w:rPr>
            </w:pPr>
            <w:r>
              <w:rPr>
                <w:rFonts w:ascii="Calibri" w:hAnsi="Calibri" w:cs="Calibri"/>
                <w:sz w:val="22"/>
              </w:rPr>
              <w:t xml:space="preserve"> $         153.21 </w:t>
            </w:r>
          </w:p>
        </w:tc>
        <w:tc>
          <w:tcPr>
            <w:tcW w:w="1560" w:type="dxa"/>
            <w:vAlign w:val="bottom"/>
          </w:tcPr>
          <w:p w:rsidRPr="00C618BF" w:rsidR="006276CF" w:rsidP="006276CF" w:rsidRDefault="006276CF" w14:paraId="3577804F" w14:textId="29660C80">
            <w:pPr>
              <w:spacing w:line="240" w:lineRule="auto"/>
              <w:ind w:firstLine="0"/>
              <w:jc w:val="center"/>
              <w:rPr>
                <w:rFonts w:ascii="Calibri" w:hAnsi="Calibri" w:eastAsia="Calibri" w:cs="Times New Roman"/>
                <w:sz w:val="22"/>
              </w:rPr>
            </w:pPr>
            <w:r>
              <w:rPr>
                <w:rFonts w:ascii="Calibri" w:hAnsi="Calibri" w:cs="Calibri"/>
                <w:sz w:val="22"/>
              </w:rPr>
              <w:t xml:space="preserve"> $          169.98 </w:t>
            </w:r>
          </w:p>
        </w:tc>
      </w:tr>
      <w:tr w:rsidRPr="00C618BF" w:rsidR="006276CF" w:rsidTr="003B4BA5" w14:paraId="65D7ACE1" w14:textId="77777777">
        <w:tc>
          <w:tcPr>
            <w:tcW w:w="1560" w:type="dxa"/>
          </w:tcPr>
          <w:p w:rsidRPr="00C618BF" w:rsidR="006276CF" w:rsidP="006276CF" w:rsidRDefault="006276CF" w14:paraId="4D6B1F65"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t>8"</w:t>
            </w:r>
          </w:p>
        </w:tc>
        <w:tc>
          <w:tcPr>
            <w:tcW w:w="1560" w:type="dxa"/>
          </w:tcPr>
          <w:p w:rsidRPr="00C618BF" w:rsidR="006276CF" w:rsidP="006276CF" w:rsidRDefault="006276CF" w14:paraId="21A05377" w14:textId="77777777">
            <w:pPr>
              <w:spacing w:line="240" w:lineRule="auto"/>
              <w:ind w:firstLine="0"/>
              <w:rPr>
                <w:rFonts w:ascii="Calibri" w:hAnsi="Calibri" w:eastAsia="Calibri" w:cs="Times New Roman"/>
                <w:sz w:val="22"/>
              </w:rPr>
            </w:pPr>
          </w:p>
        </w:tc>
        <w:tc>
          <w:tcPr>
            <w:tcW w:w="1560" w:type="dxa"/>
            <w:vAlign w:val="bottom"/>
          </w:tcPr>
          <w:p w:rsidRPr="00C618BF" w:rsidR="006276CF" w:rsidP="006276CF" w:rsidRDefault="006276CF" w14:paraId="1EAEB3AE" w14:textId="4AFA4984">
            <w:pPr>
              <w:spacing w:line="240" w:lineRule="auto"/>
              <w:ind w:firstLine="0"/>
              <w:jc w:val="center"/>
              <w:rPr>
                <w:rFonts w:ascii="Calibri" w:hAnsi="Calibri" w:eastAsia="Calibri" w:cs="Times New Roman"/>
                <w:sz w:val="22"/>
              </w:rPr>
            </w:pPr>
            <w:r>
              <w:rPr>
                <w:rFonts w:ascii="Calibri" w:hAnsi="Calibri" w:cs="Calibri"/>
                <w:sz w:val="22"/>
              </w:rPr>
              <w:t xml:space="preserve"> $             182.37 </w:t>
            </w:r>
          </w:p>
        </w:tc>
        <w:tc>
          <w:tcPr>
            <w:tcW w:w="1560" w:type="dxa"/>
            <w:vAlign w:val="bottom"/>
          </w:tcPr>
          <w:p w:rsidRPr="00C618BF" w:rsidR="006276CF" w:rsidP="006276CF" w:rsidRDefault="006276CF" w14:paraId="2F2FDD93" w14:textId="7EE31D93">
            <w:pPr>
              <w:spacing w:line="240" w:lineRule="auto"/>
              <w:ind w:firstLine="0"/>
              <w:jc w:val="center"/>
              <w:rPr>
                <w:rFonts w:ascii="Calibri" w:hAnsi="Calibri" w:eastAsia="Calibri" w:cs="Times New Roman"/>
                <w:sz w:val="22"/>
              </w:rPr>
            </w:pPr>
            <w:r>
              <w:rPr>
                <w:rFonts w:ascii="Calibri" w:hAnsi="Calibri" w:cs="Calibri"/>
                <w:sz w:val="22"/>
              </w:rPr>
              <w:t xml:space="preserve"> $         204.43 </w:t>
            </w:r>
          </w:p>
        </w:tc>
        <w:tc>
          <w:tcPr>
            <w:tcW w:w="1560" w:type="dxa"/>
            <w:vAlign w:val="bottom"/>
          </w:tcPr>
          <w:p w:rsidRPr="00C618BF" w:rsidR="006276CF" w:rsidP="006276CF" w:rsidRDefault="006276CF" w14:paraId="5A540F31" w14:textId="69F27B53">
            <w:pPr>
              <w:spacing w:line="240" w:lineRule="auto"/>
              <w:ind w:firstLine="0"/>
              <w:jc w:val="center"/>
              <w:rPr>
                <w:rFonts w:ascii="Calibri" w:hAnsi="Calibri" w:eastAsia="Calibri" w:cs="Times New Roman"/>
                <w:sz w:val="22"/>
              </w:rPr>
            </w:pPr>
            <w:r>
              <w:rPr>
                <w:rFonts w:ascii="Calibri" w:hAnsi="Calibri" w:cs="Calibri"/>
                <w:sz w:val="22"/>
              </w:rPr>
              <w:t xml:space="preserve"> $          226.81 </w:t>
            </w:r>
          </w:p>
        </w:tc>
      </w:tr>
      <w:tr w:rsidRPr="00C618BF" w:rsidR="006276CF" w:rsidTr="003B4BA5" w14:paraId="4C52C108" w14:textId="77777777">
        <w:tc>
          <w:tcPr>
            <w:tcW w:w="1560" w:type="dxa"/>
          </w:tcPr>
          <w:p w:rsidRPr="00C618BF" w:rsidR="006276CF" w:rsidP="006276CF" w:rsidRDefault="006276CF" w14:paraId="1E102B07"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t>10"</w:t>
            </w:r>
          </w:p>
        </w:tc>
        <w:tc>
          <w:tcPr>
            <w:tcW w:w="1560" w:type="dxa"/>
          </w:tcPr>
          <w:p w:rsidRPr="00C618BF" w:rsidR="006276CF" w:rsidP="006276CF" w:rsidRDefault="006276CF" w14:paraId="6D4F659C" w14:textId="77777777">
            <w:pPr>
              <w:spacing w:line="240" w:lineRule="auto"/>
              <w:ind w:firstLine="0"/>
              <w:rPr>
                <w:rFonts w:ascii="Calibri" w:hAnsi="Calibri" w:eastAsia="Calibri" w:cs="Times New Roman"/>
                <w:sz w:val="22"/>
              </w:rPr>
            </w:pPr>
          </w:p>
        </w:tc>
        <w:tc>
          <w:tcPr>
            <w:tcW w:w="1560" w:type="dxa"/>
            <w:vAlign w:val="bottom"/>
          </w:tcPr>
          <w:p w:rsidRPr="00C618BF" w:rsidR="006276CF" w:rsidP="006276CF" w:rsidRDefault="006276CF" w14:paraId="19FA091C" w14:textId="167200C9">
            <w:pPr>
              <w:spacing w:line="240" w:lineRule="auto"/>
              <w:ind w:firstLine="0"/>
              <w:jc w:val="center"/>
              <w:rPr>
                <w:rFonts w:ascii="Calibri" w:hAnsi="Calibri" w:eastAsia="Calibri" w:cs="Times New Roman"/>
                <w:sz w:val="22"/>
              </w:rPr>
            </w:pPr>
            <w:r>
              <w:rPr>
                <w:rFonts w:ascii="Calibri" w:hAnsi="Calibri" w:cs="Calibri"/>
                <w:sz w:val="22"/>
              </w:rPr>
              <w:t xml:space="preserve"> $             220.14 </w:t>
            </w:r>
          </w:p>
        </w:tc>
        <w:tc>
          <w:tcPr>
            <w:tcW w:w="1560" w:type="dxa"/>
            <w:vAlign w:val="bottom"/>
          </w:tcPr>
          <w:p w:rsidRPr="00C618BF" w:rsidR="006276CF" w:rsidP="006276CF" w:rsidRDefault="006276CF" w14:paraId="283C3F54" w14:textId="2E94EC7F">
            <w:pPr>
              <w:spacing w:line="240" w:lineRule="auto"/>
              <w:ind w:firstLine="0"/>
              <w:jc w:val="center"/>
              <w:rPr>
                <w:rFonts w:ascii="Calibri" w:hAnsi="Calibri" w:eastAsia="Calibri" w:cs="Times New Roman"/>
                <w:sz w:val="22"/>
              </w:rPr>
            </w:pPr>
            <w:r>
              <w:rPr>
                <w:rFonts w:ascii="Calibri" w:hAnsi="Calibri" w:cs="Calibri"/>
                <w:sz w:val="22"/>
              </w:rPr>
              <w:t xml:space="preserve"> $         246.76 </w:t>
            </w:r>
          </w:p>
        </w:tc>
        <w:tc>
          <w:tcPr>
            <w:tcW w:w="1560" w:type="dxa"/>
            <w:vAlign w:val="bottom"/>
          </w:tcPr>
          <w:p w:rsidRPr="00C618BF" w:rsidR="006276CF" w:rsidP="006276CF" w:rsidRDefault="006276CF" w14:paraId="2A565049" w14:textId="224196EF">
            <w:pPr>
              <w:spacing w:line="240" w:lineRule="auto"/>
              <w:ind w:firstLine="0"/>
              <w:jc w:val="center"/>
              <w:rPr>
                <w:rFonts w:ascii="Calibri" w:hAnsi="Calibri" w:eastAsia="Calibri" w:cs="Times New Roman"/>
                <w:sz w:val="22"/>
              </w:rPr>
            </w:pPr>
            <w:r>
              <w:rPr>
                <w:rFonts w:ascii="Calibri" w:hAnsi="Calibri" w:cs="Calibri"/>
                <w:sz w:val="22"/>
              </w:rPr>
              <w:t xml:space="preserve"> $          273.77 </w:t>
            </w:r>
          </w:p>
        </w:tc>
      </w:tr>
      <w:tr w:rsidRPr="00C618BF" w:rsidR="00C618BF" w:rsidTr="00D2090C" w14:paraId="55185CC1" w14:textId="77777777">
        <w:tc>
          <w:tcPr>
            <w:tcW w:w="1560" w:type="dxa"/>
          </w:tcPr>
          <w:p w:rsidRPr="00C618BF" w:rsidR="00C618BF" w:rsidP="00C618BF" w:rsidRDefault="00C618BF" w14:paraId="122349F3" w14:textId="77777777">
            <w:pPr>
              <w:spacing w:line="240" w:lineRule="auto"/>
              <w:ind w:firstLine="0"/>
              <w:jc w:val="right"/>
              <w:rPr>
                <w:rFonts w:ascii="Calibri" w:hAnsi="Calibri" w:eastAsia="Calibri" w:cs="Times New Roman"/>
                <w:sz w:val="22"/>
              </w:rPr>
            </w:pPr>
          </w:p>
        </w:tc>
        <w:tc>
          <w:tcPr>
            <w:tcW w:w="1560" w:type="dxa"/>
          </w:tcPr>
          <w:p w:rsidRPr="00C618BF" w:rsidR="00C618BF" w:rsidP="00C618BF" w:rsidRDefault="00C618BF" w14:paraId="6ED8BA94"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0B7AAEAA" w14:textId="77777777">
            <w:pPr>
              <w:spacing w:line="240" w:lineRule="auto"/>
              <w:ind w:firstLine="0"/>
              <w:jc w:val="center"/>
              <w:rPr>
                <w:rFonts w:ascii="Calibri" w:hAnsi="Calibri" w:eastAsia="Calibri" w:cs="Times New Roman"/>
                <w:sz w:val="22"/>
              </w:rPr>
            </w:pPr>
          </w:p>
        </w:tc>
        <w:tc>
          <w:tcPr>
            <w:tcW w:w="1560" w:type="dxa"/>
          </w:tcPr>
          <w:p w:rsidRPr="00C618BF" w:rsidR="00C618BF" w:rsidP="00C618BF" w:rsidRDefault="00C618BF" w14:paraId="7C8B5CA3" w14:textId="77777777">
            <w:pPr>
              <w:spacing w:line="240" w:lineRule="auto"/>
              <w:ind w:firstLine="0"/>
              <w:jc w:val="center"/>
              <w:rPr>
                <w:rFonts w:ascii="Calibri" w:hAnsi="Calibri" w:eastAsia="Calibri" w:cs="Times New Roman"/>
                <w:sz w:val="22"/>
              </w:rPr>
            </w:pPr>
          </w:p>
        </w:tc>
        <w:tc>
          <w:tcPr>
            <w:tcW w:w="1560" w:type="dxa"/>
          </w:tcPr>
          <w:p w:rsidRPr="00C618BF" w:rsidR="00C618BF" w:rsidP="00C618BF" w:rsidRDefault="00C618BF" w14:paraId="096DD1DA" w14:textId="77777777">
            <w:pPr>
              <w:spacing w:line="240" w:lineRule="auto"/>
              <w:ind w:firstLine="0"/>
              <w:jc w:val="center"/>
              <w:rPr>
                <w:rFonts w:ascii="Calibri" w:hAnsi="Calibri" w:eastAsia="Calibri" w:cs="Times New Roman"/>
                <w:sz w:val="22"/>
              </w:rPr>
            </w:pPr>
          </w:p>
        </w:tc>
      </w:tr>
      <w:tr w:rsidRPr="00C618BF" w:rsidR="00C618BF" w:rsidTr="00D2090C" w14:paraId="37854F42" w14:textId="77777777">
        <w:tc>
          <w:tcPr>
            <w:tcW w:w="1560" w:type="dxa"/>
          </w:tcPr>
          <w:p w:rsidRPr="00C618BF" w:rsidR="00C618BF" w:rsidP="00C618BF" w:rsidRDefault="00C618BF" w14:paraId="22AB39AC"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t>Irrigation - Public Authority</w:t>
            </w:r>
          </w:p>
        </w:tc>
        <w:tc>
          <w:tcPr>
            <w:tcW w:w="1560" w:type="dxa"/>
          </w:tcPr>
          <w:p w:rsidRPr="00C618BF" w:rsidR="00C618BF" w:rsidP="00C618BF" w:rsidRDefault="00C618BF" w14:paraId="1DD041FF"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59808430" w14:textId="77777777">
            <w:pPr>
              <w:spacing w:line="240" w:lineRule="auto"/>
              <w:ind w:firstLine="0"/>
              <w:jc w:val="center"/>
              <w:rPr>
                <w:rFonts w:ascii="Calibri" w:hAnsi="Calibri" w:eastAsia="Calibri" w:cs="Times New Roman"/>
                <w:sz w:val="22"/>
              </w:rPr>
            </w:pPr>
          </w:p>
        </w:tc>
        <w:tc>
          <w:tcPr>
            <w:tcW w:w="1560" w:type="dxa"/>
          </w:tcPr>
          <w:p w:rsidRPr="00C618BF" w:rsidR="00C618BF" w:rsidP="00C618BF" w:rsidRDefault="00C618BF" w14:paraId="325C1A40" w14:textId="77777777">
            <w:pPr>
              <w:spacing w:line="240" w:lineRule="auto"/>
              <w:ind w:firstLine="0"/>
              <w:jc w:val="center"/>
              <w:rPr>
                <w:rFonts w:ascii="Calibri" w:hAnsi="Calibri" w:eastAsia="Calibri" w:cs="Times New Roman"/>
                <w:sz w:val="22"/>
              </w:rPr>
            </w:pPr>
          </w:p>
        </w:tc>
        <w:tc>
          <w:tcPr>
            <w:tcW w:w="1560" w:type="dxa"/>
          </w:tcPr>
          <w:p w:rsidRPr="00C618BF" w:rsidR="00C618BF" w:rsidP="00C618BF" w:rsidRDefault="00C618BF" w14:paraId="1267E9E9" w14:textId="77777777">
            <w:pPr>
              <w:spacing w:line="240" w:lineRule="auto"/>
              <w:ind w:firstLine="0"/>
              <w:jc w:val="center"/>
              <w:rPr>
                <w:rFonts w:ascii="Calibri" w:hAnsi="Calibri" w:eastAsia="Calibri" w:cs="Times New Roman"/>
                <w:sz w:val="22"/>
              </w:rPr>
            </w:pPr>
          </w:p>
        </w:tc>
      </w:tr>
      <w:tr w:rsidRPr="00C618BF" w:rsidR="00507249" w:rsidTr="003B4BA5" w14:paraId="549C5F4B" w14:textId="77777777">
        <w:tc>
          <w:tcPr>
            <w:tcW w:w="1560" w:type="dxa"/>
          </w:tcPr>
          <w:p w:rsidRPr="00C618BF" w:rsidR="00507249" w:rsidP="00507249" w:rsidRDefault="00507249" w14:paraId="103E78FC"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lastRenderedPageBreak/>
              <w:t>2"</w:t>
            </w:r>
          </w:p>
        </w:tc>
        <w:tc>
          <w:tcPr>
            <w:tcW w:w="1560" w:type="dxa"/>
          </w:tcPr>
          <w:p w:rsidRPr="00C618BF" w:rsidR="00507249" w:rsidP="00507249" w:rsidRDefault="00507249" w14:paraId="47B42580" w14:textId="77777777">
            <w:pPr>
              <w:spacing w:line="240" w:lineRule="auto"/>
              <w:ind w:firstLine="0"/>
              <w:rPr>
                <w:rFonts w:ascii="Calibri" w:hAnsi="Calibri" w:eastAsia="Calibri" w:cs="Times New Roman"/>
                <w:sz w:val="22"/>
              </w:rPr>
            </w:pPr>
          </w:p>
        </w:tc>
        <w:tc>
          <w:tcPr>
            <w:tcW w:w="1560" w:type="dxa"/>
            <w:vAlign w:val="bottom"/>
          </w:tcPr>
          <w:p w:rsidRPr="00C618BF" w:rsidR="00507249" w:rsidP="00507249" w:rsidRDefault="00507249" w14:paraId="650F840D" w14:textId="49481DA6">
            <w:pPr>
              <w:spacing w:line="240" w:lineRule="auto"/>
              <w:ind w:firstLine="0"/>
              <w:jc w:val="center"/>
              <w:rPr>
                <w:rFonts w:ascii="Calibri" w:hAnsi="Calibri" w:eastAsia="Calibri" w:cs="Times New Roman"/>
                <w:sz w:val="22"/>
              </w:rPr>
            </w:pPr>
            <w:r>
              <w:rPr>
                <w:rFonts w:ascii="Calibri" w:hAnsi="Calibri" w:cs="Calibri"/>
                <w:color w:val="000000"/>
                <w:sz w:val="22"/>
              </w:rPr>
              <w:t xml:space="preserve"> $             175.72 </w:t>
            </w:r>
          </w:p>
        </w:tc>
        <w:tc>
          <w:tcPr>
            <w:tcW w:w="1560" w:type="dxa"/>
            <w:vAlign w:val="bottom"/>
          </w:tcPr>
          <w:p w:rsidRPr="00C618BF" w:rsidR="00507249" w:rsidP="00507249" w:rsidRDefault="00507249" w14:paraId="1F49DDC9" w14:textId="6EA64670">
            <w:pPr>
              <w:spacing w:line="240" w:lineRule="auto"/>
              <w:ind w:firstLine="0"/>
              <w:jc w:val="center"/>
              <w:rPr>
                <w:rFonts w:ascii="Calibri" w:hAnsi="Calibri" w:eastAsia="Calibri" w:cs="Times New Roman"/>
                <w:sz w:val="22"/>
              </w:rPr>
            </w:pPr>
            <w:r>
              <w:rPr>
                <w:rFonts w:ascii="Calibri" w:hAnsi="Calibri" w:cs="Calibri"/>
                <w:color w:val="000000"/>
                <w:sz w:val="22"/>
              </w:rPr>
              <w:t xml:space="preserve"> $         182.94 </w:t>
            </w:r>
          </w:p>
        </w:tc>
        <w:tc>
          <w:tcPr>
            <w:tcW w:w="1560" w:type="dxa"/>
            <w:vAlign w:val="bottom"/>
          </w:tcPr>
          <w:p w:rsidRPr="00C618BF" w:rsidR="00507249" w:rsidP="00507249" w:rsidRDefault="00507249" w14:paraId="6FCE338B" w14:textId="7BE92E6B">
            <w:pPr>
              <w:spacing w:line="240" w:lineRule="auto"/>
              <w:ind w:firstLine="0"/>
              <w:jc w:val="center"/>
              <w:rPr>
                <w:rFonts w:ascii="Calibri" w:hAnsi="Calibri" w:eastAsia="Calibri" w:cs="Times New Roman"/>
                <w:sz w:val="22"/>
              </w:rPr>
            </w:pPr>
            <w:r>
              <w:rPr>
                <w:rFonts w:ascii="Calibri" w:hAnsi="Calibri" w:cs="Calibri"/>
                <w:color w:val="000000"/>
                <w:sz w:val="22"/>
              </w:rPr>
              <w:t xml:space="preserve"> $          188.48 </w:t>
            </w:r>
          </w:p>
        </w:tc>
      </w:tr>
      <w:tr w:rsidRPr="00C618BF" w:rsidR="00507249" w:rsidTr="003B4BA5" w14:paraId="1DE2B720" w14:textId="77777777">
        <w:tc>
          <w:tcPr>
            <w:tcW w:w="1560" w:type="dxa"/>
          </w:tcPr>
          <w:p w:rsidRPr="00C618BF" w:rsidR="00507249" w:rsidP="00507249" w:rsidRDefault="00507249" w14:paraId="0E00AD92"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t>3"</w:t>
            </w:r>
          </w:p>
        </w:tc>
        <w:tc>
          <w:tcPr>
            <w:tcW w:w="1560" w:type="dxa"/>
          </w:tcPr>
          <w:p w:rsidRPr="00C618BF" w:rsidR="00507249" w:rsidP="00507249" w:rsidRDefault="00507249" w14:paraId="4B0F6E0A" w14:textId="77777777">
            <w:pPr>
              <w:spacing w:line="240" w:lineRule="auto"/>
              <w:ind w:firstLine="0"/>
              <w:rPr>
                <w:rFonts w:ascii="Calibri" w:hAnsi="Calibri" w:eastAsia="Calibri" w:cs="Times New Roman"/>
                <w:sz w:val="22"/>
              </w:rPr>
            </w:pPr>
          </w:p>
        </w:tc>
        <w:tc>
          <w:tcPr>
            <w:tcW w:w="1560" w:type="dxa"/>
            <w:vAlign w:val="bottom"/>
          </w:tcPr>
          <w:p w:rsidRPr="00C618BF" w:rsidR="00507249" w:rsidP="00507249" w:rsidRDefault="00507249" w14:paraId="29FD51B9" w14:textId="3BA6C944">
            <w:pPr>
              <w:spacing w:line="240" w:lineRule="auto"/>
              <w:ind w:firstLine="0"/>
              <w:jc w:val="center"/>
              <w:rPr>
                <w:rFonts w:ascii="Calibri" w:hAnsi="Calibri" w:eastAsia="Calibri" w:cs="Times New Roman"/>
                <w:sz w:val="22"/>
              </w:rPr>
            </w:pPr>
            <w:r>
              <w:rPr>
                <w:rFonts w:ascii="Calibri" w:hAnsi="Calibri" w:cs="Calibri"/>
                <w:color w:val="000000"/>
                <w:sz w:val="22"/>
              </w:rPr>
              <w:t xml:space="preserve"> $             329.48 </w:t>
            </w:r>
          </w:p>
        </w:tc>
        <w:tc>
          <w:tcPr>
            <w:tcW w:w="1560" w:type="dxa"/>
            <w:vAlign w:val="bottom"/>
          </w:tcPr>
          <w:p w:rsidRPr="00C618BF" w:rsidR="00507249" w:rsidP="00507249" w:rsidRDefault="00507249" w14:paraId="7634E2BF" w14:textId="0883FC11">
            <w:pPr>
              <w:spacing w:line="240" w:lineRule="auto"/>
              <w:ind w:firstLine="0"/>
              <w:jc w:val="center"/>
              <w:rPr>
                <w:rFonts w:ascii="Calibri" w:hAnsi="Calibri" w:eastAsia="Calibri" w:cs="Times New Roman"/>
                <w:sz w:val="22"/>
              </w:rPr>
            </w:pPr>
            <w:r>
              <w:rPr>
                <w:rFonts w:ascii="Calibri" w:hAnsi="Calibri" w:cs="Calibri"/>
                <w:color w:val="000000"/>
                <w:sz w:val="22"/>
              </w:rPr>
              <w:t xml:space="preserve"> $         343.02 </w:t>
            </w:r>
          </w:p>
        </w:tc>
        <w:tc>
          <w:tcPr>
            <w:tcW w:w="1560" w:type="dxa"/>
            <w:vAlign w:val="bottom"/>
          </w:tcPr>
          <w:p w:rsidRPr="00C618BF" w:rsidR="00507249" w:rsidP="00507249" w:rsidRDefault="00507249" w14:paraId="65EBB098" w14:textId="4A69BACB">
            <w:pPr>
              <w:spacing w:line="240" w:lineRule="auto"/>
              <w:ind w:firstLine="0"/>
              <w:jc w:val="center"/>
              <w:rPr>
                <w:rFonts w:ascii="Calibri" w:hAnsi="Calibri" w:eastAsia="Calibri" w:cs="Times New Roman"/>
                <w:sz w:val="22"/>
              </w:rPr>
            </w:pPr>
            <w:r>
              <w:rPr>
                <w:rFonts w:ascii="Calibri" w:hAnsi="Calibri" w:cs="Calibri"/>
                <w:color w:val="000000"/>
                <w:sz w:val="22"/>
              </w:rPr>
              <w:t xml:space="preserve"> $          353.40 </w:t>
            </w:r>
          </w:p>
        </w:tc>
      </w:tr>
      <w:tr w:rsidRPr="00C618BF" w:rsidR="00507249" w:rsidTr="003B4BA5" w14:paraId="3AC7B12D" w14:textId="77777777">
        <w:tc>
          <w:tcPr>
            <w:tcW w:w="1560" w:type="dxa"/>
          </w:tcPr>
          <w:p w:rsidRPr="00C618BF" w:rsidR="00507249" w:rsidP="00507249" w:rsidRDefault="00507249" w14:paraId="1D97FC6D"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t>Commodity</w:t>
            </w:r>
          </w:p>
        </w:tc>
        <w:tc>
          <w:tcPr>
            <w:tcW w:w="1560" w:type="dxa"/>
          </w:tcPr>
          <w:p w:rsidRPr="00C618BF" w:rsidR="00507249" w:rsidP="00507249" w:rsidRDefault="00507249" w14:paraId="6ABBA51B" w14:textId="77777777">
            <w:pPr>
              <w:spacing w:line="240" w:lineRule="auto"/>
              <w:ind w:firstLine="0"/>
              <w:rPr>
                <w:rFonts w:ascii="Calibri" w:hAnsi="Calibri" w:eastAsia="Calibri" w:cs="Times New Roman"/>
                <w:sz w:val="22"/>
              </w:rPr>
            </w:pPr>
          </w:p>
        </w:tc>
        <w:tc>
          <w:tcPr>
            <w:tcW w:w="1560" w:type="dxa"/>
            <w:vAlign w:val="bottom"/>
          </w:tcPr>
          <w:p w:rsidRPr="00C618BF" w:rsidR="00507249" w:rsidP="00507249" w:rsidRDefault="00507249" w14:paraId="3BB9EFE6" w14:textId="552FD470">
            <w:pPr>
              <w:spacing w:line="240" w:lineRule="auto"/>
              <w:ind w:firstLine="0"/>
              <w:jc w:val="center"/>
              <w:rPr>
                <w:rFonts w:ascii="Calibri" w:hAnsi="Calibri" w:eastAsia="Calibri" w:cs="Times New Roman"/>
                <w:sz w:val="22"/>
              </w:rPr>
            </w:pPr>
            <w:r>
              <w:rPr>
                <w:rFonts w:ascii="Calibri" w:hAnsi="Calibri" w:cs="Calibri"/>
                <w:color w:val="000000"/>
                <w:sz w:val="22"/>
              </w:rPr>
              <w:t>4.106</w:t>
            </w:r>
          </w:p>
        </w:tc>
        <w:tc>
          <w:tcPr>
            <w:tcW w:w="1560" w:type="dxa"/>
            <w:vAlign w:val="bottom"/>
          </w:tcPr>
          <w:p w:rsidRPr="00C618BF" w:rsidR="00507249" w:rsidP="00507249" w:rsidRDefault="00507249" w14:paraId="67352464" w14:textId="26F5AC99">
            <w:pPr>
              <w:spacing w:line="240" w:lineRule="auto"/>
              <w:ind w:firstLine="0"/>
              <w:jc w:val="center"/>
              <w:rPr>
                <w:rFonts w:ascii="Calibri" w:hAnsi="Calibri" w:eastAsia="Calibri" w:cs="Times New Roman"/>
                <w:sz w:val="22"/>
              </w:rPr>
            </w:pPr>
            <w:r>
              <w:rPr>
                <w:rFonts w:ascii="Calibri" w:hAnsi="Calibri" w:cs="Calibri"/>
                <w:color w:val="000000"/>
                <w:sz w:val="22"/>
              </w:rPr>
              <w:t>4.277</w:t>
            </w:r>
          </w:p>
        </w:tc>
        <w:tc>
          <w:tcPr>
            <w:tcW w:w="1560" w:type="dxa"/>
            <w:vAlign w:val="bottom"/>
          </w:tcPr>
          <w:p w:rsidRPr="00C618BF" w:rsidR="00507249" w:rsidP="00507249" w:rsidRDefault="00507249" w14:paraId="7CC2085C" w14:textId="39EB303D">
            <w:pPr>
              <w:spacing w:line="240" w:lineRule="auto"/>
              <w:ind w:firstLine="0"/>
              <w:jc w:val="center"/>
              <w:rPr>
                <w:rFonts w:ascii="Calibri" w:hAnsi="Calibri" w:eastAsia="Calibri" w:cs="Times New Roman"/>
                <w:sz w:val="22"/>
              </w:rPr>
            </w:pPr>
            <w:r>
              <w:rPr>
                <w:rFonts w:ascii="Calibri" w:hAnsi="Calibri" w:cs="Calibri"/>
                <w:color w:val="000000"/>
                <w:sz w:val="22"/>
              </w:rPr>
              <w:t>4.410</w:t>
            </w:r>
          </w:p>
        </w:tc>
      </w:tr>
      <w:tr w:rsidRPr="00C618BF" w:rsidR="00C618BF" w:rsidTr="00D2090C" w14:paraId="45F58CBE" w14:textId="77777777">
        <w:tc>
          <w:tcPr>
            <w:tcW w:w="1560" w:type="dxa"/>
          </w:tcPr>
          <w:p w:rsidRPr="00C618BF" w:rsidR="00C618BF" w:rsidP="00C618BF" w:rsidRDefault="00C618BF" w14:paraId="19E4D9A6" w14:textId="77777777">
            <w:pPr>
              <w:spacing w:line="240" w:lineRule="auto"/>
              <w:ind w:firstLine="0"/>
              <w:jc w:val="right"/>
              <w:rPr>
                <w:rFonts w:ascii="Calibri" w:hAnsi="Calibri" w:eastAsia="Calibri" w:cs="Times New Roman"/>
                <w:sz w:val="22"/>
              </w:rPr>
            </w:pPr>
          </w:p>
        </w:tc>
        <w:tc>
          <w:tcPr>
            <w:tcW w:w="1560" w:type="dxa"/>
          </w:tcPr>
          <w:p w:rsidRPr="00C618BF" w:rsidR="00C618BF" w:rsidP="00C618BF" w:rsidRDefault="00C618BF" w14:paraId="7B7E8806"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40353C66" w14:textId="77777777">
            <w:pPr>
              <w:spacing w:line="240" w:lineRule="auto"/>
              <w:ind w:firstLine="0"/>
              <w:jc w:val="center"/>
              <w:rPr>
                <w:rFonts w:ascii="Calibri" w:hAnsi="Calibri" w:eastAsia="Calibri" w:cs="Times New Roman"/>
                <w:sz w:val="22"/>
              </w:rPr>
            </w:pPr>
          </w:p>
        </w:tc>
        <w:tc>
          <w:tcPr>
            <w:tcW w:w="1560" w:type="dxa"/>
          </w:tcPr>
          <w:p w:rsidRPr="00C618BF" w:rsidR="00C618BF" w:rsidP="00C618BF" w:rsidRDefault="00C618BF" w14:paraId="555AF663" w14:textId="77777777">
            <w:pPr>
              <w:spacing w:line="240" w:lineRule="auto"/>
              <w:ind w:firstLine="0"/>
              <w:jc w:val="center"/>
              <w:rPr>
                <w:rFonts w:ascii="Calibri" w:hAnsi="Calibri" w:eastAsia="Calibri" w:cs="Times New Roman"/>
                <w:sz w:val="22"/>
              </w:rPr>
            </w:pPr>
          </w:p>
        </w:tc>
        <w:tc>
          <w:tcPr>
            <w:tcW w:w="1560" w:type="dxa"/>
          </w:tcPr>
          <w:p w:rsidRPr="00C618BF" w:rsidR="00C618BF" w:rsidP="00C618BF" w:rsidRDefault="00C618BF" w14:paraId="1DAB0BEF" w14:textId="77777777">
            <w:pPr>
              <w:spacing w:line="240" w:lineRule="auto"/>
              <w:ind w:firstLine="0"/>
              <w:jc w:val="center"/>
              <w:rPr>
                <w:rFonts w:ascii="Calibri" w:hAnsi="Calibri" w:eastAsia="Calibri" w:cs="Times New Roman"/>
                <w:sz w:val="22"/>
              </w:rPr>
            </w:pPr>
          </w:p>
        </w:tc>
      </w:tr>
      <w:tr w:rsidRPr="00C618BF" w:rsidR="00C618BF" w:rsidTr="00D2090C" w14:paraId="26050E2C" w14:textId="77777777">
        <w:tc>
          <w:tcPr>
            <w:tcW w:w="1560" w:type="dxa"/>
          </w:tcPr>
          <w:p w:rsidRPr="00C618BF" w:rsidR="00C618BF" w:rsidP="00C618BF" w:rsidRDefault="00C618BF" w14:paraId="78252259"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t>Irrigation</w:t>
            </w:r>
            <w:proofErr w:type="gramStart"/>
            <w:r w:rsidRPr="00C618BF">
              <w:rPr>
                <w:rFonts w:ascii="Calibri" w:hAnsi="Calibri" w:eastAsia="Calibri" w:cs="Calibri"/>
                <w:sz w:val="22"/>
              </w:rPr>
              <w:t>-  Gravity</w:t>
            </w:r>
            <w:proofErr w:type="gramEnd"/>
          </w:p>
        </w:tc>
        <w:tc>
          <w:tcPr>
            <w:tcW w:w="1560" w:type="dxa"/>
          </w:tcPr>
          <w:p w:rsidRPr="00C618BF" w:rsidR="00C618BF" w:rsidP="00C618BF" w:rsidRDefault="00C618BF" w14:paraId="43A39B8E"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76936DB9" w14:textId="77777777">
            <w:pPr>
              <w:spacing w:line="240" w:lineRule="auto"/>
              <w:ind w:firstLine="0"/>
              <w:jc w:val="center"/>
              <w:rPr>
                <w:rFonts w:ascii="Calibri" w:hAnsi="Calibri" w:eastAsia="Calibri" w:cs="Times New Roman"/>
                <w:sz w:val="22"/>
              </w:rPr>
            </w:pPr>
          </w:p>
        </w:tc>
        <w:tc>
          <w:tcPr>
            <w:tcW w:w="1560" w:type="dxa"/>
          </w:tcPr>
          <w:p w:rsidRPr="00C618BF" w:rsidR="00C618BF" w:rsidP="00C618BF" w:rsidRDefault="00C618BF" w14:paraId="10E55BEE" w14:textId="77777777">
            <w:pPr>
              <w:spacing w:line="240" w:lineRule="auto"/>
              <w:ind w:firstLine="0"/>
              <w:jc w:val="center"/>
              <w:rPr>
                <w:rFonts w:ascii="Calibri" w:hAnsi="Calibri" w:eastAsia="Calibri" w:cs="Times New Roman"/>
                <w:sz w:val="22"/>
              </w:rPr>
            </w:pPr>
          </w:p>
        </w:tc>
        <w:tc>
          <w:tcPr>
            <w:tcW w:w="1560" w:type="dxa"/>
          </w:tcPr>
          <w:p w:rsidRPr="00C618BF" w:rsidR="00C618BF" w:rsidP="00C618BF" w:rsidRDefault="00C618BF" w14:paraId="4A04678B" w14:textId="77777777">
            <w:pPr>
              <w:spacing w:line="240" w:lineRule="auto"/>
              <w:ind w:firstLine="0"/>
              <w:jc w:val="center"/>
              <w:rPr>
                <w:rFonts w:ascii="Calibri" w:hAnsi="Calibri" w:eastAsia="Calibri" w:cs="Times New Roman"/>
                <w:sz w:val="22"/>
              </w:rPr>
            </w:pPr>
          </w:p>
        </w:tc>
      </w:tr>
      <w:tr w:rsidRPr="00C618BF" w:rsidR="00C618BF" w:rsidTr="00D2090C" w14:paraId="15828AA2" w14:textId="77777777">
        <w:tc>
          <w:tcPr>
            <w:tcW w:w="1560" w:type="dxa"/>
          </w:tcPr>
          <w:p w:rsidRPr="00C618BF" w:rsidR="00C618BF" w:rsidP="00C618BF" w:rsidRDefault="00C618BF" w14:paraId="2AFD7D2F" w14:textId="77777777">
            <w:pPr>
              <w:spacing w:line="240" w:lineRule="auto"/>
              <w:ind w:firstLine="0"/>
              <w:jc w:val="right"/>
              <w:rPr>
                <w:rFonts w:ascii="Calibri" w:hAnsi="Calibri" w:eastAsia="Calibri" w:cs="Times New Roman"/>
                <w:sz w:val="22"/>
              </w:rPr>
            </w:pPr>
          </w:p>
        </w:tc>
        <w:tc>
          <w:tcPr>
            <w:tcW w:w="1560" w:type="dxa"/>
          </w:tcPr>
          <w:p w:rsidRPr="00C618BF" w:rsidR="00C618BF" w:rsidP="00C618BF" w:rsidRDefault="00C618BF" w14:paraId="59B84DB0" w14:textId="77777777">
            <w:pPr>
              <w:spacing w:line="240" w:lineRule="auto"/>
              <w:ind w:firstLine="0"/>
              <w:rPr>
                <w:rFonts w:ascii="Calibri" w:hAnsi="Calibri" w:eastAsia="Calibri" w:cs="Times New Roman"/>
                <w:sz w:val="22"/>
              </w:rPr>
            </w:pPr>
          </w:p>
        </w:tc>
        <w:tc>
          <w:tcPr>
            <w:tcW w:w="1560" w:type="dxa"/>
          </w:tcPr>
          <w:p w:rsidRPr="00C618BF" w:rsidR="00C618BF" w:rsidP="00C618BF" w:rsidRDefault="00C618BF" w14:paraId="0E893C12" w14:textId="77777777">
            <w:pPr>
              <w:spacing w:line="240" w:lineRule="auto"/>
              <w:ind w:firstLine="0"/>
              <w:jc w:val="center"/>
              <w:rPr>
                <w:rFonts w:ascii="Calibri" w:hAnsi="Calibri" w:eastAsia="Calibri" w:cs="Times New Roman"/>
                <w:sz w:val="22"/>
              </w:rPr>
            </w:pPr>
          </w:p>
        </w:tc>
        <w:tc>
          <w:tcPr>
            <w:tcW w:w="1560" w:type="dxa"/>
          </w:tcPr>
          <w:p w:rsidRPr="00C618BF" w:rsidR="00C618BF" w:rsidP="00C618BF" w:rsidRDefault="00C618BF" w14:paraId="41D23DEE" w14:textId="77777777">
            <w:pPr>
              <w:spacing w:line="240" w:lineRule="auto"/>
              <w:ind w:firstLine="0"/>
              <w:jc w:val="center"/>
              <w:rPr>
                <w:rFonts w:ascii="Calibri" w:hAnsi="Calibri" w:eastAsia="Calibri" w:cs="Times New Roman"/>
                <w:sz w:val="22"/>
              </w:rPr>
            </w:pPr>
          </w:p>
        </w:tc>
        <w:tc>
          <w:tcPr>
            <w:tcW w:w="1560" w:type="dxa"/>
          </w:tcPr>
          <w:p w:rsidRPr="00C618BF" w:rsidR="00C618BF" w:rsidP="00C618BF" w:rsidRDefault="00C618BF" w14:paraId="399EA090" w14:textId="77777777">
            <w:pPr>
              <w:spacing w:line="240" w:lineRule="auto"/>
              <w:ind w:firstLine="0"/>
              <w:jc w:val="center"/>
              <w:rPr>
                <w:rFonts w:ascii="Calibri" w:hAnsi="Calibri" w:eastAsia="Calibri" w:cs="Times New Roman"/>
                <w:sz w:val="22"/>
              </w:rPr>
            </w:pPr>
          </w:p>
        </w:tc>
      </w:tr>
      <w:tr w:rsidRPr="00C618BF" w:rsidR="007337A9" w:rsidTr="003B4BA5" w14:paraId="2E8652DF" w14:textId="77777777">
        <w:tc>
          <w:tcPr>
            <w:tcW w:w="1560" w:type="dxa"/>
          </w:tcPr>
          <w:p w:rsidRPr="00C618BF" w:rsidR="007337A9" w:rsidP="007337A9" w:rsidRDefault="007337A9" w14:paraId="4C0D25EB"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t>10"</w:t>
            </w:r>
          </w:p>
        </w:tc>
        <w:tc>
          <w:tcPr>
            <w:tcW w:w="1560" w:type="dxa"/>
          </w:tcPr>
          <w:p w:rsidRPr="00C618BF" w:rsidR="007337A9" w:rsidP="007337A9" w:rsidRDefault="007337A9" w14:paraId="2F7483A3" w14:textId="77777777">
            <w:pPr>
              <w:spacing w:line="240" w:lineRule="auto"/>
              <w:ind w:firstLine="0"/>
              <w:rPr>
                <w:rFonts w:ascii="Calibri" w:hAnsi="Calibri" w:eastAsia="Calibri" w:cs="Times New Roman"/>
                <w:sz w:val="22"/>
              </w:rPr>
            </w:pPr>
          </w:p>
        </w:tc>
        <w:tc>
          <w:tcPr>
            <w:tcW w:w="1560" w:type="dxa"/>
            <w:vAlign w:val="bottom"/>
          </w:tcPr>
          <w:p w:rsidRPr="00C618BF" w:rsidR="007337A9" w:rsidP="007337A9" w:rsidRDefault="007337A9" w14:paraId="23EAC0D5" w14:textId="0EA67904">
            <w:pPr>
              <w:spacing w:line="240" w:lineRule="auto"/>
              <w:ind w:firstLine="0"/>
              <w:jc w:val="center"/>
              <w:rPr>
                <w:rFonts w:ascii="Calibri" w:hAnsi="Calibri" w:eastAsia="Calibri" w:cs="Times New Roman"/>
                <w:sz w:val="22"/>
              </w:rPr>
            </w:pPr>
            <w:r>
              <w:rPr>
                <w:rFonts w:ascii="Calibri" w:hAnsi="Calibri" w:cs="Calibri"/>
                <w:color w:val="000000"/>
                <w:sz w:val="22"/>
              </w:rPr>
              <w:t xml:space="preserve"> $         3,184.93 </w:t>
            </w:r>
          </w:p>
        </w:tc>
        <w:tc>
          <w:tcPr>
            <w:tcW w:w="1560" w:type="dxa"/>
            <w:vAlign w:val="bottom"/>
          </w:tcPr>
          <w:p w:rsidRPr="00C618BF" w:rsidR="007337A9" w:rsidP="007337A9" w:rsidRDefault="007337A9" w14:paraId="7FF48331" w14:textId="237D54AA">
            <w:pPr>
              <w:spacing w:line="240" w:lineRule="auto"/>
              <w:ind w:firstLine="0"/>
              <w:jc w:val="center"/>
              <w:rPr>
                <w:rFonts w:ascii="Calibri" w:hAnsi="Calibri" w:eastAsia="Calibri" w:cs="Times New Roman"/>
                <w:sz w:val="22"/>
              </w:rPr>
            </w:pPr>
            <w:r>
              <w:rPr>
                <w:rFonts w:ascii="Calibri" w:hAnsi="Calibri" w:cs="Calibri"/>
                <w:color w:val="000000"/>
                <w:sz w:val="22"/>
              </w:rPr>
              <w:t xml:space="preserve"> $     3,315.86 </w:t>
            </w:r>
          </w:p>
        </w:tc>
        <w:tc>
          <w:tcPr>
            <w:tcW w:w="1560" w:type="dxa"/>
            <w:vAlign w:val="bottom"/>
          </w:tcPr>
          <w:p w:rsidRPr="00C618BF" w:rsidR="007337A9" w:rsidP="007337A9" w:rsidRDefault="007337A9" w14:paraId="6259EA81" w14:textId="1A25B8CE">
            <w:pPr>
              <w:spacing w:line="240" w:lineRule="auto"/>
              <w:ind w:firstLine="0"/>
              <w:jc w:val="center"/>
              <w:rPr>
                <w:rFonts w:ascii="Calibri" w:hAnsi="Calibri" w:eastAsia="Calibri" w:cs="Times New Roman"/>
                <w:sz w:val="22"/>
              </w:rPr>
            </w:pPr>
            <w:r>
              <w:rPr>
                <w:rFonts w:ascii="Calibri" w:hAnsi="Calibri" w:cs="Calibri"/>
                <w:color w:val="000000"/>
                <w:sz w:val="22"/>
              </w:rPr>
              <w:t xml:space="preserve"> $      3,416.20 </w:t>
            </w:r>
          </w:p>
        </w:tc>
      </w:tr>
      <w:tr w:rsidRPr="00C618BF" w:rsidR="007337A9" w:rsidTr="003B4BA5" w14:paraId="3C46A076" w14:textId="77777777">
        <w:tc>
          <w:tcPr>
            <w:tcW w:w="1560" w:type="dxa"/>
          </w:tcPr>
          <w:p w:rsidRPr="00C618BF" w:rsidR="007337A9" w:rsidP="007337A9" w:rsidRDefault="007337A9" w14:paraId="72260016" w14:textId="77777777">
            <w:pPr>
              <w:spacing w:line="240" w:lineRule="auto"/>
              <w:ind w:firstLine="0"/>
              <w:jc w:val="right"/>
              <w:rPr>
                <w:rFonts w:ascii="Calibri" w:hAnsi="Calibri" w:eastAsia="Calibri" w:cs="Times New Roman"/>
                <w:sz w:val="22"/>
              </w:rPr>
            </w:pPr>
            <w:r w:rsidRPr="00C618BF">
              <w:rPr>
                <w:rFonts w:ascii="Calibri" w:hAnsi="Calibri" w:eastAsia="Calibri" w:cs="Calibri"/>
                <w:sz w:val="22"/>
              </w:rPr>
              <w:t>Commodity</w:t>
            </w:r>
          </w:p>
        </w:tc>
        <w:tc>
          <w:tcPr>
            <w:tcW w:w="1560" w:type="dxa"/>
          </w:tcPr>
          <w:p w:rsidRPr="00C618BF" w:rsidR="007337A9" w:rsidP="007337A9" w:rsidRDefault="007337A9" w14:paraId="36DE4C58" w14:textId="77777777">
            <w:pPr>
              <w:spacing w:line="240" w:lineRule="auto"/>
              <w:ind w:firstLine="0"/>
              <w:rPr>
                <w:rFonts w:ascii="Calibri" w:hAnsi="Calibri" w:eastAsia="Calibri" w:cs="Times New Roman"/>
                <w:sz w:val="22"/>
              </w:rPr>
            </w:pPr>
          </w:p>
        </w:tc>
        <w:tc>
          <w:tcPr>
            <w:tcW w:w="1560" w:type="dxa"/>
            <w:vAlign w:val="bottom"/>
          </w:tcPr>
          <w:p w:rsidRPr="00C618BF" w:rsidR="007337A9" w:rsidP="007337A9" w:rsidRDefault="007337A9" w14:paraId="0923ABA8" w14:textId="342F6F68">
            <w:pPr>
              <w:spacing w:line="240" w:lineRule="auto"/>
              <w:ind w:firstLine="0"/>
              <w:jc w:val="center"/>
              <w:rPr>
                <w:rFonts w:ascii="Calibri" w:hAnsi="Calibri" w:eastAsia="Calibri" w:cs="Times New Roman"/>
                <w:sz w:val="22"/>
              </w:rPr>
            </w:pPr>
            <w:r>
              <w:rPr>
                <w:rFonts w:ascii="Calibri" w:hAnsi="Calibri" w:cs="Calibri"/>
                <w:color w:val="000000"/>
                <w:sz w:val="22"/>
              </w:rPr>
              <w:t xml:space="preserve"> $                  0.32 </w:t>
            </w:r>
          </w:p>
        </w:tc>
        <w:tc>
          <w:tcPr>
            <w:tcW w:w="1560" w:type="dxa"/>
            <w:vAlign w:val="bottom"/>
          </w:tcPr>
          <w:p w:rsidRPr="00C618BF" w:rsidR="007337A9" w:rsidP="007337A9" w:rsidRDefault="007337A9" w14:paraId="387CFDC9" w14:textId="1AD1C7F1">
            <w:pPr>
              <w:spacing w:line="240" w:lineRule="auto"/>
              <w:ind w:firstLine="0"/>
              <w:jc w:val="center"/>
              <w:rPr>
                <w:rFonts w:ascii="Calibri" w:hAnsi="Calibri" w:eastAsia="Calibri" w:cs="Times New Roman"/>
                <w:sz w:val="22"/>
              </w:rPr>
            </w:pPr>
            <w:r>
              <w:rPr>
                <w:rFonts w:ascii="Calibri" w:hAnsi="Calibri" w:cs="Calibri"/>
                <w:color w:val="000000"/>
                <w:sz w:val="22"/>
              </w:rPr>
              <w:t xml:space="preserve"> $              0.32 </w:t>
            </w:r>
          </w:p>
        </w:tc>
        <w:tc>
          <w:tcPr>
            <w:tcW w:w="1560" w:type="dxa"/>
            <w:vAlign w:val="bottom"/>
          </w:tcPr>
          <w:p w:rsidRPr="00C618BF" w:rsidR="007337A9" w:rsidP="007337A9" w:rsidRDefault="007337A9" w14:paraId="2E20D2E0" w14:textId="7CF0363F">
            <w:pPr>
              <w:spacing w:line="240" w:lineRule="auto"/>
              <w:ind w:firstLine="0"/>
              <w:jc w:val="center"/>
              <w:rPr>
                <w:rFonts w:ascii="Calibri" w:hAnsi="Calibri" w:eastAsia="Calibri" w:cs="Times New Roman"/>
                <w:sz w:val="22"/>
              </w:rPr>
            </w:pPr>
            <w:r>
              <w:rPr>
                <w:rFonts w:ascii="Calibri" w:hAnsi="Calibri" w:cs="Calibri"/>
                <w:color w:val="000000"/>
                <w:sz w:val="22"/>
              </w:rPr>
              <w:t xml:space="preserve"> $               0.32 </w:t>
            </w:r>
          </w:p>
        </w:tc>
      </w:tr>
    </w:tbl>
    <w:p w:rsidRPr="00C618BF" w:rsidR="00C618BF" w:rsidP="00C618BF" w:rsidRDefault="00C618BF" w14:paraId="7C869479" w14:textId="77777777">
      <w:pPr>
        <w:spacing w:after="160" w:line="259" w:lineRule="auto"/>
        <w:ind w:firstLine="0"/>
        <w:rPr>
          <w:rFonts w:ascii="Calibri" w:hAnsi="Calibri" w:eastAsia="Calibri" w:cs="Times New Roman"/>
          <w:sz w:val="22"/>
        </w:rPr>
      </w:pPr>
    </w:p>
    <w:p w:rsidRPr="00C618BF" w:rsidR="00C618BF" w:rsidP="00C618BF" w:rsidRDefault="00C618BF" w14:paraId="51FADC58" w14:textId="77777777">
      <w:pPr>
        <w:spacing w:after="160" w:line="259" w:lineRule="auto"/>
        <w:ind w:firstLine="0"/>
        <w:rPr>
          <w:rFonts w:ascii="Calibri" w:hAnsi="Calibri" w:eastAsia="Calibri" w:cs="Times New Roman"/>
          <w:sz w:val="22"/>
        </w:rPr>
      </w:pPr>
    </w:p>
    <w:p w:rsidRPr="00C618BF" w:rsidR="00C618BF" w:rsidP="00C618BF" w:rsidRDefault="00C618BF" w14:paraId="1FE3F583" w14:textId="77777777">
      <w:pPr>
        <w:spacing w:after="160" w:line="259" w:lineRule="auto"/>
        <w:ind w:firstLine="0"/>
        <w:rPr>
          <w:rFonts w:ascii="Calibri" w:hAnsi="Calibri" w:eastAsia="Calibri" w:cs="Times New Roman"/>
          <w:sz w:val="22"/>
        </w:rPr>
      </w:pPr>
    </w:p>
    <w:p w:rsidRPr="00C618BF" w:rsidR="00C618BF" w:rsidP="00C618BF" w:rsidRDefault="00C618BF" w14:paraId="074E5864" w14:textId="77777777">
      <w:pPr>
        <w:spacing w:after="160" w:line="259" w:lineRule="auto"/>
        <w:ind w:firstLine="0"/>
        <w:rPr>
          <w:rFonts w:ascii="Calibri" w:hAnsi="Calibri" w:eastAsia="Calibri" w:cs="Times New Roman"/>
          <w:sz w:val="22"/>
        </w:rPr>
      </w:pPr>
    </w:p>
    <w:p w:rsidRPr="00C618BF" w:rsidR="00C618BF" w:rsidP="00C618BF" w:rsidRDefault="00C618BF" w14:paraId="63A1B7D6" w14:textId="77777777">
      <w:pPr>
        <w:spacing w:after="160" w:line="259" w:lineRule="auto"/>
        <w:ind w:firstLine="0"/>
        <w:rPr>
          <w:rFonts w:ascii="Calibri" w:hAnsi="Calibri" w:eastAsia="Calibri" w:cs="Times New Roman"/>
          <w:sz w:val="22"/>
        </w:rPr>
      </w:pPr>
    </w:p>
    <w:p w:rsidRPr="00C618BF" w:rsidR="00C618BF" w:rsidP="00C618BF" w:rsidRDefault="00C618BF" w14:paraId="4E167FD5" w14:textId="77777777">
      <w:pPr>
        <w:spacing w:after="160" w:line="259" w:lineRule="auto"/>
        <w:ind w:firstLine="0"/>
        <w:rPr>
          <w:rFonts w:ascii="Calibri" w:hAnsi="Calibri" w:eastAsia="Calibri" w:cs="Times New Roman"/>
          <w:sz w:val="22"/>
        </w:rPr>
      </w:pPr>
    </w:p>
    <w:p w:rsidRPr="00C618BF" w:rsidR="00C618BF" w:rsidP="00C618BF" w:rsidRDefault="00C618BF" w14:paraId="5032E838" w14:textId="77777777">
      <w:pPr>
        <w:spacing w:after="160" w:line="259" w:lineRule="auto"/>
        <w:ind w:firstLine="0"/>
        <w:rPr>
          <w:rFonts w:ascii="Calibri" w:hAnsi="Calibri" w:eastAsia="Calibri" w:cs="Times New Roman"/>
          <w:sz w:val="22"/>
        </w:rPr>
      </w:pPr>
    </w:p>
    <w:p w:rsidR="00C618BF" w:rsidP="00C618BF" w:rsidRDefault="00C618BF" w14:paraId="4C037E04" w14:textId="16797DEF">
      <w:pPr>
        <w:spacing w:after="160" w:line="259" w:lineRule="auto"/>
        <w:ind w:firstLine="0"/>
        <w:rPr>
          <w:rFonts w:ascii="Calibri" w:hAnsi="Calibri" w:eastAsia="Calibri" w:cs="Times New Roman"/>
          <w:sz w:val="22"/>
        </w:rPr>
      </w:pPr>
    </w:p>
    <w:p w:rsidRPr="00C618BF" w:rsidR="00C618BF" w:rsidP="00C618BF" w:rsidRDefault="00C618BF" w14:paraId="3D0638D8" w14:textId="77777777">
      <w:pPr>
        <w:spacing w:after="160" w:line="259" w:lineRule="auto"/>
        <w:ind w:firstLine="0"/>
        <w:rPr>
          <w:rFonts w:ascii="Calibri" w:hAnsi="Calibri" w:eastAsia="Calibri" w:cs="Times New Roman"/>
          <w:sz w:val="22"/>
        </w:rPr>
      </w:pPr>
    </w:p>
    <w:p w:rsidRPr="00C618BF" w:rsidR="00C618BF" w:rsidP="00C618BF" w:rsidRDefault="00C618BF" w14:paraId="3BD6B83B" w14:textId="77777777">
      <w:pPr>
        <w:spacing w:after="160" w:line="259" w:lineRule="auto"/>
        <w:ind w:firstLine="0"/>
        <w:rPr>
          <w:rFonts w:ascii="Calibri" w:hAnsi="Calibri" w:eastAsia="Calibri" w:cs="Times New Roman"/>
          <w:sz w:val="22"/>
        </w:rPr>
      </w:pPr>
    </w:p>
    <w:tbl>
      <w:tblPr>
        <w:tblW w:w="1026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4"/>
        <w:gridCol w:w="957"/>
        <w:gridCol w:w="1001"/>
        <w:gridCol w:w="1001"/>
        <w:gridCol w:w="883"/>
        <w:gridCol w:w="1001"/>
        <w:gridCol w:w="1001"/>
        <w:gridCol w:w="952"/>
        <w:gridCol w:w="920"/>
        <w:gridCol w:w="810"/>
      </w:tblGrid>
      <w:tr w:rsidRPr="00C618BF" w:rsidR="006655E1" w:rsidTr="006655E1" w14:paraId="35426B86" w14:textId="77777777">
        <w:trPr>
          <w:trHeight w:val="890"/>
        </w:trPr>
        <w:tc>
          <w:tcPr>
            <w:tcW w:w="1734" w:type="dxa"/>
            <w:shd w:val="clear" w:color="auto" w:fill="auto"/>
            <w:vAlign w:val="bottom"/>
            <w:hideMark/>
          </w:tcPr>
          <w:p w:rsidRPr="00C618BF" w:rsidR="006655E1" w:rsidP="009B34DB" w:rsidRDefault="006655E1" w14:paraId="696B185D"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Customer Service Area</w:t>
            </w:r>
          </w:p>
        </w:tc>
        <w:tc>
          <w:tcPr>
            <w:tcW w:w="5844" w:type="dxa"/>
            <w:gridSpan w:val="6"/>
            <w:shd w:val="clear" w:color="auto" w:fill="auto"/>
            <w:vAlign w:val="bottom"/>
            <w:hideMark/>
          </w:tcPr>
          <w:p w:rsidRPr="00C618BF" w:rsidR="006655E1" w:rsidP="009B34DB" w:rsidRDefault="006655E1" w14:paraId="4C92A211" w14:textId="77777777">
            <w:pPr>
              <w:spacing w:line="240" w:lineRule="auto"/>
              <w:ind w:firstLine="0"/>
              <w:jc w:val="center"/>
              <w:rPr>
                <w:rFonts w:ascii="Calibri" w:hAnsi="Calibri" w:eastAsia="Times New Roman" w:cs="Calibri"/>
                <w:b/>
                <w:bCs/>
                <w:color w:val="000000"/>
                <w:sz w:val="22"/>
              </w:rPr>
            </w:pPr>
            <w:r>
              <w:rPr>
                <w:rFonts w:ascii="Calibri" w:hAnsi="Calibri" w:eastAsia="Times New Roman" w:cs="Calibri"/>
                <w:b/>
                <w:bCs/>
                <w:color w:val="000000"/>
                <w:sz w:val="22"/>
              </w:rPr>
              <w:t>Authorized</w:t>
            </w:r>
            <w:r w:rsidRPr="00C618BF">
              <w:rPr>
                <w:rFonts w:ascii="Calibri" w:hAnsi="Calibri" w:eastAsia="Times New Roman" w:cs="Calibri"/>
                <w:b/>
                <w:bCs/>
                <w:color w:val="000000"/>
                <w:sz w:val="22"/>
              </w:rPr>
              <w:t xml:space="preserve"> Rates</w:t>
            </w:r>
            <w:r>
              <w:rPr>
                <w:rFonts w:ascii="Calibri" w:hAnsi="Calibri" w:eastAsia="Times New Roman" w:cs="Calibri"/>
                <w:b/>
                <w:bCs/>
                <w:color w:val="000000"/>
                <w:sz w:val="22"/>
              </w:rPr>
              <w:t>:</w:t>
            </w:r>
            <w:r w:rsidRPr="00C618BF">
              <w:rPr>
                <w:rFonts w:ascii="Calibri" w:hAnsi="Calibri" w:eastAsia="Times New Roman" w:cs="Calibri"/>
                <w:b/>
                <w:bCs/>
                <w:color w:val="000000"/>
                <w:sz w:val="22"/>
              </w:rPr>
              <w:t xml:space="preserve">                                                                                                                   </w:t>
            </w:r>
          </w:p>
        </w:tc>
        <w:tc>
          <w:tcPr>
            <w:tcW w:w="1872" w:type="dxa"/>
            <w:gridSpan w:val="2"/>
            <w:shd w:val="clear" w:color="auto" w:fill="auto"/>
            <w:vAlign w:val="bottom"/>
            <w:hideMark/>
          </w:tcPr>
          <w:p w:rsidRPr="00C618BF" w:rsidR="006655E1" w:rsidP="009B34DB" w:rsidRDefault="006655E1" w14:paraId="306050CD" w14:textId="77777777">
            <w:pPr>
              <w:spacing w:line="240" w:lineRule="auto"/>
              <w:ind w:firstLine="0"/>
              <w:jc w:val="center"/>
              <w:rPr>
                <w:rFonts w:ascii="Calibri" w:hAnsi="Calibri" w:eastAsia="Times New Roman" w:cs="Calibri"/>
                <w:b/>
                <w:bCs/>
                <w:color w:val="000000"/>
                <w:sz w:val="22"/>
              </w:rPr>
            </w:pPr>
            <w:r w:rsidRPr="00C618BF">
              <w:rPr>
                <w:rFonts w:ascii="Calibri" w:hAnsi="Calibri" w:eastAsia="Times New Roman" w:cs="Calibri"/>
                <w:b/>
                <w:bCs/>
                <w:color w:val="000000"/>
                <w:sz w:val="22"/>
              </w:rPr>
              <w:t>Bill Change</w:t>
            </w:r>
          </w:p>
        </w:tc>
        <w:tc>
          <w:tcPr>
            <w:tcW w:w="810" w:type="dxa"/>
            <w:shd w:val="clear" w:color="auto" w:fill="auto"/>
            <w:noWrap/>
            <w:vAlign w:val="bottom"/>
            <w:hideMark/>
          </w:tcPr>
          <w:p w:rsidRPr="00C618BF" w:rsidR="006655E1" w:rsidP="009B34DB" w:rsidRDefault="006655E1" w14:paraId="7A088E27"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Year</w:t>
            </w:r>
          </w:p>
        </w:tc>
      </w:tr>
      <w:tr w:rsidRPr="00C618BF" w:rsidR="006655E1" w:rsidTr="006655E1" w14:paraId="4C4A7ED0" w14:textId="77777777">
        <w:trPr>
          <w:trHeight w:val="570"/>
        </w:trPr>
        <w:tc>
          <w:tcPr>
            <w:tcW w:w="1734" w:type="dxa"/>
            <w:shd w:val="clear" w:color="auto" w:fill="auto"/>
            <w:vAlign w:val="bottom"/>
            <w:hideMark/>
          </w:tcPr>
          <w:p w:rsidRPr="00C618BF" w:rsidR="006655E1" w:rsidP="009B34DB" w:rsidRDefault="006655E1" w14:paraId="5023C92C"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p>
        </w:tc>
        <w:tc>
          <w:tcPr>
            <w:tcW w:w="957" w:type="dxa"/>
            <w:shd w:val="clear" w:color="auto" w:fill="auto"/>
            <w:vAlign w:val="bottom"/>
            <w:hideMark/>
          </w:tcPr>
          <w:p w:rsidRPr="00C618BF" w:rsidR="006655E1" w:rsidP="009B34DB" w:rsidRDefault="006655E1" w14:paraId="07E9807E"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Usage CCF</w:t>
            </w:r>
          </w:p>
        </w:tc>
        <w:tc>
          <w:tcPr>
            <w:tcW w:w="1001" w:type="dxa"/>
            <w:shd w:val="clear" w:color="auto" w:fill="auto"/>
            <w:vAlign w:val="bottom"/>
            <w:hideMark/>
          </w:tcPr>
          <w:p w:rsidRPr="00C618BF" w:rsidR="006655E1" w:rsidP="009B34DB" w:rsidRDefault="006655E1" w14:paraId="23F31DA5"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Bill</w:t>
            </w:r>
          </w:p>
        </w:tc>
        <w:tc>
          <w:tcPr>
            <w:tcW w:w="1001" w:type="dxa"/>
            <w:shd w:val="clear" w:color="auto" w:fill="auto"/>
            <w:vAlign w:val="bottom"/>
            <w:hideMark/>
          </w:tcPr>
          <w:p w:rsidRPr="00C618BF" w:rsidR="006655E1" w:rsidP="009B34DB" w:rsidRDefault="006655E1" w14:paraId="40C4FB70"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Service Charge</w:t>
            </w:r>
          </w:p>
        </w:tc>
        <w:tc>
          <w:tcPr>
            <w:tcW w:w="883" w:type="dxa"/>
            <w:shd w:val="clear" w:color="auto" w:fill="auto"/>
            <w:vAlign w:val="bottom"/>
            <w:hideMark/>
          </w:tcPr>
          <w:p w:rsidRPr="00C618BF" w:rsidR="006655E1" w:rsidP="009B34DB" w:rsidRDefault="006655E1" w14:paraId="5FEECFE0"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 xml:space="preserve">Tier 1, up to 12 </w:t>
            </w:r>
            <w:proofErr w:type="spellStart"/>
            <w:r>
              <w:rPr>
                <w:rFonts w:ascii="Calibri" w:hAnsi="Calibri" w:eastAsia="Times New Roman" w:cs="Calibri"/>
                <w:b/>
                <w:bCs/>
                <w:color w:val="000000"/>
                <w:sz w:val="22"/>
              </w:rPr>
              <w:t>ccf</w:t>
            </w:r>
            <w:proofErr w:type="spellEnd"/>
          </w:p>
        </w:tc>
        <w:tc>
          <w:tcPr>
            <w:tcW w:w="1001" w:type="dxa"/>
            <w:shd w:val="clear" w:color="auto" w:fill="auto"/>
            <w:vAlign w:val="bottom"/>
            <w:hideMark/>
          </w:tcPr>
          <w:p w:rsidRPr="00C618BF" w:rsidR="006655E1" w:rsidP="009B34DB" w:rsidRDefault="006655E1" w14:paraId="67A9BC8F"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 xml:space="preserve">Tier 2, 12 -24 </w:t>
            </w:r>
            <w:proofErr w:type="spellStart"/>
            <w:r>
              <w:rPr>
                <w:rFonts w:ascii="Calibri" w:hAnsi="Calibri" w:eastAsia="Times New Roman" w:cs="Calibri"/>
                <w:b/>
                <w:bCs/>
                <w:color w:val="000000"/>
                <w:sz w:val="22"/>
              </w:rPr>
              <w:t>ccf</w:t>
            </w:r>
            <w:proofErr w:type="spellEnd"/>
          </w:p>
        </w:tc>
        <w:tc>
          <w:tcPr>
            <w:tcW w:w="1001" w:type="dxa"/>
            <w:shd w:val="clear" w:color="auto" w:fill="auto"/>
            <w:vAlign w:val="bottom"/>
            <w:hideMark/>
          </w:tcPr>
          <w:p w:rsidRPr="00C618BF" w:rsidR="006655E1" w:rsidP="009B34DB" w:rsidRDefault="006655E1" w14:paraId="75B3A146"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 xml:space="preserve">Tier 3, over 24 </w:t>
            </w:r>
            <w:proofErr w:type="spellStart"/>
            <w:r>
              <w:rPr>
                <w:rFonts w:ascii="Calibri" w:hAnsi="Calibri" w:eastAsia="Times New Roman" w:cs="Calibri"/>
                <w:b/>
                <w:bCs/>
                <w:color w:val="000000"/>
                <w:sz w:val="22"/>
              </w:rPr>
              <w:t>ccf</w:t>
            </w:r>
            <w:proofErr w:type="spellEnd"/>
          </w:p>
        </w:tc>
        <w:tc>
          <w:tcPr>
            <w:tcW w:w="952" w:type="dxa"/>
            <w:shd w:val="clear" w:color="auto" w:fill="auto"/>
            <w:vAlign w:val="bottom"/>
            <w:hideMark/>
          </w:tcPr>
          <w:p w:rsidRPr="00C618BF" w:rsidR="006655E1" w:rsidP="009B34DB" w:rsidRDefault="006655E1" w14:paraId="073EE6C8"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Bill Change</w:t>
            </w:r>
            <w:r w:rsidRPr="00C618BF">
              <w:rPr>
                <w:rFonts w:ascii="Calibri" w:hAnsi="Calibri" w:eastAsia="Times New Roman" w:cs="Calibri"/>
                <w:b/>
                <w:bCs/>
                <w:color w:val="000000"/>
                <w:sz w:val="22"/>
              </w:rPr>
              <w:t xml:space="preserve"> </w:t>
            </w:r>
          </w:p>
        </w:tc>
        <w:tc>
          <w:tcPr>
            <w:tcW w:w="920" w:type="dxa"/>
            <w:shd w:val="clear" w:color="auto" w:fill="auto"/>
            <w:vAlign w:val="bottom"/>
            <w:hideMark/>
          </w:tcPr>
          <w:p w:rsidRPr="00C618BF" w:rsidR="006655E1" w:rsidP="009B34DB" w:rsidRDefault="006655E1" w14:paraId="13282CF3"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Percent</w:t>
            </w:r>
          </w:p>
        </w:tc>
        <w:tc>
          <w:tcPr>
            <w:tcW w:w="810" w:type="dxa"/>
            <w:shd w:val="clear" w:color="auto" w:fill="auto"/>
            <w:vAlign w:val="bottom"/>
            <w:hideMark/>
          </w:tcPr>
          <w:p w:rsidRPr="00C618BF" w:rsidR="006655E1" w:rsidP="009B34DB" w:rsidRDefault="006655E1" w14:paraId="075112CA"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p>
        </w:tc>
      </w:tr>
      <w:tr w:rsidRPr="00C618BF" w:rsidR="006655E1" w:rsidTr="006655E1" w14:paraId="3838A063" w14:textId="77777777">
        <w:trPr>
          <w:trHeight w:val="570"/>
        </w:trPr>
        <w:tc>
          <w:tcPr>
            <w:tcW w:w="1734" w:type="dxa"/>
            <w:shd w:val="clear" w:color="auto" w:fill="auto"/>
            <w:vAlign w:val="bottom"/>
            <w:hideMark/>
          </w:tcPr>
          <w:p w:rsidRPr="00C618BF" w:rsidR="006655E1" w:rsidP="009B34DB" w:rsidRDefault="006655E1" w14:paraId="60EFCA93"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Liberty Apple Valley-Domestic</w:t>
            </w:r>
          </w:p>
        </w:tc>
        <w:tc>
          <w:tcPr>
            <w:tcW w:w="957" w:type="dxa"/>
            <w:shd w:val="clear" w:color="auto" w:fill="auto"/>
            <w:vAlign w:val="bottom"/>
            <w:hideMark/>
          </w:tcPr>
          <w:p w:rsidRPr="00C618BF" w:rsidR="006655E1" w:rsidP="009B34DB" w:rsidRDefault="006655E1" w14:paraId="6A3B6183"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11.55</w:t>
            </w:r>
          </w:p>
        </w:tc>
        <w:tc>
          <w:tcPr>
            <w:tcW w:w="1001" w:type="dxa"/>
            <w:shd w:val="clear" w:color="auto" w:fill="auto"/>
            <w:vAlign w:val="bottom"/>
            <w:hideMark/>
          </w:tcPr>
          <w:p w:rsidRPr="00C618BF" w:rsidR="006655E1" w:rsidP="009B34DB" w:rsidRDefault="006655E1" w14:paraId="0318BEF4"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$66.38</w:t>
            </w:r>
          </w:p>
        </w:tc>
        <w:tc>
          <w:tcPr>
            <w:tcW w:w="1001" w:type="dxa"/>
            <w:shd w:val="clear" w:color="auto" w:fill="auto"/>
            <w:vAlign w:val="bottom"/>
            <w:hideMark/>
          </w:tcPr>
          <w:p w:rsidRPr="00C618BF" w:rsidR="006655E1" w:rsidP="009B34DB" w:rsidRDefault="006655E1" w14:paraId="67623A61"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22.23</w:t>
            </w:r>
          </w:p>
        </w:tc>
        <w:tc>
          <w:tcPr>
            <w:tcW w:w="883" w:type="dxa"/>
            <w:shd w:val="clear" w:color="auto" w:fill="auto"/>
            <w:vAlign w:val="bottom"/>
            <w:hideMark/>
          </w:tcPr>
          <w:p w:rsidRPr="00C618BF" w:rsidR="006655E1" w:rsidP="009B34DB" w:rsidRDefault="006655E1" w14:paraId="3E668DBB"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$3.819</w:t>
            </w:r>
          </w:p>
        </w:tc>
        <w:tc>
          <w:tcPr>
            <w:tcW w:w="1001" w:type="dxa"/>
            <w:shd w:val="clear" w:color="auto" w:fill="auto"/>
            <w:vAlign w:val="bottom"/>
            <w:hideMark/>
          </w:tcPr>
          <w:p w:rsidRPr="00C618BF" w:rsidR="006655E1" w:rsidP="009B34DB" w:rsidRDefault="006655E1" w14:paraId="7F581E64"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w:t>
            </w:r>
            <w:r>
              <w:rPr>
                <w:rFonts w:ascii="Calibri" w:hAnsi="Calibri" w:eastAsia="Times New Roman" w:cs="Calibri"/>
                <w:b/>
                <w:bCs/>
                <w:color w:val="000000"/>
                <w:sz w:val="22"/>
              </w:rPr>
              <w:t>$4.422</w:t>
            </w:r>
          </w:p>
        </w:tc>
        <w:tc>
          <w:tcPr>
            <w:tcW w:w="1001" w:type="dxa"/>
            <w:shd w:val="clear" w:color="auto" w:fill="auto"/>
            <w:vAlign w:val="bottom"/>
            <w:hideMark/>
          </w:tcPr>
          <w:p w:rsidRPr="00C618BF" w:rsidR="006655E1" w:rsidP="009B34DB" w:rsidRDefault="006655E1" w14:paraId="7292CBE6" w14:textId="77777777">
            <w:pPr>
              <w:spacing w:line="240" w:lineRule="auto"/>
              <w:ind w:firstLine="0"/>
              <w:rPr>
                <w:rFonts w:ascii="Calibri" w:hAnsi="Calibri" w:eastAsia="Times New Roman" w:cs="Calibri"/>
                <w:b/>
                <w:bCs/>
                <w:color w:val="000000"/>
                <w:sz w:val="22"/>
              </w:rPr>
            </w:pPr>
          </w:p>
        </w:tc>
        <w:tc>
          <w:tcPr>
            <w:tcW w:w="952" w:type="dxa"/>
            <w:shd w:val="clear" w:color="auto" w:fill="auto"/>
            <w:vAlign w:val="bottom"/>
            <w:hideMark/>
          </w:tcPr>
          <w:p w:rsidRPr="00C618BF" w:rsidR="006655E1" w:rsidP="009B34DB" w:rsidRDefault="006655E1" w14:paraId="04A53437"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w:t>
            </w:r>
          </w:p>
        </w:tc>
        <w:tc>
          <w:tcPr>
            <w:tcW w:w="920" w:type="dxa"/>
            <w:shd w:val="clear" w:color="auto" w:fill="auto"/>
            <w:vAlign w:val="bottom"/>
            <w:hideMark/>
          </w:tcPr>
          <w:p w:rsidRPr="00C618BF" w:rsidR="006655E1" w:rsidP="009B34DB" w:rsidRDefault="006655E1" w14:paraId="50D0C69F"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2.92</w:t>
            </w:r>
            <w:r w:rsidRPr="00C618BF">
              <w:rPr>
                <w:rFonts w:ascii="Calibri" w:hAnsi="Calibri" w:eastAsia="Times New Roman" w:cs="Calibri"/>
                <w:b/>
                <w:bCs/>
                <w:color w:val="000000"/>
                <w:sz w:val="22"/>
              </w:rPr>
              <w:t>%</w:t>
            </w:r>
          </w:p>
        </w:tc>
        <w:tc>
          <w:tcPr>
            <w:tcW w:w="810" w:type="dxa"/>
            <w:shd w:val="clear" w:color="auto" w:fill="auto"/>
            <w:vAlign w:val="bottom"/>
            <w:hideMark/>
          </w:tcPr>
          <w:p w:rsidRPr="00C618BF" w:rsidR="006655E1" w:rsidP="009B34DB" w:rsidRDefault="006655E1" w14:paraId="746094C8"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2019</w:t>
            </w:r>
          </w:p>
        </w:tc>
      </w:tr>
      <w:tr w:rsidRPr="00C618BF" w:rsidR="006655E1" w:rsidTr="006655E1" w14:paraId="41E62330" w14:textId="77777777">
        <w:trPr>
          <w:trHeight w:val="570"/>
        </w:trPr>
        <w:tc>
          <w:tcPr>
            <w:tcW w:w="1734" w:type="dxa"/>
            <w:shd w:val="clear" w:color="auto" w:fill="auto"/>
            <w:vAlign w:val="bottom"/>
            <w:hideMark/>
          </w:tcPr>
          <w:p w:rsidRPr="00C618BF" w:rsidR="006655E1" w:rsidP="009B34DB" w:rsidRDefault="006655E1" w14:paraId="6F6DC6CF"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p>
        </w:tc>
        <w:tc>
          <w:tcPr>
            <w:tcW w:w="957" w:type="dxa"/>
            <w:shd w:val="clear" w:color="auto" w:fill="auto"/>
            <w:vAlign w:val="bottom"/>
            <w:hideMark/>
          </w:tcPr>
          <w:p w:rsidRPr="00C618BF" w:rsidR="006655E1" w:rsidP="009B34DB" w:rsidRDefault="006655E1" w14:paraId="6170F306"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p>
        </w:tc>
        <w:tc>
          <w:tcPr>
            <w:tcW w:w="1001" w:type="dxa"/>
            <w:shd w:val="clear" w:color="auto" w:fill="auto"/>
            <w:vAlign w:val="bottom"/>
            <w:hideMark/>
          </w:tcPr>
          <w:p w:rsidRPr="00C618BF" w:rsidR="006655E1" w:rsidP="009B34DB" w:rsidRDefault="006655E1" w14:paraId="452828E3"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$67.29</w:t>
            </w:r>
          </w:p>
        </w:tc>
        <w:tc>
          <w:tcPr>
            <w:tcW w:w="1001" w:type="dxa"/>
            <w:shd w:val="clear" w:color="auto" w:fill="auto"/>
            <w:vAlign w:val="bottom"/>
            <w:hideMark/>
          </w:tcPr>
          <w:p w:rsidRPr="00C618BF" w:rsidR="006655E1" w:rsidP="009B34DB" w:rsidRDefault="006655E1" w14:paraId="30B56209"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22.87</w:t>
            </w:r>
          </w:p>
        </w:tc>
        <w:tc>
          <w:tcPr>
            <w:tcW w:w="883" w:type="dxa"/>
            <w:shd w:val="clear" w:color="auto" w:fill="auto"/>
            <w:vAlign w:val="bottom"/>
            <w:hideMark/>
          </w:tcPr>
          <w:p w:rsidRPr="00C618BF" w:rsidR="006655E1" w:rsidP="009B34DB" w:rsidRDefault="006655E1" w14:paraId="397EB761"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$3.978</w:t>
            </w:r>
          </w:p>
        </w:tc>
        <w:tc>
          <w:tcPr>
            <w:tcW w:w="1001" w:type="dxa"/>
            <w:shd w:val="clear" w:color="auto" w:fill="auto"/>
            <w:vAlign w:val="bottom"/>
            <w:hideMark/>
          </w:tcPr>
          <w:p w:rsidRPr="00C618BF" w:rsidR="006655E1" w:rsidP="009B34DB" w:rsidRDefault="006655E1" w14:paraId="4D4DE259"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$4.606</w:t>
            </w:r>
          </w:p>
        </w:tc>
        <w:tc>
          <w:tcPr>
            <w:tcW w:w="1001" w:type="dxa"/>
            <w:shd w:val="clear" w:color="auto" w:fill="auto"/>
            <w:vAlign w:val="bottom"/>
            <w:hideMark/>
          </w:tcPr>
          <w:p w:rsidRPr="00C618BF" w:rsidR="006655E1" w:rsidP="009B34DB" w:rsidRDefault="006655E1" w14:paraId="3FF14F91" w14:textId="77777777">
            <w:pPr>
              <w:spacing w:line="240" w:lineRule="auto"/>
              <w:ind w:firstLine="0"/>
              <w:rPr>
                <w:rFonts w:ascii="Calibri" w:hAnsi="Calibri" w:eastAsia="Times New Roman" w:cs="Calibri"/>
                <w:b/>
                <w:bCs/>
                <w:color w:val="000000"/>
                <w:sz w:val="22"/>
              </w:rPr>
            </w:pPr>
          </w:p>
        </w:tc>
        <w:tc>
          <w:tcPr>
            <w:tcW w:w="952" w:type="dxa"/>
            <w:shd w:val="clear" w:color="auto" w:fill="auto"/>
            <w:vAlign w:val="bottom"/>
            <w:hideMark/>
          </w:tcPr>
          <w:p w:rsidRPr="00C618BF" w:rsidR="006655E1" w:rsidP="009B34DB" w:rsidRDefault="006655E1" w14:paraId="27864259"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w:t>
            </w:r>
          </w:p>
        </w:tc>
        <w:tc>
          <w:tcPr>
            <w:tcW w:w="920" w:type="dxa"/>
            <w:shd w:val="clear" w:color="auto" w:fill="auto"/>
            <w:vAlign w:val="bottom"/>
            <w:hideMark/>
          </w:tcPr>
          <w:p w:rsidRPr="00C618BF" w:rsidR="006655E1" w:rsidP="009B34DB" w:rsidRDefault="006655E1" w14:paraId="64AC0D8C"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1.36</w:t>
            </w:r>
            <w:r w:rsidRPr="00C618BF">
              <w:rPr>
                <w:rFonts w:ascii="Calibri" w:hAnsi="Calibri" w:eastAsia="Times New Roman" w:cs="Calibri"/>
                <w:b/>
                <w:bCs/>
                <w:color w:val="000000"/>
                <w:sz w:val="22"/>
              </w:rPr>
              <w:t>%</w:t>
            </w:r>
          </w:p>
        </w:tc>
        <w:tc>
          <w:tcPr>
            <w:tcW w:w="810" w:type="dxa"/>
            <w:shd w:val="clear" w:color="auto" w:fill="auto"/>
            <w:vAlign w:val="bottom"/>
            <w:hideMark/>
          </w:tcPr>
          <w:p w:rsidRPr="00C618BF" w:rsidR="006655E1" w:rsidP="009B34DB" w:rsidRDefault="006655E1" w14:paraId="37909D0F"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2020</w:t>
            </w:r>
          </w:p>
        </w:tc>
      </w:tr>
      <w:tr w:rsidRPr="00C618BF" w:rsidR="006655E1" w:rsidTr="006655E1" w14:paraId="65FB75DA" w14:textId="77777777">
        <w:trPr>
          <w:trHeight w:val="570"/>
        </w:trPr>
        <w:tc>
          <w:tcPr>
            <w:tcW w:w="1734" w:type="dxa"/>
            <w:shd w:val="clear" w:color="auto" w:fill="auto"/>
            <w:vAlign w:val="bottom"/>
            <w:hideMark/>
          </w:tcPr>
          <w:p w:rsidRPr="00C618BF" w:rsidR="006655E1" w:rsidP="009B34DB" w:rsidRDefault="006655E1" w14:paraId="34E0C101"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p>
        </w:tc>
        <w:tc>
          <w:tcPr>
            <w:tcW w:w="957" w:type="dxa"/>
            <w:shd w:val="clear" w:color="auto" w:fill="auto"/>
            <w:vAlign w:val="bottom"/>
            <w:hideMark/>
          </w:tcPr>
          <w:p w:rsidRPr="00C618BF" w:rsidR="006655E1" w:rsidP="009B34DB" w:rsidRDefault="006655E1" w14:paraId="2D5911AA"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p>
        </w:tc>
        <w:tc>
          <w:tcPr>
            <w:tcW w:w="1001" w:type="dxa"/>
            <w:shd w:val="clear" w:color="auto" w:fill="auto"/>
            <w:vAlign w:val="bottom"/>
            <w:hideMark/>
          </w:tcPr>
          <w:p w:rsidRPr="00C618BF" w:rsidR="006655E1" w:rsidP="009B34DB" w:rsidRDefault="006655E1" w14:paraId="4D07797A"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71.27</w:t>
            </w:r>
          </w:p>
        </w:tc>
        <w:tc>
          <w:tcPr>
            <w:tcW w:w="1001" w:type="dxa"/>
            <w:shd w:val="clear" w:color="auto" w:fill="auto"/>
            <w:vAlign w:val="bottom"/>
            <w:hideMark/>
          </w:tcPr>
          <w:p w:rsidRPr="00C618BF" w:rsidR="006655E1" w:rsidP="009B34DB" w:rsidRDefault="006655E1" w14:paraId="32CC2B8A"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23.56</w:t>
            </w:r>
          </w:p>
        </w:tc>
        <w:tc>
          <w:tcPr>
            <w:tcW w:w="883" w:type="dxa"/>
            <w:shd w:val="clear" w:color="auto" w:fill="auto"/>
            <w:vAlign w:val="bottom"/>
            <w:hideMark/>
          </w:tcPr>
          <w:p w:rsidRPr="00C618BF" w:rsidR="006655E1" w:rsidP="009B34DB" w:rsidRDefault="006655E1" w14:paraId="5DAF2E63"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$4.102</w:t>
            </w:r>
          </w:p>
        </w:tc>
        <w:tc>
          <w:tcPr>
            <w:tcW w:w="1001" w:type="dxa"/>
            <w:shd w:val="clear" w:color="auto" w:fill="auto"/>
            <w:vAlign w:val="bottom"/>
            <w:hideMark/>
          </w:tcPr>
          <w:p w:rsidRPr="00C618BF" w:rsidR="006655E1" w:rsidP="009B34DB" w:rsidRDefault="006655E1" w14:paraId="24938354"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$4.749</w:t>
            </w:r>
          </w:p>
        </w:tc>
        <w:tc>
          <w:tcPr>
            <w:tcW w:w="1001" w:type="dxa"/>
            <w:shd w:val="clear" w:color="auto" w:fill="auto"/>
            <w:vAlign w:val="bottom"/>
            <w:hideMark/>
          </w:tcPr>
          <w:p w:rsidRPr="00C618BF" w:rsidR="006655E1" w:rsidP="009B34DB" w:rsidRDefault="006655E1" w14:paraId="4A21EE8E" w14:textId="77777777">
            <w:pPr>
              <w:spacing w:line="240" w:lineRule="auto"/>
              <w:ind w:firstLine="0"/>
              <w:rPr>
                <w:rFonts w:ascii="Calibri" w:hAnsi="Calibri" w:eastAsia="Times New Roman" w:cs="Calibri"/>
                <w:b/>
                <w:bCs/>
                <w:color w:val="000000"/>
                <w:sz w:val="22"/>
              </w:rPr>
            </w:pPr>
          </w:p>
        </w:tc>
        <w:tc>
          <w:tcPr>
            <w:tcW w:w="952" w:type="dxa"/>
            <w:shd w:val="clear" w:color="auto" w:fill="auto"/>
            <w:vAlign w:val="bottom"/>
            <w:hideMark/>
          </w:tcPr>
          <w:p w:rsidRPr="00C618BF" w:rsidR="006655E1" w:rsidP="009B34DB" w:rsidRDefault="006655E1" w14:paraId="12C98A8A"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w:t>
            </w:r>
          </w:p>
        </w:tc>
        <w:tc>
          <w:tcPr>
            <w:tcW w:w="920" w:type="dxa"/>
            <w:shd w:val="clear" w:color="auto" w:fill="auto"/>
            <w:vAlign w:val="bottom"/>
            <w:hideMark/>
          </w:tcPr>
          <w:p w:rsidRPr="00C618BF" w:rsidR="006655E1" w:rsidP="009B34DB" w:rsidRDefault="006655E1" w14:paraId="58D49883"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5.92</w:t>
            </w:r>
            <w:r w:rsidRPr="00C618BF">
              <w:rPr>
                <w:rFonts w:ascii="Calibri" w:hAnsi="Calibri" w:eastAsia="Times New Roman" w:cs="Calibri"/>
                <w:b/>
                <w:bCs/>
                <w:color w:val="000000"/>
                <w:sz w:val="22"/>
              </w:rPr>
              <w:t>%</w:t>
            </w:r>
          </w:p>
        </w:tc>
        <w:tc>
          <w:tcPr>
            <w:tcW w:w="810" w:type="dxa"/>
            <w:shd w:val="clear" w:color="auto" w:fill="auto"/>
            <w:vAlign w:val="bottom"/>
            <w:hideMark/>
          </w:tcPr>
          <w:p w:rsidRPr="00C618BF" w:rsidR="006655E1" w:rsidP="009B34DB" w:rsidRDefault="006655E1" w14:paraId="6EEBC542"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2021</w:t>
            </w:r>
          </w:p>
        </w:tc>
      </w:tr>
      <w:tr w:rsidRPr="00C618BF" w:rsidR="006655E1" w:rsidTr="006655E1" w14:paraId="4E41E81A" w14:textId="77777777">
        <w:trPr>
          <w:trHeight w:val="570"/>
        </w:trPr>
        <w:tc>
          <w:tcPr>
            <w:tcW w:w="1734" w:type="dxa"/>
            <w:shd w:val="clear" w:color="auto" w:fill="auto"/>
            <w:vAlign w:val="bottom"/>
            <w:hideMark/>
          </w:tcPr>
          <w:p w:rsidRPr="00C618BF" w:rsidR="006655E1" w:rsidP="009B34DB" w:rsidRDefault="006655E1" w14:paraId="7AE51637"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Liberty Apple Valley-Irrigation (Gravity); 10"</w:t>
            </w:r>
          </w:p>
        </w:tc>
        <w:tc>
          <w:tcPr>
            <w:tcW w:w="957" w:type="dxa"/>
            <w:shd w:val="clear" w:color="auto" w:fill="auto"/>
            <w:vAlign w:val="bottom"/>
            <w:hideMark/>
          </w:tcPr>
          <w:p w:rsidRPr="00C618BF" w:rsidR="006655E1" w:rsidP="009B34DB" w:rsidRDefault="006655E1" w14:paraId="41923D02"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11.55</w:t>
            </w:r>
          </w:p>
        </w:tc>
        <w:tc>
          <w:tcPr>
            <w:tcW w:w="1001" w:type="dxa"/>
            <w:shd w:val="clear" w:color="auto" w:fill="auto"/>
            <w:vAlign w:val="bottom"/>
            <w:hideMark/>
          </w:tcPr>
          <w:p w:rsidRPr="00C618BF" w:rsidR="006655E1" w:rsidP="009B34DB" w:rsidRDefault="006655E1" w14:paraId="223B477A"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3,124.85 </w:t>
            </w:r>
          </w:p>
        </w:tc>
        <w:tc>
          <w:tcPr>
            <w:tcW w:w="1001" w:type="dxa"/>
            <w:shd w:val="clear" w:color="auto" w:fill="auto"/>
            <w:vAlign w:val="bottom"/>
            <w:hideMark/>
          </w:tcPr>
          <w:p w:rsidRPr="00C618BF" w:rsidR="006655E1" w:rsidP="009B34DB" w:rsidRDefault="006655E1" w14:paraId="5731CD50"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3,120.40 </w:t>
            </w:r>
          </w:p>
        </w:tc>
        <w:tc>
          <w:tcPr>
            <w:tcW w:w="883" w:type="dxa"/>
            <w:shd w:val="clear" w:color="auto" w:fill="auto"/>
            <w:vAlign w:val="bottom"/>
            <w:hideMark/>
          </w:tcPr>
          <w:p w:rsidRPr="00C618BF" w:rsidR="006655E1" w:rsidP="009B34DB" w:rsidRDefault="006655E1" w14:paraId="2C9E6688"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11.55</w:t>
            </w:r>
          </w:p>
        </w:tc>
        <w:tc>
          <w:tcPr>
            <w:tcW w:w="1001" w:type="dxa"/>
            <w:shd w:val="clear" w:color="auto" w:fill="auto"/>
            <w:vAlign w:val="bottom"/>
            <w:hideMark/>
          </w:tcPr>
          <w:p w:rsidRPr="00C618BF" w:rsidR="006655E1" w:rsidP="009B34DB" w:rsidRDefault="006655E1" w14:paraId="53D03B88"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3,227.07 </w:t>
            </w:r>
          </w:p>
        </w:tc>
        <w:tc>
          <w:tcPr>
            <w:tcW w:w="1001" w:type="dxa"/>
            <w:shd w:val="clear" w:color="auto" w:fill="auto"/>
            <w:vAlign w:val="bottom"/>
            <w:hideMark/>
          </w:tcPr>
          <w:p w:rsidRPr="00C618BF" w:rsidR="006655E1" w:rsidP="009B34DB" w:rsidRDefault="006655E1" w14:paraId="7688BF39"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3,223.35 </w:t>
            </w:r>
          </w:p>
        </w:tc>
        <w:tc>
          <w:tcPr>
            <w:tcW w:w="952" w:type="dxa"/>
            <w:shd w:val="clear" w:color="auto" w:fill="auto"/>
            <w:vAlign w:val="bottom"/>
            <w:hideMark/>
          </w:tcPr>
          <w:p w:rsidRPr="00C618BF" w:rsidR="006655E1" w:rsidP="009B34DB" w:rsidRDefault="006655E1" w14:paraId="771CE058"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102.22 </w:t>
            </w:r>
          </w:p>
        </w:tc>
        <w:tc>
          <w:tcPr>
            <w:tcW w:w="920" w:type="dxa"/>
            <w:shd w:val="clear" w:color="auto" w:fill="auto"/>
            <w:vAlign w:val="bottom"/>
            <w:hideMark/>
          </w:tcPr>
          <w:p w:rsidRPr="00C618BF" w:rsidR="006655E1" w:rsidP="009B34DB" w:rsidRDefault="006655E1" w14:paraId="29D78CE0"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3%</w:t>
            </w:r>
          </w:p>
        </w:tc>
        <w:tc>
          <w:tcPr>
            <w:tcW w:w="810" w:type="dxa"/>
            <w:shd w:val="clear" w:color="auto" w:fill="auto"/>
            <w:vAlign w:val="bottom"/>
            <w:hideMark/>
          </w:tcPr>
          <w:p w:rsidRPr="00C618BF" w:rsidR="006655E1" w:rsidP="009B34DB" w:rsidRDefault="006655E1" w14:paraId="4D443F6C"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NA</w:t>
            </w:r>
          </w:p>
        </w:tc>
      </w:tr>
      <w:tr w:rsidRPr="00C618BF" w:rsidR="006655E1" w:rsidTr="006655E1" w14:paraId="5A835830" w14:textId="77777777">
        <w:trPr>
          <w:trHeight w:val="570"/>
        </w:trPr>
        <w:tc>
          <w:tcPr>
            <w:tcW w:w="1734" w:type="dxa"/>
            <w:shd w:val="clear" w:color="auto" w:fill="auto"/>
            <w:vAlign w:val="bottom"/>
            <w:hideMark/>
          </w:tcPr>
          <w:p w:rsidRPr="00C618BF" w:rsidR="006655E1" w:rsidP="009B34DB" w:rsidRDefault="006655E1" w14:paraId="51720D6D"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lastRenderedPageBreak/>
              <w:t>Liberty Apple Valley-</w:t>
            </w:r>
            <w:proofErr w:type="spellStart"/>
            <w:r w:rsidRPr="00C618BF">
              <w:rPr>
                <w:rFonts w:ascii="Calibri" w:hAnsi="Calibri" w:eastAsia="Times New Roman" w:cs="Calibri"/>
                <w:b/>
                <w:bCs/>
                <w:color w:val="000000"/>
                <w:sz w:val="22"/>
              </w:rPr>
              <w:t>Yermo</w:t>
            </w:r>
            <w:proofErr w:type="spellEnd"/>
            <w:r w:rsidRPr="00C618BF">
              <w:rPr>
                <w:rFonts w:ascii="Calibri" w:hAnsi="Calibri" w:eastAsia="Times New Roman" w:cs="Calibri"/>
                <w:b/>
                <w:bCs/>
                <w:color w:val="000000"/>
                <w:sz w:val="22"/>
              </w:rPr>
              <w:t xml:space="preserve"> (Residential)</w:t>
            </w:r>
          </w:p>
        </w:tc>
        <w:tc>
          <w:tcPr>
            <w:tcW w:w="957" w:type="dxa"/>
            <w:shd w:val="clear" w:color="auto" w:fill="auto"/>
            <w:vAlign w:val="bottom"/>
            <w:hideMark/>
          </w:tcPr>
          <w:p w:rsidRPr="00C618BF" w:rsidR="006655E1" w:rsidP="009B34DB" w:rsidRDefault="006655E1" w14:paraId="1F7A0297"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11.55</w:t>
            </w:r>
          </w:p>
        </w:tc>
        <w:tc>
          <w:tcPr>
            <w:tcW w:w="1001" w:type="dxa"/>
            <w:shd w:val="clear" w:color="auto" w:fill="auto"/>
            <w:vAlign w:val="bottom"/>
            <w:hideMark/>
          </w:tcPr>
          <w:p w:rsidRPr="00C618BF" w:rsidR="006655E1" w:rsidP="009B34DB" w:rsidRDefault="006655E1" w14:paraId="26C2153A"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54.59 </w:t>
            </w:r>
          </w:p>
        </w:tc>
        <w:tc>
          <w:tcPr>
            <w:tcW w:w="1001" w:type="dxa"/>
            <w:shd w:val="clear" w:color="auto" w:fill="auto"/>
            <w:vAlign w:val="bottom"/>
            <w:hideMark/>
          </w:tcPr>
          <w:p w:rsidRPr="00C618BF" w:rsidR="006655E1" w:rsidP="009B34DB" w:rsidRDefault="006655E1" w14:paraId="7EB518A6"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24.20 </w:t>
            </w:r>
          </w:p>
        </w:tc>
        <w:tc>
          <w:tcPr>
            <w:tcW w:w="883" w:type="dxa"/>
            <w:shd w:val="clear" w:color="auto" w:fill="auto"/>
            <w:vAlign w:val="bottom"/>
            <w:hideMark/>
          </w:tcPr>
          <w:p w:rsidRPr="00C618BF" w:rsidR="006655E1" w:rsidP="009B34DB" w:rsidRDefault="006655E1" w14:paraId="047F9C8F"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11.55</w:t>
            </w:r>
          </w:p>
        </w:tc>
        <w:tc>
          <w:tcPr>
            <w:tcW w:w="1001" w:type="dxa"/>
            <w:shd w:val="clear" w:color="auto" w:fill="auto"/>
            <w:vAlign w:val="bottom"/>
            <w:hideMark/>
          </w:tcPr>
          <w:p w:rsidRPr="00C618BF" w:rsidR="006655E1" w:rsidP="009B34DB" w:rsidRDefault="006655E1" w14:paraId="2EA5BDFE"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94.15 </w:t>
            </w:r>
          </w:p>
        </w:tc>
        <w:tc>
          <w:tcPr>
            <w:tcW w:w="1001" w:type="dxa"/>
            <w:shd w:val="clear" w:color="auto" w:fill="auto"/>
            <w:vAlign w:val="bottom"/>
            <w:hideMark/>
          </w:tcPr>
          <w:p w:rsidRPr="00C618BF" w:rsidR="006655E1" w:rsidP="009B34DB" w:rsidRDefault="006655E1" w14:paraId="27767AEA"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39.06 </w:t>
            </w:r>
          </w:p>
        </w:tc>
        <w:tc>
          <w:tcPr>
            <w:tcW w:w="952" w:type="dxa"/>
            <w:shd w:val="clear" w:color="auto" w:fill="auto"/>
            <w:vAlign w:val="bottom"/>
            <w:hideMark/>
          </w:tcPr>
          <w:p w:rsidRPr="00C618BF" w:rsidR="006655E1" w:rsidP="009B34DB" w:rsidRDefault="006655E1" w14:paraId="07561AFC"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39.57 </w:t>
            </w:r>
          </w:p>
        </w:tc>
        <w:tc>
          <w:tcPr>
            <w:tcW w:w="920" w:type="dxa"/>
            <w:shd w:val="clear" w:color="auto" w:fill="auto"/>
            <w:vAlign w:val="bottom"/>
            <w:hideMark/>
          </w:tcPr>
          <w:p w:rsidRPr="00C618BF" w:rsidR="006655E1" w:rsidP="009B34DB" w:rsidRDefault="006655E1" w14:paraId="0D55DCF6"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72%</w:t>
            </w:r>
          </w:p>
        </w:tc>
        <w:tc>
          <w:tcPr>
            <w:tcW w:w="810" w:type="dxa"/>
            <w:shd w:val="clear" w:color="auto" w:fill="auto"/>
            <w:vAlign w:val="bottom"/>
            <w:hideMark/>
          </w:tcPr>
          <w:p w:rsidRPr="00C618BF" w:rsidR="006655E1" w:rsidP="009B34DB" w:rsidRDefault="006655E1" w14:paraId="320A91AD"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NA</w:t>
            </w:r>
          </w:p>
        </w:tc>
      </w:tr>
    </w:tbl>
    <w:p w:rsidRPr="00C618BF" w:rsidR="00C618BF" w:rsidP="00C618BF" w:rsidRDefault="00C618BF" w14:paraId="7CE91099" w14:textId="77777777">
      <w:pPr>
        <w:spacing w:after="160" w:line="259" w:lineRule="auto"/>
        <w:ind w:firstLine="0"/>
        <w:rPr>
          <w:rFonts w:ascii="Calibri" w:hAnsi="Calibri" w:eastAsia="Calibri" w:cs="Times New Roman"/>
          <w:sz w:val="22"/>
        </w:rPr>
      </w:pPr>
    </w:p>
    <w:p w:rsidRPr="00C618BF" w:rsidR="00C618BF" w:rsidP="00C618BF" w:rsidRDefault="00C618BF" w14:paraId="28990A5F" w14:textId="77777777">
      <w:pPr>
        <w:spacing w:after="160" w:line="259" w:lineRule="auto"/>
        <w:ind w:firstLine="0"/>
        <w:rPr>
          <w:rFonts w:ascii="Calibri" w:hAnsi="Calibri" w:eastAsia="Calibri" w:cs="Times New Roman"/>
          <w:sz w:val="22"/>
        </w:rPr>
      </w:pPr>
    </w:p>
    <w:p w:rsidR="00C618BF" w:rsidP="00C618BF" w:rsidRDefault="00C618BF" w14:paraId="789D066A" w14:textId="77777777">
      <w:pPr>
        <w:pStyle w:val="Main"/>
        <w:rPr>
          <w:rFonts w:ascii="Book Antiqua" w:hAnsi="Book Antiqua"/>
        </w:rPr>
        <w:sectPr w:rsidR="00C618BF" w:rsidSect="00C618BF">
          <w:headerReference w:type="default" r:id="rId26"/>
          <w:footerReference w:type="default" r:id="rId27"/>
          <w:pgSz w:w="12240" w:h="15840"/>
          <w:pgMar w:top="1728" w:right="1440" w:bottom="1440" w:left="1440" w:header="720" w:footer="720" w:gutter="0"/>
          <w:pgNumType w:fmt="numberInDash" w:start="1"/>
          <w:cols w:space="720"/>
          <w:docGrid w:linePitch="360"/>
        </w:sectPr>
      </w:pPr>
      <w:r>
        <w:rPr>
          <w:rFonts w:ascii="Book Antiqua" w:hAnsi="Book Antiqua"/>
        </w:rPr>
        <w:t>(end of appendix b)</w:t>
      </w:r>
    </w:p>
    <w:p w:rsidR="000B12B9" w:rsidP="000B12B9" w:rsidRDefault="000B12B9" w14:paraId="6780D30F" w14:textId="77777777">
      <w:pPr>
        <w:pStyle w:val="Main"/>
        <w:rPr>
          <w:rFonts w:ascii="Book Antiqua" w:hAnsi="Book Antiqua"/>
          <w:sz w:val="50"/>
          <w:szCs w:val="50"/>
        </w:rPr>
      </w:pPr>
    </w:p>
    <w:p w:rsidR="000B12B9" w:rsidP="000B12B9" w:rsidRDefault="000B12B9" w14:paraId="7DC8BF6D" w14:textId="77777777">
      <w:pPr>
        <w:pStyle w:val="Main"/>
        <w:rPr>
          <w:rFonts w:ascii="Book Antiqua" w:hAnsi="Book Antiqua"/>
          <w:sz w:val="50"/>
          <w:szCs w:val="50"/>
        </w:rPr>
      </w:pPr>
    </w:p>
    <w:p w:rsidR="000B12B9" w:rsidP="000B12B9" w:rsidRDefault="000B12B9" w14:paraId="47156D9A" w14:textId="77777777">
      <w:pPr>
        <w:pStyle w:val="Main"/>
        <w:rPr>
          <w:rFonts w:ascii="Book Antiqua" w:hAnsi="Book Antiqua"/>
          <w:sz w:val="50"/>
          <w:szCs w:val="50"/>
        </w:rPr>
      </w:pPr>
    </w:p>
    <w:p w:rsidR="000B12B9" w:rsidP="000B12B9" w:rsidRDefault="000B12B9" w14:paraId="3E86D7A7" w14:textId="77777777">
      <w:pPr>
        <w:pStyle w:val="Main"/>
        <w:rPr>
          <w:rFonts w:ascii="Book Antiqua" w:hAnsi="Book Antiqua"/>
          <w:sz w:val="50"/>
          <w:szCs w:val="50"/>
        </w:rPr>
      </w:pPr>
    </w:p>
    <w:p w:rsidR="000B12B9" w:rsidP="000B12B9" w:rsidRDefault="000B12B9" w14:paraId="23216E65" w14:textId="77777777">
      <w:pPr>
        <w:pStyle w:val="Main"/>
        <w:rPr>
          <w:rFonts w:ascii="Book Antiqua" w:hAnsi="Book Antiqua"/>
          <w:sz w:val="50"/>
          <w:szCs w:val="50"/>
        </w:rPr>
      </w:pPr>
    </w:p>
    <w:p w:rsidR="000B12B9" w:rsidP="000B12B9" w:rsidRDefault="000B12B9" w14:paraId="6D6BE824" w14:textId="77777777">
      <w:pPr>
        <w:pStyle w:val="Main"/>
        <w:rPr>
          <w:rFonts w:ascii="Book Antiqua" w:hAnsi="Book Antiqua"/>
          <w:sz w:val="50"/>
          <w:szCs w:val="50"/>
        </w:rPr>
      </w:pPr>
    </w:p>
    <w:p w:rsidR="000B12B9" w:rsidP="000B12B9" w:rsidRDefault="000B12B9" w14:paraId="5663E4BC" w14:textId="77777777">
      <w:pPr>
        <w:pStyle w:val="Main"/>
        <w:rPr>
          <w:rFonts w:ascii="Book Antiqua" w:hAnsi="Book Antiqua"/>
          <w:sz w:val="50"/>
          <w:szCs w:val="50"/>
        </w:rPr>
      </w:pPr>
    </w:p>
    <w:p w:rsidR="000B12B9" w:rsidP="000B12B9" w:rsidRDefault="009C5C3D" w14:paraId="4EF933DF" w14:textId="5FB5A410">
      <w:pPr>
        <w:pStyle w:val="Main"/>
        <w:rPr>
          <w:rFonts w:ascii="Book Antiqua" w:hAnsi="Book Antiqua"/>
          <w:sz w:val="50"/>
          <w:szCs w:val="50"/>
        </w:rPr>
      </w:pPr>
      <w:r w:rsidRPr="000B12B9">
        <w:rPr>
          <w:rFonts w:ascii="Book Antiqua" w:hAnsi="Book Antiqua"/>
          <w:sz w:val="50"/>
          <w:szCs w:val="50"/>
        </w:rPr>
        <w:t xml:space="preserve">Appendix C </w:t>
      </w:r>
    </w:p>
    <w:p w:rsidR="000B12B9" w:rsidP="000B12B9" w:rsidRDefault="000B12B9" w14:paraId="64D6DFAC" w14:textId="77777777">
      <w:pPr>
        <w:pStyle w:val="Main"/>
        <w:rPr>
          <w:rFonts w:ascii="Book Antiqua" w:hAnsi="Book Antiqua"/>
          <w:sz w:val="50"/>
          <w:szCs w:val="50"/>
        </w:rPr>
      </w:pPr>
    </w:p>
    <w:p w:rsidRPr="000B12B9" w:rsidR="00D2090C" w:rsidP="000B12B9" w:rsidRDefault="009C5C3D" w14:paraId="2F834327" w14:textId="4947DC2F">
      <w:pPr>
        <w:pStyle w:val="Main"/>
        <w:rPr>
          <w:rFonts w:ascii="Book Antiqua" w:hAnsi="Book Antiqua"/>
          <w:sz w:val="50"/>
          <w:szCs w:val="50"/>
        </w:rPr>
        <w:sectPr w:rsidRPr="000B12B9" w:rsidR="00D2090C" w:rsidSect="00C618BF">
          <w:headerReference w:type="default" r:id="rId28"/>
          <w:footerReference w:type="default" r:id="rId29"/>
          <w:pgSz w:w="12240" w:h="15840"/>
          <w:pgMar w:top="1728" w:right="1440" w:bottom="1440" w:left="1440" w:header="720" w:footer="720" w:gutter="0"/>
          <w:pgNumType w:fmt="numberInDash" w:start="1"/>
          <w:cols w:space="720"/>
          <w:docGrid w:linePitch="360"/>
        </w:sectPr>
      </w:pPr>
      <w:r w:rsidRPr="000B12B9">
        <w:rPr>
          <w:rFonts w:ascii="Book Antiqua" w:hAnsi="Book Antiqua"/>
          <w:sz w:val="50"/>
          <w:szCs w:val="50"/>
        </w:rPr>
        <w:t>LIBERTY APPLE VALLEY QUANTITIES</w:t>
      </w:r>
      <w:r w:rsidRPr="000B12B9" w:rsidR="006070B6">
        <w:rPr>
          <w:rFonts w:ascii="Book Antiqua" w:hAnsi="Book Antiqua"/>
          <w:sz w:val="50"/>
          <w:szCs w:val="50"/>
        </w:rPr>
        <w:t xml:space="preserve"> OF CUSTOMERS AND SALE</w:t>
      </w:r>
      <w:r w:rsidRPr="000B12B9" w:rsidR="0076522B">
        <w:rPr>
          <w:rFonts w:ascii="Book Antiqua" w:hAnsi="Book Antiqua"/>
          <w:sz w:val="50"/>
          <w:szCs w:val="50"/>
        </w:rPr>
        <w:t>S</w:t>
      </w:r>
    </w:p>
    <w:tbl>
      <w:tblPr>
        <w:tblW w:w="9140" w:type="dxa"/>
        <w:tblLook w:val="04A0" w:firstRow="1" w:lastRow="0" w:firstColumn="1" w:lastColumn="0" w:noHBand="0" w:noVBand="1"/>
      </w:tblPr>
      <w:tblGrid>
        <w:gridCol w:w="2976"/>
        <w:gridCol w:w="2564"/>
        <w:gridCol w:w="1146"/>
        <w:gridCol w:w="1146"/>
        <w:gridCol w:w="1308"/>
      </w:tblGrid>
      <w:tr w:rsidRPr="00D2090C" w:rsidR="00D2090C" w:rsidTr="00D2090C" w14:paraId="45329013" w14:textId="77777777">
        <w:trPr>
          <w:trHeight w:val="290"/>
        </w:trPr>
        <w:tc>
          <w:tcPr>
            <w:tcW w:w="7832" w:type="dxa"/>
            <w:gridSpan w:val="4"/>
            <w:tcBorders>
              <w:top w:val="single" w:color="auto" w:sz="8" w:space="0"/>
              <w:left w:val="single" w:color="auto" w:sz="8" w:space="0"/>
              <w:bottom w:val="nil"/>
              <w:right w:val="nil"/>
            </w:tcBorders>
            <w:shd w:val="clear" w:color="auto" w:fill="auto"/>
            <w:noWrap/>
            <w:vAlign w:val="bottom"/>
            <w:hideMark/>
          </w:tcPr>
          <w:p w:rsidRPr="00D2090C" w:rsidR="00D2090C" w:rsidP="00D2090C" w:rsidRDefault="00D2090C" w14:paraId="0BAC3331" w14:textId="77777777">
            <w:pPr>
              <w:spacing w:line="240" w:lineRule="auto"/>
              <w:ind w:firstLine="0"/>
              <w:jc w:val="center"/>
              <w:rPr>
                <w:rFonts w:ascii="Calibri" w:hAnsi="Calibri" w:eastAsia="Times New Roman" w:cs="Calibri"/>
                <w:b/>
                <w:bCs/>
                <w:sz w:val="22"/>
              </w:rPr>
            </w:pPr>
            <w:bookmarkStart w:name="RANGE!A1:H62" w:id="94"/>
            <w:r w:rsidRPr="00D2090C">
              <w:rPr>
                <w:rFonts w:ascii="Calibri" w:hAnsi="Calibri" w:eastAsia="Times New Roman" w:cs="Calibri"/>
                <w:b/>
                <w:bCs/>
                <w:sz w:val="22"/>
              </w:rPr>
              <w:lastRenderedPageBreak/>
              <w:t>Liberty Utilities (Apple Valley Ranchos) Corp</w:t>
            </w:r>
            <w:bookmarkEnd w:id="94"/>
          </w:p>
        </w:tc>
        <w:tc>
          <w:tcPr>
            <w:tcW w:w="1308" w:type="dxa"/>
            <w:tcBorders>
              <w:top w:val="single" w:color="auto" w:sz="8" w:space="0"/>
              <w:left w:val="nil"/>
              <w:bottom w:val="nil"/>
              <w:right w:val="single" w:color="auto" w:sz="8" w:space="0"/>
            </w:tcBorders>
            <w:shd w:val="clear" w:color="auto" w:fill="auto"/>
            <w:noWrap/>
            <w:vAlign w:val="bottom"/>
            <w:hideMark/>
          </w:tcPr>
          <w:p w:rsidRPr="00D2090C" w:rsidR="00D2090C" w:rsidP="00D2090C" w:rsidRDefault="00D2090C" w14:paraId="68349B31" w14:textId="77777777">
            <w:pPr>
              <w:spacing w:line="240" w:lineRule="auto"/>
              <w:ind w:firstLine="0"/>
              <w:rPr>
                <w:rFonts w:ascii="Calibri" w:hAnsi="Calibri" w:eastAsia="Times New Roman" w:cs="Calibri"/>
                <w:sz w:val="22"/>
              </w:rPr>
            </w:pPr>
            <w:r w:rsidRPr="00D2090C">
              <w:rPr>
                <w:rFonts w:ascii="Calibri" w:hAnsi="Calibri" w:eastAsia="Times New Roman" w:cs="Calibri"/>
                <w:sz w:val="22"/>
              </w:rPr>
              <w:t> </w:t>
            </w:r>
          </w:p>
        </w:tc>
      </w:tr>
      <w:tr w:rsidRPr="00D2090C" w:rsidR="00D2090C" w:rsidTr="00D2090C" w14:paraId="033E6894" w14:textId="77777777">
        <w:trPr>
          <w:trHeight w:val="290"/>
        </w:trPr>
        <w:tc>
          <w:tcPr>
            <w:tcW w:w="7832" w:type="dxa"/>
            <w:gridSpan w:val="4"/>
            <w:tcBorders>
              <w:top w:val="nil"/>
              <w:left w:val="single" w:color="auto" w:sz="8" w:space="0"/>
              <w:bottom w:val="nil"/>
              <w:right w:val="nil"/>
            </w:tcBorders>
            <w:shd w:val="clear" w:color="auto" w:fill="auto"/>
            <w:noWrap/>
            <w:vAlign w:val="bottom"/>
            <w:hideMark/>
          </w:tcPr>
          <w:p w:rsidRPr="00D2090C" w:rsidR="00D2090C" w:rsidP="00D2090C" w:rsidRDefault="00D2090C" w14:paraId="3FCE0A9C" w14:textId="77777777">
            <w:pPr>
              <w:spacing w:line="240" w:lineRule="auto"/>
              <w:ind w:firstLine="0"/>
              <w:jc w:val="center"/>
              <w:rPr>
                <w:rFonts w:ascii="Calibri" w:hAnsi="Calibri" w:eastAsia="Times New Roman" w:cs="Calibri"/>
                <w:b/>
                <w:bCs/>
                <w:sz w:val="22"/>
              </w:rPr>
            </w:pPr>
            <w:r w:rsidRPr="00D2090C">
              <w:rPr>
                <w:rFonts w:ascii="Calibri" w:hAnsi="Calibri" w:eastAsia="Times New Roman" w:cs="Calibri"/>
                <w:b/>
                <w:bCs/>
                <w:sz w:val="22"/>
              </w:rPr>
              <w:t xml:space="preserve">Quantities of Customers and Water </w:t>
            </w:r>
            <w:proofErr w:type="gramStart"/>
            <w:r w:rsidRPr="00D2090C">
              <w:rPr>
                <w:rFonts w:ascii="Calibri" w:hAnsi="Calibri" w:eastAsia="Times New Roman" w:cs="Calibri"/>
                <w:b/>
                <w:bCs/>
                <w:sz w:val="22"/>
              </w:rPr>
              <w:t>Sales  (</w:t>
            </w:r>
            <w:proofErr w:type="spellStart"/>
            <w:proofErr w:type="gramEnd"/>
            <w:r w:rsidRPr="00D2090C">
              <w:rPr>
                <w:rFonts w:ascii="Calibri" w:hAnsi="Calibri" w:eastAsia="Times New Roman" w:cs="Calibri"/>
                <w:b/>
                <w:bCs/>
                <w:sz w:val="22"/>
              </w:rPr>
              <w:t>ccf</w:t>
            </w:r>
            <w:proofErr w:type="spellEnd"/>
            <w:r w:rsidRPr="00D2090C">
              <w:rPr>
                <w:rFonts w:ascii="Calibri" w:hAnsi="Calibri" w:eastAsia="Times New Roman" w:cs="Calibri"/>
                <w:b/>
                <w:bCs/>
                <w:sz w:val="22"/>
              </w:rPr>
              <w:t>)</w:t>
            </w:r>
          </w:p>
        </w:tc>
        <w:tc>
          <w:tcPr>
            <w:tcW w:w="1308" w:type="dxa"/>
            <w:tcBorders>
              <w:top w:val="nil"/>
              <w:left w:val="nil"/>
              <w:bottom w:val="nil"/>
              <w:right w:val="single" w:color="auto" w:sz="8" w:space="0"/>
            </w:tcBorders>
            <w:shd w:val="clear" w:color="auto" w:fill="auto"/>
            <w:noWrap/>
            <w:vAlign w:val="bottom"/>
            <w:hideMark/>
          </w:tcPr>
          <w:p w:rsidRPr="00D2090C" w:rsidR="00D2090C" w:rsidP="00D2090C" w:rsidRDefault="00D2090C" w14:paraId="5E79D71D" w14:textId="77777777">
            <w:pPr>
              <w:spacing w:line="240" w:lineRule="auto"/>
              <w:ind w:firstLine="0"/>
              <w:rPr>
                <w:rFonts w:ascii="Calibri" w:hAnsi="Calibri" w:eastAsia="Times New Roman" w:cs="Calibri"/>
                <w:sz w:val="22"/>
              </w:rPr>
            </w:pPr>
            <w:r w:rsidRPr="00D2090C">
              <w:rPr>
                <w:rFonts w:ascii="Calibri" w:hAnsi="Calibri" w:eastAsia="Times New Roman" w:cs="Calibri"/>
                <w:sz w:val="22"/>
              </w:rPr>
              <w:t> </w:t>
            </w:r>
          </w:p>
        </w:tc>
      </w:tr>
      <w:tr w:rsidRPr="00D2090C" w:rsidR="00D2090C" w:rsidTr="00D2090C" w14:paraId="4FD34B34" w14:textId="77777777">
        <w:trPr>
          <w:trHeight w:val="300"/>
        </w:trPr>
        <w:tc>
          <w:tcPr>
            <w:tcW w:w="2976" w:type="dxa"/>
            <w:tcBorders>
              <w:top w:val="nil"/>
              <w:left w:val="single" w:color="auto" w:sz="8" w:space="0"/>
              <w:bottom w:val="nil"/>
              <w:right w:val="nil"/>
            </w:tcBorders>
            <w:shd w:val="clear" w:color="auto" w:fill="auto"/>
            <w:noWrap/>
            <w:vAlign w:val="bottom"/>
            <w:hideMark/>
          </w:tcPr>
          <w:p w:rsidRPr="00D2090C" w:rsidR="00D2090C" w:rsidP="00D2090C" w:rsidRDefault="00D2090C" w14:paraId="0C3E9E9B" w14:textId="77777777">
            <w:pPr>
              <w:spacing w:line="240" w:lineRule="auto"/>
              <w:ind w:firstLine="0"/>
              <w:jc w:val="center"/>
              <w:rPr>
                <w:rFonts w:ascii="Calibri" w:hAnsi="Calibri" w:eastAsia="Times New Roman" w:cs="Calibri"/>
                <w:b/>
                <w:bCs/>
                <w:sz w:val="22"/>
              </w:rPr>
            </w:pPr>
            <w:r w:rsidRPr="00D2090C">
              <w:rPr>
                <w:rFonts w:ascii="Calibri" w:hAnsi="Calibri" w:eastAsia="Times New Roman" w:cs="Calibri"/>
                <w:b/>
                <w:bCs/>
                <w:sz w:val="22"/>
              </w:rPr>
              <w:t> </w:t>
            </w:r>
          </w:p>
        </w:tc>
        <w:tc>
          <w:tcPr>
            <w:tcW w:w="2564" w:type="dxa"/>
            <w:tcBorders>
              <w:top w:val="nil"/>
              <w:left w:val="nil"/>
              <w:bottom w:val="nil"/>
              <w:right w:val="nil"/>
            </w:tcBorders>
            <w:shd w:val="clear" w:color="auto" w:fill="auto"/>
            <w:noWrap/>
            <w:vAlign w:val="bottom"/>
            <w:hideMark/>
          </w:tcPr>
          <w:p w:rsidRPr="00D2090C" w:rsidR="00D2090C" w:rsidP="00D2090C" w:rsidRDefault="00D2090C" w14:paraId="59575390" w14:textId="77777777">
            <w:pPr>
              <w:spacing w:line="240" w:lineRule="auto"/>
              <w:ind w:firstLine="0"/>
              <w:jc w:val="center"/>
              <w:rPr>
                <w:rFonts w:ascii="Calibri" w:hAnsi="Calibri" w:eastAsia="Times New Roman" w:cs="Calibri"/>
                <w:b/>
                <w:bCs/>
                <w:sz w:val="22"/>
              </w:rPr>
            </w:pPr>
          </w:p>
        </w:tc>
        <w:tc>
          <w:tcPr>
            <w:tcW w:w="1146" w:type="dxa"/>
            <w:tcBorders>
              <w:top w:val="nil"/>
              <w:left w:val="nil"/>
              <w:bottom w:val="nil"/>
              <w:right w:val="nil"/>
            </w:tcBorders>
            <w:shd w:val="clear" w:color="auto" w:fill="auto"/>
            <w:noWrap/>
            <w:vAlign w:val="bottom"/>
            <w:hideMark/>
          </w:tcPr>
          <w:p w:rsidRPr="00D2090C" w:rsidR="00D2090C" w:rsidP="00D2090C" w:rsidRDefault="00D2090C" w14:paraId="062D8F14" w14:textId="77777777">
            <w:pPr>
              <w:spacing w:line="240" w:lineRule="auto"/>
              <w:ind w:firstLine="0"/>
              <w:jc w:val="center"/>
              <w:rPr>
                <w:rFonts w:ascii="Times New Roman" w:hAnsi="Times New Roman" w:eastAsia="Times New Roman" w:cs="Times New Roman"/>
                <w:sz w:val="20"/>
                <w:szCs w:val="20"/>
              </w:rPr>
            </w:pPr>
          </w:p>
        </w:tc>
        <w:tc>
          <w:tcPr>
            <w:tcW w:w="1146" w:type="dxa"/>
            <w:tcBorders>
              <w:top w:val="nil"/>
              <w:left w:val="nil"/>
              <w:bottom w:val="nil"/>
              <w:right w:val="nil"/>
            </w:tcBorders>
            <w:shd w:val="clear" w:color="auto" w:fill="auto"/>
            <w:noWrap/>
            <w:vAlign w:val="bottom"/>
            <w:hideMark/>
          </w:tcPr>
          <w:p w:rsidRPr="00D2090C" w:rsidR="00D2090C" w:rsidP="00D2090C" w:rsidRDefault="00D2090C" w14:paraId="1CD6994E" w14:textId="77777777">
            <w:pPr>
              <w:spacing w:line="240" w:lineRule="auto"/>
              <w:ind w:firstLine="0"/>
              <w:jc w:val="center"/>
              <w:rPr>
                <w:rFonts w:ascii="Times New Roman" w:hAnsi="Times New Roman" w:eastAsia="Times New Roman" w:cs="Times New Roman"/>
                <w:sz w:val="20"/>
                <w:szCs w:val="20"/>
              </w:rPr>
            </w:pPr>
          </w:p>
        </w:tc>
        <w:tc>
          <w:tcPr>
            <w:tcW w:w="1308" w:type="dxa"/>
            <w:tcBorders>
              <w:top w:val="nil"/>
              <w:left w:val="nil"/>
              <w:bottom w:val="nil"/>
              <w:right w:val="single" w:color="auto" w:sz="8" w:space="0"/>
            </w:tcBorders>
            <w:shd w:val="clear" w:color="auto" w:fill="auto"/>
            <w:noWrap/>
            <w:vAlign w:val="bottom"/>
            <w:hideMark/>
          </w:tcPr>
          <w:p w:rsidRPr="00D2090C" w:rsidR="00D2090C" w:rsidP="00D2090C" w:rsidRDefault="00D2090C" w14:paraId="6FC41129" w14:textId="77777777">
            <w:pPr>
              <w:spacing w:line="240" w:lineRule="auto"/>
              <w:ind w:firstLine="0"/>
              <w:rPr>
                <w:rFonts w:ascii="Calibri" w:hAnsi="Calibri" w:eastAsia="Times New Roman" w:cs="Calibri"/>
                <w:sz w:val="22"/>
              </w:rPr>
            </w:pPr>
            <w:r w:rsidRPr="00D2090C">
              <w:rPr>
                <w:rFonts w:ascii="Calibri" w:hAnsi="Calibri" w:eastAsia="Times New Roman" w:cs="Calibri"/>
                <w:sz w:val="22"/>
              </w:rPr>
              <w:t> </w:t>
            </w:r>
          </w:p>
        </w:tc>
      </w:tr>
      <w:tr w:rsidRPr="00D2090C" w:rsidR="00D2090C" w:rsidTr="00D2090C" w14:paraId="50B131CA" w14:textId="77777777">
        <w:trPr>
          <w:trHeight w:val="300"/>
        </w:trPr>
        <w:tc>
          <w:tcPr>
            <w:tcW w:w="2976"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D2090C" w:rsidR="00D2090C" w:rsidP="00D2090C" w:rsidRDefault="00D2090C" w14:paraId="77F8E6B9" w14:textId="77777777">
            <w:pPr>
              <w:spacing w:line="240" w:lineRule="auto"/>
              <w:ind w:firstLine="0"/>
              <w:jc w:val="center"/>
              <w:rPr>
                <w:rFonts w:ascii="Calibri" w:hAnsi="Calibri" w:eastAsia="Times New Roman" w:cs="Calibri"/>
                <w:sz w:val="22"/>
              </w:rPr>
            </w:pPr>
            <w:r w:rsidRPr="00D2090C">
              <w:rPr>
                <w:rFonts w:ascii="Calibri" w:hAnsi="Calibri" w:eastAsia="Times New Roman" w:cs="Calibri"/>
                <w:sz w:val="22"/>
              </w:rPr>
              <w:t>Class</w:t>
            </w:r>
          </w:p>
        </w:tc>
        <w:tc>
          <w:tcPr>
            <w:tcW w:w="2564" w:type="dxa"/>
            <w:tcBorders>
              <w:top w:val="single" w:color="auto" w:sz="8" w:space="0"/>
              <w:left w:val="nil"/>
              <w:bottom w:val="single" w:color="auto" w:sz="8" w:space="0"/>
              <w:right w:val="single" w:color="auto" w:sz="8" w:space="0"/>
            </w:tcBorders>
            <w:shd w:val="clear" w:color="auto" w:fill="auto"/>
            <w:noWrap/>
            <w:vAlign w:val="bottom"/>
            <w:hideMark/>
          </w:tcPr>
          <w:p w:rsidRPr="00D2090C" w:rsidR="00D2090C" w:rsidP="00D2090C" w:rsidRDefault="00D2090C" w14:paraId="22B8496F" w14:textId="77777777">
            <w:pPr>
              <w:spacing w:line="240" w:lineRule="auto"/>
              <w:ind w:firstLine="0"/>
              <w:jc w:val="center"/>
              <w:rPr>
                <w:rFonts w:ascii="Calibri" w:hAnsi="Calibri" w:eastAsia="Times New Roman" w:cs="Calibri"/>
                <w:sz w:val="22"/>
              </w:rPr>
            </w:pPr>
            <w:r w:rsidRPr="00D2090C">
              <w:rPr>
                <w:rFonts w:ascii="Calibri" w:hAnsi="Calibri" w:eastAsia="Times New Roman" w:cs="Calibri"/>
                <w:sz w:val="22"/>
              </w:rPr>
              <w:t>Description</w:t>
            </w:r>
          </w:p>
        </w:tc>
        <w:tc>
          <w:tcPr>
            <w:tcW w:w="1146" w:type="dxa"/>
            <w:tcBorders>
              <w:top w:val="single" w:color="auto" w:sz="8" w:space="0"/>
              <w:left w:val="nil"/>
              <w:bottom w:val="single" w:color="auto" w:sz="8" w:space="0"/>
              <w:right w:val="single" w:color="auto" w:sz="8" w:space="0"/>
            </w:tcBorders>
            <w:shd w:val="clear" w:color="auto" w:fill="auto"/>
            <w:noWrap/>
            <w:vAlign w:val="bottom"/>
            <w:hideMark/>
          </w:tcPr>
          <w:p w:rsidRPr="00D2090C" w:rsidR="00D2090C" w:rsidP="00D2090C" w:rsidRDefault="00D2090C" w14:paraId="12E5F57A" w14:textId="77777777">
            <w:pPr>
              <w:spacing w:line="240" w:lineRule="auto"/>
              <w:ind w:firstLine="0"/>
              <w:jc w:val="center"/>
              <w:rPr>
                <w:rFonts w:ascii="Calibri" w:hAnsi="Calibri" w:eastAsia="Times New Roman" w:cs="Calibri"/>
                <w:sz w:val="22"/>
              </w:rPr>
            </w:pPr>
            <w:r w:rsidRPr="00D2090C">
              <w:rPr>
                <w:rFonts w:ascii="Calibri" w:hAnsi="Calibri" w:eastAsia="Times New Roman" w:cs="Calibri"/>
                <w:sz w:val="22"/>
              </w:rPr>
              <w:t>2019</w:t>
            </w:r>
          </w:p>
        </w:tc>
        <w:tc>
          <w:tcPr>
            <w:tcW w:w="1146" w:type="dxa"/>
            <w:tcBorders>
              <w:top w:val="single" w:color="auto" w:sz="8" w:space="0"/>
              <w:left w:val="nil"/>
              <w:bottom w:val="single" w:color="auto" w:sz="8" w:space="0"/>
              <w:right w:val="single" w:color="auto" w:sz="8" w:space="0"/>
            </w:tcBorders>
            <w:shd w:val="clear" w:color="auto" w:fill="auto"/>
            <w:noWrap/>
            <w:vAlign w:val="bottom"/>
            <w:hideMark/>
          </w:tcPr>
          <w:p w:rsidRPr="00D2090C" w:rsidR="00D2090C" w:rsidP="00D2090C" w:rsidRDefault="00D2090C" w14:paraId="1B070E1B" w14:textId="77777777">
            <w:pPr>
              <w:spacing w:line="240" w:lineRule="auto"/>
              <w:ind w:firstLine="0"/>
              <w:jc w:val="center"/>
              <w:rPr>
                <w:rFonts w:ascii="Calibri" w:hAnsi="Calibri" w:eastAsia="Times New Roman" w:cs="Calibri"/>
                <w:sz w:val="22"/>
              </w:rPr>
            </w:pPr>
            <w:r w:rsidRPr="00D2090C">
              <w:rPr>
                <w:rFonts w:ascii="Calibri" w:hAnsi="Calibri" w:eastAsia="Times New Roman" w:cs="Calibri"/>
                <w:sz w:val="22"/>
              </w:rPr>
              <w:t>2020</w:t>
            </w:r>
          </w:p>
        </w:tc>
        <w:tc>
          <w:tcPr>
            <w:tcW w:w="1308" w:type="dxa"/>
            <w:tcBorders>
              <w:top w:val="single" w:color="auto" w:sz="8" w:space="0"/>
              <w:left w:val="nil"/>
              <w:bottom w:val="single" w:color="auto" w:sz="8" w:space="0"/>
              <w:right w:val="single" w:color="auto" w:sz="8" w:space="0"/>
            </w:tcBorders>
            <w:shd w:val="clear" w:color="auto" w:fill="auto"/>
            <w:noWrap/>
            <w:vAlign w:val="bottom"/>
            <w:hideMark/>
          </w:tcPr>
          <w:p w:rsidRPr="00D2090C" w:rsidR="00D2090C" w:rsidP="00D2090C" w:rsidRDefault="00D2090C" w14:paraId="78B4F1E7" w14:textId="77777777">
            <w:pPr>
              <w:spacing w:line="240" w:lineRule="auto"/>
              <w:ind w:firstLine="0"/>
              <w:jc w:val="center"/>
              <w:rPr>
                <w:rFonts w:ascii="Calibri" w:hAnsi="Calibri" w:eastAsia="Times New Roman" w:cs="Calibri"/>
                <w:sz w:val="22"/>
              </w:rPr>
            </w:pPr>
            <w:r w:rsidRPr="00D2090C">
              <w:rPr>
                <w:rFonts w:ascii="Calibri" w:hAnsi="Calibri" w:eastAsia="Times New Roman" w:cs="Calibri"/>
                <w:sz w:val="22"/>
              </w:rPr>
              <w:t>2021</w:t>
            </w:r>
          </w:p>
        </w:tc>
      </w:tr>
      <w:tr w:rsidRPr="00D2090C" w:rsidR="00D2090C" w:rsidTr="00D2090C" w14:paraId="657B3C18" w14:textId="77777777">
        <w:trPr>
          <w:trHeight w:val="300"/>
        </w:trPr>
        <w:tc>
          <w:tcPr>
            <w:tcW w:w="2976" w:type="dxa"/>
            <w:tcBorders>
              <w:top w:val="nil"/>
              <w:left w:val="single" w:color="auto" w:sz="8" w:space="0"/>
              <w:bottom w:val="nil"/>
              <w:right w:val="nil"/>
            </w:tcBorders>
            <w:shd w:val="clear" w:color="auto" w:fill="auto"/>
            <w:noWrap/>
            <w:vAlign w:val="bottom"/>
            <w:hideMark/>
          </w:tcPr>
          <w:p w:rsidRPr="00D2090C" w:rsidR="00D2090C" w:rsidP="00D2090C" w:rsidRDefault="00D2090C" w14:paraId="38CFEA6D" w14:textId="77777777">
            <w:pPr>
              <w:spacing w:line="240" w:lineRule="auto"/>
              <w:ind w:firstLine="0"/>
              <w:jc w:val="center"/>
              <w:rPr>
                <w:rFonts w:ascii="Calibri" w:hAnsi="Calibri" w:eastAsia="Times New Roman" w:cs="Calibri"/>
                <w:sz w:val="22"/>
              </w:rPr>
            </w:pPr>
            <w:r w:rsidRPr="00D2090C">
              <w:rPr>
                <w:rFonts w:ascii="Calibri" w:hAnsi="Calibri" w:eastAsia="Times New Roman" w:cs="Calibri"/>
                <w:sz w:val="22"/>
              </w:rPr>
              <w:t> </w:t>
            </w:r>
          </w:p>
        </w:tc>
        <w:tc>
          <w:tcPr>
            <w:tcW w:w="2564" w:type="dxa"/>
            <w:tcBorders>
              <w:top w:val="nil"/>
              <w:left w:val="nil"/>
              <w:bottom w:val="nil"/>
              <w:right w:val="nil"/>
            </w:tcBorders>
            <w:shd w:val="clear" w:color="auto" w:fill="auto"/>
            <w:noWrap/>
            <w:vAlign w:val="bottom"/>
            <w:hideMark/>
          </w:tcPr>
          <w:p w:rsidRPr="00D2090C" w:rsidR="00D2090C" w:rsidP="00D2090C" w:rsidRDefault="00D2090C" w14:paraId="1B611B7C" w14:textId="77777777">
            <w:pPr>
              <w:spacing w:line="240" w:lineRule="auto"/>
              <w:ind w:firstLine="0"/>
              <w:jc w:val="center"/>
              <w:rPr>
                <w:rFonts w:ascii="Calibri" w:hAnsi="Calibri" w:eastAsia="Times New Roman" w:cs="Calibri"/>
                <w:sz w:val="22"/>
              </w:rPr>
            </w:pPr>
            <w:r w:rsidRPr="00D2090C">
              <w:rPr>
                <w:rFonts w:ascii="Calibri" w:hAnsi="Calibri" w:eastAsia="Times New Roman" w:cs="Calibri"/>
                <w:sz w:val="22"/>
              </w:rPr>
              <w:t> </w:t>
            </w:r>
          </w:p>
        </w:tc>
        <w:tc>
          <w:tcPr>
            <w:tcW w:w="1146" w:type="dxa"/>
            <w:tcBorders>
              <w:top w:val="nil"/>
              <w:left w:val="nil"/>
              <w:bottom w:val="nil"/>
              <w:right w:val="nil"/>
            </w:tcBorders>
            <w:shd w:val="clear" w:color="auto" w:fill="auto"/>
            <w:noWrap/>
            <w:vAlign w:val="bottom"/>
            <w:hideMark/>
          </w:tcPr>
          <w:p w:rsidRPr="00D2090C" w:rsidR="00D2090C" w:rsidP="00D2090C" w:rsidRDefault="00D2090C" w14:paraId="77682D40" w14:textId="77777777">
            <w:pPr>
              <w:spacing w:line="240" w:lineRule="auto"/>
              <w:ind w:firstLine="0"/>
              <w:jc w:val="center"/>
              <w:rPr>
                <w:rFonts w:ascii="Calibri" w:hAnsi="Calibri" w:eastAsia="Times New Roman" w:cs="Calibri"/>
                <w:sz w:val="22"/>
              </w:rPr>
            </w:pPr>
            <w:r w:rsidRPr="00D2090C">
              <w:rPr>
                <w:rFonts w:ascii="Calibri" w:hAnsi="Calibri" w:eastAsia="Times New Roman" w:cs="Calibri"/>
                <w:sz w:val="22"/>
              </w:rPr>
              <w:t> </w:t>
            </w:r>
          </w:p>
        </w:tc>
        <w:tc>
          <w:tcPr>
            <w:tcW w:w="1146" w:type="dxa"/>
            <w:tcBorders>
              <w:top w:val="nil"/>
              <w:left w:val="nil"/>
              <w:bottom w:val="nil"/>
              <w:right w:val="nil"/>
            </w:tcBorders>
            <w:shd w:val="clear" w:color="auto" w:fill="auto"/>
            <w:noWrap/>
            <w:vAlign w:val="bottom"/>
            <w:hideMark/>
          </w:tcPr>
          <w:p w:rsidRPr="00D2090C" w:rsidR="00D2090C" w:rsidP="00D2090C" w:rsidRDefault="00D2090C" w14:paraId="729CDBD8" w14:textId="77777777">
            <w:pPr>
              <w:spacing w:line="240" w:lineRule="auto"/>
              <w:ind w:firstLine="0"/>
              <w:jc w:val="center"/>
              <w:rPr>
                <w:rFonts w:ascii="Calibri" w:hAnsi="Calibri" w:eastAsia="Times New Roman" w:cs="Calibri"/>
                <w:sz w:val="22"/>
              </w:rPr>
            </w:pPr>
            <w:r w:rsidRPr="00D2090C">
              <w:rPr>
                <w:rFonts w:ascii="Calibri" w:hAnsi="Calibri" w:eastAsia="Times New Roman" w:cs="Calibri"/>
                <w:sz w:val="22"/>
              </w:rPr>
              <w:t> </w:t>
            </w:r>
          </w:p>
        </w:tc>
        <w:tc>
          <w:tcPr>
            <w:tcW w:w="1308" w:type="dxa"/>
            <w:tcBorders>
              <w:top w:val="nil"/>
              <w:left w:val="nil"/>
              <w:bottom w:val="nil"/>
              <w:right w:val="single" w:color="auto" w:sz="8" w:space="0"/>
            </w:tcBorders>
            <w:shd w:val="clear" w:color="auto" w:fill="auto"/>
            <w:noWrap/>
            <w:vAlign w:val="bottom"/>
            <w:hideMark/>
          </w:tcPr>
          <w:p w:rsidRPr="00D2090C" w:rsidR="00D2090C" w:rsidP="00D2090C" w:rsidRDefault="00D2090C" w14:paraId="06AAE762" w14:textId="77777777">
            <w:pPr>
              <w:spacing w:line="240" w:lineRule="auto"/>
              <w:ind w:firstLine="0"/>
              <w:rPr>
                <w:rFonts w:ascii="Calibri" w:hAnsi="Calibri" w:eastAsia="Times New Roman" w:cs="Calibri"/>
                <w:sz w:val="22"/>
              </w:rPr>
            </w:pPr>
            <w:r w:rsidRPr="00D2090C">
              <w:rPr>
                <w:rFonts w:ascii="Calibri" w:hAnsi="Calibri" w:eastAsia="Times New Roman" w:cs="Calibri"/>
                <w:sz w:val="22"/>
              </w:rPr>
              <w:t> </w:t>
            </w:r>
          </w:p>
        </w:tc>
      </w:tr>
      <w:tr w:rsidRPr="008E5603" w:rsidR="008E5603" w:rsidTr="008E5603" w14:paraId="3E34FCC6"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6F56CDD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11</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7023606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Residential_11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835811F"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18,665</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7A73CE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18,824</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5D958EB"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18,983</w:t>
            </w:r>
          </w:p>
        </w:tc>
      </w:tr>
      <w:tr w:rsidRPr="008E5603" w:rsidR="008E5603" w:rsidTr="008E5603" w14:paraId="581914C0"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11D203C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40E6FC6C"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Business_22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86E97F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1,402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45C9E68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1,412</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D9DC19A"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1,422</w:t>
            </w:r>
          </w:p>
        </w:tc>
      </w:tr>
      <w:tr w:rsidRPr="008E5603" w:rsidR="008E5603" w:rsidTr="008E5603" w14:paraId="573D3A6B"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553DE17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33</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42006D2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Industrial_33</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568247F"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74CDFE0"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B354FA5"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2</w:t>
            </w:r>
          </w:p>
        </w:tc>
      </w:tr>
      <w:tr w:rsidRPr="008E5603" w:rsidR="008E5603" w:rsidTr="008E5603" w14:paraId="4BD9A6AD"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62F6EDAA"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45</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360887F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Public_Auth_45</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0542C0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44</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82AC01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44</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5B183C99"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44</w:t>
            </w:r>
          </w:p>
        </w:tc>
      </w:tr>
      <w:tr w:rsidRPr="008E5603" w:rsidR="008E5603" w:rsidTr="008E5603" w14:paraId="1963B5E6"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77DC26A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53C4569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Priv_Fire_Srv_52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E3A00F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238</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244137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241</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08AABEBB"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243</w:t>
            </w:r>
          </w:p>
        </w:tc>
      </w:tr>
      <w:tr w:rsidRPr="008E5603" w:rsidR="008E5603" w:rsidTr="008E5603" w14:paraId="4AC1528B"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2145F83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73</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1450EF87"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Irrig_Pub_Auth_73</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001C21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E7F6C0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595FC97B"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5</w:t>
            </w:r>
          </w:p>
        </w:tc>
      </w:tr>
      <w:tr w:rsidRPr="008E5603" w:rsidR="008E5603" w:rsidTr="008E5603" w14:paraId="4CBCC4AE"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758876AF"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74</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0F3E0FC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Irrig_Pressure_74</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AEF6CC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166</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E2DE0D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167</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3116A4CB"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168</w:t>
            </w:r>
          </w:p>
        </w:tc>
      </w:tr>
      <w:tr w:rsidRPr="008E5603" w:rsidR="008E5603" w:rsidTr="008E5603" w14:paraId="29973B05"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00D22540"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75</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18EBBA2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Irrig_Gravity_75</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65142F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6829FB7"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2C35DE20"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1</w:t>
            </w:r>
          </w:p>
        </w:tc>
      </w:tr>
      <w:tr w:rsidRPr="008E5603" w:rsidR="008E5603" w:rsidTr="008E5603" w14:paraId="609589E8"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29BFF24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77</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43BEDD4F"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AV_Golf_Course_77</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C3CE86C"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7AD226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80D4824"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446D05A0"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63D87AA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81</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02E6055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Temp_Bi_Monthly_81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4D6724E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19</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8FEC2E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22</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3086F4E0"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24</w:t>
            </w:r>
          </w:p>
        </w:tc>
      </w:tr>
      <w:tr w:rsidRPr="008E5603" w:rsidR="008E5603" w:rsidTr="008E5603" w14:paraId="280920D9"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257D933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82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5D85280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Temp_Monthly_82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85E65B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8712C5F"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8BFFAE5"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70465120"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013DEFC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Y21</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4023D7E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Yrmo_Residential_Y21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A1E2DA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256</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2CB481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256</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3B98CEE7"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256</w:t>
            </w:r>
          </w:p>
        </w:tc>
      </w:tr>
      <w:tr w:rsidRPr="008E5603" w:rsidR="008E5603" w:rsidTr="008E5603" w14:paraId="68EEDE82"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54A3375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Y22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148E715A"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Yrmo_Business_Y22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79F496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27</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4CF1D9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27</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8AE7C99"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27</w:t>
            </w:r>
          </w:p>
        </w:tc>
      </w:tr>
      <w:tr w:rsidRPr="008E5603" w:rsidR="008E5603" w:rsidTr="008E5603" w14:paraId="060884CE"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2EDB14C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Y33</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25B8807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Yrmo_Industrial_Y33</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2261AB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ADBE07A"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03FAE24"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10EB83F1"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0FDB91A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Y45</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756E893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Yrmo_Pub_Auth_Y45</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C92872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C58A9C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0762EBB"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3</w:t>
            </w:r>
          </w:p>
        </w:tc>
      </w:tr>
      <w:tr w:rsidRPr="008E5603" w:rsidR="008E5603" w:rsidTr="008E5603" w14:paraId="6718E3D2"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36317D6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Y52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23A3E15C"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Yrmo_Priv_Fire_Y52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6109483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C240587"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CF4D193"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6A5FB8EE"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40E8CCF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Y61</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3E0B621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Yrmo_Hydrants_Y61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5BDED3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241EB9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5F7B175"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14070BD1"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7546841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Total Customers</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2D4622F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 </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6B8825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20,828</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F6D6CA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21,004</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3EDC763"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21,178</w:t>
            </w:r>
          </w:p>
        </w:tc>
      </w:tr>
      <w:tr w:rsidRPr="008E5603" w:rsidR="008E5603" w:rsidTr="008E5603" w14:paraId="64BB092A"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6D5D052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Water Sales (</w:t>
            </w:r>
            <w:proofErr w:type="spellStart"/>
            <w:r w:rsidRPr="008E5603">
              <w:rPr>
                <w:rFonts w:ascii="Calibri" w:hAnsi="Calibri" w:eastAsia="Times New Roman" w:cs="Calibri"/>
                <w:sz w:val="22"/>
              </w:rPr>
              <w:t>ccf</w:t>
            </w:r>
            <w:proofErr w:type="spellEnd"/>
            <w:r w:rsidRPr="008E5603">
              <w:rPr>
                <w:rFonts w:ascii="Calibri" w:hAnsi="Calibri" w:eastAsia="Times New Roman" w:cs="Calibri"/>
                <w:sz w:val="22"/>
              </w:rPr>
              <w:t>/</w:t>
            </w:r>
            <w:proofErr w:type="spellStart"/>
            <w:r w:rsidRPr="008E5603">
              <w:rPr>
                <w:rFonts w:ascii="Calibri" w:hAnsi="Calibri" w:eastAsia="Times New Roman" w:cs="Calibri"/>
                <w:sz w:val="22"/>
              </w:rPr>
              <w:t>cust</w:t>
            </w:r>
            <w:proofErr w:type="spellEnd"/>
            <w:r w:rsidRPr="008E5603">
              <w:rPr>
                <w:rFonts w:ascii="Calibri" w:hAnsi="Calibri" w:eastAsia="Times New Roman" w:cs="Calibri"/>
                <w:sz w:val="22"/>
              </w:rPr>
              <w:t>)</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249B73CC"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 </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AB62FA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 </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A4EEBA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 </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00B2C1A2"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 </w:t>
            </w:r>
          </w:p>
        </w:tc>
      </w:tr>
      <w:tr w:rsidRPr="008E5603" w:rsidR="008E5603" w:rsidTr="008E5603" w14:paraId="2ECBB9EB"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765B7BA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11</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2EA2BFF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Residential_11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4AAE63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139</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B4E4EA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139</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262D315E"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139</w:t>
            </w:r>
          </w:p>
        </w:tc>
      </w:tr>
      <w:tr w:rsidRPr="008E5603" w:rsidR="008E5603" w:rsidTr="008E5603" w14:paraId="5C64469E"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58A82CE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46CEC300"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Business_22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51BBC3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491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410E61F"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491</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7590010"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491</w:t>
            </w:r>
          </w:p>
        </w:tc>
      </w:tr>
      <w:tr w:rsidRPr="008E5603" w:rsidR="008E5603" w:rsidTr="008E5603" w14:paraId="01A1BDEC"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0DF60F5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33</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33B649D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Industrial_33</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33B14B7"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377</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C96B45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377</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7C91D4E8"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377</w:t>
            </w:r>
          </w:p>
        </w:tc>
      </w:tr>
      <w:tr w:rsidRPr="008E5603" w:rsidR="008E5603" w:rsidTr="008E5603" w14:paraId="77B45875"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34FFC11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45</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529FEF6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Public_Auth_45</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CAFB8B7"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5,347</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C4E1D7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5,347</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3BCE62E2"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5,347</w:t>
            </w:r>
          </w:p>
        </w:tc>
      </w:tr>
      <w:tr w:rsidRPr="008E5603" w:rsidR="008E5603" w:rsidTr="008E5603" w14:paraId="57E6090D"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5CB270F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44A4CCA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Priv_Fire_Srv_52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14C3ED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6512C67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12</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1C53DA2F"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12</w:t>
            </w:r>
          </w:p>
        </w:tc>
      </w:tr>
      <w:tr w:rsidRPr="008E5603" w:rsidR="008E5603" w:rsidTr="008E5603" w14:paraId="217C889A"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2EF6189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73</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321AC6D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Irrig_Pub_Auth_73</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484A88A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5,007</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6E69867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5,007</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158A9F2"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5,007</w:t>
            </w:r>
          </w:p>
        </w:tc>
      </w:tr>
      <w:tr w:rsidRPr="008E5603" w:rsidR="008E5603" w:rsidTr="008E5603" w14:paraId="325CFCEC"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41912DB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74</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7992F6E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Irrig_Pressure_74</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6160130"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1,567</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6538543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1,567</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3D02E020"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1,567</w:t>
            </w:r>
          </w:p>
        </w:tc>
      </w:tr>
      <w:tr w:rsidRPr="008E5603" w:rsidR="008E5603" w:rsidTr="008E5603" w14:paraId="06EEAF43"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345FC6A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75</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59548AC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Irrig_Gravity_75</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B5C97D0"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502,158</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4A38BDC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502,158</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7DD59CD6"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502,158</w:t>
            </w:r>
          </w:p>
        </w:tc>
      </w:tr>
      <w:tr w:rsidRPr="008E5603" w:rsidR="008E5603" w:rsidTr="008E5603" w14:paraId="66B55982"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0DC6580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77</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0D2B2730"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AV_Golf_Course_77</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4B8B037A"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F112B2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0B123C0"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1A8532C2"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5637CB7C"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81</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3586262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Temp_Bi_Monthly_81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6731C7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1,748</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917905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1,748</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580A344C"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1,748</w:t>
            </w:r>
          </w:p>
        </w:tc>
      </w:tr>
      <w:tr w:rsidRPr="008E5603" w:rsidR="008E5603" w:rsidTr="008E5603" w14:paraId="40EA1C98"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02F90C9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82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276443E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Temp_Monthly_82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4C8E19B0"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27C4FD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760F3827"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72DC6EE9"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7057B75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Y21</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7020EF9F"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Yrmo_Residential_Y21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A95AC5C"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139</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B021A2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139</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3AB2A7CE"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139</w:t>
            </w:r>
          </w:p>
        </w:tc>
      </w:tr>
      <w:tr w:rsidRPr="008E5603" w:rsidR="008E5603" w:rsidTr="008E5603" w14:paraId="3761CB41"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0D97E220"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Y22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16CA944F"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Yrmo_Business_Y22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4A8546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491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8BA7B4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491</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25187C35"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491</w:t>
            </w:r>
          </w:p>
        </w:tc>
      </w:tr>
      <w:tr w:rsidRPr="008E5603" w:rsidR="008E5603" w:rsidTr="008E5603" w14:paraId="585AC4F7"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3DBF59D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Y33</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70E5CBF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Yrmo_Industrial_Y33</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ACFAF0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377</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4C7AA52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377</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181E2AC0"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377</w:t>
            </w:r>
          </w:p>
        </w:tc>
      </w:tr>
      <w:tr w:rsidRPr="008E5603" w:rsidR="008E5603" w:rsidTr="008E5603" w14:paraId="05EC7D4A"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2D4320E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Y45</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0353253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Yrmo_Pub_Auth_Y45</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7C6EE1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5,347</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5A8DD0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5,347</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0A33F28B"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5,347</w:t>
            </w:r>
          </w:p>
        </w:tc>
      </w:tr>
      <w:tr w:rsidRPr="008E5603" w:rsidR="008E5603" w:rsidTr="008E5603" w14:paraId="06653AC8"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5C8F3B9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Y52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7DEE53D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Yrmo_Priv_Fire_Y52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B144C1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4B792C7"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12</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186AB44"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12</w:t>
            </w:r>
          </w:p>
        </w:tc>
      </w:tr>
      <w:tr w:rsidRPr="008E5603" w:rsidR="008E5603" w:rsidTr="008E5603" w14:paraId="6E9CFA8C"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748CAD6C"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Y61</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53E5ECD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Yrmo_Hydrants_Y61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6BCB207"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00684EC"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15260510"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12F46575"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1744BC2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Total Unit Sales (</w:t>
            </w:r>
            <w:proofErr w:type="spellStart"/>
            <w:r w:rsidRPr="008E5603">
              <w:rPr>
                <w:rFonts w:ascii="Calibri" w:hAnsi="Calibri" w:eastAsia="Times New Roman" w:cs="Calibri"/>
                <w:sz w:val="22"/>
              </w:rPr>
              <w:t>ccf</w:t>
            </w:r>
            <w:proofErr w:type="spellEnd"/>
            <w:r w:rsidRPr="008E5603">
              <w:rPr>
                <w:rFonts w:ascii="Calibri" w:hAnsi="Calibri" w:eastAsia="Times New Roman" w:cs="Calibri"/>
                <w:sz w:val="22"/>
              </w:rPr>
              <w:t>/</w:t>
            </w:r>
            <w:proofErr w:type="spellStart"/>
            <w:r w:rsidRPr="008E5603">
              <w:rPr>
                <w:rFonts w:ascii="Calibri" w:hAnsi="Calibri" w:eastAsia="Times New Roman" w:cs="Calibri"/>
                <w:sz w:val="22"/>
              </w:rPr>
              <w:t>cust</w:t>
            </w:r>
            <w:proofErr w:type="spellEnd"/>
            <w:r w:rsidRPr="008E5603">
              <w:rPr>
                <w:rFonts w:ascii="Calibri" w:hAnsi="Calibri" w:eastAsia="Times New Roman" w:cs="Calibri"/>
                <w:sz w:val="22"/>
              </w:rPr>
              <w:t>)</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42F2C5D0"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 </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69B856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523,209</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47593C7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523,209</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570C9A4"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523,209</w:t>
            </w:r>
          </w:p>
        </w:tc>
      </w:tr>
      <w:tr w:rsidRPr="008E5603" w:rsidR="008E5603" w:rsidTr="008E5603" w14:paraId="2B3A49FA"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44E4FAE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lastRenderedPageBreak/>
              <w:t>Total Consumption (</w:t>
            </w:r>
            <w:proofErr w:type="spellStart"/>
            <w:r w:rsidRPr="008E5603">
              <w:rPr>
                <w:rFonts w:ascii="Calibri" w:hAnsi="Calibri" w:eastAsia="Times New Roman" w:cs="Calibri"/>
                <w:sz w:val="22"/>
              </w:rPr>
              <w:t>ccf</w:t>
            </w:r>
            <w:proofErr w:type="spellEnd"/>
            <w:r w:rsidRPr="008E5603">
              <w:rPr>
                <w:rFonts w:ascii="Calibri" w:hAnsi="Calibri" w:eastAsia="Times New Roman" w:cs="Calibri"/>
                <w:sz w:val="22"/>
              </w:rPr>
              <w:t>)</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1F7AD2C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 </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45F5DC9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 </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41D3A3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 </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704F3F3F"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 </w:t>
            </w:r>
          </w:p>
        </w:tc>
      </w:tr>
      <w:tr w:rsidRPr="008E5603" w:rsidR="008E5603" w:rsidTr="008E5603" w14:paraId="6B723A0B"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7634B97C"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11</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5FBCB6B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Residential_11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65B98CD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2,586,036</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A5C636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2,608,065</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55E3DB5"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2,630,095</w:t>
            </w:r>
          </w:p>
        </w:tc>
      </w:tr>
      <w:tr w:rsidRPr="008E5603" w:rsidR="008E5603" w:rsidTr="008E5603" w14:paraId="020BB0CF"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1829AA6A"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117B661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Business_22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460797E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687,779</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C5B712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692,685</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B11B9A4"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697,591</w:t>
            </w:r>
          </w:p>
        </w:tc>
      </w:tr>
      <w:tr w:rsidRPr="008E5603" w:rsidR="008E5603" w:rsidTr="008E5603" w14:paraId="3E4FECD1"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158A9BB7"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33</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01847CE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Industrial_33</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2B83DA0"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753</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120F43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753</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8451BFF"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753</w:t>
            </w:r>
          </w:p>
        </w:tc>
      </w:tr>
      <w:tr w:rsidRPr="008E5603" w:rsidR="008E5603" w:rsidTr="008E5603" w14:paraId="53209356"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1B3CD170"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45</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073B826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Public_Auth_45</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106F65A"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235,261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325860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235,261</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192ADC0"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235,261</w:t>
            </w:r>
          </w:p>
        </w:tc>
      </w:tr>
      <w:tr w:rsidRPr="008E5603" w:rsidR="008E5603" w:rsidTr="008E5603" w14:paraId="4A5C7622"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23C13C5C"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4735616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Priv_Fire_Srv_52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65E666EF"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2,780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307D9B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2,815</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F37CA65"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2,838</w:t>
            </w:r>
          </w:p>
        </w:tc>
      </w:tr>
      <w:tr w:rsidRPr="008E5603" w:rsidR="008E5603" w:rsidTr="008E5603" w14:paraId="7BA3B9FE"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582CD07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73</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4A4738F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Irrig_Pub_Auth_73</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960D7E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25,033</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347D55F"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25,033</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75D15B2D"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25,033</w:t>
            </w:r>
          </w:p>
        </w:tc>
      </w:tr>
      <w:tr w:rsidRPr="008E5603" w:rsidR="008E5603" w:rsidTr="008E5603" w14:paraId="21971942"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532344BA"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74</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0B106C5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Irrig_Pressure_74</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1019E8A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260,197</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4CFE2ED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261,764</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E5803D0"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263,332</w:t>
            </w:r>
          </w:p>
        </w:tc>
      </w:tr>
      <w:tr w:rsidRPr="008E5603" w:rsidR="008E5603" w:rsidTr="008E5603" w14:paraId="5EC3F7D1"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3CB0B28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75</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61BD855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Irrig_Gravity_75</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EB1191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502,158</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B1C9A4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502,158</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0357EA4B"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502,158</w:t>
            </w:r>
          </w:p>
        </w:tc>
      </w:tr>
      <w:tr w:rsidRPr="008E5603" w:rsidR="008E5603" w:rsidTr="008E5603" w14:paraId="59CC16D0"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1F06EC1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77</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679BD5B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AV_Golf_Course_77</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6061CF00"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34F1BD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2CEB4BEA"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5DECA713"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05941C5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81</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1E108D07"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Temp_Bi_Monthly_81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BFF0155"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33,219</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0E3182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38,464</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2321ACBD"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41,960</w:t>
            </w:r>
          </w:p>
        </w:tc>
      </w:tr>
      <w:tr w:rsidRPr="008E5603" w:rsidR="008E5603" w:rsidTr="008E5603" w14:paraId="756EC3A2"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5AD2762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82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570AB9A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Temp_Monthly_82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180806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49CAAF4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7FB24785"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5463BC33"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355403AE"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Y21</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731DFE5A"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Yrmo_Residential_Y21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60B3C23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35,469</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6B2EE48A"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35,469</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01026830"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35,469</w:t>
            </w:r>
          </w:p>
        </w:tc>
      </w:tr>
      <w:tr w:rsidRPr="008E5603" w:rsidR="008E5603" w:rsidTr="008E5603" w14:paraId="3E48E210"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1137C44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Y22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23727FC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Yrmo_Business_Y22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A9C21BF"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13,245</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2C78848"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13,245</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BC42193"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13,245</w:t>
            </w:r>
          </w:p>
        </w:tc>
      </w:tr>
      <w:tr w:rsidRPr="008E5603" w:rsidR="008E5603" w:rsidTr="008E5603" w14:paraId="58DB642D"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0D155B9A"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Y33</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0767E9F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Yrmo_Industrial_Y33</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887FD27"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5407992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28A90A2"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78D52024"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739EFD91"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Y45</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3572A11B"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Yrmo_Pub_Auth_Y45</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99B655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16,040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298BC753"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16,040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726A7345"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16,040</w:t>
            </w:r>
          </w:p>
        </w:tc>
      </w:tr>
      <w:tr w:rsidRPr="008E5603" w:rsidR="008E5603" w:rsidTr="008E5603" w14:paraId="62BBA836"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233EEB82"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Y52</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3FDD996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Yrmo_Priv_Fire_Y52</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3526FE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C9B3A24"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6A127FBF"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0E2E82C7"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54311A0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Y61</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7AC136EA"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Yrmo_Hydrants_Y61</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6164B92D"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7020CB1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0</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351BFFBB"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0</w:t>
            </w:r>
          </w:p>
        </w:tc>
      </w:tr>
      <w:tr w:rsidRPr="008E5603" w:rsidR="008E5603" w:rsidTr="008E5603" w14:paraId="117CAD96" w14:textId="77777777">
        <w:trPr>
          <w:trHeight w:val="300"/>
        </w:trPr>
        <w:tc>
          <w:tcPr>
            <w:tcW w:w="2976" w:type="dxa"/>
            <w:tcBorders>
              <w:top w:val="nil"/>
              <w:left w:val="single" w:color="auto" w:sz="8" w:space="0"/>
              <w:bottom w:val="nil"/>
              <w:right w:val="nil"/>
            </w:tcBorders>
            <w:shd w:val="clear" w:color="auto" w:fill="auto"/>
            <w:noWrap/>
            <w:vAlign w:val="bottom"/>
            <w:hideMark/>
          </w:tcPr>
          <w:p w:rsidRPr="008E5603" w:rsidR="008E5603" w:rsidP="008E5603" w:rsidRDefault="008E5603" w14:paraId="295BB79A"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Total Sales (</w:t>
            </w:r>
            <w:proofErr w:type="spellStart"/>
            <w:r w:rsidRPr="008E5603">
              <w:rPr>
                <w:rFonts w:ascii="Calibri" w:hAnsi="Calibri" w:eastAsia="Times New Roman" w:cs="Calibri"/>
                <w:sz w:val="22"/>
              </w:rPr>
              <w:t>ccf</w:t>
            </w:r>
            <w:proofErr w:type="spellEnd"/>
            <w:r w:rsidRPr="008E5603">
              <w:rPr>
                <w:rFonts w:ascii="Calibri" w:hAnsi="Calibri" w:eastAsia="Times New Roman" w:cs="Calibri"/>
                <w:sz w:val="22"/>
              </w:rPr>
              <w:t>)</w:t>
            </w:r>
          </w:p>
        </w:tc>
        <w:tc>
          <w:tcPr>
            <w:tcW w:w="2564" w:type="dxa"/>
            <w:tcBorders>
              <w:top w:val="nil"/>
              <w:left w:val="nil"/>
              <w:bottom w:val="nil"/>
              <w:right w:val="nil"/>
            </w:tcBorders>
            <w:shd w:val="clear" w:color="auto" w:fill="auto"/>
            <w:noWrap/>
            <w:vAlign w:val="bottom"/>
            <w:hideMark/>
          </w:tcPr>
          <w:p w:rsidRPr="008E5603" w:rsidR="008E5603" w:rsidP="008E5603" w:rsidRDefault="008E5603" w14:paraId="3E9F6856"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Total</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0472797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4,397,969</w:t>
            </w:r>
          </w:p>
        </w:tc>
        <w:tc>
          <w:tcPr>
            <w:tcW w:w="1146" w:type="dxa"/>
            <w:tcBorders>
              <w:top w:val="nil"/>
              <w:left w:val="nil"/>
              <w:bottom w:val="nil"/>
              <w:right w:val="nil"/>
            </w:tcBorders>
            <w:shd w:val="clear" w:color="auto" w:fill="auto"/>
            <w:noWrap/>
            <w:vAlign w:val="bottom"/>
            <w:hideMark/>
          </w:tcPr>
          <w:p w:rsidRPr="008E5603" w:rsidR="008E5603" w:rsidP="008E5603" w:rsidRDefault="008E5603" w14:paraId="36AABC59" w14:textId="77777777">
            <w:pPr>
              <w:spacing w:line="240" w:lineRule="auto"/>
              <w:ind w:firstLine="0"/>
              <w:jc w:val="center"/>
              <w:rPr>
                <w:rFonts w:ascii="Calibri" w:hAnsi="Calibri" w:eastAsia="Times New Roman" w:cs="Calibri"/>
                <w:sz w:val="22"/>
              </w:rPr>
            </w:pPr>
            <w:r w:rsidRPr="008E5603">
              <w:rPr>
                <w:rFonts w:ascii="Calibri" w:hAnsi="Calibri" w:eastAsia="Times New Roman" w:cs="Calibri"/>
                <w:sz w:val="22"/>
              </w:rPr>
              <w:t>4,431,752</w:t>
            </w:r>
          </w:p>
        </w:tc>
        <w:tc>
          <w:tcPr>
            <w:tcW w:w="1308" w:type="dxa"/>
            <w:tcBorders>
              <w:top w:val="nil"/>
              <w:left w:val="nil"/>
              <w:bottom w:val="nil"/>
              <w:right w:val="single" w:color="auto" w:sz="8" w:space="0"/>
            </w:tcBorders>
            <w:shd w:val="clear" w:color="auto" w:fill="auto"/>
            <w:noWrap/>
            <w:vAlign w:val="bottom"/>
            <w:hideMark/>
          </w:tcPr>
          <w:p w:rsidRPr="008E5603" w:rsidR="008E5603" w:rsidP="008E5603" w:rsidRDefault="008E5603" w14:paraId="4F086E4F" w14:textId="77777777">
            <w:pPr>
              <w:spacing w:line="240" w:lineRule="auto"/>
              <w:ind w:firstLine="0"/>
              <w:rPr>
                <w:rFonts w:ascii="Calibri" w:hAnsi="Calibri" w:eastAsia="Times New Roman" w:cs="Calibri"/>
                <w:sz w:val="22"/>
              </w:rPr>
            </w:pPr>
            <w:r w:rsidRPr="008E5603">
              <w:rPr>
                <w:rFonts w:ascii="Calibri" w:hAnsi="Calibri" w:eastAsia="Times New Roman" w:cs="Calibri"/>
                <w:sz w:val="22"/>
              </w:rPr>
              <w:t>4,463,775</w:t>
            </w:r>
          </w:p>
        </w:tc>
      </w:tr>
    </w:tbl>
    <w:p w:rsidR="000B12B9" w:rsidP="000B12B9" w:rsidRDefault="000B12B9" w14:paraId="38F6798A" w14:textId="77777777">
      <w:pPr>
        <w:ind w:firstLine="0"/>
        <w:jc w:val="center"/>
        <w:rPr>
          <w:b/>
          <w:bCs/>
        </w:rPr>
      </w:pPr>
    </w:p>
    <w:p w:rsidR="000B12B9" w:rsidP="000B12B9" w:rsidRDefault="000B12B9" w14:paraId="059D781A" w14:textId="77777777">
      <w:pPr>
        <w:ind w:firstLine="0"/>
        <w:jc w:val="center"/>
        <w:rPr>
          <w:b/>
          <w:bCs/>
        </w:rPr>
      </w:pPr>
      <w:r>
        <w:rPr>
          <w:b/>
          <w:bCs/>
        </w:rPr>
        <w:t>(END OF APPENDIX C)</w:t>
      </w:r>
    </w:p>
    <w:p w:rsidR="009379DE" w:rsidRDefault="009379DE" w14:paraId="582C7EAA" w14:textId="18B4DC0E">
      <w:pPr>
        <w:spacing w:after="160" w:line="259" w:lineRule="auto"/>
        <w:ind w:firstLine="0"/>
        <w:rPr>
          <w:b/>
          <w:bCs/>
        </w:rPr>
        <w:sectPr w:rsidR="009379DE" w:rsidSect="00C618BF">
          <w:headerReference w:type="default" r:id="rId30"/>
          <w:footerReference w:type="default" r:id="rId31"/>
          <w:pgSz w:w="12240" w:h="15840"/>
          <w:pgMar w:top="1728" w:right="1440" w:bottom="1440" w:left="1440" w:header="720" w:footer="720" w:gutter="0"/>
          <w:pgNumType w:fmt="numberInDash" w:start="1"/>
          <w:cols w:space="720"/>
          <w:docGrid w:linePitch="360"/>
        </w:sectPr>
      </w:pPr>
    </w:p>
    <w:p w:rsidR="00554B20" w:rsidRDefault="00554B20" w14:paraId="1295B266" w14:textId="6AE7C2E3">
      <w:pPr>
        <w:spacing w:after="160" w:line="259" w:lineRule="auto"/>
        <w:ind w:firstLine="0"/>
        <w:rPr>
          <w:b/>
          <w:bCs/>
        </w:rPr>
      </w:pPr>
    </w:p>
    <w:p w:rsidR="009379DE" w:rsidP="00554B20" w:rsidRDefault="009379DE" w14:paraId="3193655B" w14:textId="77777777">
      <w:pPr>
        <w:pStyle w:val="Main"/>
        <w:rPr>
          <w:rFonts w:ascii="Book Antiqua" w:hAnsi="Book Antiqua"/>
          <w:sz w:val="50"/>
          <w:szCs w:val="50"/>
        </w:rPr>
      </w:pPr>
    </w:p>
    <w:p w:rsidR="009379DE" w:rsidP="00554B20" w:rsidRDefault="009379DE" w14:paraId="7C285AB9" w14:textId="77777777">
      <w:pPr>
        <w:pStyle w:val="Main"/>
        <w:rPr>
          <w:rFonts w:ascii="Book Antiqua" w:hAnsi="Book Antiqua"/>
          <w:sz w:val="50"/>
          <w:szCs w:val="50"/>
        </w:rPr>
      </w:pPr>
    </w:p>
    <w:p w:rsidR="009379DE" w:rsidP="00554B20" w:rsidRDefault="009379DE" w14:paraId="6F19FCED" w14:textId="77777777">
      <w:pPr>
        <w:pStyle w:val="Main"/>
        <w:rPr>
          <w:rFonts w:ascii="Book Antiqua" w:hAnsi="Book Antiqua"/>
          <w:sz w:val="50"/>
          <w:szCs w:val="50"/>
        </w:rPr>
      </w:pPr>
    </w:p>
    <w:p w:rsidR="009379DE" w:rsidP="00554B20" w:rsidRDefault="009379DE" w14:paraId="1AD4ED8D" w14:textId="77777777">
      <w:pPr>
        <w:pStyle w:val="Main"/>
        <w:rPr>
          <w:rFonts w:ascii="Book Antiqua" w:hAnsi="Book Antiqua"/>
          <w:sz w:val="50"/>
          <w:szCs w:val="50"/>
        </w:rPr>
      </w:pPr>
    </w:p>
    <w:p w:rsidR="00554B20" w:rsidP="00554B20" w:rsidRDefault="00554B20" w14:paraId="0836AB62" w14:textId="5308FCBE">
      <w:pPr>
        <w:pStyle w:val="Main"/>
        <w:rPr>
          <w:rFonts w:ascii="Book Antiqua" w:hAnsi="Book Antiqua"/>
          <w:sz w:val="50"/>
          <w:szCs w:val="50"/>
        </w:rPr>
      </w:pPr>
      <w:r w:rsidRPr="00F85246">
        <w:rPr>
          <w:rFonts w:ascii="Book Antiqua" w:hAnsi="Book Antiqua"/>
          <w:sz w:val="50"/>
          <w:szCs w:val="50"/>
        </w:rPr>
        <w:t xml:space="preserve">Appendix </w:t>
      </w:r>
      <w:r w:rsidR="00910FA9">
        <w:rPr>
          <w:rFonts w:ascii="Book Antiqua" w:hAnsi="Book Antiqua"/>
          <w:sz w:val="50"/>
          <w:szCs w:val="50"/>
        </w:rPr>
        <w:t>D</w:t>
      </w:r>
      <w:r w:rsidRPr="00F85246">
        <w:rPr>
          <w:rFonts w:ascii="Book Antiqua" w:hAnsi="Book Antiqua"/>
          <w:sz w:val="50"/>
          <w:szCs w:val="50"/>
        </w:rPr>
        <w:t xml:space="preserve"> </w:t>
      </w:r>
    </w:p>
    <w:p w:rsidRPr="00D2090C" w:rsidR="00554B20" w:rsidP="00554B20" w:rsidRDefault="00554B20" w14:paraId="34598B4B" w14:textId="77777777"/>
    <w:p w:rsidR="00554B20" w:rsidP="00554B20" w:rsidRDefault="00554B20" w14:paraId="6A419B07" w14:textId="2BE2ED15">
      <w:pPr>
        <w:spacing w:line="240" w:lineRule="auto"/>
        <w:jc w:val="center"/>
        <w:rPr>
          <w:rFonts w:cs="Arial"/>
          <w:b/>
          <w:bCs/>
          <w:sz w:val="50"/>
          <w:szCs w:val="50"/>
        </w:rPr>
      </w:pPr>
      <w:r w:rsidRPr="00D2090C">
        <w:rPr>
          <w:rFonts w:cs="Arial"/>
          <w:b/>
          <w:bCs/>
          <w:sz w:val="50"/>
          <w:szCs w:val="50"/>
        </w:rPr>
        <w:t xml:space="preserve">Liberty Apple Valley </w:t>
      </w:r>
      <w:r w:rsidR="00910FA9">
        <w:rPr>
          <w:rFonts w:cs="Arial"/>
          <w:b/>
          <w:bCs/>
          <w:sz w:val="50"/>
          <w:szCs w:val="50"/>
        </w:rPr>
        <w:t>Approved Settled and Uncontested Issues</w:t>
      </w:r>
    </w:p>
    <w:p w:rsidR="00554B20" w:rsidP="000B12B9" w:rsidRDefault="00554B20" w14:paraId="05B2EEEF" w14:textId="77777777">
      <w:pPr>
        <w:ind w:firstLine="0"/>
        <w:jc w:val="center"/>
        <w:rPr>
          <w:b/>
          <w:bCs/>
        </w:rPr>
      </w:pPr>
    </w:p>
    <w:p w:rsidR="009379DE" w:rsidRDefault="009379DE" w14:paraId="154CC3F7" w14:textId="3D06A5BC">
      <w:pPr>
        <w:spacing w:after="160" w:line="259" w:lineRule="auto"/>
        <w:ind w:firstLine="0"/>
        <w:rPr>
          <w:b/>
          <w:bCs/>
        </w:rPr>
        <w:sectPr w:rsidR="009379DE" w:rsidSect="00C618BF">
          <w:footerReference w:type="default" r:id="rId32"/>
          <w:pgSz w:w="12240" w:h="15840"/>
          <w:pgMar w:top="1728" w:right="1440" w:bottom="1440" w:left="1440" w:header="720" w:footer="720" w:gutter="0"/>
          <w:pgNumType w:fmt="numberInDash" w:start="1"/>
          <w:cols w:space="720"/>
          <w:docGrid w:linePitch="360"/>
        </w:sectPr>
      </w:pPr>
    </w:p>
    <w:p w:rsidR="00554B20" w:rsidRDefault="00554B20" w14:paraId="3DB2ED79" w14:textId="75A9FC9B">
      <w:pPr>
        <w:spacing w:after="160" w:line="259" w:lineRule="auto"/>
        <w:ind w:firstLine="0"/>
        <w:rPr>
          <w:b/>
          <w:bCs/>
        </w:rPr>
      </w:pPr>
    </w:p>
    <w:p w:rsidR="009379DE" w:rsidP="00554B20" w:rsidRDefault="009379DE" w14:paraId="7BE03727" w14:textId="77777777">
      <w:pPr>
        <w:pStyle w:val="Main"/>
        <w:rPr>
          <w:rFonts w:ascii="Book Antiqua" w:hAnsi="Book Antiqua"/>
          <w:sz w:val="50"/>
          <w:szCs w:val="50"/>
        </w:rPr>
      </w:pPr>
    </w:p>
    <w:p w:rsidR="009379DE" w:rsidP="00554B20" w:rsidRDefault="009379DE" w14:paraId="104DE4FC" w14:textId="77777777">
      <w:pPr>
        <w:pStyle w:val="Main"/>
        <w:rPr>
          <w:rFonts w:ascii="Book Antiqua" w:hAnsi="Book Antiqua"/>
          <w:sz w:val="50"/>
          <w:szCs w:val="50"/>
        </w:rPr>
      </w:pPr>
    </w:p>
    <w:p w:rsidR="009379DE" w:rsidP="00554B20" w:rsidRDefault="009379DE" w14:paraId="668B7FB3" w14:textId="77777777">
      <w:pPr>
        <w:pStyle w:val="Main"/>
        <w:rPr>
          <w:rFonts w:ascii="Book Antiqua" w:hAnsi="Book Antiqua"/>
          <w:sz w:val="50"/>
          <w:szCs w:val="50"/>
        </w:rPr>
      </w:pPr>
    </w:p>
    <w:p w:rsidR="009379DE" w:rsidP="00554B20" w:rsidRDefault="009379DE" w14:paraId="21C77704" w14:textId="77777777">
      <w:pPr>
        <w:pStyle w:val="Main"/>
        <w:rPr>
          <w:rFonts w:ascii="Book Antiqua" w:hAnsi="Book Antiqua"/>
          <w:sz w:val="50"/>
          <w:szCs w:val="50"/>
        </w:rPr>
      </w:pPr>
    </w:p>
    <w:p w:rsidR="009379DE" w:rsidP="00554B20" w:rsidRDefault="009379DE" w14:paraId="7AEC99CF" w14:textId="77777777">
      <w:pPr>
        <w:pStyle w:val="Main"/>
        <w:rPr>
          <w:rFonts w:ascii="Book Antiqua" w:hAnsi="Book Antiqua"/>
          <w:sz w:val="50"/>
          <w:szCs w:val="50"/>
        </w:rPr>
      </w:pPr>
    </w:p>
    <w:p w:rsidR="00554B20" w:rsidP="00554B20" w:rsidRDefault="00554B20" w14:paraId="404DB381" w14:textId="7C2D8FA5">
      <w:pPr>
        <w:pStyle w:val="Main"/>
        <w:rPr>
          <w:rFonts w:ascii="Book Antiqua" w:hAnsi="Book Antiqua"/>
          <w:sz w:val="50"/>
          <w:szCs w:val="50"/>
        </w:rPr>
      </w:pPr>
      <w:r w:rsidRPr="00F85246">
        <w:rPr>
          <w:rFonts w:ascii="Book Antiqua" w:hAnsi="Book Antiqua"/>
          <w:sz w:val="50"/>
          <w:szCs w:val="50"/>
        </w:rPr>
        <w:t xml:space="preserve">Appendix </w:t>
      </w:r>
      <w:r w:rsidR="00910FA9">
        <w:rPr>
          <w:rFonts w:ascii="Book Antiqua" w:hAnsi="Book Antiqua"/>
          <w:sz w:val="50"/>
          <w:szCs w:val="50"/>
        </w:rPr>
        <w:t>E</w:t>
      </w:r>
      <w:r w:rsidRPr="00F85246">
        <w:rPr>
          <w:rFonts w:ascii="Book Antiqua" w:hAnsi="Book Antiqua"/>
          <w:sz w:val="50"/>
          <w:szCs w:val="50"/>
        </w:rPr>
        <w:t xml:space="preserve"> </w:t>
      </w:r>
    </w:p>
    <w:p w:rsidRPr="00D2090C" w:rsidR="00554B20" w:rsidP="00554B20" w:rsidRDefault="00554B20" w14:paraId="7FEC39D2" w14:textId="77777777"/>
    <w:p w:rsidR="00554B20" w:rsidP="00554B20" w:rsidRDefault="00554B20" w14:paraId="247324F4" w14:textId="50049EFD">
      <w:pPr>
        <w:spacing w:line="240" w:lineRule="auto"/>
        <w:jc w:val="center"/>
        <w:rPr>
          <w:rFonts w:cs="Arial"/>
          <w:b/>
          <w:bCs/>
          <w:sz w:val="50"/>
          <w:szCs w:val="50"/>
        </w:rPr>
      </w:pPr>
      <w:r w:rsidRPr="00D2090C">
        <w:rPr>
          <w:rFonts w:cs="Arial"/>
          <w:b/>
          <w:bCs/>
          <w:sz w:val="50"/>
          <w:szCs w:val="50"/>
        </w:rPr>
        <w:t xml:space="preserve">Liberty Apple Valley </w:t>
      </w:r>
      <w:r w:rsidR="00910FA9">
        <w:rPr>
          <w:rFonts w:cs="Arial"/>
          <w:b/>
          <w:bCs/>
          <w:sz w:val="50"/>
          <w:szCs w:val="50"/>
        </w:rPr>
        <w:t>Approved Balancing and Memorandum Accounts</w:t>
      </w:r>
    </w:p>
    <w:p w:rsidR="00554B20" w:rsidP="000B12B9" w:rsidRDefault="00554B20" w14:paraId="48830323" w14:textId="77777777">
      <w:pPr>
        <w:ind w:firstLine="0"/>
        <w:jc w:val="center"/>
        <w:rPr>
          <w:b/>
          <w:bCs/>
        </w:rPr>
      </w:pPr>
    </w:p>
    <w:p w:rsidR="00D15283" w:rsidRDefault="00D15283" w14:paraId="1574B270" w14:textId="38EE408A">
      <w:pPr>
        <w:spacing w:after="160" w:line="259" w:lineRule="auto"/>
        <w:ind w:firstLine="0"/>
        <w:rPr>
          <w:b/>
          <w:bCs/>
        </w:rPr>
        <w:sectPr w:rsidR="00D15283" w:rsidSect="00C618BF">
          <w:footerReference w:type="default" r:id="rId33"/>
          <w:pgSz w:w="12240" w:h="15840"/>
          <w:pgMar w:top="1728" w:right="1440" w:bottom="1440" w:left="1440" w:header="720" w:footer="720" w:gutter="0"/>
          <w:pgNumType w:fmt="numberInDash" w:start="1"/>
          <w:cols w:space="720"/>
          <w:docGrid w:linePitch="360"/>
        </w:sectPr>
      </w:pPr>
    </w:p>
    <w:p w:rsidR="00554B20" w:rsidRDefault="00554B20" w14:paraId="567D16E2" w14:textId="7D287DF2">
      <w:pPr>
        <w:spacing w:after="160" w:line="259" w:lineRule="auto"/>
        <w:ind w:firstLine="0"/>
        <w:rPr>
          <w:b/>
          <w:bCs/>
        </w:rPr>
      </w:pPr>
    </w:p>
    <w:p w:rsidR="009379DE" w:rsidP="00554B20" w:rsidRDefault="009379DE" w14:paraId="20A325F9" w14:textId="77777777">
      <w:pPr>
        <w:pStyle w:val="Main"/>
        <w:rPr>
          <w:rFonts w:ascii="Book Antiqua" w:hAnsi="Book Antiqua"/>
          <w:sz w:val="50"/>
          <w:szCs w:val="50"/>
        </w:rPr>
      </w:pPr>
    </w:p>
    <w:p w:rsidR="009379DE" w:rsidP="00554B20" w:rsidRDefault="009379DE" w14:paraId="15F78958" w14:textId="77777777">
      <w:pPr>
        <w:pStyle w:val="Main"/>
        <w:rPr>
          <w:rFonts w:ascii="Book Antiqua" w:hAnsi="Book Antiqua"/>
          <w:sz w:val="50"/>
          <w:szCs w:val="50"/>
        </w:rPr>
      </w:pPr>
    </w:p>
    <w:p w:rsidR="009379DE" w:rsidP="00554B20" w:rsidRDefault="009379DE" w14:paraId="03BC57D0" w14:textId="77777777">
      <w:pPr>
        <w:pStyle w:val="Main"/>
        <w:rPr>
          <w:rFonts w:ascii="Book Antiqua" w:hAnsi="Book Antiqua"/>
          <w:sz w:val="50"/>
          <w:szCs w:val="50"/>
        </w:rPr>
      </w:pPr>
    </w:p>
    <w:p w:rsidR="009379DE" w:rsidP="00554B20" w:rsidRDefault="009379DE" w14:paraId="5F33FA53" w14:textId="77777777">
      <w:pPr>
        <w:pStyle w:val="Main"/>
        <w:rPr>
          <w:rFonts w:ascii="Book Antiqua" w:hAnsi="Book Antiqua"/>
          <w:sz w:val="50"/>
          <w:szCs w:val="50"/>
        </w:rPr>
      </w:pPr>
    </w:p>
    <w:p w:rsidR="009379DE" w:rsidP="00554B20" w:rsidRDefault="009379DE" w14:paraId="5A3AA9B4" w14:textId="77777777">
      <w:pPr>
        <w:pStyle w:val="Main"/>
        <w:rPr>
          <w:rFonts w:ascii="Book Antiqua" w:hAnsi="Book Antiqua"/>
          <w:sz w:val="50"/>
          <w:szCs w:val="50"/>
        </w:rPr>
      </w:pPr>
    </w:p>
    <w:p w:rsidR="009379DE" w:rsidP="00554B20" w:rsidRDefault="009379DE" w14:paraId="1F8AC2EB" w14:textId="77777777">
      <w:pPr>
        <w:pStyle w:val="Main"/>
        <w:rPr>
          <w:rFonts w:ascii="Book Antiqua" w:hAnsi="Book Antiqua"/>
          <w:sz w:val="50"/>
          <w:szCs w:val="50"/>
        </w:rPr>
      </w:pPr>
    </w:p>
    <w:p w:rsidR="00554B20" w:rsidP="00554B20" w:rsidRDefault="00554B20" w14:paraId="5D8689A9" w14:textId="296477BB">
      <w:pPr>
        <w:pStyle w:val="Main"/>
        <w:rPr>
          <w:rFonts w:ascii="Book Antiqua" w:hAnsi="Book Antiqua"/>
          <w:sz w:val="50"/>
          <w:szCs w:val="50"/>
        </w:rPr>
      </w:pPr>
      <w:r w:rsidRPr="00F85246">
        <w:rPr>
          <w:rFonts w:ascii="Book Antiqua" w:hAnsi="Book Antiqua"/>
          <w:sz w:val="50"/>
          <w:szCs w:val="50"/>
        </w:rPr>
        <w:t xml:space="preserve">Appendix </w:t>
      </w:r>
      <w:r w:rsidR="00145F34">
        <w:rPr>
          <w:rFonts w:ascii="Book Antiqua" w:hAnsi="Book Antiqua"/>
          <w:sz w:val="50"/>
          <w:szCs w:val="50"/>
        </w:rPr>
        <w:t>F</w:t>
      </w:r>
      <w:r w:rsidRPr="00F85246">
        <w:rPr>
          <w:rFonts w:ascii="Book Antiqua" w:hAnsi="Book Antiqua"/>
          <w:sz w:val="50"/>
          <w:szCs w:val="50"/>
        </w:rPr>
        <w:t xml:space="preserve"> </w:t>
      </w:r>
    </w:p>
    <w:p w:rsidRPr="00D2090C" w:rsidR="00554B20" w:rsidP="00554B20" w:rsidRDefault="00554B20" w14:paraId="0D5C08A4" w14:textId="77777777"/>
    <w:p w:rsidR="00554B20" w:rsidP="00554B20" w:rsidRDefault="00554B20" w14:paraId="1EC432CD" w14:textId="3E3CE3F7">
      <w:pPr>
        <w:spacing w:line="240" w:lineRule="auto"/>
        <w:jc w:val="center"/>
        <w:rPr>
          <w:rFonts w:cs="Arial"/>
          <w:b/>
          <w:bCs/>
          <w:sz w:val="50"/>
          <w:szCs w:val="50"/>
        </w:rPr>
      </w:pPr>
      <w:r w:rsidRPr="00D2090C">
        <w:rPr>
          <w:rFonts w:cs="Arial"/>
          <w:b/>
          <w:bCs/>
          <w:sz w:val="50"/>
          <w:szCs w:val="50"/>
        </w:rPr>
        <w:t xml:space="preserve">Liberty </w:t>
      </w:r>
      <w:r w:rsidR="00145F34">
        <w:rPr>
          <w:rFonts w:cs="Arial"/>
          <w:b/>
          <w:bCs/>
          <w:sz w:val="50"/>
          <w:szCs w:val="50"/>
        </w:rPr>
        <w:t>Park</w:t>
      </w:r>
      <w:r w:rsidRPr="00D2090C">
        <w:rPr>
          <w:rFonts w:cs="Arial"/>
          <w:b/>
          <w:bCs/>
          <w:sz w:val="50"/>
          <w:szCs w:val="50"/>
        </w:rPr>
        <w:t xml:space="preserve"> Summary of Earnings</w:t>
      </w:r>
    </w:p>
    <w:p w:rsidR="009379DE" w:rsidRDefault="009379DE" w14:paraId="4B39A2D4" w14:textId="77777777">
      <w:pPr>
        <w:spacing w:after="160" w:line="259" w:lineRule="auto"/>
        <w:ind w:firstLine="0"/>
        <w:rPr>
          <w:rFonts w:cs="Arial"/>
          <w:b/>
          <w:bCs/>
          <w:sz w:val="50"/>
          <w:szCs w:val="50"/>
        </w:rPr>
      </w:pPr>
    </w:p>
    <w:p w:rsidR="00D15283" w:rsidRDefault="00D15283" w14:paraId="5A23F814" w14:textId="41BB585C">
      <w:pPr>
        <w:spacing w:after="160" w:line="259" w:lineRule="auto"/>
        <w:ind w:firstLine="0"/>
        <w:rPr>
          <w:rFonts w:cs="Arial"/>
          <w:b/>
          <w:bCs/>
          <w:sz w:val="50"/>
          <w:szCs w:val="50"/>
        </w:rPr>
        <w:sectPr w:rsidR="00D15283" w:rsidSect="00C618BF">
          <w:footerReference w:type="default" r:id="rId34"/>
          <w:pgSz w:w="12240" w:h="15840"/>
          <w:pgMar w:top="1728" w:right="1440" w:bottom="1440" w:left="1440" w:header="720" w:footer="720" w:gutter="0"/>
          <w:pgNumType w:fmt="numberInDash" w:start="1"/>
          <w:cols w:space="720"/>
          <w:docGrid w:linePitch="360"/>
        </w:sectPr>
      </w:pPr>
    </w:p>
    <w:p w:rsidRPr="00F85246" w:rsidR="00145F34" w:rsidP="00145F34" w:rsidRDefault="00145F34" w14:paraId="617B7E3C" w14:textId="77777777">
      <w:pPr>
        <w:spacing w:after="160" w:line="259" w:lineRule="auto"/>
        <w:ind w:firstLine="0"/>
        <w:rPr>
          <w:rFonts w:ascii="Calibri" w:hAnsi="Calibri" w:eastAsia="Calibri" w:cs="Times New Roman"/>
          <w:sz w:val="22"/>
        </w:rPr>
      </w:pPr>
    </w:p>
    <w:tbl>
      <w:tblPr>
        <w:tblW w:w="9356" w:type="dxa"/>
        <w:tblLook w:val="04A0" w:firstRow="1" w:lastRow="0" w:firstColumn="1" w:lastColumn="0" w:noHBand="0" w:noVBand="1"/>
      </w:tblPr>
      <w:tblGrid>
        <w:gridCol w:w="962"/>
        <w:gridCol w:w="3044"/>
        <w:gridCol w:w="1813"/>
        <w:gridCol w:w="1714"/>
        <w:gridCol w:w="1827"/>
      </w:tblGrid>
      <w:tr w:rsidR="00F71869" w:rsidTr="003B4BA5" w14:paraId="20CC726C" w14:textId="77777777">
        <w:trPr>
          <w:trHeight w:val="300"/>
        </w:trPr>
        <w:tc>
          <w:tcPr>
            <w:tcW w:w="9356" w:type="dxa"/>
            <w:gridSpan w:val="5"/>
            <w:tcBorders>
              <w:top w:val="nil"/>
              <w:left w:val="nil"/>
              <w:bottom w:val="nil"/>
              <w:right w:val="nil"/>
            </w:tcBorders>
            <w:shd w:val="clear" w:color="auto" w:fill="auto"/>
            <w:noWrap/>
            <w:vAlign w:val="bottom"/>
            <w:hideMark/>
          </w:tcPr>
          <w:p w:rsidR="00F71869" w:rsidRDefault="00F71869" w14:paraId="700C3EA7" w14:textId="77777777">
            <w:pPr>
              <w:spacing w:line="240" w:lineRule="auto"/>
              <w:ind w:firstLine="0"/>
              <w:jc w:val="center"/>
              <w:rPr>
                <w:rFonts w:ascii="Times New Roman" w:hAnsi="Times New Roman"/>
                <w:b/>
                <w:bCs/>
                <w:color w:val="000000"/>
                <w:sz w:val="22"/>
              </w:rPr>
            </w:pPr>
            <w:r>
              <w:rPr>
                <w:b/>
                <w:bCs/>
                <w:color w:val="000000"/>
                <w:sz w:val="22"/>
              </w:rPr>
              <w:t>LIBERTY UTILITIES (PARK WATER) CORP.</w:t>
            </w:r>
          </w:p>
        </w:tc>
      </w:tr>
      <w:tr w:rsidR="00F71869" w:rsidTr="003B4BA5" w14:paraId="00BE874E" w14:textId="77777777">
        <w:trPr>
          <w:trHeight w:val="300"/>
        </w:trPr>
        <w:tc>
          <w:tcPr>
            <w:tcW w:w="9356" w:type="dxa"/>
            <w:gridSpan w:val="5"/>
            <w:tcBorders>
              <w:top w:val="nil"/>
              <w:left w:val="nil"/>
              <w:bottom w:val="nil"/>
              <w:right w:val="nil"/>
            </w:tcBorders>
            <w:shd w:val="clear" w:color="auto" w:fill="auto"/>
            <w:noWrap/>
            <w:vAlign w:val="bottom"/>
            <w:hideMark/>
          </w:tcPr>
          <w:p w:rsidR="00F71869" w:rsidRDefault="00F71869" w14:paraId="5E4E667C" w14:textId="77777777">
            <w:pPr>
              <w:jc w:val="center"/>
              <w:rPr>
                <w:b/>
                <w:bCs/>
                <w:color w:val="000000"/>
                <w:sz w:val="22"/>
              </w:rPr>
            </w:pPr>
            <w:r>
              <w:rPr>
                <w:b/>
                <w:bCs/>
                <w:color w:val="000000"/>
                <w:sz w:val="22"/>
              </w:rPr>
              <w:t>SUMMARY OF EARNINGS</w:t>
            </w:r>
          </w:p>
        </w:tc>
      </w:tr>
      <w:tr w:rsidR="00A051C2" w:rsidTr="00F71869" w14:paraId="585B170B" w14:textId="77777777">
        <w:trPr>
          <w:trHeight w:val="349"/>
        </w:trPr>
        <w:tc>
          <w:tcPr>
            <w:tcW w:w="794" w:type="dxa"/>
            <w:tcBorders>
              <w:top w:val="nil"/>
              <w:left w:val="nil"/>
              <w:bottom w:val="nil"/>
              <w:right w:val="nil"/>
            </w:tcBorders>
            <w:shd w:val="clear" w:color="auto" w:fill="auto"/>
            <w:noWrap/>
            <w:vAlign w:val="bottom"/>
            <w:hideMark/>
          </w:tcPr>
          <w:p w:rsidR="00F71869" w:rsidRDefault="00F71869" w14:paraId="2859702A" w14:textId="77777777">
            <w:pPr>
              <w:jc w:val="center"/>
              <w:rPr>
                <w:b/>
                <w:bCs/>
                <w:color w:val="000000"/>
                <w:sz w:val="22"/>
              </w:rPr>
            </w:pPr>
          </w:p>
        </w:tc>
        <w:tc>
          <w:tcPr>
            <w:tcW w:w="3266" w:type="dxa"/>
            <w:tcBorders>
              <w:top w:val="nil"/>
              <w:left w:val="nil"/>
              <w:bottom w:val="nil"/>
              <w:right w:val="nil"/>
            </w:tcBorders>
            <w:shd w:val="clear" w:color="auto" w:fill="auto"/>
            <w:noWrap/>
            <w:vAlign w:val="bottom"/>
            <w:hideMark/>
          </w:tcPr>
          <w:p w:rsidRPr="003B4BA5" w:rsidR="00F71869" w:rsidRDefault="00F71869" w14:paraId="0A30B0E9" w14:textId="77777777">
            <w:pPr>
              <w:rPr>
                <w:rFonts w:asciiTheme="minorHAnsi" w:hAnsiTheme="minorHAnsi" w:cstheme="minorHAnsi"/>
                <w:sz w:val="22"/>
              </w:rPr>
            </w:pPr>
          </w:p>
        </w:tc>
        <w:tc>
          <w:tcPr>
            <w:tcW w:w="1666" w:type="dxa"/>
            <w:tcBorders>
              <w:top w:val="nil"/>
              <w:left w:val="nil"/>
              <w:bottom w:val="nil"/>
              <w:right w:val="nil"/>
            </w:tcBorders>
            <w:shd w:val="clear" w:color="auto" w:fill="auto"/>
            <w:vAlign w:val="bottom"/>
            <w:hideMark/>
          </w:tcPr>
          <w:p w:rsidRPr="003B4BA5" w:rsidR="00F71869" w:rsidRDefault="00F71869" w14:paraId="08FF9BB9" w14:textId="77777777">
            <w:pPr>
              <w:jc w:val="right"/>
              <w:rPr>
                <w:rFonts w:asciiTheme="minorHAnsi" w:hAnsiTheme="minorHAnsi" w:cstheme="minorHAnsi"/>
                <w:b/>
                <w:bCs/>
                <w:color w:val="000000"/>
                <w:sz w:val="22"/>
              </w:rPr>
            </w:pPr>
            <w:r w:rsidRPr="003B4BA5">
              <w:rPr>
                <w:rFonts w:asciiTheme="minorHAnsi" w:hAnsiTheme="minorHAnsi" w:cstheme="minorHAnsi"/>
                <w:b/>
                <w:bCs/>
                <w:color w:val="000000"/>
                <w:sz w:val="22"/>
              </w:rPr>
              <w:t>2019</w:t>
            </w:r>
          </w:p>
        </w:tc>
        <w:tc>
          <w:tcPr>
            <w:tcW w:w="1779" w:type="dxa"/>
            <w:tcBorders>
              <w:top w:val="nil"/>
              <w:left w:val="nil"/>
              <w:bottom w:val="nil"/>
              <w:right w:val="nil"/>
            </w:tcBorders>
            <w:shd w:val="clear" w:color="auto" w:fill="auto"/>
            <w:noWrap/>
            <w:vAlign w:val="bottom"/>
            <w:hideMark/>
          </w:tcPr>
          <w:p w:rsidRPr="003B4BA5" w:rsidR="00F71869" w:rsidRDefault="00F71869" w14:paraId="5105C576" w14:textId="77777777">
            <w:pPr>
              <w:jc w:val="right"/>
              <w:rPr>
                <w:rFonts w:asciiTheme="minorHAnsi" w:hAnsiTheme="minorHAnsi" w:cstheme="minorHAnsi"/>
                <w:b/>
                <w:bCs/>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6575195E" w14:textId="77777777">
            <w:pPr>
              <w:jc w:val="right"/>
              <w:rPr>
                <w:rFonts w:asciiTheme="minorHAnsi" w:hAnsiTheme="minorHAnsi" w:cstheme="minorHAnsi"/>
                <w:b/>
                <w:bCs/>
                <w:color w:val="000000"/>
                <w:sz w:val="22"/>
              </w:rPr>
            </w:pPr>
            <w:r w:rsidRPr="003B4BA5">
              <w:rPr>
                <w:rFonts w:asciiTheme="minorHAnsi" w:hAnsiTheme="minorHAnsi" w:cstheme="minorHAnsi"/>
                <w:b/>
                <w:bCs/>
                <w:color w:val="000000"/>
                <w:sz w:val="22"/>
              </w:rPr>
              <w:t>2019</w:t>
            </w:r>
          </w:p>
        </w:tc>
      </w:tr>
      <w:tr w:rsidR="00A051C2" w:rsidTr="00F71869" w14:paraId="52BDFA40"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398FF06A" w14:textId="77777777">
            <w:pPr>
              <w:jc w:val="right"/>
              <w:rPr>
                <w:b/>
                <w:bCs/>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6206F02B"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3F387D69" w14:textId="77777777">
            <w:pPr>
              <w:jc w:val="right"/>
              <w:rPr>
                <w:rFonts w:asciiTheme="minorHAnsi" w:hAnsiTheme="minorHAnsi" w:cstheme="minorHAnsi"/>
                <w:b/>
                <w:bCs/>
                <w:color w:val="000000"/>
                <w:sz w:val="22"/>
              </w:rPr>
            </w:pPr>
            <w:r w:rsidRPr="003B4BA5">
              <w:rPr>
                <w:rFonts w:asciiTheme="minorHAnsi" w:hAnsiTheme="minorHAnsi" w:cstheme="minorHAnsi"/>
                <w:b/>
                <w:bCs/>
                <w:color w:val="000000"/>
                <w:sz w:val="22"/>
              </w:rPr>
              <w:t>PRESENT</w:t>
            </w:r>
          </w:p>
        </w:tc>
        <w:tc>
          <w:tcPr>
            <w:tcW w:w="1779" w:type="dxa"/>
            <w:tcBorders>
              <w:top w:val="nil"/>
              <w:left w:val="nil"/>
              <w:bottom w:val="nil"/>
              <w:right w:val="nil"/>
            </w:tcBorders>
            <w:shd w:val="clear" w:color="auto" w:fill="auto"/>
            <w:noWrap/>
            <w:vAlign w:val="bottom"/>
            <w:hideMark/>
          </w:tcPr>
          <w:p w:rsidRPr="003B4BA5" w:rsidR="00F71869" w:rsidRDefault="00F71869" w14:paraId="752FEC2C" w14:textId="77777777">
            <w:pPr>
              <w:jc w:val="right"/>
              <w:rPr>
                <w:rFonts w:asciiTheme="minorHAnsi" w:hAnsiTheme="minorHAnsi" w:cstheme="minorHAnsi"/>
                <w:b/>
                <w:bCs/>
                <w:color w:val="000000"/>
                <w:sz w:val="22"/>
              </w:rPr>
            </w:pPr>
            <w:r w:rsidRPr="003B4BA5">
              <w:rPr>
                <w:rFonts w:asciiTheme="minorHAnsi" w:hAnsiTheme="minorHAnsi" w:cstheme="minorHAnsi"/>
                <w:b/>
                <w:bCs/>
                <w:color w:val="000000"/>
                <w:sz w:val="22"/>
              </w:rPr>
              <w:t>INCREASE</w:t>
            </w:r>
          </w:p>
        </w:tc>
        <w:tc>
          <w:tcPr>
            <w:tcW w:w="1851" w:type="dxa"/>
            <w:tcBorders>
              <w:top w:val="nil"/>
              <w:left w:val="nil"/>
              <w:bottom w:val="nil"/>
              <w:right w:val="nil"/>
            </w:tcBorders>
            <w:shd w:val="clear" w:color="auto" w:fill="auto"/>
            <w:noWrap/>
            <w:vAlign w:val="bottom"/>
            <w:hideMark/>
          </w:tcPr>
          <w:p w:rsidRPr="003B4BA5" w:rsidR="00F71869" w:rsidRDefault="000D4308" w14:paraId="4A845BAE" w14:textId="1D943A49">
            <w:pPr>
              <w:jc w:val="right"/>
              <w:rPr>
                <w:rFonts w:asciiTheme="minorHAnsi" w:hAnsiTheme="minorHAnsi" w:cstheme="minorHAnsi"/>
                <w:b/>
                <w:bCs/>
                <w:color w:val="000000"/>
                <w:sz w:val="22"/>
              </w:rPr>
            </w:pPr>
            <w:r>
              <w:rPr>
                <w:rFonts w:asciiTheme="minorHAnsi" w:hAnsiTheme="minorHAnsi" w:cstheme="minorHAnsi"/>
                <w:b/>
                <w:bCs/>
                <w:color w:val="000000"/>
                <w:sz w:val="22"/>
              </w:rPr>
              <w:t>APPROVED</w:t>
            </w:r>
          </w:p>
        </w:tc>
      </w:tr>
      <w:tr w:rsidR="00A051C2" w:rsidTr="00F71869" w14:paraId="61FD11AD"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5D36537F" w14:textId="77777777">
            <w:pPr>
              <w:jc w:val="right"/>
              <w:rPr>
                <w:b/>
                <w:bCs/>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082E1EB5"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6C5CCAFC"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3EE41F75" w14:textId="77777777">
            <w:pPr>
              <w:jc w:val="right"/>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5097935C" w14:textId="77777777">
            <w:pPr>
              <w:rPr>
                <w:rFonts w:asciiTheme="minorHAnsi" w:hAnsiTheme="minorHAnsi" w:cstheme="minorHAnsi"/>
                <w:sz w:val="22"/>
              </w:rPr>
            </w:pPr>
          </w:p>
        </w:tc>
      </w:tr>
      <w:tr w:rsidR="00F71869" w:rsidTr="003B4BA5" w14:paraId="643D88C5" w14:textId="77777777">
        <w:trPr>
          <w:trHeight w:val="315"/>
        </w:trPr>
        <w:tc>
          <w:tcPr>
            <w:tcW w:w="4060" w:type="dxa"/>
            <w:gridSpan w:val="2"/>
            <w:tcBorders>
              <w:top w:val="nil"/>
              <w:left w:val="nil"/>
              <w:bottom w:val="nil"/>
              <w:right w:val="nil"/>
            </w:tcBorders>
            <w:shd w:val="clear" w:color="auto" w:fill="auto"/>
            <w:noWrap/>
            <w:vAlign w:val="bottom"/>
            <w:hideMark/>
          </w:tcPr>
          <w:p w:rsidRPr="003B4BA5" w:rsidR="00F71869" w:rsidRDefault="00F71869" w14:paraId="449C1135" w14:textId="77777777">
            <w:pPr>
              <w:rPr>
                <w:rFonts w:asciiTheme="minorHAnsi" w:hAnsiTheme="minorHAnsi" w:cstheme="minorHAnsi"/>
                <w:color w:val="000000"/>
                <w:sz w:val="22"/>
              </w:rPr>
            </w:pPr>
            <w:r w:rsidRPr="003B4BA5">
              <w:rPr>
                <w:rFonts w:asciiTheme="minorHAnsi" w:hAnsiTheme="minorHAnsi" w:cstheme="minorHAnsi"/>
                <w:color w:val="000000"/>
                <w:sz w:val="22"/>
              </w:rPr>
              <w:t>OPERATING REVENUES</w:t>
            </w:r>
          </w:p>
        </w:tc>
        <w:tc>
          <w:tcPr>
            <w:tcW w:w="1666" w:type="dxa"/>
            <w:tcBorders>
              <w:top w:val="nil"/>
              <w:left w:val="nil"/>
              <w:bottom w:val="nil"/>
              <w:right w:val="nil"/>
            </w:tcBorders>
            <w:shd w:val="clear" w:color="auto" w:fill="auto"/>
            <w:noWrap/>
            <w:vAlign w:val="bottom"/>
            <w:hideMark/>
          </w:tcPr>
          <w:p w:rsidRPr="003B4BA5" w:rsidR="00F71869" w:rsidRDefault="00F71869" w14:paraId="324D05A8"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33,248,643 </w:t>
            </w:r>
          </w:p>
        </w:tc>
        <w:tc>
          <w:tcPr>
            <w:tcW w:w="1779" w:type="dxa"/>
            <w:tcBorders>
              <w:top w:val="nil"/>
              <w:left w:val="nil"/>
              <w:bottom w:val="nil"/>
              <w:right w:val="nil"/>
            </w:tcBorders>
            <w:shd w:val="clear" w:color="auto" w:fill="auto"/>
            <w:noWrap/>
            <w:vAlign w:val="bottom"/>
            <w:hideMark/>
          </w:tcPr>
          <w:p w:rsidRPr="003B4BA5" w:rsidR="00F71869" w:rsidRDefault="00F71869" w14:paraId="4FDECAFB"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311DEDEE"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32,698,643 </w:t>
            </w:r>
          </w:p>
        </w:tc>
      </w:tr>
      <w:tr w:rsidR="00F71869" w:rsidTr="003B4BA5" w14:paraId="63CD84EC" w14:textId="77777777">
        <w:trPr>
          <w:trHeight w:val="315"/>
        </w:trPr>
        <w:tc>
          <w:tcPr>
            <w:tcW w:w="4060" w:type="dxa"/>
            <w:gridSpan w:val="2"/>
            <w:tcBorders>
              <w:top w:val="nil"/>
              <w:left w:val="nil"/>
              <w:bottom w:val="nil"/>
              <w:right w:val="nil"/>
            </w:tcBorders>
            <w:shd w:val="clear" w:color="auto" w:fill="auto"/>
            <w:noWrap/>
            <w:vAlign w:val="bottom"/>
            <w:hideMark/>
          </w:tcPr>
          <w:p w:rsidRPr="003B4BA5" w:rsidR="00F71869" w:rsidRDefault="00F71869" w14:paraId="27B4C815" w14:textId="77777777">
            <w:pPr>
              <w:rPr>
                <w:rFonts w:asciiTheme="minorHAnsi" w:hAnsiTheme="minorHAnsi" w:cstheme="minorHAnsi"/>
                <w:color w:val="000000"/>
                <w:sz w:val="22"/>
              </w:rPr>
            </w:pPr>
            <w:r w:rsidRPr="003B4BA5">
              <w:rPr>
                <w:rFonts w:asciiTheme="minorHAnsi" w:hAnsiTheme="minorHAnsi" w:cstheme="minorHAnsi"/>
                <w:color w:val="000000"/>
                <w:sz w:val="22"/>
              </w:rPr>
              <w:t>DEFERRED REVENUES</w:t>
            </w:r>
          </w:p>
        </w:tc>
        <w:tc>
          <w:tcPr>
            <w:tcW w:w="1666" w:type="dxa"/>
            <w:tcBorders>
              <w:top w:val="nil"/>
              <w:left w:val="nil"/>
              <w:bottom w:val="nil"/>
              <w:right w:val="nil"/>
            </w:tcBorders>
            <w:shd w:val="clear" w:color="auto" w:fill="auto"/>
            <w:noWrap/>
            <w:vAlign w:val="bottom"/>
            <w:hideMark/>
          </w:tcPr>
          <w:p w:rsidRPr="003B4BA5" w:rsidR="00F71869" w:rsidRDefault="00F71869" w14:paraId="5D6C914A"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0 </w:t>
            </w:r>
          </w:p>
        </w:tc>
        <w:tc>
          <w:tcPr>
            <w:tcW w:w="1779" w:type="dxa"/>
            <w:tcBorders>
              <w:top w:val="nil"/>
              <w:left w:val="nil"/>
              <w:bottom w:val="nil"/>
              <w:right w:val="nil"/>
            </w:tcBorders>
            <w:shd w:val="clear" w:color="auto" w:fill="auto"/>
            <w:noWrap/>
            <w:vAlign w:val="bottom"/>
            <w:hideMark/>
          </w:tcPr>
          <w:p w:rsidRPr="003B4BA5" w:rsidR="00F71869" w:rsidRDefault="00F71869" w14:paraId="290E9E8C"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30E53275" w14:textId="77777777">
            <w:pPr>
              <w:rPr>
                <w:rFonts w:asciiTheme="minorHAnsi" w:hAnsiTheme="minorHAnsi" w:cstheme="minorHAnsi"/>
                <w:sz w:val="22"/>
              </w:rPr>
            </w:pPr>
          </w:p>
        </w:tc>
      </w:tr>
      <w:tr w:rsidR="000D4308" w:rsidTr="00F71869" w14:paraId="71FBA2BC" w14:textId="77777777">
        <w:trPr>
          <w:trHeight w:val="315"/>
        </w:trPr>
        <w:tc>
          <w:tcPr>
            <w:tcW w:w="4060" w:type="dxa"/>
            <w:gridSpan w:val="2"/>
            <w:tcBorders>
              <w:top w:val="nil"/>
              <w:left w:val="nil"/>
              <w:bottom w:val="nil"/>
              <w:right w:val="nil"/>
            </w:tcBorders>
            <w:shd w:val="clear" w:color="auto" w:fill="auto"/>
            <w:noWrap/>
            <w:vAlign w:val="bottom"/>
            <w:hideMark/>
          </w:tcPr>
          <w:p w:rsidRPr="003B4BA5" w:rsidR="00F71869" w:rsidRDefault="00F71869" w14:paraId="5E714A71" w14:textId="77777777">
            <w:pPr>
              <w:rPr>
                <w:rFonts w:asciiTheme="minorHAnsi" w:hAnsiTheme="minorHAnsi" w:cstheme="minorHAnsi"/>
                <w:color w:val="000000"/>
                <w:sz w:val="22"/>
              </w:rPr>
            </w:pPr>
            <w:r w:rsidRPr="003B4BA5">
              <w:rPr>
                <w:rFonts w:asciiTheme="minorHAnsi" w:hAnsiTheme="minorHAnsi" w:cstheme="minorHAnsi"/>
                <w:color w:val="000000"/>
                <w:sz w:val="22"/>
              </w:rPr>
              <w:t>MISCELLANEOUS REVENUE</w:t>
            </w:r>
          </w:p>
        </w:tc>
        <w:tc>
          <w:tcPr>
            <w:tcW w:w="1666" w:type="dxa"/>
            <w:tcBorders>
              <w:top w:val="nil"/>
              <w:left w:val="nil"/>
              <w:bottom w:val="single" w:color="auto" w:sz="4" w:space="0"/>
              <w:right w:val="nil"/>
            </w:tcBorders>
            <w:shd w:val="clear" w:color="000000" w:fill="FFFFFF"/>
            <w:noWrap/>
            <w:vAlign w:val="bottom"/>
            <w:hideMark/>
          </w:tcPr>
          <w:p w:rsidRPr="003B4BA5" w:rsidR="00F71869" w:rsidRDefault="00F71869" w14:paraId="3B41C2CB"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344,380 </w:t>
            </w:r>
          </w:p>
        </w:tc>
        <w:tc>
          <w:tcPr>
            <w:tcW w:w="1779" w:type="dxa"/>
            <w:tcBorders>
              <w:top w:val="nil"/>
              <w:left w:val="nil"/>
              <w:bottom w:val="single" w:color="auto" w:sz="4" w:space="0"/>
              <w:right w:val="nil"/>
            </w:tcBorders>
            <w:shd w:val="clear" w:color="auto" w:fill="auto"/>
            <w:noWrap/>
            <w:vAlign w:val="bottom"/>
            <w:hideMark/>
          </w:tcPr>
          <w:p w:rsidRPr="003B4BA5" w:rsidR="00F71869" w:rsidRDefault="00F71869" w14:paraId="64DAB53E" w14:textId="77777777">
            <w:pPr>
              <w:rPr>
                <w:rFonts w:asciiTheme="minorHAnsi" w:hAnsiTheme="minorHAnsi" w:cstheme="minorHAnsi"/>
                <w:color w:val="000000"/>
                <w:sz w:val="22"/>
              </w:rPr>
            </w:pPr>
            <w:r w:rsidRPr="003B4BA5">
              <w:rPr>
                <w:rFonts w:asciiTheme="minorHAnsi" w:hAnsiTheme="minorHAnsi" w:cstheme="minorHAnsi"/>
                <w:color w:val="000000"/>
                <w:sz w:val="22"/>
              </w:rPr>
              <w:t> </w:t>
            </w:r>
          </w:p>
        </w:tc>
        <w:tc>
          <w:tcPr>
            <w:tcW w:w="1851" w:type="dxa"/>
            <w:tcBorders>
              <w:top w:val="nil"/>
              <w:left w:val="nil"/>
              <w:bottom w:val="single" w:color="auto" w:sz="4" w:space="0"/>
              <w:right w:val="nil"/>
            </w:tcBorders>
            <w:shd w:val="clear" w:color="auto" w:fill="auto"/>
            <w:noWrap/>
            <w:vAlign w:val="bottom"/>
            <w:hideMark/>
          </w:tcPr>
          <w:p w:rsidRPr="003B4BA5" w:rsidR="00F71869" w:rsidRDefault="00F71869" w14:paraId="35680103"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344,380 </w:t>
            </w:r>
          </w:p>
        </w:tc>
      </w:tr>
      <w:tr w:rsidR="00F71869" w:rsidTr="003B4BA5" w14:paraId="022697BB" w14:textId="77777777">
        <w:trPr>
          <w:trHeight w:val="315"/>
        </w:trPr>
        <w:tc>
          <w:tcPr>
            <w:tcW w:w="4060" w:type="dxa"/>
            <w:gridSpan w:val="2"/>
            <w:tcBorders>
              <w:top w:val="nil"/>
              <w:left w:val="nil"/>
              <w:bottom w:val="nil"/>
              <w:right w:val="nil"/>
            </w:tcBorders>
            <w:shd w:val="clear" w:color="auto" w:fill="auto"/>
            <w:noWrap/>
            <w:vAlign w:val="bottom"/>
            <w:hideMark/>
          </w:tcPr>
          <w:p w:rsidRPr="003B4BA5" w:rsidR="00F71869" w:rsidRDefault="00F71869" w14:paraId="5D9EED8C" w14:textId="77777777">
            <w:pPr>
              <w:rPr>
                <w:rFonts w:asciiTheme="minorHAnsi" w:hAnsiTheme="minorHAnsi" w:cstheme="minorHAnsi"/>
                <w:color w:val="000000"/>
                <w:sz w:val="22"/>
              </w:rPr>
            </w:pPr>
            <w:r w:rsidRPr="003B4BA5">
              <w:rPr>
                <w:rFonts w:asciiTheme="minorHAnsi" w:hAnsiTheme="minorHAnsi" w:cstheme="minorHAnsi"/>
                <w:color w:val="000000"/>
                <w:sz w:val="22"/>
              </w:rPr>
              <w:t>TOTAL REVENUES</w:t>
            </w:r>
          </w:p>
        </w:tc>
        <w:tc>
          <w:tcPr>
            <w:tcW w:w="1666" w:type="dxa"/>
            <w:tcBorders>
              <w:top w:val="nil"/>
              <w:left w:val="nil"/>
              <w:bottom w:val="nil"/>
              <w:right w:val="nil"/>
            </w:tcBorders>
            <w:shd w:val="clear" w:color="auto" w:fill="auto"/>
            <w:noWrap/>
            <w:vAlign w:val="bottom"/>
            <w:hideMark/>
          </w:tcPr>
          <w:p w:rsidRPr="003B4BA5" w:rsidR="00F71869" w:rsidRDefault="00F71869" w14:paraId="350BF963"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33,593,023 </w:t>
            </w:r>
          </w:p>
        </w:tc>
        <w:tc>
          <w:tcPr>
            <w:tcW w:w="1779" w:type="dxa"/>
            <w:tcBorders>
              <w:top w:val="nil"/>
              <w:left w:val="nil"/>
              <w:bottom w:val="nil"/>
              <w:right w:val="nil"/>
            </w:tcBorders>
            <w:shd w:val="clear" w:color="auto" w:fill="auto"/>
            <w:noWrap/>
            <w:vAlign w:val="bottom"/>
            <w:hideMark/>
          </w:tcPr>
          <w:p w:rsidRPr="003B4BA5" w:rsidR="00F71869" w:rsidRDefault="00F71869" w14:paraId="276B2987"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(550,000)</w:t>
            </w:r>
          </w:p>
        </w:tc>
        <w:tc>
          <w:tcPr>
            <w:tcW w:w="1851" w:type="dxa"/>
            <w:tcBorders>
              <w:top w:val="nil"/>
              <w:left w:val="nil"/>
              <w:bottom w:val="nil"/>
              <w:right w:val="nil"/>
            </w:tcBorders>
            <w:shd w:val="clear" w:color="auto" w:fill="auto"/>
            <w:noWrap/>
            <w:vAlign w:val="bottom"/>
            <w:hideMark/>
          </w:tcPr>
          <w:p w:rsidRPr="003B4BA5" w:rsidR="00F71869" w:rsidRDefault="00F71869" w14:paraId="5524DC5C"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33,043,023 </w:t>
            </w:r>
          </w:p>
        </w:tc>
      </w:tr>
      <w:tr w:rsidR="00A051C2" w:rsidTr="00F71869" w14:paraId="5079757E"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1D97A066"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5CF13D20"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2DC2DDD3"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27C4C264"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-1.64%</w:t>
            </w:r>
          </w:p>
        </w:tc>
        <w:tc>
          <w:tcPr>
            <w:tcW w:w="1851" w:type="dxa"/>
            <w:tcBorders>
              <w:top w:val="nil"/>
              <w:left w:val="nil"/>
              <w:bottom w:val="nil"/>
              <w:right w:val="nil"/>
            </w:tcBorders>
            <w:shd w:val="clear" w:color="auto" w:fill="auto"/>
            <w:noWrap/>
            <w:vAlign w:val="bottom"/>
            <w:hideMark/>
          </w:tcPr>
          <w:p w:rsidRPr="003B4BA5" w:rsidR="00F71869" w:rsidRDefault="00F71869" w14:paraId="42624EE5" w14:textId="77777777">
            <w:pPr>
              <w:jc w:val="right"/>
              <w:rPr>
                <w:rFonts w:asciiTheme="minorHAnsi" w:hAnsiTheme="minorHAnsi" w:cstheme="minorHAnsi"/>
                <w:color w:val="000000"/>
                <w:sz w:val="22"/>
              </w:rPr>
            </w:pPr>
          </w:p>
        </w:tc>
      </w:tr>
      <w:tr w:rsidR="00F71869" w:rsidTr="003B4BA5" w14:paraId="468609D2" w14:textId="77777777">
        <w:trPr>
          <w:trHeight w:val="315"/>
        </w:trPr>
        <w:tc>
          <w:tcPr>
            <w:tcW w:w="4060" w:type="dxa"/>
            <w:gridSpan w:val="2"/>
            <w:tcBorders>
              <w:top w:val="nil"/>
              <w:left w:val="nil"/>
              <w:bottom w:val="nil"/>
              <w:right w:val="nil"/>
            </w:tcBorders>
            <w:shd w:val="clear" w:color="auto" w:fill="auto"/>
            <w:noWrap/>
            <w:vAlign w:val="bottom"/>
            <w:hideMark/>
          </w:tcPr>
          <w:p w:rsidRPr="003B4BA5" w:rsidR="00F71869" w:rsidRDefault="00F71869" w14:paraId="5E9D357E" w14:textId="77777777">
            <w:pPr>
              <w:rPr>
                <w:rFonts w:asciiTheme="minorHAnsi" w:hAnsiTheme="minorHAnsi" w:cstheme="minorHAnsi"/>
                <w:color w:val="000000"/>
                <w:sz w:val="22"/>
              </w:rPr>
            </w:pPr>
            <w:r w:rsidRPr="003B4BA5">
              <w:rPr>
                <w:rFonts w:asciiTheme="minorHAnsi" w:hAnsiTheme="minorHAnsi" w:cstheme="minorHAnsi"/>
                <w:color w:val="000000"/>
                <w:sz w:val="22"/>
              </w:rPr>
              <w:t>OPERATIONS &amp; MAINTENANCE</w:t>
            </w:r>
          </w:p>
        </w:tc>
        <w:tc>
          <w:tcPr>
            <w:tcW w:w="1666" w:type="dxa"/>
            <w:tcBorders>
              <w:top w:val="nil"/>
              <w:left w:val="nil"/>
              <w:bottom w:val="nil"/>
              <w:right w:val="nil"/>
            </w:tcBorders>
            <w:shd w:val="clear" w:color="auto" w:fill="auto"/>
            <w:noWrap/>
            <w:vAlign w:val="bottom"/>
            <w:hideMark/>
          </w:tcPr>
          <w:p w:rsidRPr="003B4BA5" w:rsidR="00F71869" w:rsidRDefault="00F71869" w14:paraId="501A10FE" w14:textId="77777777">
            <w:pPr>
              <w:rPr>
                <w:rFonts w:asciiTheme="minorHAnsi" w:hAnsiTheme="minorHAnsi" w:cstheme="minorHAnsi"/>
                <w:color w:val="000000"/>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130AC189"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1EAF4F68" w14:textId="77777777">
            <w:pPr>
              <w:rPr>
                <w:rFonts w:asciiTheme="minorHAnsi" w:hAnsiTheme="minorHAnsi" w:cstheme="minorHAnsi"/>
                <w:sz w:val="22"/>
              </w:rPr>
            </w:pPr>
          </w:p>
        </w:tc>
      </w:tr>
      <w:tr w:rsidR="00A051C2" w:rsidTr="00F71869" w14:paraId="17D426A7"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1F338A3E" w14:textId="77777777">
            <w:pPr>
              <w:rPr>
                <w:sz w:val="20"/>
                <w:szCs w:val="20"/>
              </w:rPr>
            </w:pPr>
          </w:p>
        </w:tc>
        <w:tc>
          <w:tcPr>
            <w:tcW w:w="3266" w:type="dxa"/>
            <w:tcBorders>
              <w:top w:val="nil"/>
              <w:left w:val="nil"/>
              <w:bottom w:val="nil"/>
              <w:right w:val="nil"/>
            </w:tcBorders>
            <w:shd w:val="clear" w:color="auto" w:fill="auto"/>
            <w:noWrap/>
            <w:vAlign w:val="bottom"/>
            <w:hideMark/>
          </w:tcPr>
          <w:p w:rsidRPr="003B4BA5" w:rsidR="00F71869" w:rsidRDefault="00F71869" w14:paraId="174B34E8" w14:textId="77777777">
            <w:pPr>
              <w:rPr>
                <w:rFonts w:asciiTheme="minorHAnsi" w:hAnsiTheme="minorHAnsi" w:cstheme="minorHAnsi"/>
                <w:color w:val="000000"/>
                <w:sz w:val="22"/>
              </w:rPr>
            </w:pPr>
            <w:r w:rsidRPr="003B4BA5">
              <w:rPr>
                <w:rFonts w:asciiTheme="minorHAnsi" w:hAnsiTheme="minorHAnsi" w:cstheme="minorHAnsi"/>
                <w:color w:val="000000"/>
                <w:sz w:val="22"/>
              </w:rPr>
              <w:t>PAYROLL-OPERATIONS</w:t>
            </w:r>
          </w:p>
        </w:tc>
        <w:tc>
          <w:tcPr>
            <w:tcW w:w="1666" w:type="dxa"/>
            <w:tcBorders>
              <w:top w:val="nil"/>
              <w:left w:val="nil"/>
              <w:bottom w:val="nil"/>
              <w:right w:val="nil"/>
            </w:tcBorders>
            <w:shd w:val="clear" w:color="auto" w:fill="auto"/>
            <w:noWrap/>
            <w:vAlign w:val="bottom"/>
            <w:hideMark/>
          </w:tcPr>
          <w:p w:rsidRPr="003B4BA5" w:rsidR="00F71869" w:rsidRDefault="00F71869" w14:paraId="3B396D97"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1,323,512 </w:t>
            </w:r>
          </w:p>
        </w:tc>
        <w:tc>
          <w:tcPr>
            <w:tcW w:w="1779" w:type="dxa"/>
            <w:tcBorders>
              <w:top w:val="nil"/>
              <w:left w:val="nil"/>
              <w:bottom w:val="nil"/>
              <w:right w:val="nil"/>
            </w:tcBorders>
            <w:shd w:val="clear" w:color="auto" w:fill="auto"/>
            <w:noWrap/>
            <w:vAlign w:val="bottom"/>
            <w:hideMark/>
          </w:tcPr>
          <w:p w:rsidRPr="003B4BA5" w:rsidR="00F71869" w:rsidRDefault="00F71869" w14:paraId="252E145F"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3D0442B"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1,323,512 </w:t>
            </w:r>
          </w:p>
        </w:tc>
      </w:tr>
      <w:tr w:rsidR="00A051C2" w:rsidTr="00F71869" w14:paraId="0395F15E"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40DB800D"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3FCC5315" w14:textId="77777777">
            <w:pPr>
              <w:rPr>
                <w:rFonts w:asciiTheme="minorHAnsi" w:hAnsiTheme="minorHAnsi" w:cstheme="minorHAnsi"/>
                <w:color w:val="000000"/>
                <w:sz w:val="22"/>
              </w:rPr>
            </w:pPr>
            <w:r w:rsidRPr="003B4BA5">
              <w:rPr>
                <w:rFonts w:asciiTheme="minorHAnsi" w:hAnsiTheme="minorHAnsi" w:cstheme="minorHAnsi"/>
                <w:color w:val="000000"/>
                <w:sz w:val="22"/>
              </w:rPr>
              <w:t>OPERATIONS-OTHER</w:t>
            </w:r>
          </w:p>
        </w:tc>
        <w:tc>
          <w:tcPr>
            <w:tcW w:w="1666" w:type="dxa"/>
            <w:tcBorders>
              <w:top w:val="nil"/>
              <w:left w:val="nil"/>
              <w:bottom w:val="nil"/>
              <w:right w:val="nil"/>
            </w:tcBorders>
            <w:shd w:val="clear" w:color="auto" w:fill="auto"/>
            <w:noWrap/>
            <w:vAlign w:val="bottom"/>
            <w:hideMark/>
          </w:tcPr>
          <w:p w:rsidRPr="003B4BA5" w:rsidR="00F71869" w:rsidRDefault="00F71869" w14:paraId="1C9C16BC"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230,466 </w:t>
            </w:r>
          </w:p>
        </w:tc>
        <w:tc>
          <w:tcPr>
            <w:tcW w:w="1779" w:type="dxa"/>
            <w:tcBorders>
              <w:top w:val="nil"/>
              <w:left w:val="nil"/>
              <w:bottom w:val="nil"/>
              <w:right w:val="nil"/>
            </w:tcBorders>
            <w:shd w:val="clear" w:color="auto" w:fill="auto"/>
            <w:noWrap/>
            <w:vAlign w:val="bottom"/>
            <w:hideMark/>
          </w:tcPr>
          <w:p w:rsidRPr="003B4BA5" w:rsidR="00F71869" w:rsidRDefault="00F71869" w14:paraId="2B20F66D"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2A9A7C0E"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230,466 </w:t>
            </w:r>
          </w:p>
        </w:tc>
      </w:tr>
      <w:tr w:rsidR="00A051C2" w:rsidTr="00F71869" w14:paraId="2C14612D"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2A59532E"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3FD8CFBF" w14:textId="77777777">
            <w:pPr>
              <w:rPr>
                <w:rFonts w:asciiTheme="minorHAnsi" w:hAnsiTheme="minorHAnsi" w:cstheme="minorHAnsi"/>
                <w:color w:val="000000"/>
                <w:sz w:val="22"/>
              </w:rPr>
            </w:pPr>
            <w:r w:rsidRPr="003B4BA5">
              <w:rPr>
                <w:rFonts w:asciiTheme="minorHAnsi" w:hAnsiTheme="minorHAnsi" w:cstheme="minorHAnsi"/>
                <w:color w:val="000000"/>
                <w:sz w:val="22"/>
              </w:rPr>
              <w:t>PURCHASED WATER-POTABLE</w:t>
            </w:r>
          </w:p>
        </w:tc>
        <w:tc>
          <w:tcPr>
            <w:tcW w:w="1666" w:type="dxa"/>
            <w:tcBorders>
              <w:top w:val="nil"/>
              <w:left w:val="nil"/>
              <w:bottom w:val="nil"/>
              <w:right w:val="nil"/>
            </w:tcBorders>
            <w:shd w:val="clear" w:color="auto" w:fill="auto"/>
            <w:noWrap/>
            <w:vAlign w:val="bottom"/>
            <w:hideMark/>
          </w:tcPr>
          <w:p w:rsidRPr="003B4BA5" w:rsidR="00F71869" w:rsidRDefault="00F71869" w14:paraId="7BA6A986"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5,482,256 </w:t>
            </w:r>
          </w:p>
        </w:tc>
        <w:tc>
          <w:tcPr>
            <w:tcW w:w="1779" w:type="dxa"/>
            <w:tcBorders>
              <w:top w:val="nil"/>
              <w:left w:val="nil"/>
              <w:bottom w:val="nil"/>
              <w:right w:val="nil"/>
            </w:tcBorders>
            <w:shd w:val="clear" w:color="auto" w:fill="auto"/>
            <w:noWrap/>
            <w:vAlign w:val="bottom"/>
            <w:hideMark/>
          </w:tcPr>
          <w:p w:rsidRPr="003B4BA5" w:rsidR="00F71869" w:rsidRDefault="00F71869" w14:paraId="43C28366"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1837B480"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5,482,256 </w:t>
            </w:r>
          </w:p>
        </w:tc>
      </w:tr>
      <w:tr w:rsidR="00A051C2" w:rsidTr="00F71869" w14:paraId="0BF775BB"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24E0CA8D"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5EC73679" w14:textId="77777777">
            <w:pPr>
              <w:rPr>
                <w:rFonts w:asciiTheme="minorHAnsi" w:hAnsiTheme="minorHAnsi" w:cstheme="minorHAnsi"/>
                <w:color w:val="000000"/>
                <w:sz w:val="22"/>
              </w:rPr>
            </w:pPr>
            <w:r w:rsidRPr="003B4BA5">
              <w:rPr>
                <w:rFonts w:asciiTheme="minorHAnsi" w:hAnsiTheme="minorHAnsi" w:cstheme="minorHAnsi"/>
                <w:color w:val="000000"/>
                <w:sz w:val="22"/>
              </w:rPr>
              <w:t>PURCHASED WATER-RECLAIMED</w:t>
            </w:r>
          </w:p>
        </w:tc>
        <w:tc>
          <w:tcPr>
            <w:tcW w:w="1666" w:type="dxa"/>
            <w:tcBorders>
              <w:top w:val="nil"/>
              <w:left w:val="nil"/>
              <w:bottom w:val="nil"/>
              <w:right w:val="nil"/>
            </w:tcBorders>
            <w:shd w:val="clear" w:color="auto" w:fill="auto"/>
            <w:noWrap/>
            <w:vAlign w:val="bottom"/>
            <w:hideMark/>
          </w:tcPr>
          <w:p w:rsidRPr="003B4BA5" w:rsidR="00F71869" w:rsidRDefault="00F71869" w14:paraId="1B81A317"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222,444 </w:t>
            </w:r>
          </w:p>
        </w:tc>
        <w:tc>
          <w:tcPr>
            <w:tcW w:w="1779" w:type="dxa"/>
            <w:tcBorders>
              <w:top w:val="nil"/>
              <w:left w:val="nil"/>
              <w:bottom w:val="nil"/>
              <w:right w:val="nil"/>
            </w:tcBorders>
            <w:shd w:val="clear" w:color="auto" w:fill="auto"/>
            <w:noWrap/>
            <w:vAlign w:val="bottom"/>
            <w:hideMark/>
          </w:tcPr>
          <w:p w:rsidRPr="003B4BA5" w:rsidR="00F71869" w:rsidRDefault="00F71869" w14:paraId="575A68BE"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4271347D"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222,444 </w:t>
            </w:r>
          </w:p>
        </w:tc>
      </w:tr>
      <w:tr w:rsidR="00A051C2" w:rsidTr="00F71869" w14:paraId="4EF2983C"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2F6C4400"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67798F43" w14:textId="77777777">
            <w:pPr>
              <w:rPr>
                <w:rFonts w:asciiTheme="minorHAnsi" w:hAnsiTheme="minorHAnsi" w:cstheme="minorHAnsi"/>
                <w:color w:val="000000"/>
                <w:sz w:val="22"/>
              </w:rPr>
            </w:pPr>
            <w:r w:rsidRPr="003B4BA5">
              <w:rPr>
                <w:rFonts w:asciiTheme="minorHAnsi" w:hAnsiTheme="minorHAnsi" w:cstheme="minorHAnsi"/>
                <w:color w:val="000000"/>
                <w:sz w:val="22"/>
              </w:rPr>
              <w:t>PURCHASED POWER</w:t>
            </w:r>
          </w:p>
        </w:tc>
        <w:tc>
          <w:tcPr>
            <w:tcW w:w="1666" w:type="dxa"/>
            <w:tcBorders>
              <w:top w:val="nil"/>
              <w:left w:val="nil"/>
              <w:bottom w:val="nil"/>
              <w:right w:val="nil"/>
            </w:tcBorders>
            <w:shd w:val="clear" w:color="auto" w:fill="auto"/>
            <w:noWrap/>
            <w:vAlign w:val="bottom"/>
            <w:hideMark/>
          </w:tcPr>
          <w:p w:rsidRPr="003B4BA5" w:rsidR="00F71869" w:rsidRDefault="00F71869" w14:paraId="3D79E052"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307,315 </w:t>
            </w:r>
          </w:p>
        </w:tc>
        <w:tc>
          <w:tcPr>
            <w:tcW w:w="1779" w:type="dxa"/>
            <w:tcBorders>
              <w:top w:val="nil"/>
              <w:left w:val="nil"/>
              <w:bottom w:val="nil"/>
              <w:right w:val="nil"/>
            </w:tcBorders>
            <w:shd w:val="clear" w:color="auto" w:fill="auto"/>
            <w:noWrap/>
            <w:vAlign w:val="bottom"/>
            <w:hideMark/>
          </w:tcPr>
          <w:p w:rsidRPr="003B4BA5" w:rsidR="00F71869" w:rsidRDefault="00F71869" w14:paraId="079F819C"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0D3BECA8"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307,315 </w:t>
            </w:r>
          </w:p>
        </w:tc>
      </w:tr>
      <w:tr w:rsidR="00A051C2" w:rsidTr="00F71869" w14:paraId="00992824"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4BC72045"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312DD52D" w14:textId="77777777">
            <w:pPr>
              <w:rPr>
                <w:rFonts w:asciiTheme="minorHAnsi" w:hAnsiTheme="minorHAnsi" w:cstheme="minorHAnsi"/>
                <w:color w:val="000000"/>
                <w:sz w:val="22"/>
              </w:rPr>
            </w:pPr>
            <w:r w:rsidRPr="003B4BA5">
              <w:rPr>
                <w:rFonts w:asciiTheme="minorHAnsi" w:hAnsiTheme="minorHAnsi" w:cstheme="minorHAnsi"/>
                <w:color w:val="000000"/>
                <w:sz w:val="22"/>
              </w:rPr>
              <w:t>LEASED WATER RIGHTS</w:t>
            </w:r>
          </w:p>
        </w:tc>
        <w:tc>
          <w:tcPr>
            <w:tcW w:w="1666" w:type="dxa"/>
            <w:tcBorders>
              <w:top w:val="nil"/>
              <w:left w:val="nil"/>
              <w:bottom w:val="nil"/>
              <w:right w:val="nil"/>
            </w:tcBorders>
            <w:shd w:val="clear" w:color="auto" w:fill="auto"/>
            <w:noWrap/>
            <w:vAlign w:val="bottom"/>
            <w:hideMark/>
          </w:tcPr>
          <w:p w:rsidRPr="003B4BA5" w:rsidR="00F71869" w:rsidRDefault="00F71869" w14:paraId="4657FE95"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654,409 </w:t>
            </w:r>
          </w:p>
        </w:tc>
        <w:tc>
          <w:tcPr>
            <w:tcW w:w="1779" w:type="dxa"/>
            <w:tcBorders>
              <w:top w:val="nil"/>
              <w:left w:val="nil"/>
              <w:bottom w:val="nil"/>
              <w:right w:val="nil"/>
            </w:tcBorders>
            <w:shd w:val="clear" w:color="auto" w:fill="auto"/>
            <w:noWrap/>
            <w:vAlign w:val="bottom"/>
            <w:hideMark/>
          </w:tcPr>
          <w:p w:rsidRPr="003B4BA5" w:rsidR="00F71869" w:rsidRDefault="00F71869" w14:paraId="38CE6ECC"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627D6BB0"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654,409 </w:t>
            </w:r>
          </w:p>
        </w:tc>
      </w:tr>
      <w:tr w:rsidR="00A051C2" w:rsidTr="00F71869" w14:paraId="5F9C22D4"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0EA5A175"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032FB7B6" w14:textId="77777777">
            <w:pPr>
              <w:rPr>
                <w:rFonts w:asciiTheme="minorHAnsi" w:hAnsiTheme="minorHAnsi" w:cstheme="minorHAnsi"/>
                <w:color w:val="000000"/>
                <w:sz w:val="22"/>
              </w:rPr>
            </w:pPr>
            <w:r w:rsidRPr="003B4BA5">
              <w:rPr>
                <w:rFonts w:asciiTheme="minorHAnsi" w:hAnsiTheme="minorHAnsi" w:cstheme="minorHAnsi"/>
                <w:color w:val="000000"/>
                <w:sz w:val="22"/>
              </w:rPr>
              <w:t>REPLENISHMENT</w:t>
            </w:r>
          </w:p>
        </w:tc>
        <w:tc>
          <w:tcPr>
            <w:tcW w:w="1666" w:type="dxa"/>
            <w:tcBorders>
              <w:top w:val="nil"/>
              <w:left w:val="nil"/>
              <w:bottom w:val="nil"/>
              <w:right w:val="nil"/>
            </w:tcBorders>
            <w:shd w:val="clear" w:color="auto" w:fill="auto"/>
            <w:noWrap/>
            <w:vAlign w:val="bottom"/>
            <w:hideMark/>
          </w:tcPr>
          <w:p w:rsidRPr="003B4BA5" w:rsidR="00F71869" w:rsidRDefault="00F71869" w14:paraId="58A7748E"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1,691,116 </w:t>
            </w:r>
          </w:p>
        </w:tc>
        <w:tc>
          <w:tcPr>
            <w:tcW w:w="1779" w:type="dxa"/>
            <w:tcBorders>
              <w:top w:val="nil"/>
              <w:left w:val="nil"/>
              <w:bottom w:val="nil"/>
              <w:right w:val="nil"/>
            </w:tcBorders>
            <w:shd w:val="clear" w:color="auto" w:fill="auto"/>
            <w:noWrap/>
            <w:vAlign w:val="bottom"/>
            <w:hideMark/>
          </w:tcPr>
          <w:p w:rsidRPr="003B4BA5" w:rsidR="00F71869" w:rsidRDefault="00F71869" w14:paraId="2B2F4CF6"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50A8323D"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1,691,116 </w:t>
            </w:r>
          </w:p>
        </w:tc>
      </w:tr>
      <w:tr w:rsidR="00A051C2" w:rsidTr="00F71869" w14:paraId="7DFB2596"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03F10299"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4FFD6A6B" w14:textId="77777777">
            <w:pPr>
              <w:rPr>
                <w:rFonts w:asciiTheme="minorHAnsi" w:hAnsiTheme="minorHAnsi" w:cstheme="minorHAnsi"/>
                <w:color w:val="000000"/>
                <w:sz w:val="22"/>
              </w:rPr>
            </w:pPr>
            <w:r w:rsidRPr="003B4BA5">
              <w:rPr>
                <w:rFonts w:asciiTheme="minorHAnsi" w:hAnsiTheme="minorHAnsi" w:cstheme="minorHAnsi"/>
                <w:color w:val="000000"/>
                <w:sz w:val="22"/>
              </w:rPr>
              <w:t>CHEMICALS</w:t>
            </w:r>
          </w:p>
        </w:tc>
        <w:tc>
          <w:tcPr>
            <w:tcW w:w="1666" w:type="dxa"/>
            <w:tcBorders>
              <w:top w:val="nil"/>
              <w:left w:val="nil"/>
              <w:bottom w:val="nil"/>
              <w:right w:val="nil"/>
            </w:tcBorders>
            <w:shd w:val="clear" w:color="auto" w:fill="auto"/>
            <w:noWrap/>
            <w:vAlign w:val="bottom"/>
            <w:hideMark/>
          </w:tcPr>
          <w:p w:rsidRPr="003B4BA5" w:rsidR="00F71869" w:rsidRDefault="00F71869" w14:paraId="47E8659C"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54,308 </w:t>
            </w:r>
          </w:p>
        </w:tc>
        <w:tc>
          <w:tcPr>
            <w:tcW w:w="1779" w:type="dxa"/>
            <w:tcBorders>
              <w:top w:val="nil"/>
              <w:left w:val="nil"/>
              <w:bottom w:val="nil"/>
              <w:right w:val="nil"/>
            </w:tcBorders>
            <w:shd w:val="clear" w:color="auto" w:fill="auto"/>
            <w:noWrap/>
            <w:vAlign w:val="bottom"/>
            <w:hideMark/>
          </w:tcPr>
          <w:p w:rsidRPr="003B4BA5" w:rsidR="00F71869" w:rsidRDefault="00F71869" w14:paraId="398EEA3D"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3ABCF476"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54,308 </w:t>
            </w:r>
          </w:p>
        </w:tc>
      </w:tr>
      <w:tr w:rsidR="00A051C2" w:rsidTr="00F71869" w14:paraId="5DA3FE9E"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26DDD9B7"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27F5FC73" w14:textId="77777777">
            <w:pPr>
              <w:rPr>
                <w:rFonts w:asciiTheme="minorHAnsi" w:hAnsiTheme="minorHAnsi" w:cstheme="minorHAnsi"/>
                <w:color w:val="000000"/>
                <w:sz w:val="22"/>
              </w:rPr>
            </w:pPr>
            <w:r w:rsidRPr="003B4BA5">
              <w:rPr>
                <w:rFonts w:asciiTheme="minorHAnsi" w:hAnsiTheme="minorHAnsi" w:cstheme="minorHAnsi"/>
                <w:color w:val="000000"/>
                <w:sz w:val="22"/>
              </w:rPr>
              <w:t>PAYROLL-CUSTOMERS</w:t>
            </w:r>
          </w:p>
        </w:tc>
        <w:tc>
          <w:tcPr>
            <w:tcW w:w="1666" w:type="dxa"/>
            <w:tcBorders>
              <w:top w:val="nil"/>
              <w:left w:val="nil"/>
              <w:bottom w:val="nil"/>
              <w:right w:val="nil"/>
            </w:tcBorders>
            <w:shd w:val="clear" w:color="auto" w:fill="auto"/>
            <w:noWrap/>
            <w:vAlign w:val="bottom"/>
            <w:hideMark/>
          </w:tcPr>
          <w:p w:rsidRPr="003B4BA5" w:rsidR="00F71869" w:rsidRDefault="00F71869" w14:paraId="22E29FBF"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761,762 </w:t>
            </w:r>
          </w:p>
        </w:tc>
        <w:tc>
          <w:tcPr>
            <w:tcW w:w="1779" w:type="dxa"/>
            <w:tcBorders>
              <w:top w:val="nil"/>
              <w:left w:val="nil"/>
              <w:bottom w:val="nil"/>
              <w:right w:val="nil"/>
            </w:tcBorders>
            <w:shd w:val="clear" w:color="auto" w:fill="auto"/>
            <w:noWrap/>
            <w:vAlign w:val="bottom"/>
            <w:hideMark/>
          </w:tcPr>
          <w:p w:rsidRPr="003B4BA5" w:rsidR="00F71869" w:rsidRDefault="00F71869" w14:paraId="6B171F4D"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118C0A9"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761,762 </w:t>
            </w:r>
          </w:p>
        </w:tc>
      </w:tr>
      <w:tr w:rsidR="00A051C2" w:rsidTr="00F71869" w14:paraId="59D84416"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776BCA89"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7D45F37C" w14:textId="77777777">
            <w:pPr>
              <w:rPr>
                <w:rFonts w:asciiTheme="minorHAnsi" w:hAnsiTheme="minorHAnsi" w:cstheme="minorHAnsi"/>
                <w:color w:val="000000"/>
                <w:sz w:val="22"/>
              </w:rPr>
            </w:pPr>
            <w:r w:rsidRPr="003B4BA5">
              <w:rPr>
                <w:rFonts w:asciiTheme="minorHAnsi" w:hAnsiTheme="minorHAnsi" w:cstheme="minorHAnsi"/>
                <w:color w:val="000000"/>
                <w:sz w:val="22"/>
              </w:rPr>
              <w:t>CUSTOMERS-OTHER</w:t>
            </w:r>
          </w:p>
        </w:tc>
        <w:tc>
          <w:tcPr>
            <w:tcW w:w="1666" w:type="dxa"/>
            <w:tcBorders>
              <w:top w:val="nil"/>
              <w:left w:val="nil"/>
              <w:bottom w:val="nil"/>
              <w:right w:val="nil"/>
            </w:tcBorders>
            <w:shd w:val="clear" w:color="auto" w:fill="auto"/>
            <w:noWrap/>
            <w:vAlign w:val="bottom"/>
            <w:hideMark/>
          </w:tcPr>
          <w:p w:rsidRPr="003B4BA5" w:rsidR="00F71869" w:rsidRDefault="00F71869" w14:paraId="7F9AD6DA"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663,478 </w:t>
            </w:r>
          </w:p>
        </w:tc>
        <w:tc>
          <w:tcPr>
            <w:tcW w:w="1779" w:type="dxa"/>
            <w:tcBorders>
              <w:top w:val="nil"/>
              <w:left w:val="nil"/>
              <w:bottom w:val="nil"/>
              <w:right w:val="nil"/>
            </w:tcBorders>
            <w:shd w:val="clear" w:color="auto" w:fill="auto"/>
            <w:noWrap/>
            <w:vAlign w:val="bottom"/>
            <w:hideMark/>
          </w:tcPr>
          <w:p w:rsidRPr="003B4BA5" w:rsidR="00F71869" w:rsidRDefault="00F71869" w14:paraId="72315E4E"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6AFBD2F0"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663,478 </w:t>
            </w:r>
          </w:p>
        </w:tc>
      </w:tr>
      <w:tr w:rsidR="00A051C2" w:rsidTr="00F71869" w14:paraId="6757F37A"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58B8E66B"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486C7C53" w14:textId="77777777">
            <w:pPr>
              <w:rPr>
                <w:rFonts w:asciiTheme="minorHAnsi" w:hAnsiTheme="minorHAnsi" w:cstheme="minorHAnsi"/>
                <w:color w:val="000000"/>
                <w:sz w:val="22"/>
              </w:rPr>
            </w:pPr>
            <w:r w:rsidRPr="003B4BA5">
              <w:rPr>
                <w:rFonts w:asciiTheme="minorHAnsi" w:hAnsiTheme="minorHAnsi" w:cstheme="minorHAnsi"/>
                <w:color w:val="000000"/>
                <w:sz w:val="22"/>
              </w:rPr>
              <w:t>UNCOLLECTIBLES</w:t>
            </w:r>
          </w:p>
        </w:tc>
        <w:tc>
          <w:tcPr>
            <w:tcW w:w="1666" w:type="dxa"/>
            <w:tcBorders>
              <w:top w:val="nil"/>
              <w:left w:val="nil"/>
              <w:bottom w:val="nil"/>
              <w:right w:val="nil"/>
            </w:tcBorders>
            <w:shd w:val="clear" w:color="auto" w:fill="auto"/>
            <w:noWrap/>
            <w:vAlign w:val="bottom"/>
            <w:hideMark/>
          </w:tcPr>
          <w:p w:rsidRPr="003B4BA5" w:rsidR="00F71869" w:rsidRDefault="00F71869" w14:paraId="04EA53BF"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131,013 </w:t>
            </w:r>
          </w:p>
        </w:tc>
        <w:tc>
          <w:tcPr>
            <w:tcW w:w="1779" w:type="dxa"/>
            <w:tcBorders>
              <w:top w:val="nil"/>
              <w:left w:val="nil"/>
              <w:bottom w:val="nil"/>
              <w:right w:val="nil"/>
            </w:tcBorders>
            <w:shd w:val="clear" w:color="auto" w:fill="auto"/>
            <w:noWrap/>
            <w:vAlign w:val="bottom"/>
            <w:hideMark/>
          </w:tcPr>
          <w:p w:rsidRPr="003B4BA5" w:rsidR="00F71869" w:rsidRDefault="00F71869" w14:paraId="2C9B86D4"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65902E95"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128,868 </w:t>
            </w:r>
          </w:p>
        </w:tc>
      </w:tr>
      <w:tr w:rsidR="00A051C2" w:rsidTr="00F71869" w14:paraId="3087957B"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342477FF"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761C41F5" w14:textId="77777777">
            <w:pPr>
              <w:rPr>
                <w:rFonts w:asciiTheme="minorHAnsi" w:hAnsiTheme="minorHAnsi" w:cstheme="minorHAnsi"/>
                <w:color w:val="000000"/>
                <w:sz w:val="22"/>
              </w:rPr>
            </w:pPr>
            <w:r w:rsidRPr="003B4BA5">
              <w:rPr>
                <w:rFonts w:asciiTheme="minorHAnsi" w:hAnsiTheme="minorHAnsi" w:cstheme="minorHAnsi"/>
                <w:color w:val="000000"/>
                <w:sz w:val="22"/>
              </w:rPr>
              <w:t>PAYROLL-MAINTENANCE</w:t>
            </w:r>
          </w:p>
        </w:tc>
        <w:tc>
          <w:tcPr>
            <w:tcW w:w="1666" w:type="dxa"/>
            <w:tcBorders>
              <w:top w:val="nil"/>
              <w:left w:val="nil"/>
              <w:bottom w:val="nil"/>
              <w:right w:val="nil"/>
            </w:tcBorders>
            <w:shd w:val="clear" w:color="auto" w:fill="auto"/>
            <w:noWrap/>
            <w:vAlign w:val="bottom"/>
            <w:hideMark/>
          </w:tcPr>
          <w:p w:rsidRPr="003B4BA5" w:rsidR="00F71869" w:rsidRDefault="00F71869" w14:paraId="351B496B"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221,501 </w:t>
            </w:r>
          </w:p>
        </w:tc>
        <w:tc>
          <w:tcPr>
            <w:tcW w:w="1779" w:type="dxa"/>
            <w:tcBorders>
              <w:top w:val="nil"/>
              <w:left w:val="nil"/>
              <w:bottom w:val="nil"/>
              <w:right w:val="nil"/>
            </w:tcBorders>
            <w:shd w:val="clear" w:color="auto" w:fill="auto"/>
            <w:noWrap/>
            <w:vAlign w:val="bottom"/>
            <w:hideMark/>
          </w:tcPr>
          <w:p w:rsidRPr="003B4BA5" w:rsidR="00F71869" w:rsidRDefault="00F71869" w14:paraId="72DC599F"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0A671B1B"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221,501 </w:t>
            </w:r>
          </w:p>
        </w:tc>
      </w:tr>
      <w:tr w:rsidR="00A051C2" w:rsidTr="00F71869" w14:paraId="4C604C34"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5C7E4BC6"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742DDEB1" w14:textId="77777777">
            <w:pPr>
              <w:rPr>
                <w:rFonts w:asciiTheme="minorHAnsi" w:hAnsiTheme="minorHAnsi" w:cstheme="minorHAnsi"/>
                <w:color w:val="000000"/>
                <w:sz w:val="22"/>
              </w:rPr>
            </w:pPr>
            <w:r w:rsidRPr="003B4BA5">
              <w:rPr>
                <w:rFonts w:asciiTheme="minorHAnsi" w:hAnsiTheme="minorHAnsi" w:cstheme="minorHAnsi"/>
                <w:color w:val="000000"/>
                <w:sz w:val="22"/>
              </w:rPr>
              <w:t>MAINTENANCE-OTHER</w:t>
            </w:r>
          </w:p>
        </w:tc>
        <w:tc>
          <w:tcPr>
            <w:tcW w:w="1666" w:type="dxa"/>
            <w:tcBorders>
              <w:top w:val="nil"/>
              <w:left w:val="nil"/>
              <w:bottom w:val="nil"/>
              <w:right w:val="nil"/>
            </w:tcBorders>
            <w:shd w:val="clear" w:color="auto" w:fill="auto"/>
            <w:noWrap/>
            <w:vAlign w:val="bottom"/>
            <w:hideMark/>
          </w:tcPr>
          <w:p w:rsidRPr="003B4BA5" w:rsidR="00F71869" w:rsidRDefault="00F71869" w14:paraId="1EC51E7E"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609,393 </w:t>
            </w:r>
          </w:p>
        </w:tc>
        <w:tc>
          <w:tcPr>
            <w:tcW w:w="1779" w:type="dxa"/>
            <w:tcBorders>
              <w:top w:val="nil"/>
              <w:left w:val="nil"/>
              <w:bottom w:val="nil"/>
              <w:right w:val="nil"/>
            </w:tcBorders>
            <w:shd w:val="clear" w:color="auto" w:fill="auto"/>
            <w:noWrap/>
            <w:vAlign w:val="bottom"/>
            <w:hideMark/>
          </w:tcPr>
          <w:p w:rsidRPr="003B4BA5" w:rsidR="00F71869" w:rsidRDefault="00F71869" w14:paraId="0B2F9AB9"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3C4F619B"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609,393 </w:t>
            </w:r>
          </w:p>
        </w:tc>
      </w:tr>
      <w:tr w:rsidR="00A051C2" w:rsidTr="00F71869" w14:paraId="188E4AC4"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25583904"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449004ED" w14:textId="77777777">
            <w:pPr>
              <w:rPr>
                <w:rFonts w:asciiTheme="minorHAnsi" w:hAnsiTheme="minorHAnsi" w:cstheme="minorHAnsi"/>
                <w:color w:val="000000"/>
                <w:sz w:val="22"/>
              </w:rPr>
            </w:pPr>
            <w:r w:rsidRPr="003B4BA5">
              <w:rPr>
                <w:rFonts w:asciiTheme="minorHAnsi" w:hAnsiTheme="minorHAnsi" w:cstheme="minorHAnsi"/>
                <w:color w:val="000000"/>
                <w:sz w:val="22"/>
              </w:rPr>
              <w:t>PAYROLL-CLEARINGS</w:t>
            </w:r>
          </w:p>
        </w:tc>
        <w:tc>
          <w:tcPr>
            <w:tcW w:w="1666" w:type="dxa"/>
            <w:tcBorders>
              <w:top w:val="nil"/>
              <w:left w:val="nil"/>
              <w:bottom w:val="nil"/>
              <w:right w:val="nil"/>
            </w:tcBorders>
            <w:shd w:val="clear" w:color="auto" w:fill="auto"/>
            <w:noWrap/>
            <w:vAlign w:val="bottom"/>
            <w:hideMark/>
          </w:tcPr>
          <w:p w:rsidRPr="003B4BA5" w:rsidR="00F71869" w:rsidRDefault="00F71869" w14:paraId="6419D3F5"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93,527 </w:t>
            </w:r>
          </w:p>
        </w:tc>
        <w:tc>
          <w:tcPr>
            <w:tcW w:w="1779" w:type="dxa"/>
            <w:tcBorders>
              <w:top w:val="nil"/>
              <w:left w:val="nil"/>
              <w:bottom w:val="nil"/>
              <w:right w:val="nil"/>
            </w:tcBorders>
            <w:shd w:val="clear" w:color="auto" w:fill="auto"/>
            <w:noWrap/>
            <w:vAlign w:val="bottom"/>
            <w:hideMark/>
          </w:tcPr>
          <w:p w:rsidRPr="003B4BA5" w:rsidR="00F71869" w:rsidRDefault="00F71869" w14:paraId="4DE5525E"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195BD5B"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93,527 </w:t>
            </w:r>
          </w:p>
        </w:tc>
      </w:tr>
      <w:tr w:rsidR="00A051C2" w:rsidTr="00F71869" w14:paraId="5D452A9B"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25D6FAAD"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435B7E89" w14:textId="77777777">
            <w:pPr>
              <w:rPr>
                <w:rFonts w:asciiTheme="minorHAnsi" w:hAnsiTheme="minorHAnsi" w:cstheme="minorHAnsi"/>
                <w:color w:val="000000"/>
                <w:sz w:val="22"/>
              </w:rPr>
            </w:pPr>
            <w:r w:rsidRPr="003B4BA5">
              <w:rPr>
                <w:rFonts w:asciiTheme="minorHAnsi" w:hAnsiTheme="minorHAnsi" w:cstheme="minorHAnsi"/>
                <w:color w:val="000000"/>
                <w:sz w:val="22"/>
              </w:rPr>
              <w:t>DEPRECIATION-CLEARINGS</w:t>
            </w:r>
          </w:p>
        </w:tc>
        <w:tc>
          <w:tcPr>
            <w:tcW w:w="1666" w:type="dxa"/>
            <w:tcBorders>
              <w:top w:val="nil"/>
              <w:left w:val="nil"/>
              <w:bottom w:val="nil"/>
              <w:right w:val="nil"/>
            </w:tcBorders>
            <w:shd w:val="clear" w:color="auto" w:fill="auto"/>
            <w:noWrap/>
            <w:vAlign w:val="bottom"/>
            <w:hideMark/>
          </w:tcPr>
          <w:p w:rsidRPr="003B4BA5" w:rsidR="00F71869" w:rsidRDefault="00F71869" w14:paraId="281236BF"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183,854 </w:t>
            </w:r>
          </w:p>
        </w:tc>
        <w:tc>
          <w:tcPr>
            <w:tcW w:w="1779" w:type="dxa"/>
            <w:tcBorders>
              <w:top w:val="nil"/>
              <w:left w:val="nil"/>
              <w:bottom w:val="nil"/>
              <w:right w:val="nil"/>
            </w:tcBorders>
            <w:shd w:val="clear" w:color="auto" w:fill="auto"/>
            <w:noWrap/>
            <w:vAlign w:val="bottom"/>
            <w:hideMark/>
          </w:tcPr>
          <w:p w:rsidRPr="003B4BA5" w:rsidR="00F71869" w:rsidRDefault="00F71869" w14:paraId="5DCB0338"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50476046"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183,854 </w:t>
            </w:r>
          </w:p>
        </w:tc>
      </w:tr>
      <w:tr w:rsidR="00A051C2" w:rsidTr="00F71869" w14:paraId="64EA0DC5"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41805998"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73F9FB86" w14:textId="77777777">
            <w:pPr>
              <w:rPr>
                <w:rFonts w:asciiTheme="minorHAnsi" w:hAnsiTheme="minorHAnsi" w:cstheme="minorHAnsi"/>
                <w:color w:val="000000"/>
                <w:sz w:val="22"/>
              </w:rPr>
            </w:pPr>
            <w:r w:rsidRPr="003B4BA5">
              <w:rPr>
                <w:rFonts w:asciiTheme="minorHAnsi" w:hAnsiTheme="minorHAnsi" w:cstheme="minorHAnsi"/>
                <w:color w:val="000000"/>
                <w:sz w:val="22"/>
              </w:rPr>
              <w:t>CLEARINGS-OTHER</w:t>
            </w:r>
          </w:p>
        </w:tc>
        <w:tc>
          <w:tcPr>
            <w:tcW w:w="1666" w:type="dxa"/>
            <w:tcBorders>
              <w:top w:val="nil"/>
              <w:left w:val="nil"/>
              <w:bottom w:val="nil"/>
              <w:right w:val="nil"/>
            </w:tcBorders>
            <w:shd w:val="clear" w:color="auto" w:fill="auto"/>
            <w:noWrap/>
            <w:vAlign w:val="bottom"/>
            <w:hideMark/>
          </w:tcPr>
          <w:p w:rsidRPr="003B4BA5" w:rsidR="00F71869" w:rsidRDefault="00F71869" w14:paraId="583345AE"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258,512 </w:t>
            </w:r>
          </w:p>
        </w:tc>
        <w:tc>
          <w:tcPr>
            <w:tcW w:w="1779" w:type="dxa"/>
            <w:tcBorders>
              <w:top w:val="nil"/>
              <w:left w:val="nil"/>
              <w:bottom w:val="nil"/>
              <w:right w:val="nil"/>
            </w:tcBorders>
            <w:shd w:val="clear" w:color="auto" w:fill="auto"/>
            <w:noWrap/>
            <w:vAlign w:val="bottom"/>
            <w:hideMark/>
          </w:tcPr>
          <w:p w:rsidRPr="003B4BA5" w:rsidR="00F71869" w:rsidRDefault="00F71869" w14:paraId="420503BF"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556D8091"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258,512 </w:t>
            </w:r>
          </w:p>
        </w:tc>
      </w:tr>
      <w:tr w:rsidR="00A051C2" w:rsidTr="00F71869" w14:paraId="00758AEE"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021F2945"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007EE25C"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1EBE8FEF"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0FA48A41"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36589C6B" w14:textId="77777777">
            <w:pPr>
              <w:rPr>
                <w:rFonts w:asciiTheme="minorHAnsi" w:hAnsiTheme="minorHAnsi" w:cstheme="minorHAnsi"/>
                <w:sz w:val="22"/>
              </w:rPr>
            </w:pPr>
          </w:p>
        </w:tc>
      </w:tr>
      <w:tr w:rsidR="00A051C2" w:rsidTr="00F71869" w14:paraId="3D0700B3"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385F845C" w14:textId="77777777">
            <w:pPr>
              <w:rPr>
                <w:sz w:val="20"/>
                <w:szCs w:val="20"/>
              </w:rPr>
            </w:pPr>
          </w:p>
        </w:tc>
        <w:tc>
          <w:tcPr>
            <w:tcW w:w="3266" w:type="dxa"/>
            <w:tcBorders>
              <w:top w:val="nil"/>
              <w:left w:val="nil"/>
              <w:bottom w:val="nil"/>
              <w:right w:val="nil"/>
            </w:tcBorders>
            <w:shd w:val="clear" w:color="auto" w:fill="auto"/>
            <w:noWrap/>
            <w:vAlign w:val="bottom"/>
            <w:hideMark/>
          </w:tcPr>
          <w:p w:rsidRPr="003B4BA5" w:rsidR="00F71869" w:rsidRDefault="00F71869" w14:paraId="4365843B" w14:textId="77777777">
            <w:pPr>
              <w:rPr>
                <w:rFonts w:asciiTheme="minorHAnsi" w:hAnsiTheme="minorHAnsi" w:cstheme="minorHAnsi"/>
                <w:color w:val="000000"/>
                <w:sz w:val="22"/>
              </w:rPr>
            </w:pPr>
            <w:r w:rsidRPr="003B4BA5">
              <w:rPr>
                <w:rFonts w:asciiTheme="minorHAnsi" w:hAnsiTheme="minorHAnsi" w:cstheme="minorHAnsi"/>
                <w:color w:val="000000"/>
                <w:sz w:val="22"/>
              </w:rPr>
              <w:t>SUB-TOTAL O &amp; M</w:t>
            </w:r>
          </w:p>
        </w:tc>
        <w:tc>
          <w:tcPr>
            <w:tcW w:w="1666" w:type="dxa"/>
            <w:tcBorders>
              <w:top w:val="nil"/>
              <w:left w:val="nil"/>
              <w:bottom w:val="nil"/>
              <w:right w:val="nil"/>
            </w:tcBorders>
            <w:shd w:val="clear" w:color="auto" w:fill="auto"/>
            <w:noWrap/>
            <w:vAlign w:val="bottom"/>
            <w:hideMark/>
          </w:tcPr>
          <w:p w:rsidRPr="003B4BA5" w:rsidR="00F71869" w:rsidRDefault="00F71869" w14:paraId="288EA354"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12,888,866 </w:t>
            </w:r>
          </w:p>
        </w:tc>
        <w:tc>
          <w:tcPr>
            <w:tcW w:w="1779" w:type="dxa"/>
            <w:tcBorders>
              <w:top w:val="nil"/>
              <w:left w:val="nil"/>
              <w:bottom w:val="nil"/>
              <w:right w:val="nil"/>
            </w:tcBorders>
            <w:shd w:val="clear" w:color="auto" w:fill="auto"/>
            <w:noWrap/>
            <w:vAlign w:val="bottom"/>
            <w:hideMark/>
          </w:tcPr>
          <w:p w:rsidRPr="003B4BA5" w:rsidR="00F71869" w:rsidRDefault="00F71869" w14:paraId="031C8378"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7EC3DAD"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12,886,721 </w:t>
            </w:r>
          </w:p>
        </w:tc>
      </w:tr>
      <w:tr w:rsidR="00A051C2" w:rsidTr="00F71869" w14:paraId="3764BC92"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50B29E54"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6F70EB68"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5A03EE63"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63DD44AC"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3AA06C3A" w14:textId="77777777">
            <w:pPr>
              <w:rPr>
                <w:rFonts w:asciiTheme="minorHAnsi" w:hAnsiTheme="minorHAnsi" w:cstheme="minorHAnsi"/>
                <w:sz w:val="22"/>
              </w:rPr>
            </w:pPr>
          </w:p>
        </w:tc>
      </w:tr>
      <w:tr w:rsidR="00F71869" w:rsidTr="003B4BA5" w14:paraId="7BF9259F" w14:textId="77777777">
        <w:trPr>
          <w:trHeight w:val="315"/>
        </w:trPr>
        <w:tc>
          <w:tcPr>
            <w:tcW w:w="4060" w:type="dxa"/>
            <w:gridSpan w:val="2"/>
            <w:tcBorders>
              <w:top w:val="nil"/>
              <w:left w:val="nil"/>
              <w:bottom w:val="nil"/>
              <w:right w:val="nil"/>
            </w:tcBorders>
            <w:shd w:val="clear" w:color="auto" w:fill="auto"/>
            <w:noWrap/>
            <w:vAlign w:val="bottom"/>
            <w:hideMark/>
          </w:tcPr>
          <w:p w:rsidRPr="003B4BA5" w:rsidR="00F71869" w:rsidRDefault="00F71869" w14:paraId="2EA2FC2A" w14:textId="77777777">
            <w:pPr>
              <w:rPr>
                <w:rFonts w:asciiTheme="minorHAnsi" w:hAnsiTheme="minorHAnsi" w:cstheme="minorHAnsi"/>
                <w:color w:val="000000"/>
                <w:sz w:val="22"/>
              </w:rPr>
            </w:pPr>
            <w:r w:rsidRPr="003B4BA5">
              <w:rPr>
                <w:rFonts w:asciiTheme="minorHAnsi" w:hAnsiTheme="minorHAnsi" w:cstheme="minorHAnsi"/>
                <w:color w:val="000000"/>
                <w:sz w:val="22"/>
              </w:rPr>
              <w:t>ADMINISTRATIVE &amp; GENERAL</w:t>
            </w:r>
          </w:p>
        </w:tc>
        <w:tc>
          <w:tcPr>
            <w:tcW w:w="1666" w:type="dxa"/>
            <w:tcBorders>
              <w:top w:val="nil"/>
              <w:left w:val="nil"/>
              <w:bottom w:val="nil"/>
              <w:right w:val="nil"/>
            </w:tcBorders>
            <w:shd w:val="clear" w:color="auto" w:fill="auto"/>
            <w:noWrap/>
            <w:vAlign w:val="bottom"/>
            <w:hideMark/>
          </w:tcPr>
          <w:p w:rsidRPr="003B4BA5" w:rsidR="00F71869" w:rsidRDefault="00F71869" w14:paraId="3DB0A9E7" w14:textId="77777777">
            <w:pPr>
              <w:rPr>
                <w:rFonts w:asciiTheme="minorHAnsi" w:hAnsiTheme="minorHAnsi" w:cstheme="minorHAnsi"/>
                <w:color w:val="000000"/>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3D72EA2B"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C8E58FF" w14:textId="77777777">
            <w:pPr>
              <w:rPr>
                <w:rFonts w:asciiTheme="minorHAnsi" w:hAnsiTheme="minorHAnsi" w:cstheme="minorHAnsi"/>
                <w:sz w:val="22"/>
              </w:rPr>
            </w:pPr>
          </w:p>
        </w:tc>
      </w:tr>
      <w:tr w:rsidR="00A051C2" w:rsidTr="00F71869" w14:paraId="4A92CF9D"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20252FB0" w14:textId="77777777">
            <w:pPr>
              <w:rPr>
                <w:sz w:val="20"/>
                <w:szCs w:val="20"/>
              </w:rPr>
            </w:pPr>
          </w:p>
        </w:tc>
        <w:tc>
          <w:tcPr>
            <w:tcW w:w="3266" w:type="dxa"/>
            <w:tcBorders>
              <w:top w:val="nil"/>
              <w:left w:val="nil"/>
              <w:bottom w:val="nil"/>
              <w:right w:val="nil"/>
            </w:tcBorders>
            <w:shd w:val="clear" w:color="auto" w:fill="auto"/>
            <w:noWrap/>
            <w:vAlign w:val="bottom"/>
            <w:hideMark/>
          </w:tcPr>
          <w:p w:rsidRPr="003B4BA5" w:rsidR="00F71869" w:rsidRDefault="00F71869" w14:paraId="4DA32E35" w14:textId="77777777">
            <w:pPr>
              <w:rPr>
                <w:rFonts w:asciiTheme="minorHAnsi" w:hAnsiTheme="minorHAnsi" w:cstheme="minorHAnsi"/>
                <w:color w:val="000000"/>
                <w:sz w:val="22"/>
              </w:rPr>
            </w:pPr>
            <w:r w:rsidRPr="003B4BA5">
              <w:rPr>
                <w:rFonts w:asciiTheme="minorHAnsi" w:hAnsiTheme="minorHAnsi" w:cstheme="minorHAnsi"/>
                <w:color w:val="000000"/>
                <w:sz w:val="22"/>
              </w:rPr>
              <w:t>A &amp; G PAYROLL</w:t>
            </w:r>
          </w:p>
        </w:tc>
        <w:tc>
          <w:tcPr>
            <w:tcW w:w="1666" w:type="dxa"/>
            <w:tcBorders>
              <w:top w:val="nil"/>
              <w:left w:val="nil"/>
              <w:bottom w:val="nil"/>
              <w:right w:val="nil"/>
            </w:tcBorders>
            <w:shd w:val="clear" w:color="auto" w:fill="auto"/>
            <w:noWrap/>
            <w:vAlign w:val="bottom"/>
            <w:hideMark/>
          </w:tcPr>
          <w:p w:rsidRPr="003B4BA5" w:rsidR="00F71869" w:rsidRDefault="00F71869" w14:paraId="083074BC"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1,598,575 </w:t>
            </w:r>
          </w:p>
        </w:tc>
        <w:tc>
          <w:tcPr>
            <w:tcW w:w="1779" w:type="dxa"/>
            <w:tcBorders>
              <w:top w:val="nil"/>
              <w:left w:val="nil"/>
              <w:bottom w:val="nil"/>
              <w:right w:val="nil"/>
            </w:tcBorders>
            <w:shd w:val="clear" w:color="auto" w:fill="auto"/>
            <w:noWrap/>
            <w:vAlign w:val="bottom"/>
            <w:hideMark/>
          </w:tcPr>
          <w:p w:rsidRPr="003B4BA5" w:rsidR="00F71869" w:rsidRDefault="00F71869" w14:paraId="45FAFCBB"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48BE60C2"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1,598,575 </w:t>
            </w:r>
          </w:p>
        </w:tc>
      </w:tr>
      <w:tr w:rsidR="00A051C2" w:rsidTr="00F71869" w14:paraId="171D2329"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7D338B67"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3D77F8A9" w14:textId="77777777">
            <w:pPr>
              <w:rPr>
                <w:rFonts w:asciiTheme="minorHAnsi" w:hAnsiTheme="minorHAnsi" w:cstheme="minorHAnsi"/>
                <w:color w:val="000000"/>
                <w:sz w:val="22"/>
              </w:rPr>
            </w:pPr>
            <w:r w:rsidRPr="003B4BA5">
              <w:rPr>
                <w:rFonts w:asciiTheme="minorHAnsi" w:hAnsiTheme="minorHAnsi" w:cstheme="minorHAnsi"/>
                <w:color w:val="000000"/>
                <w:sz w:val="22"/>
              </w:rPr>
              <w:t>EMPLOYEE BENEFITS</w:t>
            </w:r>
          </w:p>
        </w:tc>
        <w:tc>
          <w:tcPr>
            <w:tcW w:w="1666" w:type="dxa"/>
            <w:tcBorders>
              <w:top w:val="nil"/>
              <w:left w:val="nil"/>
              <w:bottom w:val="nil"/>
              <w:right w:val="nil"/>
            </w:tcBorders>
            <w:shd w:val="clear" w:color="auto" w:fill="auto"/>
            <w:noWrap/>
            <w:vAlign w:val="bottom"/>
            <w:hideMark/>
          </w:tcPr>
          <w:p w:rsidRPr="003B4BA5" w:rsidR="00F71869" w:rsidRDefault="00F71869" w14:paraId="3E8B4A2E"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988,805 </w:t>
            </w:r>
          </w:p>
        </w:tc>
        <w:tc>
          <w:tcPr>
            <w:tcW w:w="1779" w:type="dxa"/>
            <w:tcBorders>
              <w:top w:val="nil"/>
              <w:left w:val="nil"/>
              <w:bottom w:val="nil"/>
              <w:right w:val="nil"/>
            </w:tcBorders>
            <w:shd w:val="clear" w:color="auto" w:fill="auto"/>
            <w:noWrap/>
            <w:vAlign w:val="bottom"/>
            <w:hideMark/>
          </w:tcPr>
          <w:p w:rsidRPr="003B4BA5" w:rsidR="00F71869" w:rsidRDefault="00F71869" w14:paraId="00A997F0"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053681C5"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988,805 </w:t>
            </w:r>
          </w:p>
        </w:tc>
      </w:tr>
      <w:tr w:rsidR="00A051C2" w:rsidTr="00F71869" w14:paraId="53F3721A"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53DA8A88"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02016B8B" w14:textId="77777777">
            <w:pPr>
              <w:rPr>
                <w:rFonts w:asciiTheme="minorHAnsi" w:hAnsiTheme="minorHAnsi" w:cstheme="minorHAnsi"/>
                <w:color w:val="000000"/>
                <w:sz w:val="22"/>
              </w:rPr>
            </w:pPr>
            <w:r w:rsidRPr="003B4BA5">
              <w:rPr>
                <w:rFonts w:asciiTheme="minorHAnsi" w:hAnsiTheme="minorHAnsi" w:cstheme="minorHAnsi"/>
                <w:color w:val="000000"/>
                <w:sz w:val="22"/>
              </w:rPr>
              <w:t>INSURANCE</w:t>
            </w:r>
          </w:p>
        </w:tc>
        <w:tc>
          <w:tcPr>
            <w:tcW w:w="1666" w:type="dxa"/>
            <w:tcBorders>
              <w:top w:val="nil"/>
              <w:left w:val="nil"/>
              <w:bottom w:val="nil"/>
              <w:right w:val="nil"/>
            </w:tcBorders>
            <w:shd w:val="clear" w:color="auto" w:fill="auto"/>
            <w:noWrap/>
            <w:vAlign w:val="bottom"/>
            <w:hideMark/>
          </w:tcPr>
          <w:p w:rsidRPr="003B4BA5" w:rsidR="00F71869" w:rsidRDefault="00F71869" w14:paraId="0B875AE9"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440,018 </w:t>
            </w:r>
          </w:p>
        </w:tc>
        <w:tc>
          <w:tcPr>
            <w:tcW w:w="1779" w:type="dxa"/>
            <w:tcBorders>
              <w:top w:val="nil"/>
              <w:left w:val="nil"/>
              <w:bottom w:val="nil"/>
              <w:right w:val="nil"/>
            </w:tcBorders>
            <w:shd w:val="clear" w:color="auto" w:fill="auto"/>
            <w:noWrap/>
            <w:vAlign w:val="bottom"/>
            <w:hideMark/>
          </w:tcPr>
          <w:p w:rsidRPr="003B4BA5" w:rsidR="00F71869" w:rsidRDefault="00F71869" w14:paraId="62B764F3"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30A8B9FA"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440,018 </w:t>
            </w:r>
          </w:p>
        </w:tc>
      </w:tr>
      <w:tr w:rsidR="00A051C2" w:rsidTr="00F71869" w14:paraId="5BDF3D2D"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3D6D37D2"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22034E1B" w14:textId="77777777">
            <w:pPr>
              <w:rPr>
                <w:rFonts w:asciiTheme="minorHAnsi" w:hAnsiTheme="minorHAnsi" w:cstheme="minorHAnsi"/>
                <w:color w:val="000000"/>
                <w:sz w:val="22"/>
              </w:rPr>
            </w:pPr>
            <w:r w:rsidRPr="003B4BA5">
              <w:rPr>
                <w:rFonts w:asciiTheme="minorHAnsi" w:hAnsiTheme="minorHAnsi" w:cstheme="minorHAnsi"/>
                <w:color w:val="000000"/>
                <w:sz w:val="22"/>
              </w:rPr>
              <w:t>UNINSURED PROPERTY DAMAGE</w:t>
            </w:r>
          </w:p>
        </w:tc>
        <w:tc>
          <w:tcPr>
            <w:tcW w:w="1666" w:type="dxa"/>
            <w:tcBorders>
              <w:top w:val="nil"/>
              <w:left w:val="nil"/>
              <w:bottom w:val="nil"/>
              <w:right w:val="nil"/>
            </w:tcBorders>
            <w:shd w:val="clear" w:color="auto" w:fill="auto"/>
            <w:noWrap/>
            <w:vAlign w:val="bottom"/>
            <w:hideMark/>
          </w:tcPr>
          <w:p w:rsidRPr="003B4BA5" w:rsidR="00F71869" w:rsidRDefault="00F71869" w14:paraId="73D81AFA"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0 </w:t>
            </w:r>
          </w:p>
        </w:tc>
        <w:tc>
          <w:tcPr>
            <w:tcW w:w="1779" w:type="dxa"/>
            <w:tcBorders>
              <w:top w:val="nil"/>
              <w:left w:val="nil"/>
              <w:bottom w:val="nil"/>
              <w:right w:val="nil"/>
            </w:tcBorders>
            <w:shd w:val="clear" w:color="auto" w:fill="auto"/>
            <w:noWrap/>
            <w:vAlign w:val="bottom"/>
            <w:hideMark/>
          </w:tcPr>
          <w:p w:rsidRPr="003B4BA5" w:rsidR="00F71869" w:rsidRDefault="00F71869" w14:paraId="448FD95D"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5D929807"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0 </w:t>
            </w:r>
          </w:p>
        </w:tc>
      </w:tr>
      <w:tr w:rsidR="00A051C2" w:rsidTr="00F71869" w14:paraId="68871F4C"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1E3AD21F"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519BC2E2" w14:textId="77777777">
            <w:pPr>
              <w:rPr>
                <w:rFonts w:asciiTheme="minorHAnsi" w:hAnsiTheme="minorHAnsi" w:cstheme="minorHAnsi"/>
                <w:color w:val="000000"/>
                <w:sz w:val="22"/>
              </w:rPr>
            </w:pPr>
            <w:r w:rsidRPr="003B4BA5">
              <w:rPr>
                <w:rFonts w:asciiTheme="minorHAnsi" w:hAnsiTheme="minorHAnsi" w:cstheme="minorHAnsi"/>
                <w:color w:val="000000"/>
                <w:sz w:val="22"/>
              </w:rPr>
              <w:t>REG. COMM. EXPENSE</w:t>
            </w:r>
          </w:p>
        </w:tc>
        <w:tc>
          <w:tcPr>
            <w:tcW w:w="1666" w:type="dxa"/>
            <w:tcBorders>
              <w:top w:val="nil"/>
              <w:left w:val="nil"/>
              <w:bottom w:val="nil"/>
              <w:right w:val="nil"/>
            </w:tcBorders>
            <w:shd w:val="clear" w:color="auto" w:fill="auto"/>
            <w:noWrap/>
            <w:vAlign w:val="bottom"/>
            <w:hideMark/>
          </w:tcPr>
          <w:p w:rsidRPr="003B4BA5" w:rsidR="00F71869" w:rsidRDefault="00F71869" w14:paraId="5F9026D9"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168,510 </w:t>
            </w:r>
          </w:p>
        </w:tc>
        <w:tc>
          <w:tcPr>
            <w:tcW w:w="1779" w:type="dxa"/>
            <w:tcBorders>
              <w:top w:val="nil"/>
              <w:left w:val="nil"/>
              <w:bottom w:val="nil"/>
              <w:right w:val="nil"/>
            </w:tcBorders>
            <w:shd w:val="clear" w:color="auto" w:fill="auto"/>
            <w:noWrap/>
            <w:vAlign w:val="bottom"/>
            <w:hideMark/>
          </w:tcPr>
          <w:p w:rsidRPr="003B4BA5" w:rsidR="00F71869" w:rsidRDefault="00F71869" w14:paraId="382F4F5D"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0A047848"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168,510 </w:t>
            </w:r>
          </w:p>
        </w:tc>
      </w:tr>
      <w:tr w:rsidR="00A051C2" w:rsidTr="00F71869" w14:paraId="00ABF12A"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22C888D8"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02367EF8" w14:textId="77777777">
            <w:pPr>
              <w:rPr>
                <w:rFonts w:asciiTheme="minorHAnsi" w:hAnsiTheme="minorHAnsi" w:cstheme="minorHAnsi"/>
                <w:color w:val="000000"/>
                <w:sz w:val="22"/>
              </w:rPr>
            </w:pPr>
            <w:r w:rsidRPr="003B4BA5">
              <w:rPr>
                <w:rFonts w:asciiTheme="minorHAnsi" w:hAnsiTheme="minorHAnsi" w:cstheme="minorHAnsi"/>
                <w:color w:val="000000"/>
                <w:sz w:val="22"/>
              </w:rPr>
              <w:t>FRANCHISE REQUIREMENTS</w:t>
            </w:r>
          </w:p>
        </w:tc>
        <w:tc>
          <w:tcPr>
            <w:tcW w:w="1666" w:type="dxa"/>
            <w:tcBorders>
              <w:top w:val="nil"/>
              <w:left w:val="nil"/>
              <w:bottom w:val="nil"/>
              <w:right w:val="nil"/>
            </w:tcBorders>
            <w:shd w:val="clear" w:color="auto" w:fill="auto"/>
            <w:noWrap/>
            <w:vAlign w:val="bottom"/>
            <w:hideMark/>
          </w:tcPr>
          <w:p w:rsidRPr="003B4BA5" w:rsidR="00F71869" w:rsidRDefault="00F71869" w14:paraId="7FB1A1EB"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131,013 </w:t>
            </w:r>
          </w:p>
        </w:tc>
        <w:tc>
          <w:tcPr>
            <w:tcW w:w="1779" w:type="dxa"/>
            <w:tcBorders>
              <w:top w:val="nil"/>
              <w:left w:val="nil"/>
              <w:bottom w:val="nil"/>
              <w:right w:val="nil"/>
            </w:tcBorders>
            <w:shd w:val="clear" w:color="auto" w:fill="auto"/>
            <w:noWrap/>
            <w:vAlign w:val="bottom"/>
            <w:hideMark/>
          </w:tcPr>
          <w:p w:rsidRPr="003B4BA5" w:rsidR="00F71869" w:rsidRDefault="00F71869" w14:paraId="5C9DAC8F"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27F1C1FE"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128,868 </w:t>
            </w:r>
          </w:p>
        </w:tc>
      </w:tr>
      <w:tr w:rsidR="00A051C2" w:rsidTr="00F71869" w14:paraId="6A544BFE"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5F4F7B19"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073259AF" w14:textId="77777777">
            <w:pPr>
              <w:rPr>
                <w:rFonts w:asciiTheme="minorHAnsi" w:hAnsiTheme="minorHAnsi" w:cstheme="minorHAnsi"/>
                <w:color w:val="000000"/>
                <w:sz w:val="22"/>
              </w:rPr>
            </w:pPr>
            <w:r w:rsidRPr="003B4BA5">
              <w:rPr>
                <w:rFonts w:asciiTheme="minorHAnsi" w:hAnsiTheme="minorHAnsi" w:cstheme="minorHAnsi"/>
                <w:color w:val="000000"/>
                <w:sz w:val="22"/>
              </w:rPr>
              <w:t>OUTSIDE SERVICES</w:t>
            </w:r>
          </w:p>
        </w:tc>
        <w:tc>
          <w:tcPr>
            <w:tcW w:w="1666" w:type="dxa"/>
            <w:tcBorders>
              <w:top w:val="nil"/>
              <w:left w:val="nil"/>
              <w:bottom w:val="nil"/>
              <w:right w:val="nil"/>
            </w:tcBorders>
            <w:shd w:val="clear" w:color="auto" w:fill="auto"/>
            <w:noWrap/>
            <w:vAlign w:val="bottom"/>
            <w:hideMark/>
          </w:tcPr>
          <w:p w:rsidRPr="003B4BA5" w:rsidR="00F71869" w:rsidRDefault="00F71869" w14:paraId="31A74739"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270,757 </w:t>
            </w:r>
          </w:p>
        </w:tc>
        <w:tc>
          <w:tcPr>
            <w:tcW w:w="1779" w:type="dxa"/>
            <w:tcBorders>
              <w:top w:val="nil"/>
              <w:left w:val="nil"/>
              <w:bottom w:val="nil"/>
              <w:right w:val="nil"/>
            </w:tcBorders>
            <w:shd w:val="clear" w:color="auto" w:fill="auto"/>
            <w:noWrap/>
            <w:vAlign w:val="bottom"/>
            <w:hideMark/>
          </w:tcPr>
          <w:p w:rsidRPr="003B4BA5" w:rsidR="00F71869" w:rsidRDefault="00F71869" w14:paraId="79641578"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0F988C8A"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270,757 </w:t>
            </w:r>
          </w:p>
        </w:tc>
      </w:tr>
      <w:tr w:rsidR="00A051C2" w:rsidTr="00F71869" w14:paraId="21B7EA4A"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3EF44283"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3BA8835E" w14:textId="77777777">
            <w:pPr>
              <w:rPr>
                <w:rFonts w:asciiTheme="minorHAnsi" w:hAnsiTheme="minorHAnsi" w:cstheme="minorHAnsi"/>
                <w:color w:val="000000"/>
                <w:sz w:val="22"/>
              </w:rPr>
            </w:pPr>
            <w:r w:rsidRPr="003B4BA5">
              <w:rPr>
                <w:rFonts w:asciiTheme="minorHAnsi" w:hAnsiTheme="minorHAnsi" w:cstheme="minorHAnsi"/>
                <w:color w:val="000000"/>
                <w:sz w:val="22"/>
              </w:rPr>
              <w:t>A &amp; G - OTHER</w:t>
            </w:r>
          </w:p>
        </w:tc>
        <w:tc>
          <w:tcPr>
            <w:tcW w:w="1666" w:type="dxa"/>
            <w:tcBorders>
              <w:top w:val="nil"/>
              <w:left w:val="nil"/>
              <w:bottom w:val="nil"/>
              <w:right w:val="nil"/>
            </w:tcBorders>
            <w:shd w:val="clear" w:color="auto" w:fill="auto"/>
            <w:noWrap/>
            <w:vAlign w:val="bottom"/>
            <w:hideMark/>
          </w:tcPr>
          <w:p w:rsidRPr="003B4BA5" w:rsidR="00F71869" w:rsidRDefault="00F71869" w14:paraId="4AC47694"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442,910 </w:t>
            </w:r>
          </w:p>
        </w:tc>
        <w:tc>
          <w:tcPr>
            <w:tcW w:w="1779" w:type="dxa"/>
            <w:tcBorders>
              <w:top w:val="nil"/>
              <w:left w:val="nil"/>
              <w:bottom w:val="nil"/>
              <w:right w:val="nil"/>
            </w:tcBorders>
            <w:shd w:val="clear" w:color="auto" w:fill="auto"/>
            <w:noWrap/>
            <w:vAlign w:val="bottom"/>
            <w:hideMark/>
          </w:tcPr>
          <w:p w:rsidRPr="003B4BA5" w:rsidR="00F71869" w:rsidRDefault="00F71869" w14:paraId="6E05E5E7"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351BC76"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442,910 </w:t>
            </w:r>
          </w:p>
        </w:tc>
      </w:tr>
      <w:tr w:rsidR="00A051C2" w:rsidTr="00F71869" w14:paraId="51614D63"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27A3D042"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5279305E" w14:textId="77777777">
            <w:pPr>
              <w:rPr>
                <w:rFonts w:asciiTheme="minorHAnsi" w:hAnsiTheme="minorHAnsi" w:cstheme="minorHAnsi"/>
                <w:color w:val="000000"/>
                <w:sz w:val="22"/>
              </w:rPr>
            </w:pPr>
            <w:r w:rsidRPr="003B4BA5">
              <w:rPr>
                <w:rFonts w:asciiTheme="minorHAnsi" w:hAnsiTheme="minorHAnsi" w:cstheme="minorHAnsi"/>
                <w:color w:val="000000"/>
                <w:sz w:val="22"/>
              </w:rPr>
              <w:t>A &amp; G TRANSFERRED CREDIT</w:t>
            </w:r>
          </w:p>
        </w:tc>
        <w:tc>
          <w:tcPr>
            <w:tcW w:w="1666" w:type="dxa"/>
            <w:tcBorders>
              <w:top w:val="nil"/>
              <w:left w:val="nil"/>
              <w:bottom w:val="nil"/>
              <w:right w:val="nil"/>
            </w:tcBorders>
            <w:shd w:val="clear" w:color="auto" w:fill="auto"/>
            <w:noWrap/>
            <w:vAlign w:val="bottom"/>
            <w:hideMark/>
          </w:tcPr>
          <w:p w:rsidRPr="003B4BA5" w:rsidR="00F71869" w:rsidRDefault="00F71869" w14:paraId="0E416F6D"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(529,741)</w:t>
            </w:r>
          </w:p>
        </w:tc>
        <w:tc>
          <w:tcPr>
            <w:tcW w:w="1779" w:type="dxa"/>
            <w:tcBorders>
              <w:top w:val="nil"/>
              <w:left w:val="nil"/>
              <w:bottom w:val="nil"/>
              <w:right w:val="nil"/>
            </w:tcBorders>
            <w:shd w:val="clear" w:color="auto" w:fill="auto"/>
            <w:noWrap/>
            <w:vAlign w:val="bottom"/>
            <w:hideMark/>
          </w:tcPr>
          <w:p w:rsidRPr="003B4BA5" w:rsidR="00F71869" w:rsidRDefault="00F71869" w14:paraId="7F5C63F0"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1672E8FF"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(529,741)</w:t>
            </w:r>
          </w:p>
        </w:tc>
      </w:tr>
      <w:tr w:rsidR="00A051C2" w:rsidTr="00F71869" w14:paraId="3D9AB54D"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1CE2A523"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3DE5DED8" w14:textId="77777777">
            <w:pPr>
              <w:rPr>
                <w:rFonts w:asciiTheme="minorHAnsi" w:hAnsiTheme="minorHAnsi" w:cstheme="minorHAnsi"/>
                <w:color w:val="000000"/>
                <w:sz w:val="22"/>
              </w:rPr>
            </w:pPr>
            <w:r w:rsidRPr="003B4BA5">
              <w:rPr>
                <w:rFonts w:asciiTheme="minorHAnsi" w:hAnsiTheme="minorHAnsi" w:cstheme="minorHAnsi"/>
                <w:color w:val="000000"/>
                <w:sz w:val="22"/>
              </w:rPr>
              <w:t>RENTS</w:t>
            </w:r>
          </w:p>
        </w:tc>
        <w:tc>
          <w:tcPr>
            <w:tcW w:w="1666" w:type="dxa"/>
            <w:tcBorders>
              <w:top w:val="nil"/>
              <w:left w:val="nil"/>
              <w:bottom w:val="nil"/>
              <w:right w:val="nil"/>
            </w:tcBorders>
            <w:shd w:val="clear" w:color="auto" w:fill="auto"/>
            <w:noWrap/>
            <w:vAlign w:val="bottom"/>
            <w:hideMark/>
          </w:tcPr>
          <w:p w:rsidRPr="003B4BA5" w:rsidR="00F71869" w:rsidRDefault="00F71869" w14:paraId="36A2E7F9"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0 </w:t>
            </w:r>
          </w:p>
        </w:tc>
        <w:tc>
          <w:tcPr>
            <w:tcW w:w="1779" w:type="dxa"/>
            <w:tcBorders>
              <w:top w:val="nil"/>
              <w:left w:val="nil"/>
              <w:bottom w:val="nil"/>
              <w:right w:val="nil"/>
            </w:tcBorders>
            <w:shd w:val="clear" w:color="auto" w:fill="auto"/>
            <w:noWrap/>
            <w:vAlign w:val="bottom"/>
            <w:hideMark/>
          </w:tcPr>
          <w:p w:rsidRPr="003B4BA5" w:rsidR="00F71869" w:rsidRDefault="00F71869" w14:paraId="22AA1DB1"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341C7CB"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0 </w:t>
            </w:r>
          </w:p>
        </w:tc>
      </w:tr>
      <w:tr w:rsidR="00A051C2" w:rsidTr="00F71869" w14:paraId="4971157C" w14:textId="77777777">
        <w:trPr>
          <w:trHeight w:val="375"/>
        </w:trPr>
        <w:tc>
          <w:tcPr>
            <w:tcW w:w="794" w:type="dxa"/>
            <w:tcBorders>
              <w:top w:val="nil"/>
              <w:left w:val="nil"/>
              <w:bottom w:val="nil"/>
              <w:right w:val="nil"/>
            </w:tcBorders>
            <w:shd w:val="clear" w:color="auto" w:fill="auto"/>
            <w:noWrap/>
            <w:vAlign w:val="bottom"/>
            <w:hideMark/>
          </w:tcPr>
          <w:p w:rsidR="00F71869" w:rsidRDefault="00F71869" w14:paraId="732A1CDE" w14:textId="77777777">
            <w:pPr>
              <w:jc w:val="right"/>
              <w:rPr>
                <w:color w:val="000000"/>
              </w:rPr>
            </w:pPr>
            <w:r>
              <w:rPr>
                <w:color w:val="000000"/>
                <w:vertAlign w:val="superscript"/>
              </w:rPr>
              <w:t>1</w:t>
            </w:r>
          </w:p>
        </w:tc>
        <w:tc>
          <w:tcPr>
            <w:tcW w:w="3266" w:type="dxa"/>
            <w:tcBorders>
              <w:top w:val="nil"/>
              <w:left w:val="nil"/>
              <w:bottom w:val="nil"/>
              <w:right w:val="nil"/>
            </w:tcBorders>
            <w:shd w:val="clear" w:color="auto" w:fill="auto"/>
            <w:noWrap/>
            <w:vAlign w:val="bottom"/>
            <w:hideMark/>
          </w:tcPr>
          <w:p w:rsidRPr="003B4BA5" w:rsidR="00F71869" w:rsidRDefault="00F71869" w14:paraId="31A25EF2" w14:textId="77777777">
            <w:pPr>
              <w:rPr>
                <w:rFonts w:asciiTheme="minorHAnsi" w:hAnsiTheme="minorHAnsi" w:cstheme="minorHAnsi"/>
                <w:color w:val="000000"/>
                <w:sz w:val="22"/>
              </w:rPr>
            </w:pPr>
            <w:r w:rsidRPr="003B4BA5">
              <w:rPr>
                <w:rFonts w:asciiTheme="minorHAnsi" w:hAnsiTheme="minorHAnsi" w:cstheme="minorHAnsi"/>
                <w:color w:val="000000"/>
                <w:sz w:val="22"/>
              </w:rPr>
              <w:t>ALLOCATIONS</w:t>
            </w:r>
          </w:p>
        </w:tc>
        <w:tc>
          <w:tcPr>
            <w:tcW w:w="1666" w:type="dxa"/>
            <w:tcBorders>
              <w:top w:val="nil"/>
              <w:left w:val="nil"/>
              <w:bottom w:val="nil"/>
              <w:right w:val="nil"/>
            </w:tcBorders>
            <w:shd w:val="clear" w:color="auto" w:fill="auto"/>
            <w:noWrap/>
            <w:vAlign w:val="bottom"/>
            <w:hideMark/>
          </w:tcPr>
          <w:p w:rsidRPr="003B4BA5" w:rsidR="00F71869" w:rsidRDefault="00F71869" w14:paraId="3D212BC7"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3,096,257 </w:t>
            </w:r>
          </w:p>
        </w:tc>
        <w:tc>
          <w:tcPr>
            <w:tcW w:w="1779" w:type="dxa"/>
            <w:tcBorders>
              <w:top w:val="nil"/>
              <w:left w:val="nil"/>
              <w:bottom w:val="nil"/>
              <w:right w:val="nil"/>
            </w:tcBorders>
            <w:shd w:val="clear" w:color="auto" w:fill="auto"/>
            <w:noWrap/>
            <w:vAlign w:val="bottom"/>
            <w:hideMark/>
          </w:tcPr>
          <w:p w:rsidRPr="003B4BA5" w:rsidR="00F71869" w:rsidRDefault="00F71869" w14:paraId="3C993E2C"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5DF2DF65"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3,096,257 </w:t>
            </w:r>
          </w:p>
        </w:tc>
      </w:tr>
      <w:tr w:rsidR="00A051C2" w:rsidTr="00F71869" w14:paraId="1628D3AD"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12521030"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7143C89E"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507444AB"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177B23EC"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6A1DD95E" w14:textId="77777777">
            <w:pPr>
              <w:rPr>
                <w:rFonts w:asciiTheme="minorHAnsi" w:hAnsiTheme="minorHAnsi" w:cstheme="minorHAnsi"/>
                <w:sz w:val="22"/>
              </w:rPr>
            </w:pPr>
          </w:p>
        </w:tc>
      </w:tr>
      <w:tr w:rsidR="00A051C2" w:rsidTr="00F71869" w14:paraId="252FF33A"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374D563C" w14:textId="77777777">
            <w:pPr>
              <w:rPr>
                <w:sz w:val="20"/>
                <w:szCs w:val="20"/>
              </w:rPr>
            </w:pPr>
          </w:p>
        </w:tc>
        <w:tc>
          <w:tcPr>
            <w:tcW w:w="3266" w:type="dxa"/>
            <w:tcBorders>
              <w:top w:val="nil"/>
              <w:left w:val="nil"/>
              <w:bottom w:val="nil"/>
              <w:right w:val="nil"/>
            </w:tcBorders>
            <w:shd w:val="clear" w:color="auto" w:fill="auto"/>
            <w:noWrap/>
            <w:vAlign w:val="bottom"/>
            <w:hideMark/>
          </w:tcPr>
          <w:p w:rsidRPr="003B4BA5" w:rsidR="00F71869" w:rsidRDefault="00F71869" w14:paraId="2CF21317" w14:textId="77777777">
            <w:pPr>
              <w:rPr>
                <w:rFonts w:asciiTheme="minorHAnsi" w:hAnsiTheme="minorHAnsi" w:cstheme="minorHAnsi"/>
                <w:color w:val="000000"/>
                <w:sz w:val="22"/>
              </w:rPr>
            </w:pPr>
            <w:r w:rsidRPr="003B4BA5">
              <w:rPr>
                <w:rFonts w:asciiTheme="minorHAnsi" w:hAnsiTheme="minorHAnsi" w:cstheme="minorHAnsi"/>
                <w:color w:val="000000"/>
                <w:sz w:val="22"/>
              </w:rPr>
              <w:t>SUB-TOTAL A &amp; G</w:t>
            </w:r>
          </w:p>
        </w:tc>
        <w:tc>
          <w:tcPr>
            <w:tcW w:w="1666" w:type="dxa"/>
            <w:tcBorders>
              <w:top w:val="nil"/>
              <w:left w:val="nil"/>
              <w:bottom w:val="nil"/>
              <w:right w:val="nil"/>
            </w:tcBorders>
            <w:shd w:val="clear" w:color="auto" w:fill="auto"/>
            <w:noWrap/>
            <w:vAlign w:val="bottom"/>
            <w:hideMark/>
          </w:tcPr>
          <w:p w:rsidRPr="003B4BA5" w:rsidR="00F71869" w:rsidRDefault="00F71869" w14:paraId="5DD32448"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6,607,103 </w:t>
            </w:r>
          </w:p>
        </w:tc>
        <w:tc>
          <w:tcPr>
            <w:tcW w:w="1779" w:type="dxa"/>
            <w:tcBorders>
              <w:top w:val="nil"/>
              <w:left w:val="nil"/>
              <w:bottom w:val="nil"/>
              <w:right w:val="nil"/>
            </w:tcBorders>
            <w:shd w:val="clear" w:color="auto" w:fill="auto"/>
            <w:noWrap/>
            <w:vAlign w:val="bottom"/>
            <w:hideMark/>
          </w:tcPr>
          <w:p w:rsidRPr="003B4BA5" w:rsidR="00F71869" w:rsidRDefault="00F71869" w14:paraId="0823D093"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610558E3"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6,604,958 </w:t>
            </w:r>
          </w:p>
        </w:tc>
      </w:tr>
      <w:tr w:rsidR="00A051C2" w:rsidTr="00F71869" w14:paraId="3F6E117C"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3B92CE17"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09F90FEA"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32E44964"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7AE062CE"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0D3B851B" w14:textId="77777777">
            <w:pPr>
              <w:rPr>
                <w:rFonts w:asciiTheme="minorHAnsi" w:hAnsiTheme="minorHAnsi" w:cstheme="minorHAnsi"/>
                <w:sz w:val="22"/>
              </w:rPr>
            </w:pPr>
          </w:p>
        </w:tc>
      </w:tr>
      <w:tr w:rsidR="00F71869" w:rsidTr="003B4BA5" w14:paraId="797F3CFA" w14:textId="77777777">
        <w:trPr>
          <w:trHeight w:val="315"/>
        </w:trPr>
        <w:tc>
          <w:tcPr>
            <w:tcW w:w="4060" w:type="dxa"/>
            <w:gridSpan w:val="2"/>
            <w:tcBorders>
              <w:top w:val="nil"/>
              <w:left w:val="nil"/>
              <w:bottom w:val="nil"/>
              <w:right w:val="nil"/>
            </w:tcBorders>
            <w:shd w:val="clear" w:color="auto" w:fill="auto"/>
            <w:noWrap/>
            <w:vAlign w:val="bottom"/>
            <w:hideMark/>
          </w:tcPr>
          <w:p w:rsidRPr="003B4BA5" w:rsidR="00F71869" w:rsidRDefault="00F71869" w14:paraId="7CA1901E" w14:textId="77777777">
            <w:pPr>
              <w:rPr>
                <w:rFonts w:asciiTheme="minorHAnsi" w:hAnsiTheme="minorHAnsi" w:cstheme="minorHAnsi"/>
                <w:color w:val="000000"/>
                <w:sz w:val="22"/>
              </w:rPr>
            </w:pPr>
            <w:r w:rsidRPr="003B4BA5">
              <w:rPr>
                <w:rFonts w:asciiTheme="minorHAnsi" w:hAnsiTheme="minorHAnsi" w:cstheme="minorHAnsi"/>
                <w:color w:val="000000"/>
                <w:sz w:val="22"/>
              </w:rPr>
              <w:t>OTHER TAXES</w:t>
            </w:r>
          </w:p>
        </w:tc>
        <w:tc>
          <w:tcPr>
            <w:tcW w:w="1666" w:type="dxa"/>
            <w:tcBorders>
              <w:top w:val="nil"/>
              <w:left w:val="nil"/>
              <w:bottom w:val="nil"/>
              <w:right w:val="nil"/>
            </w:tcBorders>
            <w:shd w:val="clear" w:color="auto" w:fill="auto"/>
            <w:noWrap/>
            <w:vAlign w:val="bottom"/>
            <w:hideMark/>
          </w:tcPr>
          <w:p w:rsidRPr="003B4BA5" w:rsidR="00F71869" w:rsidRDefault="00F71869" w14:paraId="5D22D970" w14:textId="77777777">
            <w:pPr>
              <w:rPr>
                <w:rFonts w:asciiTheme="minorHAnsi" w:hAnsiTheme="minorHAnsi" w:cstheme="minorHAnsi"/>
                <w:color w:val="000000"/>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1CFC9859"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216D4F13" w14:textId="77777777">
            <w:pPr>
              <w:rPr>
                <w:rFonts w:asciiTheme="minorHAnsi" w:hAnsiTheme="minorHAnsi" w:cstheme="minorHAnsi"/>
                <w:sz w:val="22"/>
              </w:rPr>
            </w:pPr>
          </w:p>
        </w:tc>
      </w:tr>
      <w:tr w:rsidR="00A051C2" w:rsidTr="00F71869" w14:paraId="50D09262" w14:textId="77777777">
        <w:trPr>
          <w:trHeight w:val="375"/>
        </w:trPr>
        <w:tc>
          <w:tcPr>
            <w:tcW w:w="794" w:type="dxa"/>
            <w:tcBorders>
              <w:top w:val="nil"/>
              <w:left w:val="nil"/>
              <w:bottom w:val="nil"/>
              <w:right w:val="nil"/>
            </w:tcBorders>
            <w:shd w:val="clear" w:color="auto" w:fill="auto"/>
            <w:noWrap/>
            <w:vAlign w:val="bottom"/>
            <w:hideMark/>
          </w:tcPr>
          <w:p w:rsidR="00F71869" w:rsidRDefault="00F71869" w14:paraId="2153420D" w14:textId="77777777">
            <w:pPr>
              <w:jc w:val="right"/>
              <w:rPr>
                <w:color w:val="000000"/>
                <w:sz w:val="24"/>
                <w:szCs w:val="24"/>
              </w:rPr>
            </w:pPr>
            <w:r>
              <w:rPr>
                <w:color w:val="000000"/>
                <w:vertAlign w:val="superscript"/>
              </w:rPr>
              <w:t>1</w:t>
            </w:r>
          </w:p>
        </w:tc>
        <w:tc>
          <w:tcPr>
            <w:tcW w:w="3266" w:type="dxa"/>
            <w:tcBorders>
              <w:top w:val="nil"/>
              <w:left w:val="nil"/>
              <w:bottom w:val="nil"/>
              <w:right w:val="nil"/>
            </w:tcBorders>
            <w:shd w:val="clear" w:color="auto" w:fill="auto"/>
            <w:noWrap/>
            <w:vAlign w:val="bottom"/>
            <w:hideMark/>
          </w:tcPr>
          <w:p w:rsidRPr="003B4BA5" w:rsidR="00F71869" w:rsidRDefault="00F71869" w14:paraId="1219B0B0" w14:textId="77777777">
            <w:pPr>
              <w:rPr>
                <w:rFonts w:asciiTheme="minorHAnsi" w:hAnsiTheme="minorHAnsi" w:cstheme="minorHAnsi"/>
                <w:color w:val="000000"/>
                <w:sz w:val="22"/>
              </w:rPr>
            </w:pPr>
            <w:r w:rsidRPr="003B4BA5">
              <w:rPr>
                <w:rFonts w:asciiTheme="minorHAnsi" w:hAnsiTheme="minorHAnsi" w:cstheme="minorHAnsi"/>
                <w:color w:val="000000"/>
                <w:sz w:val="22"/>
              </w:rPr>
              <w:t>PROPERTY TAXES</w:t>
            </w:r>
          </w:p>
        </w:tc>
        <w:tc>
          <w:tcPr>
            <w:tcW w:w="1666" w:type="dxa"/>
            <w:tcBorders>
              <w:top w:val="nil"/>
              <w:left w:val="nil"/>
              <w:bottom w:val="nil"/>
              <w:right w:val="nil"/>
            </w:tcBorders>
            <w:shd w:val="clear" w:color="auto" w:fill="auto"/>
            <w:noWrap/>
            <w:vAlign w:val="bottom"/>
            <w:hideMark/>
          </w:tcPr>
          <w:p w:rsidRPr="003B4BA5" w:rsidR="00F71869" w:rsidRDefault="00F71869" w14:paraId="7E9BF9BE"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1,078,067 </w:t>
            </w:r>
          </w:p>
        </w:tc>
        <w:tc>
          <w:tcPr>
            <w:tcW w:w="1779" w:type="dxa"/>
            <w:tcBorders>
              <w:top w:val="nil"/>
              <w:left w:val="nil"/>
              <w:bottom w:val="nil"/>
              <w:right w:val="nil"/>
            </w:tcBorders>
            <w:shd w:val="clear" w:color="auto" w:fill="auto"/>
            <w:noWrap/>
            <w:vAlign w:val="bottom"/>
            <w:hideMark/>
          </w:tcPr>
          <w:p w:rsidRPr="003B4BA5" w:rsidR="00F71869" w:rsidRDefault="00F71869" w14:paraId="40C8FBDD"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9732147"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1,078,067 </w:t>
            </w:r>
          </w:p>
        </w:tc>
      </w:tr>
      <w:tr w:rsidR="00A051C2" w:rsidTr="00F71869" w14:paraId="3147336F" w14:textId="77777777">
        <w:trPr>
          <w:trHeight w:val="375"/>
        </w:trPr>
        <w:tc>
          <w:tcPr>
            <w:tcW w:w="794" w:type="dxa"/>
            <w:tcBorders>
              <w:top w:val="nil"/>
              <w:left w:val="nil"/>
              <w:bottom w:val="nil"/>
              <w:right w:val="nil"/>
            </w:tcBorders>
            <w:shd w:val="clear" w:color="auto" w:fill="auto"/>
            <w:noWrap/>
            <w:vAlign w:val="bottom"/>
            <w:hideMark/>
          </w:tcPr>
          <w:p w:rsidR="00F71869" w:rsidRDefault="00F71869" w14:paraId="6C8CA186"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6A1D8F68" w14:textId="77777777">
            <w:pPr>
              <w:rPr>
                <w:rFonts w:asciiTheme="minorHAnsi" w:hAnsiTheme="minorHAnsi" w:cstheme="minorHAnsi"/>
                <w:color w:val="000000"/>
                <w:sz w:val="22"/>
              </w:rPr>
            </w:pPr>
            <w:r w:rsidRPr="003B4BA5">
              <w:rPr>
                <w:rFonts w:asciiTheme="minorHAnsi" w:hAnsiTheme="minorHAnsi" w:cstheme="minorHAnsi"/>
                <w:color w:val="000000"/>
                <w:sz w:val="22"/>
              </w:rPr>
              <w:t>TAXES-OTHER</w:t>
            </w:r>
          </w:p>
        </w:tc>
        <w:tc>
          <w:tcPr>
            <w:tcW w:w="1666" w:type="dxa"/>
            <w:tcBorders>
              <w:top w:val="nil"/>
              <w:left w:val="nil"/>
              <w:bottom w:val="nil"/>
              <w:right w:val="nil"/>
            </w:tcBorders>
            <w:shd w:val="clear" w:color="auto" w:fill="auto"/>
            <w:noWrap/>
            <w:vAlign w:val="bottom"/>
            <w:hideMark/>
          </w:tcPr>
          <w:p w:rsidRPr="003B4BA5" w:rsidR="00F71869" w:rsidRDefault="00F71869" w14:paraId="0B138132"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65,984 </w:t>
            </w:r>
          </w:p>
        </w:tc>
        <w:tc>
          <w:tcPr>
            <w:tcW w:w="1779" w:type="dxa"/>
            <w:tcBorders>
              <w:top w:val="nil"/>
              <w:left w:val="nil"/>
              <w:bottom w:val="nil"/>
              <w:right w:val="nil"/>
            </w:tcBorders>
            <w:shd w:val="clear" w:color="auto" w:fill="auto"/>
            <w:noWrap/>
            <w:vAlign w:val="bottom"/>
            <w:hideMark/>
          </w:tcPr>
          <w:p w:rsidRPr="003B4BA5" w:rsidR="00F71869" w:rsidRDefault="00F71869" w14:paraId="06500AAC"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47B6221B"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65,984 </w:t>
            </w:r>
          </w:p>
        </w:tc>
      </w:tr>
      <w:tr w:rsidR="00A051C2" w:rsidTr="00F71869" w14:paraId="5A86C647" w14:textId="77777777">
        <w:trPr>
          <w:trHeight w:val="375"/>
        </w:trPr>
        <w:tc>
          <w:tcPr>
            <w:tcW w:w="794" w:type="dxa"/>
            <w:tcBorders>
              <w:top w:val="nil"/>
              <w:left w:val="nil"/>
              <w:bottom w:val="nil"/>
              <w:right w:val="nil"/>
            </w:tcBorders>
            <w:shd w:val="clear" w:color="auto" w:fill="auto"/>
            <w:noWrap/>
            <w:vAlign w:val="bottom"/>
            <w:hideMark/>
          </w:tcPr>
          <w:p w:rsidR="00F71869" w:rsidRDefault="00F71869" w14:paraId="138D0A0F" w14:textId="77777777">
            <w:pPr>
              <w:jc w:val="right"/>
              <w:rPr>
                <w:color w:val="000000"/>
              </w:rPr>
            </w:pPr>
            <w:r>
              <w:rPr>
                <w:color w:val="000000"/>
                <w:vertAlign w:val="superscript"/>
              </w:rPr>
              <w:t>1</w:t>
            </w:r>
          </w:p>
        </w:tc>
        <w:tc>
          <w:tcPr>
            <w:tcW w:w="3266" w:type="dxa"/>
            <w:tcBorders>
              <w:top w:val="nil"/>
              <w:left w:val="nil"/>
              <w:bottom w:val="nil"/>
              <w:right w:val="nil"/>
            </w:tcBorders>
            <w:shd w:val="clear" w:color="auto" w:fill="auto"/>
            <w:noWrap/>
            <w:vAlign w:val="bottom"/>
            <w:hideMark/>
          </w:tcPr>
          <w:p w:rsidRPr="003B4BA5" w:rsidR="00F71869" w:rsidRDefault="00F71869" w14:paraId="24C7A809" w14:textId="77777777">
            <w:pPr>
              <w:rPr>
                <w:rFonts w:asciiTheme="minorHAnsi" w:hAnsiTheme="minorHAnsi" w:cstheme="minorHAnsi"/>
                <w:color w:val="000000"/>
                <w:sz w:val="22"/>
              </w:rPr>
            </w:pPr>
            <w:r w:rsidRPr="003B4BA5">
              <w:rPr>
                <w:rFonts w:asciiTheme="minorHAnsi" w:hAnsiTheme="minorHAnsi" w:cstheme="minorHAnsi"/>
                <w:color w:val="000000"/>
                <w:sz w:val="22"/>
              </w:rPr>
              <w:t>PAYROLL TAXES</w:t>
            </w:r>
          </w:p>
        </w:tc>
        <w:tc>
          <w:tcPr>
            <w:tcW w:w="1666" w:type="dxa"/>
            <w:tcBorders>
              <w:top w:val="nil"/>
              <w:left w:val="nil"/>
              <w:bottom w:val="nil"/>
              <w:right w:val="nil"/>
            </w:tcBorders>
            <w:shd w:val="clear" w:color="auto" w:fill="auto"/>
            <w:noWrap/>
            <w:vAlign w:val="bottom"/>
            <w:hideMark/>
          </w:tcPr>
          <w:p w:rsidRPr="003B4BA5" w:rsidR="00F71869" w:rsidRDefault="00F71869" w14:paraId="1A8618CB"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302,286 </w:t>
            </w:r>
          </w:p>
        </w:tc>
        <w:tc>
          <w:tcPr>
            <w:tcW w:w="1779" w:type="dxa"/>
            <w:tcBorders>
              <w:top w:val="nil"/>
              <w:left w:val="nil"/>
              <w:bottom w:val="nil"/>
              <w:right w:val="nil"/>
            </w:tcBorders>
            <w:shd w:val="clear" w:color="auto" w:fill="auto"/>
            <w:noWrap/>
            <w:vAlign w:val="bottom"/>
            <w:hideMark/>
          </w:tcPr>
          <w:p w:rsidRPr="003B4BA5" w:rsidR="00F71869" w:rsidRDefault="00F71869" w14:paraId="2571EE14"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1EC72FF0"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302,286 </w:t>
            </w:r>
          </w:p>
        </w:tc>
      </w:tr>
      <w:tr w:rsidR="00A051C2" w:rsidTr="00F71869" w14:paraId="48B9FF9C"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7F71858E"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411D8AC7"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2561C73E"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33254BEC"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38DE71A1" w14:textId="77777777">
            <w:pPr>
              <w:rPr>
                <w:rFonts w:asciiTheme="minorHAnsi" w:hAnsiTheme="minorHAnsi" w:cstheme="minorHAnsi"/>
                <w:sz w:val="22"/>
              </w:rPr>
            </w:pPr>
          </w:p>
        </w:tc>
      </w:tr>
      <w:tr w:rsidR="00A051C2" w:rsidTr="00F71869" w14:paraId="253CAF8B"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228FE083" w14:textId="77777777">
            <w:pPr>
              <w:rPr>
                <w:sz w:val="20"/>
                <w:szCs w:val="20"/>
              </w:rPr>
            </w:pPr>
          </w:p>
        </w:tc>
        <w:tc>
          <w:tcPr>
            <w:tcW w:w="3266" w:type="dxa"/>
            <w:tcBorders>
              <w:top w:val="nil"/>
              <w:left w:val="nil"/>
              <w:bottom w:val="nil"/>
              <w:right w:val="nil"/>
            </w:tcBorders>
            <w:shd w:val="clear" w:color="auto" w:fill="auto"/>
            <w:noWrap/>
            <w:vAlign w:val="bottom"/>
            <w:hideMark/>
          </w:tcPr>
          <w:p w:rsidRPr="003B4BA5" w:rsidR="00F71869" w:rsidRDefault="00F71869" w14:paraId="04A4B718" w14:textId="77777777">
            <w:pPr>
              <w:rPr>
                <w:rFonts w:asciiTheme="minorHAnsi" w:hAnsiTheme="minorHAnsi" w:cstheme="minorHAnsi"/>
                <w:color w:val="000000"/>
                <w:sz w:val="22"/>
              </w:rPr>
            </w:pPr>
            <w:r w:rsidRPr="003B4BA5">
              <w:rPr>
                <w:rFonts w:asciiTheme="minorHAnsi" w:hAnsiTheme="minorHAnsi" w:cstheme="minorHAnsi"/>
                <w:color w:val="000000"/>
                <w:sz w:val="22"/>
              </w:rPr>
              <w:t>SUB-TOTAL OTHER TAXES</w:t>
            </w:r>
          </w:p>
        </w:tc>
        <w:tc>
          <w:tcPr>
            <w:tcW w:w="1666" w:type="dxa"/>
            <w:tcBorders>
              <w:top w:val="nil"/>
              <w:left w:val="nil"/>
              <w:bottom w:val="nil"/>
              <w:right w:val="nil"/>
            </w:tcBorders>
            <w:shd w:val="clear" w:color="auto" w:fill="auto"/>
            <w:noWrap/>
            <w:vAlign w:val="bottom"/>
            <w:hideMark/>
          </w:tcPr>
          <w:p w:rsidRPr="003B4BA5" w:rsidR="00F71869" w:rsidRDefault="00F71869" w14:paraId="3E10BB5B"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1,446,337 </w:t>
            </w:r>
          </w:p>
        </w:tc>
        <w:tc>
          <w:tcPr>
            <w:tcW w:w="1779" w:type="dxa"/>
            <w:tcBorders>
              <w:top w:val="nil"/>
              <w:left w:val="nil"/>
              <w:bottom w:val="nil"/>
              <w:right w:val="nil"/>
            </w:tcBorders>
            <w:shd w:val="clear" w:color="auto" w:fill="auto"/>
            <w:noWrap/>
            <w:vAlign w:val="bottom"/>
            <w:hideMark/>
          </w:tcPr>
          <w:p w:rsidRPr="003B4BA5" w:rsidR="00F71869" w:rsidRDefault="00F71869" w14:paraId="22F06F46"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CE98267"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1,446,337 </w:t>
            </w:r>
          </w:p>
        </w:tc>
      </w:tr>
      <w:tr w:rsidR="00A051C2" w:rsidTr="00F71869" w14:paraId="785F9ADC"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2427205E"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0C118AD2"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18075782"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6CB4D90F"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0F8158C" w14:textId="77777777">
            <w:pPr>
              <w:rPr>
                <w:rFonts w:asciiTheme="minorHAnsi" w:hAnsiTheme="minorHAnsi" w:cstheme="minorHAnsi"/>
                <w:sz w:val="22"/>
              </w:rPr>
            </w:pPr>
          </w:p>
        </w:tc>
      </w:tr>
      <w:tr w:rsidR="00A051C2" w:rsidTr="00F71869" w14:paraId="0E043D90" w14:textId="77777777">
        <w:trPr>
          <w:trHeight w:val="375"/>
        </w:trPr>
        <w:tc>
          <w:tcPr>
            <w:tcW w:w="794" w:type="dxa"/>
            <w:tcBorders>
              <w:top w:val="nil"/>
              <w:left w:val="nil"/>
              <w:bottom w:val="nil"/>
              <w:right w:val="nil"/>
            </w:tcBorders>
            <w:shd w:val="clear" w:color="auto" w:fill="auto"/>
            <w:noWrap/>
            <w:vAlign w:val="bottom"/>
            <w:hideMark/>
          </w:tcPr>
          <w:p w:rsidR="00F71869" w:rsidRDefault="00F71869" w14:paraId="06C4E5A2" w14:textId="77777777">
            <w:pPr>
              <w:jc w:val="right"/>
              <w:rPr>
                <w:color w:val="000000"/>
                <w:sz w:val="24"/>
                <w:szCs w:val="24"/>
              </w:rPr>
            </w:pPr>
            <w:r>
              <w:rPr>
                <w:color w:val="000000"/>
                <w:vertAlign w:val="superscript"/>
              </w:rPr>
              <w:t>1</w:t>
            </w:r>
          </w:p>
        </w:tc>
        <w:tc>
          <w:tcPr>
            <w:tcW w:w="3266" w:type="dxa"/>
            <w:tcBorders>
              <w:top w:val="nil"/>
              <w:left w:val="nil"/>
              <w:bottom w:val="nil"/>
              <w:right w:val="nil"/>
            </w:tcBorders>
            <w:shd w:val="clear" w:color="auto" w:fill="auto"/>
            <w:noWrap/>
            <w:vAlign w:val="bottom"/>
            <w:hideMark/>
          </w:tcPr>
          <w:p w:rsidRPr="003B4BA5" w:rsidR="00F71869" w:rsidRDefault="00F71869" w14:paraId="4AAA2722" w14:textId="77777777">
            <w:pPr>
              <w:rPr>
                <w:rFonts w:asciiTheme="minorHAnsi" w:hAnsiTheme="minorHAnsi" w:cstheme="minorHAnsi"/>
                <w:color w:val="000000"/>
                <w:sz w:val="22"/>
              </w:rPr>
            </w:pPr>
            <w:r w:rsidRPr="003B4BA5">
              <w:rPr>
                <w:rFonts w:asciiTheme="minorHAnsi" w:hAnsiTheme="minorHAnsi" w:cstheme="minorHAnsi"/>
                <w:color w:val="000000"/>
                <w:sz w:val="22"/>
              </w:rPr>
              <w:t>DEPRECIATION</w:t>
            </w:r>
          </w:p>
        </w:tc>
        <w:tc>
          <w:tcPr>
            <w:tcW w:w="1666" w:type="dxa"/>
            <w:tcBorders>
              <w:top w:val="nil"/>
              <w:left w:val="nil"/>
              <w:bottom w:val="nil"/>
              <w:right w:val="nil"/>
            </w:tcBorders>
            <w:shd w:val="clear" w:color="auto" w:fill="auto"/>
            <w:noWrap/>
            <w:vAlign w:val="bottom"/>
            <w:hideMark/>
          </w:tcPr>
          <w:p w:rsidRPr="003B4BA5" w:rsidR="00F71869" w:rsidRDefault="00F71869" w14:paraId="7CAC0E6D"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3,243,146 </w:t>
            </w:r>
          </w:p>
        </w:tc>
        <w:tc>
          <w:tcPr>
            <w:tcW w:w="1779" w:type="dxa"/>
            <w:tcBorders>
              <w:top w:val="nil"/>
              <w:left w:val="nil"/>
              <w:bottom w:val="nil"/>
              <w:right w:val="nil"/>
            </w:tcBorders>
            <w:shd w:val="clear" w:color="auto" w:fill="auto"/>
            <w:noWrap/>
            <w:vAlign w:val="bottom"/>
            <w:hideMark/>
          </w:tcPr>
          <w:p w:rsidRPr="003B4BA5" w:rsidR="00F71869" w:rsidRDefault="00F71869" w14:paraId="6FB26BF2"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2AE428F6"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3,243,146 </w:t>
            </w:r>
          </w:p>
        </w:tc>
      </w:tr>
      <w:tr w:rsidR="00A051C2" w:rsidTr="00F71869" w14:paraId="7C58C105"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53BA68C5"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315234E5" w14:textId="77777777">
            <w:pPr>
              <w:rPr>
                <w:rFonts w:asciiTheme="minorHAnsi" w:hAnsiTheme="minorHAnsi" w:cstheme="minorHAnsi"/>
                <w:color w:val="000000"/>
                <w:sz w:val="22"/>
              </w:rPr>
            </w:pPr>
            <w:r w:rsidRPr="003B4BA5">
              <w:rPr>
                <w:rFonts w:asciiTheme="minorHAnsi" w:hAnsiTheme="minorHAnsi" w:cstheme="minorHAnsi"/>
                <w:color w:val="000000"/>
                <w:sz w:val="22"/>
              </w:rPr>
              <w:t>CA INCOME TAXES</w:t>
            </w:r>
          </w:p>
        </w:tc>
        <w:tc>
          <w:tcPr>
            <w:tcW w:w="1666" w:type="dxa"/>
            <w:tcBorders>
              <w:top w:val="nil"/>
              <w:left w:val="nil"/>
              <w:bottom w:val="nil"/>
              <w:right w:val="nil"/>
            </w:tcBorders>
            <w:shd w:val="clear" w:color="auto" w:fill="auto"/>
            <w:noWrap/>
            <w:vAlign w:val="bottom"/>
            <w:hideMark/>
          </w:tcPr>
          <w:p w:rsidRPr="003B4BA5" w:rsidR="00F71869" w:rsidRDefault="00F71869" w14:paraId="39C3FB2D"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425,379 </w:t>
            </w:r>
          </w:p>
        </w:tc>
        <w:tc>
          <w:tcPr>
            <w:tcW w:w="1779" w:type="dxa"/>
            <w:tcBorders>
              <w:top w:val="nil"/>
              <w:left w:val="nil"/>
              <w:bottom w:val="nil"/>
              <w:right w:val="nil"/>
            </w:tcBorders>
            <w:shd w:val="clear" w:color="auto" w:fill="auto"/>
            <w:noWrap/>
            <w:vAlign w:val="bottom"/>
            <w:hideMark/>
          </w:tcPr>
          <w:p w:rsidRPr="003B4BA5" w:rsidR="00F71869" w:rsidRDefault="00F71869" w14:paraId="2E87B9DA"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27F1A522"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377,139 </w:t>
            </w:r>
          </w:p>
        </w:tc>
      </w:tr>
      <w:tr w:rsidR="00A051C2" w:rsidTr="00F71869" w14:paraId="7125C089"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73F1DB71"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207C7D5B" w14:textId="77777777">
            <w:pPr>
              <w:rPr>
                <w:rFonts w:asciiTheme="minorHAnsi" w:hAnsiTheme="minorHAnsi" w:cstheme="minorHAnsi"/>
                <w:color w:val="000000"/>
                <w:sz w:val="22"/>
              </w:rPr>
            </w:pPr>
            <w:r w:rsidRPr="003B4BA5">
              <w:rPr>
                <w:rFonts w:asciiTheme="minorHAnsi" w:hAnsiTheme="minorHAnsi" w:cstheme="minorHAnsi"/>
                <w:color w:val="000000"/>
                <w:sz w:val="22"/>
              </w:rPr>
              <w:t>FEDERAL INCOME TAXES</w:t>
            </w:r>
          </w:p>
        </w:tc>
        <w:tc>
          <w:tcPr>
            <w:tcW w:w="1666" w:type="dxa"/>
            <w:tcBorders>
              <w:top w:val="nil"/>
              <w:left w:val="nil"/>
              <w:bottom w:val="nil"/>
              <w:right w:val="nil"/>
            </w:tcBorders>
            <w:shd w:val="clear" w:color="auto" w:fill="auto"/>
            <w:noWrap/>
            <w:vAlign w:val="bottom"/>
            <w:hideMark/>
          </w:tcPr>
          <w:p w:rsidRPr="003B4BA5" w:rsidR="00F71869" w:rsidRDefault="00F71869" w14:paraId="62E1D6E9"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1,360,878 </w:t>
            </w:r>
          </w:p>
        </w:tc>
        <w:tc>
          <w:tcPr>
            <w:tcW w:w="1779" w:type="dxa"/>
            <w:tcBorders>
              <w:top w:val="nil"/>
              <w:left w:val="nil"/>
              <w:bottom w:val="nil"/>
              <w:right w:val="nil"/>
            </w:tcBorders>
            <w:shd w:val="clear" w:color="auto" w:fill="auto"/>
            <w:noWrap/>
            <w:vAlign w:val="bottom"/>
            <w:hideMark/>
          </w:tcPr>
          <w:p w:rsidRPr="003B4BA5" w:rsidR="00F71869" w:rsidRDefault="00F71869" w14:paraId="0CFE9418"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1D842254"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1,246,278 </w:t>
            </w:r>
          </w:p>
        </w:tc>
      </w:tr>
      <w:tr w:rsidR="00A051C2" w:rsidTr="00F71869" w14:paraId="1D3A1E24"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505847AC"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65C26DB8"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6EF81CAF"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3F71548B"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9C532C8" w14:textId="77777777">
            <w:pPr>
              <w:rPr>
                <w:rFonts w:asciiTheme="minorHAnsi" w:hAnsiTheme="minorHAnsi" w:cstheme="minorHAnsi"/>
                <w:sz w:val="22"/>
              </w:rPr>
            </w:pPr>
          </w:p>
        </w:tc>
      </w:tr>
      <w:tr w:rsidR="00F71869" w:rsidTr="003B4BA5" w14:paraId="5A255392" w14:textId="77777777">
        <w:trPr>
          <w:trHeight w:val="315"/>
        </w:trPr>
        <w:tc>
          <w:tcPr>
            <w:tcW w:w="4060" w:type="dxa"/>
            <w:gridSpan w:val="2"/>
            <w:tcBorders>
              <w:top w:val="nil"/>
              <w:left w:val="nil"/>
              <w:bottom w:val="nil"/>
              <w:right w:val="nil"/>
            </w:tcBorders>
            <w:shd w:val="clear" w:color="auto" w:fill="auto"/>
            <w:noWrap/>
            <w:vAlign w:val="bottom"/>
            <w:hideMark/>
          </w:tcPr>
          <w:p w:rsidRPr="003B4BA5" w:rsidR="00F71869" w:rsidRDefault="00F71869" w14:paraId="59A30BBD" w14:textId="77777777">
            <w:pPr>
              <w:rPr>
                <w:rFonts w:asciiTheme="minorHAnsi" w:hAnsiTheme="minorHAnsi" w:cstheme="minorHAnsi"/>
                <w:color w:val="000000"/>
                <w:sz w:val="22"/>
              </w:rPr>
            </w:pPr>
            <w:r w:rsidRPr="003B4BA5">
              <w:rPr>
                <w:rFonts w:asciiTheme="minorHAnsi" w:hAnsiTheme="minorHAnsi" w:cstheme="minorHAnsi"/>
                <w:color w:val="000000"/>
                <w:sz w:val="22"/>
              </w:rPr>
              <w:t>TOTAL EXPENSES</w:t>
            </w:r>
          </w:p>
        </w:tc>
        <w:tc>
          <w:tcPr>
            <w:tcW w:w="1666" w:type="dxa"/>
            <w:tcBorders>
              <w:top w:val="nil"/>
              <w:left w:val="nil"/>
              <w:bottom w:val="nil"/>
              <w:right w:val="nil"/>
            </w:tcBorders>
            <w:shd w:val="clear" w:color="auto" w:fill="auto"/>
            <w:noWrap/>
            <w:vAlign w:val="bottom"/>
            <w:hideMark/>
          </w:tcPr>
          <w:p w:rsidRPr="003B4BA5" w:rsidR="00F71869" w:rsidRDefault="00F71869" w14:paraId="5F06487F"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25,971,709 </w:t>
            </w:r>
          </w:p>
        </w:tc>
        <w:tc>
          <w:tcPr>
            <w:tcW w:w="1779" w:type="dxa"/>
            <w:tcBorders>
              <w:top w:val="nil"/>
              <w:left w:val="nil"/>
              <w:bottom w:val="nil"/>
              <w:right w:val="nil"/>
            </w:tcBorders>
            <w:shd w:val="clear" w:color="auto" w:fill="auto"/>
            <w:noWrap/>
            <w:vAlign w:val="bottom"/>
            <w:hideMark/>
          </w:tcPr>
          <w:p w:rsidRPr="003B4BA5" w:rsidR="00F71869" w:rsidRDefault="00F71869" w14:paraId="0F180D20"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28BC4810"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25,804,579 </w:t>
            </w:r>
          </w:p>
        </w:tc>
      </w:tr>
      <w:tr w:rsidR="00A051C2" w:rsidTr="00F71869" w14:paraId="71BBAE28"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6503E5FF"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619B5F4C"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20A3C386"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4590A826"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598F83AF" w14:textId="77777777">
            <w:pPr>
              <w:rPr>
                <w:rFonts w:asciiTheme="minorHAnsi" w:hAnsiTheme="minorHAnsi" w:cstheme="minorHAnsi"/>
                <w:sz w:val="22"/>
              </w:rPr>
            </w:pPr>
          </w:p>
        </w:tc>
      </w:tr>
      <w:tr w:rsidR="00F71869" w:rsidTr="003B4BA5" w14:paraId="5B496233" w14:textId="77777777">
        <w:trPr>
          <w:trHeight w:val="315"/>
        </w:trPr>
        <w:tc>
          <w:tcPr>
            <w:tcW w:w="4060" w:type="dxa"/>
            <w:gridSpan w:val="2"/>
            <w:tcBorders>
              <w:top w:val="nil"/>
              <w:left w:val="nil"/>
              <w:bottom w:val="nil"/>
              <w:right w:val="nil"/>
            </w:tcBorders>
            <w:shd w:val="clear" w:color="auto" w:fill="auto"/>
            <w:noWrap/>
            <w:vAlign w:val="bottom"/>
            <w:hideMark/>
          </w:tcPr>
          <w:p w:rsidRPr="003B4BA5" w:rsidR="00F71869" w:rsidRDefault="00F71869" w14:paraId="48152FB7" w14:textId="77777777">
            <w:pPr>
              <w:rPr>
                <w:rFonts w:asciiTheme="minorHAnsi" w:hAnsiTheme="minorHAnsi" w:cstheme="minorHAnsi"/>
                <w:color w:val="000000"/>
                <w:sz w:val="22"/>
              </w:rPr>
            </w:pPr>
            <w:r w:rsidRPr="003B4BA5">
              <w:rPr>
                <w:rFonts w:asciiTheme="minorHAnsi" w:hAnsiTheme="minorHAnsi" w:cstheme="minorHAnsi"/>
                <w:color w:val="000000"/>
                <w:sz w:val="22"/>
              </w:rPr>
              <w:t>NET REVENUE</w:t>
            </w:r>
          </w:p>
        </w:tc>
        <w:tc>
          <w:tcPr>
            <w:tcW w:w="1666" w:type="dxa"/>
            <w:tcBorders>
              <w:top w:val="nil"/>
              <w:left w:val="nil"/>
              <w:bottom w:val="nil"/>
              <w:right w:val="nil"/>
            </w:tcBorders>
            <w:shd w:val="clear" w:color="auto" w:fill="auto"/>
            <w:noWrap/>
            <w:vAlign w:val="bottom"/>
            <w:hideMark/>
          </w:tcPr>
          <w:p w:rsidRPr="003B4BA5" w:rsidR="00F71869" w:rsidRDefault="00F71869" w14:paraId="6FD44AA2"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7,621,315 </w:t>
            </w:r>
          </w:p>
        </w:tc>
        <w:tc>
          <w:tcPr>
            <w:tcW w:w="1779" w:type="dxa"/>
            <w:tcBorders>
              <w:top w:val="nil"/>
              <w:left w:val="nil"/>
              <w:bottom w:val="nil"/>
              <w:right w:val="nil"/>
            </w:tcBorders>
            <w:shd w:val="clear" w:color="auto" w:fill="auto"/>
            <w:noWrap/>
            <w:vAlign w:val="bottom"/>
            <w:hideMark/>
          </w:tcPr>
          <w:p w:rsidRPr="003B4BA5" w:rsidR="00F71869" w:rsidRDefault="00F71869" w14:paraId="3E4009CF"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39C525D6"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7,238,444 </w:t>
            </w:r>
          </w:p>
        </w:tc>
      </w:tr>
      <w:tr w:rsidR="00A051C2" w:rsidTr="00F71869" w14:paraId="03F9D86D"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2949281A"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769444A9"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311AF1B8"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71B7F017"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388290CD" w14:textId="77777777">
            <w:pPr>
              <w:rPr>
                <w:rFonts w:asciiTheme="minorHAnsi" w:hAnsiTheme="minorHAnsi" w:cstheme="minorHAnsi"/>
                <w:sz w:val="22"/>
              </w:rPr>
            </w:pPr>
          </w:p>
        </w:tc>
      </w:tr>
      <w:tr w:rsidR="00F71869" w:rsidTr="003B4BA5" w14:paraId="5B8AB96A" w14:textId="77777777">
        <w:trPr>
          <w:trHeight w:val="315"/>
        </w:trPr>
        <w:tc>
          <w:tcPr>
            <w:tcW w:w="4060" w:type="dxa"/>
            <w:gridSpan w:val="2"/>
            <w:tcBorders>
              <w:top w:val="nil"/>
              <w:left w:val="nil"/>
              <w:bottom w:val="nil"/>
              <w:right w:val="nil"/>
            </w:tcBorders>
            <w:shd w:val="clear" w:color="auto" w:fill="auto"/>
            <w:noWrap/>
            <w:vAlign w:val="bottom"/>
            <w:hideMark/>
          </w:tcPr>
          <w:p w:rsidRPr="003B4BA5" w:rsidR="00F71869" w:rsidRDefault="00F71869" w14:paraId="22F079CF" w14:textId="77777777">
            <w:pPr>
              <w:rPr>
                <w:rFonts w:asciiTheme="minorHAnsi" w:hAnsiTheme="minorHAnsi" w:cstheme="minorHAnsi"/>
                <w:color w:val="000000"/>
                <w:sz w:val="22"/>
              </w:rPr>
            </w:pPr>
            <w:r w:rsidRPr="003B4BA5">
              <w:rPr>
                <w:rFonts w:asciiTheme="minorHAnsi" w:hAnsiTheme="minorHAnsi" w:cstheme="minorHAnsi"/>
                <w:color w:val="000000"/>
                <w:sz w:val="22"/>
              </w:rPr>
              <w:t>TOTAL RATE BASE</w:t>
            </w:r>
          </w:p>
        </w:tc>
        <w:tc>
          <w:tcPr>
            <w:tcW w:w="1666" w:type="dxa"/>
            <w:tcBorders>
              <w:top w:val="nil"/>
              <w:left w:val="nil"/>
              <w:bottom w:val="nil"/>
              <w:right w:val="nil"/>
            </w:tcBorders>
            <w:shd w:val="clear" w:color="auto" w:fill="auto"/>
            <w:noWrap/>
            <w:vAlign w:val="bottom"/>
            <w:hideMark/>
          </w:tcPr>
          <w:p w:rsidRPr="003B4BA5" w:rsidR="00F71869" w:rsidRDefault="00F71869" w14:paraId="7E7DB41E"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98,446,568 </w:t>
            </w:r>
          </w:p>
        </w:tc>
        <w:tc>
          <w:tcPr>
            <w:tcW w:w="1779" w:type="dxa"/>
            <w:tcBorders>
              <w:top w:val="nil"/>
              <w:left w:val="nil"/>
              <w:bottom w:val="nil"/>
              <w:right w:val="nil"/>
            </w:tcBorders>
            <w:shd w:val="clear" w:color="auto" w:fill="auto"/>
            <w:noWrap/>
            <w:vAlign w:val="bottom"/>
            <w:hideMark/>
          </w:tcPr>
          <w:p w:rsidRPr="003B4BA5" w:rsidR="00F71869" w:rsidRDefault="00F71869" w14:paraId="3773CC66"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075354D"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 xml:space="preserve">98,446,568 </w:t>
            </w:r>
          </w:p>
        </w:tc>
      </w:tr>
      <w:tr w:rsidR="00A051C2" w:rsidTr="00F71869" w14:paraId="710B70FE" w14:textId="77777777">
        <w:trPr>
          <w:trHeight w:val="315"/>
        </w:trPr>
        <w:tc>
          <w:tcPr>
            <w:tcW w:w="794" w:type="dxa"/>
            <w:tcBorders>
              <w:top w:val="nil"/>
              <w:left w:val="nil"/>
              <w:bottom w:val="nil"/>
              <w:right w:val="nil"/>
            </w:tcBorders>
            <w:shd w:val="clear" w:color="auto" w:fill="auto"/>
            <w:noWrap/>
            <w:vAlign w:val="bottom"/>
            <w:hideMark/>
          </w:tcPr>
          <w:p w:rsidR="00F71869" w:rsidRDefault="00F71869" w14:paraId="73F80DD1"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0E3703DD"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6F9BEF5A"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4C3A4721"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72C7AB81" w14:textId="77777777">
            <w:pPr>
              <w:rPr>
                <w:rFonts w:asciiTheme="minorHAnsi" w:hAnsiTheme="minorHAnsi" w:cstheme="minorHAnsi"/>
                <w:sz w:val="22"/>
              </w:rPr>
            </w:pPr>
          </w:p>
        </w:tc>
      </w:tr>
      <w:tr w:rsidR="00F71869" w:rsidTr="003B4BA5" w14:paraId="1AEE2C86" w14:textId="77777777">
        <w:trPr>
          <w:trHeight w:val="315"/>
        </w:trPr>
        <w:tc>
          <w:tcPr>
            <w:tcW w:w="4060" w:type="dxa"/>
            <w:gridSpan w:val="2"/>
            <w:tcBorders>
              <w:top w:val="nil"/>
              <w:left w:val="nil"/>
              <w:bottom w:val="nil"/>
              <w:right w:val="nil"/>
            </w:tcBorders>
            <w:shd w:val="clear" w:color="auto" w:fill="auto"/>
            <w:noWrap/>
            <w:vAlign w:val="bottom"/>
            <w:hideMark/>
          </w:tcPr>
          <w:p w:rsidRPr="003B4BA5" w:rsidR="00F71869" w:rsidRDefault="00F71869" w14:paraId="5EFAA74C" w14:textId="77777777">
            <w:pPr>
              <w:rPr>
                <w:rFonts w:asciiTheme="minorHAnsi" w:hAnsiTheme="minorHAnsi" w:cstheme="minorHAnsi"/>
                <w:color w:val="000000"/>
                <w:sz w:val="22"/>
              </w:rPr>
            </w:pPr>
            <w:r w:rsidRPr="003B4BA5">
              <w:rPr>
                <w:rFonts w:asciiTheme="minorHAnsi" w:hAnsiTheme="minorHAnsi" w:cstheme="minorHAnsi"/>
                <w:color w:val="000000"/>
                <w:sz w:val="22"/>
              </w:rPr>
              <w:t>RATE OF RETURN</w:t>
            </w:r>
          </w:p>
        </w:tc>
        <w:tc>
          <w:tcPr>
            <w:tcW w:w="1666" w:type="dxa"/>
            <w:tcBorders>
              <w:top w:val="nil"/>
              <w:left w:val="nil"/>
              <w:bottom w:val="nil"/>
              <w:right w:val="nil"/>
            </w:tcBorders>
            <w:shd w:val="clear" w:color="auto" w:fill="auto"/>
            <w:noWrap/>
            <w:vAlign w:val="bottom"/>
            <w:hideMark/>
          </w:tcPr>
          <w:p w:rsidRPr="003B4BA5" w:rsidR="00F71869" w:rsidRDefault="00F71869" w14:paraId="50F10585"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7.74%</w:t>
            </w:r>
          </w:p>
        </w:tc>
        <w:tc>
          <w:tcPr>
            <w:tcW w:w="1779" w:type="dxa"/>
            <w:tcBorders>
              <w:top w:val="nil"/>
              <w:left w:val="nil"/>
              <w:bottom w:val="nil"/>
              <w:right w:val="nil"/>
            </w:tcBorders>
            <w:shd w:val="clear" w:color="auto" w:fill="auto"/>
            <w:noWrap/>
            <w:vAlign w:val="bottom"/>
            <w:hideMark/>
          </w:tcPr>
          <w:p w:rsidRPr="003B4BA5" w:rsidR="00F71869" w:rsidRDefault="00F71869" w14:paraId="496DA345" w14:textId="77777777">
            <w:pPr>
              <w:jc w:val="right"/>
              <w:rPr>
                <w:rFonts w:asciiTheme="minorHAnsi" w:hAnsiTheme="minorHAnsi" w:cstheme="minorHAnsi"/>
                <w:color w:val="000000"/>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0E1D73BF" w14:textId="77777777">
            <w:pPr>
              <w:jc w:val="right"/>
              <w:rPr>
                <w:rFonts w:asciiTheme="minorHAnsi" w:hAnsiTheme="minorHAnsi" w:cstheme="minorHAnsi"/>
                <w:color w:val="000000"/>
                <w:sz w:val="22"/>
              </w:rPr>
            </w:pPr>
            <w:r w:rsidRPr="003B4BA5">
              <w:rPr>
                <w:rFonts w:asciiTheme="minorHAnsi" w:hAnsiTheme="minorHAnsi" w:cstheme="minorHAnsi"/>
                <w:color w:val="000000"/>
                <w:sz w:val="22"/>
              </w:rPr>
              <w:t>7.35%</w:t>
            </w:r>
          </w:p>
        </w:tc>
      </w:tr>
      <w:tr w:rsidR="00A051C2" w:rsidTr="00F71869" w14:paraId="0517054B" w14:textId="77777777">
        <w:trPr>
          <w:trHeight w:val="300"/>
        </w:trPr>
        <w:tc>
          <w:tcPr>
            <w:tcW w:w="794" w:type="dxa"/>
            <w:tcBorders>
              <w:top w:val="nil"/>
              <w:left w:val="nil"/>
              <w:bottom w:val="nil"/>
              <w:right w:val="nil"/>
            </w:tcBorders>
            <w:shd w:val="clear" w:color="auto" w:fill="auto"/>
            <w:noWrap/>
            <w:vAlign w:val="bottom"/>
            <w:hideMark/>
          </w:tcPr>
          <w:p w:rsidR="00F71869" w:rsidRDefault="00F71869" w14:paraId="3E2EC4C1" w14:textId="77777777">
            <w:pPr>
              <w:jc w:val="right"/>
              <w:rPr>
                <w:color w:val="000000"/>
              </w:rPr>
            </w:pPr>
          </w:p>
        </w:tc>
        <w:tc>
          <w:tcPr>
            <w:tcW w:w="3266" w:type="dxa"/>
            <w:tcBorders>
              <w:top w:val="nil"/>
              <w:left w:val="nil"/>
              <w:bottom w:val="nil"/>
              <w:right w:val="nil"/>
            </w:tcBorders>
            <w:shd w:val="clear" w:color="auto" w:fill="auto"/>
            <w:noWrap/>
            <w:vAlign w:val="bottom"/>
            <w:hideMark/>
          </w:tcPr>
          <w:p w:rsidRPr="003B4BA5" w:rsidR="00F71869" w:rsidRDefault="00F71869" w14:paraId="233F032C" w14:textId="77777777">
            <w:pPr>
              <w:rPr>
                <w:rFonts w:asciiTheme="minorHAnsi" w:hAnsiTheme="minorHAnsi" w:cstheme="minorHAnsi"/>
                <w:sz w:val="22"/>
              </w:rPr>
            </w:pPr>
          </w:p>
        </w:tc>
        <w:tc>
          <w:tcPr>
            <w:tcW w:w="1666" w:type="dxa"/>
            <w:tcBorders>
              <w:top w:val="nil"/>
              <w:left w:val="nil"/>
              <w:bottom w:val="nil"/>
              <w:right w:val="nil"/>
            </w:tcBorders>
            <w:shd w:val="clear" w:color="auto" w:fill="auto"/>
            <w:noWrap/>
            <w:vAlign w:val="bottom"/>
            <w:hideMark/>
          </w:tcPr>
          <w:p w:rsidRPr="003B4BA5" w:rsidR="00F71869" w:rsidRDefault="00F71869" w14:paraId="43696768" w14:textId="77777777">
            <w:pPr>
              <w:rPr>
                <w:rFonts w:asciiTheme="minorHAnsi" w:hAnsiTheme="minorHAnsi" w:cstheme="minorHAnsi"/>
                <w:sz w:val="22"/>
              </w:rPr>
            </w:pPr>
          </w:p>
        </w:tc>
        <w:tc>
          <w:tcPr>
            <w:tcW w:w="1779" w:type="dxa"/>
            <w:tcBorders>
              <w:top w:val="nil"/>
              <w:left w:val="nil"/>
              <w:bottom w:val="nil"/>
              <w:right w:val="nil"/>
            </w:tcBorders>
            <w:shd w:val="clear" w:color="auto" w:fill="auto"/>
            <w:noWrap/>
            <w:vAlign w:val="bottom"/>
            <w:hideMark/>
          </w:tcPr>
          <w:p w:rsidRPr="003B4BA5" w:rsidR="00F71869" w:rsidRDefault="00F71869" w14:paraId="3DB0D201" w14:textId="77777777">
            <w:pPr>
              <w:rPr>
                <w:rFonts w:asciiTheme="minorHAnsi" w:hAnsiTheme="minorHAnsi" w:cstheme="minorHAnsi"/>
                <w:sz w:val="22"/>
              </w:rPr>
            </w:pPr>
          </w:p>
        </w:tc>
        <w:tc>
          <w:tcPr>
            <w:tcW w:w="1851" w:type="dxa"/>
            <w:tcBorders>
              <w:top w:val="nil"/>
              <w:left w:val="nil"/>
              <w:bottom w:val="nil"/>
              <w:right w:val="nil"/>
            </w:tcBorders>
            <w:shd w:val="clear" w:color="auto" w:fill="auto"/>
            <w:noWrap/>
            <w:vAlign w:val="bottom"/>
            <w:hideMark/>
          </w:tcPr>
          <w:p w:rsidRPr="003B4BA5" w:rsidR="00F71869" w:rsidRDefault="00F71869" w14:paraId="4375464E" w14:textId="77777777">
            <w:pPr>
              <w:rPr>
                <w:rFonts w:asciiTheme="minorHAnsi" w:hAnsiTheme="minorHAnsi" w:cstheme="minorHAnsi"/>
                <w:sz w:val="22"/>
              </w:rPr>
            </w:pPr>
          </w:p>
        </w:tc>
      </w:tr>
      <w:tr w:rsidR="00F71869" w:rsidTr="003B4BA5" w14:paraId="4BC50FF6" w14:textId="77777777">
        <w:trPr>
          <w:trHeight w:val="360"/>
        </w:trPr>
        <w:tc>
          <w:tcPr>
            <w:tcW w:w="794" w:type="dxa"/>
            <w:tcBorders>
              <w:top w:val="nil"/>
              <w:left w:val="nil"/>
              <w:bottom w:val="nil"/>
              <w:right w:val="nil"/>
            </w:tcBorders>
            <w:shd w:val="clear" w:color="auto" w:fill="auto"/>
            <w:noWrap/>
            <w:vAlign w:val="bottom"/>
            <w:hideMark/>
          </w:tcPr>
          <w:p w:rsidR="00F71869" w:rsidRDefault="00F71869" w14:paraId="5F32B163" w14:textId="77777777">
            <w:pPr>
              <w:jc w:val="right"/>
              <w:rPr>
                <w:color w:val="000000"/>
                <w:sz w:val="22"/>
              </w:rPr>
            </w:pPr>
            <w:r>
              <w:rPr>
                <w:color w:val="000000"/>
                <w:sz w:val="22"/>
                <w:vertAlign w:val="superscript"/>
              </w:rPr>
              <w:t>1</w:t>
            </w:r>
          </w:p>
        </w:tc>
        <w:tc>
          <w:tcPr>
            <w:tcW w:w="8562" w:type="dxa"/>
            <w:gridSpan w:val="4"/>
            <w:tcBorders>
              <w:top w:val="nil"/>
              <w:left w:val="nil"/>
              <w:bottom w:val="nil"/>
              <w:right w:val="nil"/>
            </w:tcBorders>
            <w:shd w:val="clear" w:color="auto" w:fill="auto"/>
            <w:noWrap/>
            <w:vAlign w:val="bottom"/>
            <w:hideMark/>
          </w:tcPr>
          <w:p w:rsidRPr="003B4BA5" w:rsidR="00F71869" w:rsidRDefault="00F71869" w14:paraId="36CC0413" w14:textId="77777777">
            <w:pPr>
              <w:rPr>
                <w:rFonts w:asciiTheme="minorHAnsi" w:hAnsiTheme="minorHAnsi" w:cstheme="minorHAnsi"/>
                <w:color w:val="000000"/>
                <w:sz w:val="22"/>
              </w:rPr>
            </w:pPr>
            <w:r w:rsidRPr="003B4BA5">
              <w:rPr>
                <w:rFonts w:asciiTheme="minorHAnsi" w:hAnsiTheme="minorHAnsi" w:cstheme="minorHAnsi"/>
                <w:color w:val="000000"/>
                <w:sz w:val="22"/>
              </w:rPr>
              <w:t xml:space="preserve">DEPRECIATION, AD VALOREM AND PAYROLL TAXES FROM PARKS GENERAL OFFICE </w:t>
            </w:r>
          </w:p>
        </w:tc>
      </w:tr>
      <w:tr w:rsidR="00F71869" w:rsidTr="003B4BA5" w14:paraId="43462FAC" w14:textId="77777777">
        <w:trPr>
          <w:trHeight w:val="300"/>
        </w:trPr>
        <w:tc>
          <w:tcPr>
            <w:tcW w:w="794" w:type="dxa"/>
            <w:tcBorders>
              <w:top w:val="nil"/>
              <w:left w:val="nil"/>
              <w:bottom w:val="nil"/>
              <w:right w:val="nil"/>
            </w:tcBorders>
            <w:shd w:val="clear" w:color="auto" w:fill="auto"/>
            <w:noWrap/>
            <w:vAlign w:val="bottom"/>
            <w:hideMark/>
          </w:tcPr>
          <w:p w:rsidR="00F71869" w:rsidRDefault="00F71869" w14:paraId="62024002" w14:textId="77777777">
            <w:pPr>
              <w:rPr>
                <w:color w:val="000000"/>
                <w:sz w:val="22"/>
              </w:rPr>
            </w:pPr>
          </w:p>
        </w:tc>
        <w:tc>
          <w:tcPr>
            <w:tcW w:w="8562" w:type="dxa"/>
            <w:gridSpan w:val="4"/>
            <w:tcBorders>
              <w:top w:val="nil"/>
              <w:left w:val="nil"/>
              <w:bottom w:val="nil"/>
              <w:right w:val="nil"/>
            </w:tcBorders>
            <w:shd w:val="clear" w:color="auto" w:fill="auto"/>
            <w:noWrap/>
            <w:vAlign w:val="bottom"/>
            <w:hideMark/>
          </w:tcPr>
          <w:p w:rsidRPr="003B4BA5" w:rsidR="00F71869" w:rsidRDefault="00F71869" w14:paraId="0B5E7F4C" w14:textId="77777777">
            <w:pPr>
              <w:rPr>
                <w:rFonts w:asciiTheme="minorHAnsi" w:hAnsiTheme="minorHAnsi" w:cstheme="minorHAnsi"/>
                <w:color w:val="000000"/>
                <w:sz w:val="22"/>
              </w:rPr>
            </w:pPr>
            <w:r w:rsidRPr="003B4BA5">
              <w:rPr>
                <w:rFonts w:asciiTheme="minorHAnsi" w:hAnsiTheme="minorHAnsi" w:cstheme="minorHAnsi"/>
                <w:color w:val="000000"/>
                <w:sz w:val="22"/>
              </w:rPr>
              <w:t>HAVE BEEN INCLUDED IN THE APPROPRIATE LINE ITEM OF EXPENSE.</w:t>
            </w:r>
          </w:p>
        </w:tc>
      </w:tr>
    </w:tbl>
    <w:p w:rsidRPr="00F85246" w:rsidR="00145F34" w:rsidP="00145F34" w:rsidRDefault="00145F34" w14:paraId="7B837588" w14:textId="77777777">
      <w:pPr>
        <w:spacing w:after="160" w:line="259" w:lineRule="auto"/>
        <w:ind w:firstLine="0"/>
        <w:rPr>
          <w:rFonts w:ascii="Calibri" w:hAnsi="Calibri" w:eastAsia="Calibri" w:cs="Times New Roman"/>
          <w:sz w:val="22"/>
        </w:rPr>
      </w:pPr>
    </w:p>
    <w:p w:rsidR="00A051C2" w:rsidP="00A051C2" w:rsidRDefault="00A051C2" w14:paraId="10119B9C" w14:textId="614EC6C8">
      <w:pPr>
        <w:ind w:firstLine="0"/>
        <w:jc w:val="center"/>
        <w:rPr>
          <w:b/>
          <w:bCs/>
        </w:rPr>
      </w:pPr>
      <w:r>
        <w:rPr>
          <w:b/>
          <w:bCs/>
        </w:rPr>
        <w:t>(END OF APPENDIX F)</w:t>
      </w:r>
    </w:p>
    <w:p w:rsidRPr="003B4BA5" w:rsidR="00145F34" w:rsidP="003B4BA5" w:rsidRDefault="00145F34" w14:paraId="1DA33E00" w14:textId="0E8B5EBB">
      <w:pPr>
        <w:spacing w:after="160" w:line="259" w:lineRule="auto"/>
        <w:ind w:firstLine="0"/>
        <w:rPr>
          <w:rFonts w:ascii="Calibri" w:hAnsi="Calibri" w:eastAsia="Calibri" w:cs="Times New Roman"/>
          <w:sz w:val="22"/>
        </w:rPr>
      </w:pPr>
    </w:p>
    <w:p w:rsidR="00554B20" w:rsidP="000B12B9" w:rsidRDefault="00554B20" w14:paraId="3FCD8366" w14:textId="77777777">
      <w:pPr>
        <w:ind w:firstLine="0"/>
        <w:jc w:val="center"/>
        <w:rPr>
          <w:b/>
          <w:bCs/>
        </w:rPr>
      </w:pPr>
    </w:p>
    <w:p w:rsidR="00D15283" w:rsidRDefault="00D15283" w14:paraId="209C1A62" w14:textId="1FACF706">
      <w:pPr>
        <w:spacing w:after="160" w:line="259" w:lineRule="auto"/>
        <w:ind w:firstLine="0"/>
        <w:rPr>
          <w:b/>
          <w:bCs/>
        </w:rPr>
        <w:sectPr w:rsidR="00D15283" w:rsidSect="00C618BF">
          <w:footerReference w:type="default" r:id="rId35"/>
          <w:pgSz w:w="12240" w:h="15840"/>
          <w:pgMar w:top="1728" w:right="1440" w:bottom="1440" w:left="1440" w:header="720" w:footer="720" w:gutter="0"/>
          <w:pgNumType w:fmt="numberInDash" w:start="1"/>
          <w:cols w:space="720"/>
          <w:docGrid w:linePitch="360"/>
        </w:sectPr>
      </w:pPr>
    </w:p>
    <w:p w:rsidR="00554B20" w:rsidRDefault="00554B20" w14:paraId="08168CB5" w14:textId="262CD2B4">
      <w:pPr>
        <w:spacing w:after="160" w:line="259" w:lineRule="auto"/>
        <w:ind w:firstLine="0"/>
        <w:rPr>
          <w:b/>
          <w:bCs/>
        </w:rPr>
      </w:pPr>
    </w:p>
    <w:p w:rsidR="00D15283" w:rsidP="00554B20" w:rsidRDefault="00D15283" w14:paraId="4E5CFE0C" w14:textId="77777777">
      <w:pPr>
        <w:pStyle w:val="Main"/>
        <w:rPr>
          <w:rFonts w:ascii="Book Antiqua" w:hAnsi="Book Antiqua"/>
          <w:sz w:val="50"/>
          <w:szCs w:val="50"/>
        </w:rPr>
      </w:pPr>
    </w:p>
    <w:p w:rsidR="00D15283" w:rsidP="00554B20" w:rsidRDefault="00D15283" w14:paraId="4D466A2E" w14:textId="77777777">
      <w:pPr>
        <w:pStyle w:val="Main"/>
        <w:rPr>
          <w:rFonts w:ascii="Book Antiqua" w:hAnsi="Book Antiqua"/>
          <w:sz w:val="50"/>
          <w:szCs w:val="50"/>
        </w:rPr>
      </w:pPr>
    </w:p>
    <w:p w:rsidR="00D15283" w:rsidP="00554B20" w:rsidRDefault="00D15283" w14:paraId="1FF01D2C" w14:textId="77777777">
      <w:pPr>
        <w:pStyle w:val="Main"/>
        <w:rPr>
          <w:rFonts w:ascii="Book Antiqua" w:hAnsi="Book Antiqua"/>
          <w:sz w:val="50"/>
          <w:szCs w:val="50"/>
        </w:rPr>
      </w:pPr>
    </w:p>
    <w:p w:rsidR="00D15283" w:rsidP="00554B20" w:rsidRDefault="00D15283" w14:paraId="49DC486B" w14:textId="77777777">
      <w:pPr>
        <w:pStyle w:val="Main"/>
        <w:rPr>
          <w:rFonts w:ascii="Book Antiqua" w:hAnsi="Book Antiqua"/>
          <w:sz w:val="50"/>
          <w:szCs w:val="50"/>
        </w:rPr>
      </w:pPr>
    </w:p>
    <w:p w:rsidR="00D15283" w:rsidP="00554B20" w:rsidRDefault="00D15283" w14:paraId="16852BD3" w14:textId="77777777">
      <w:pPr>
        <w:pStyle w:val="Main"/>
        <w:rPr>
          <w:rFonts w:ascii="Book Antiqua" w:hAnsi="Book Antiqua"/>
          <w:sz w:val="50"/>
          <w:szCs w:val="50"/>
        </w:rPr>
      </w:pPr>
    </w:p>
    <w:p w:rsidR="00D15283" w:rsidP="00554B20" w:rsidRDefault="00D15283" w14:paraId="24DE770E" w14:textId="77777777">
      <w:pPr>
        <w:pStyle w:val="Main"/>
        <w:rPr>
          <w:rFonts w:ascii="Book Antiqua" w:hAnsi="Book Antiqua"/>
          <w:sz w:val="50"/>
          <w:szCs w:val="50"/>
        </w:rPr>
      </w:pPr>
    </w:p>
    <w:p w:rsidR="00554B20" w:rsidP="00554B20" w:rsidRDefault="00554B20" w14:paraId="589D21B5" w14:textId="0DEEFFF8">
      <w:pPr>
        <w:pStyle w:val="Main"/>
        <w:rPr>
          <w:rFonts w:ascii="Book Antiqua" w:hAnsi="Book Antiqua"/>
          <w:sz w:val="50"/>
          <w:szCs w:val="50"/>
        </w:rPr>
      </w:pPr>
      <w:r w:rsidRPr="00F85246">
        <w:rPr>
          <w:rFonts w:ascii="Book Antiqua" w:hAnsi="Book Antiqua"/>
          <w:sz w:val="50"/>
          <w:szCs w:val="50"/>
        </w:rPr>
        <w:t xml:space="preserve">Appendix </w:t>
      </w:r>
      <w:r w:rsidR="002F37F3">
        <w:rPr>
          <w:rFonts w:ascii="Book Antiqua" w:hAnsi="Book Antiqua"/>
          <w:sz w:val="50"/>
          <w:szCs w:val="50"/>
        </w:rPr>
        <w:t>G</w:t>
      </w:r>
      <w:r w:rsidRPr="00F85246">
        <w:rPr>
          <w:rFonts w:ascii="Book Antiqua" w:hAnsi="Book Antiqua"/>
          <w:sz w:val="50"/>
          <w:szCs w:val="50"/>
        </w:rPr>
        <w:t xml:space="preserve"> </w:t>
      </w:r>
    </w:p>
    <w:p w:rsidRPr="00D2090C" w:rsidR="00554B20" w:rsidP="00554B20" w:rsidRDefault="00554B20" w14:paraId="1F230E1F" w14:textId="77777777"/>
    <w:p w:rsidR="00554B20" w:rsidP="00554B20" w:rsidRDefault="00554B20" w14:paraId="1EE18E49" w14:textId="478EBCB3">
      <w:pPr>
        <w:spacing w:line="240" w:lineRule="auto"/>
        <w:jc w:val="center"/>
        <w:rPr>
          <w:rFonts w:cs="Arial"/>
          <w:b/>
          <w:bCs/>
          <w:sz w:val="50"/>
          <w:szCs w:val="50"/>
        </w:rPr>
      </w:pPr>
      <w:r w:rsidRPr="00D2090C">
        <w:rPr>
          <w:rFonts w:cs="Arial"/>
          <w:b/>
          <w:bCs/>
          <w:sz w:val="50"/>
          <w:szCs w:val="50"/>
        </w:rPr>
        <w:t xml:space="preserve">Liberty </w:t>
      </w:r>
      <w:r w:rsidR="002F37F3">
        <w:rPr>
          <w:rFonts w:cs="Arial"/>
          <w:b/>
          <w:bCs/>
          <w:sz w:val="50"/>
          <w:szCs w:val="50"/>
        </w:rPr>
        <w:t>Park Rates</w:t>
      </w:r>
    </w:p>
    <w:p w:rsidR="00D15283" w:rsidRDefault="00D15283" w14:paraId="1F72C165" w14:textId="107204B4">
      <w:pPr>
        <w:spacing w:after="160" w:line="259" w:lineRule="auto"/>
        <w:ind w:firstLine="0"/>
        <w:rPr>
          <w:rFonts w:cs="Arial"/>
          <w:b/>
          <w:bCs/>
          <w:sz w:val="50"/>
          <w:szCs w:val="50"/>
        </w:rPr>
        <w:sectPr w:rsidR="00D15283" w:rsidSect="00C618BF">
          <w:footerReference w:type="default" r:id="rId36"/>
          <w:pgSz w:w="12240" w:h="15840"/>
          <w:pgMar w:top="1728" w:right="1440" w:bottom="1440" w:left="1440" w:header="720" w:footer="720" w:gutter="0"/>
          <w:pgNumType w:fmt="numberInDash" w:start="1"/>
          <w:cols w:space="720"/>
          <w:docGrid w:linePitch="360"/>
        </w:sectPr>
      </w:pPr>
    </w:p>
    <w:tbl>
      <w:tblPr>
        <w:tblStyle w:val="TableGrid2"/>
        <w:tblW w:w="9136" w:type="dxa"/>
        <w:tblLook w:val="04A0" w:firstRow="1" w:lastRow="0" w:firstColumn="1" w:lastColumn="0" w:noHBand="0" w:noVBand="1"/>
      </w:tblPr>
      <w:tblGrid>
        <w:gridCol w:w="2785"/>
        <w:gridCol w:w="2070"/>
        <w:gridCol w:w="1170"/>
        <w:gridCol w:w="2610"/>
        <w:gridCol w:w="501"/>
      </w:tblGrid>
      <w:tr w:rsidRPr="008E3C8E" w:rsidR="008E3C8E" w:rsidTr="00D15283" w14:paraId="0DCC1889" w14:textId="77777777">
        <w:trPr>
          <w:gridAfter w:val="3"/>
          <w:wAfter w:w="4281" w:type="dxa"/>
          <w:trHeight w:val="300"/>
        </w:trPr>
        <w:tc>
          <w:tcPr>
            <w:tcW w:w="2785" w:type="dxa"/>
            <w:noWrap/>
            <w:hideMark/>
          </w:tcPr>
          <w:p w:rsidRPr="008E3C8E" w:rsidR="008E3C8E" w:rsidP="008E3C8E" w:rsidRDefault="008E3C8E" w14:paraId="13AE3967" w14:textId="77777777">
            <w:pPr>
              <w:spacing w:line="240" w:lineRule="auto"/>
              <w:ind w:firstLine="0"/>
              <w:rPr>
                <w:rFonts w:ascii="Calibri" w:hAnsi="Calibri" w:eastAsia="Times New Roman" w:cs="Calibri"/>
                <w:b/>
                <w:bCs/>
                <w:color w:val="000000"/>
                <w:sz w:val="22"/>
              </w:rPr>
            </w:pPr>
            <w:r w:rsidRPr="008E3C8E">
              <w:rPr>
                <w:rFonts w:ascii="Calibri" w:hAnsi="Calibri" w:eastAsia="Times New Roman" w:cs="Calibri"/>
                <w:b/>
                <w:bCs/>
                <w:color w:val="000000"/>
                <w:sz w:val="22"/>
              </w:rPr>
              <w:lastRenderedPageBreak/>
              <w:t>Residential Meter Service</w:t>
            </w:r>
          </w:p>
        </w:tc>
        <w:tc>
          <w:tcPr>
            <w:tcW w:w="2070" w:type="dxa"/>
            <w:noWrap/>
            <w:hideMark/>
          </w:tcPr>
          <w:p w:rsidRPr="008E3C8E" w:rsidR="008E3C8E" w:rsidP="008E3C8E" w:rsidRDefault="008E3C8E" w14:paraId="3C226010" w14:textId="77777777">
            <w:pPr>
              <w:spacing w:line="240" w:lineRule="auto"/>
              <w:ind w:firstLine="0"/>
              <w:rPr>
                <w:rFonts w:ascii="Times New Roman" w:hAnsi="Times New Roman" w:eastAsia="Times New Roman" w:cs="Times New Roman"/>
                <w:sz w:val="20"/>
                <w:szCs w:val="20"/>
              </w:rPr>
            </w:pPr>
          </w:p>
        </w:tc>
      </w:tr>
      <w:tr w:rsidRPr="008E3C8E" w:rsidR="008E3C8E" w:rsidTr="00D15283" w14:paraId="378980F5" w14:textId="77777777">
        <w:trPr>
          <w:gridAfter w:val="1"/>
          <w:wAfter w:w="501" w:type="dxa"/>
          <w:trHeight w:val="300"/>
        </w:trPr>
        <w:tc>
          <w:tcPr>
            <w:tcW w:w="2785" w:type="dxa"/>
            <w:noWrap/>
            <w:hideMark/>
          </w:tcPr>
          <w:p w:rsidRPr="008E3C8E" w:rsidR="008E3C8E" w:rsidP="008E3C8E" w:rsidRDefault="008E3C8E" w14:paraId="69D607A0"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Size</w:t>
            </w:r>
          </w:p>
        </w:tc>
        <w:tc>
          <w:tcPr>
            <w:tcW w:w="2070" w:type="dxa"/>
            <w:noWrap/>
            <w:hideMark/>
          </w:tcPr>
          <w:p w:rsidRPr="008E3C8E" w:rsidR="008E3C8E" w:rsidP="008E3C8E" w:rsidRDefault="008E3C8E" w14:paraId="45378E99" w14:textId="77777777">
            <w:pPr>
              <w:spacing w:line="240" w:lineRule="auto"/>
              <w:ind w:firstLine="0"/>
              <w:jc w:val="center"/>
              <w:rPr>
                <w:rFonts w:ascii="Calibri" w:hAnsi="Calibri" w:eastAsia="Times New Roman" w:cs="Calibri"/>
                <w:b/>
                <w:bCs/>
                <w:color w:val="000000"/>
                <w:sz w:val="22"/>
              </w:rPr>
            </w:pPr>
            <w:r w:rsidRPr="008E3C8E">
              <w:rPr>
                <w:rFonts w:ascii="Calibri" w:hAnsi="Calibri" w:eastAsia="Times New Roman" w:cs="Calibri"/>
                <w:b/>
                <w:bCs/>
                <w:color w:val="000000"/>
                <w:sz w:val="22"/>
              </w:rPr>
              <w:t>2019</w:t>
            </w:r>
          </w:p>
        </w:tc>
        <w:tc>
          <w:tcPr>
            <w:tcW w:w="1170" w:type="dxa"/>
            <w:noWrap/>
            <w:hideMark/>
          </w:tcPr>
          <w:p w:rsidRPr="008E3C8E" w:rsidR="008E3C8E" w:rsidP="008E3C8E" w:rsidRDefault="008E3C8E" w14:paraId="7F666AFB" w14:textId="77777777">
            <w:pPr>
              <w:spacing w:line="240" w:lineRule="auto"/>
              <w:ind w:firstLine="0"/>
              <w:jc w:val="center"/>
              <w:rPr>
                <w:rFonts w:ascii="Calibri" w:hAnsi="Calibri" w:eastAsia="Times New Roman" w:cs="Calibri"/>
                <w:b/>
                <w:bCs/>
                <w:color w:val="000000"/>
                <w:sz w:val="22"/>
              </w:rPr>
            </w:pPr>
            <w:r w:rsidRPr="008E3C8E">
              <w:rPr>
                <w:rFonts w:ascii="Calibri" w:hAnsi="Calibri" w:eastAsia="Times New Roman" w:cs="Calibri"/>
                <w:b/>
                <w:bCs/>
                <w:color w:val="000000"/>
                <w:sz w:val="22"/>
              </w:rPr>
              <w:t>2020</w:t>
            </w:r>
          </w:p>
        </w:tc>
        <w:tc>
          <w:tcPr>
            <w:tcW w:w="2610" w:type="dxa"/>
            <w:noWrap/>
            <w:hideMark/>
          </w:tcPr>
          <w:p w:rsidRPr="008E3C8E" w:rsidR="008E3C8E" w:rsidP="008E3C8E" w:rsidRDefault="008E3C8E" w14:paraId="17231280" w14:textId="77777777">
            <w:pPr>
              <w:spacing w:line="240" w:lineRule="auto"/>
              <w:ind w:firstLine="0"/>
              <w:jc w:val="center"/>
              <w:rPr>
                <w:rFonts w:ascii="Calibri" w:hAnsi="Calibri" w:eastAsia="Times New Roman" w:cs="Calibri"/>
                <w:b/>
                <w:bCs/>
                <w:color w:val="000000"/>
                <w:sz w:val="22"/>
              </w:rPr>
            </w:pPr>
            <w:r w:rsidRPr="008E3C8E">
              <w:rPr>
                <w:rFonts w:ascii="Calibri" w:hAnsi="Calibri" w:eastAsia="Times New Roman" w:cs="Calibri"/>
                <w:b/>
                <w:bCs/>
                <w:color w:val="000000"/>
                <w:sz w:val="22"/>
              </w:rPr>
              <w:t>2021</w:t>
            </w:r>
          </w:p>
        </w:tc>
      </w:tr>
      <w:tr w:rsidRPr="008E3C8E" w:rsidR="008E3C8E" w:rsidTr="00D15283" w14:paraId="2F8DDF0F" w14:textId="77777777">
        <w:trPr>
          <w:gridAfter w:val="1"/>
          <w:wAfter w:w="501" w:type="dxa"/>
          <w:trHeight w:val="300"/>
        </w:trPr>
        <w:tc>
          <w:tcPr>
            <w:tcW w:w="2785" w:type="dxa"/>
            <w:noWrap/>
            <w:hideMark/>
          </w:tcPr>
          <w:p w:rsidRPr="008E3C8E" w:rsidR="008E3C8E" w:rsidP="008E3C8E" w:rsidRDefault="008E3C8E" w14:paraId="31250348"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General Metered</w:t>
            </w:r>
          </w:p>
        </w:tc>
        <w:tc>
          <w:tcPr>
            <w:tcW w:w="2070" w:type="dxa"/>
            <w:noWrap/>
            <w:hideMark/>
          </w:tcPr>
          <w:p w:rsidRPr="008E3C8E" w:rsidR="008E3C8E" w:rsidP="008E3C8E" w:rsidRDefault="008E3C8E" w14:paraId="1ABD6043" w14:textId="77777777">
            <w:pPr>
              <w:spacing w:line="240" w:lineRule="auto"/>
              <w:ind w:firstLine="0"/>
              <w:rPr>
                <w:rFonts w:ascii="Times New Roman" w:hAnsi="Times New Roman" w:eastAsia="Times New Roman" w:cs="Times New Roman"/>
                <w:sz w:val="20"/>
                <w:szCs w:val="20"/>
              </w:rPr>
            </w:pPr>
          </w:p>
        </w:tc>
        <w:tc>
          <w:tcPr>
            <w:tcW w:w="1170" w:type="dxa"/>
            <w:noWrap/>
            <w:hideMark/>
          </w:tcPr>
          <w:p w:rsidRPr="008E3C8E" w:rsidR="008E3C8E" w:rsidP="008E3C8E" w:rsidRDefault="008E3C8E" w14:paraId="6E229B1E" w14:textId="77777777">
            <w:pPr>
              <w:spacing w:line="240" w:lineRule="auto"/>
              <w:ind w:firstLine="0"/>
              <w:rPr>
                <w:rFonts w:ascii="Times New Roman" w:hAnsi="Times New Roman" w:eastAsia="Times New Roman" w:cs="Times New Roman"/>
                <w:sz w:val="20"/>
                <w:szCs w:val="20"/>
              </w:rPr>
            </w:pPr>
          </w:p>
        </w:tc>
        <w:tc>
          <w:tcPr>
            <w:tcW w:w="2610" w:type="dxa"/>
            <w:noWrap/>
            <w:hideMark/>
          </w:tcPr>
          <w:p w:rsidRPr="008E3C8E" w:rsidR="008E3C8E" w:rsidP="008E3C8E" w:rsidRDefault="008E3C8E" w14:paraId="40A5B141" w14:textId="77777777">
            <w:pPr>
              <w:spacing w:line="240" w:lineRule="auto"/>
              <w:ind w:firstLine="0"/>
              <w:rPr>
                <w:rFonts w:ascii="Times New Roman" w:hAnsi="Times New Roman" w:eastAsia="Times New Roman" w:cs="Times New Roman"/>
                <w:sz w:val="20"/>
                <w:szCs w:val="20"/>
              </w:rPr>
            </w:pPr>
          </w:p>
        </w:tc>
      </w:tr>
      <w:tr w:rsidRPr="008E3C8E" w:rsidR="008E3C8E" w:rsidTr="00D15283" w14:paraId="2006DCA8" w14:textId="77777777">
        <w:trPr>
          <w:gridAfter w:val="1"/>
          <w:wAfter w:w="501" w:type="dxa"/>
          <w:trHeight w:val="300"/>
        </w:trPr>
        <w:tc>
          <w:tcPr>
            <w:tcW w:w="2785" w:type="dxa"/>
            <w:noWrap/>
            <w:hideMark/>
          </w:tcPr>
          <w:p w:rsidRPr="008E3C8E" w:rsidR="008E3C8E" w:rsidP="008E3C8E" w:rsidRDefault="008E3C8E" w14:paraId="70B3111F"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5/8x3/4"</w:t>
            </w:r>
          </w:p>
        </w:tc>
        <w:tc>
          <w:tcPr>
            <w:tcW w:w="2070" w:type="dxa"/>
            <w:noWrap/>
            <w:hideMark/>
          </w:tcPr>
          <w:p w:rsidRPr="008E3C8E" w:rsidR="008E3C8E" w:rsidP="008E3C8E" w:rsidRDefault="008E3C8E" w14:paraId="6C92C357"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19.58 </w:t>
            </w:r>
          </w:p>
        </w:tc>
        <w:tc>
          <w:tcPr>
            <w:tcW w:w="1170" w:type="dxa"/>
            <w:noWrap/>
            <w:hideMark/>
          </w:tcPr>
          <w:p w:rsidRPr="008E3C8E" w:rsidR="008E3C8E" w:rsidP="008E3C8E" w:rsidRDefault="008E3C8E" w14:paraId="555CCAB4"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20.35 </w:t>
            </w:r>
          </w:p>
        </w:tc>
        <w:tc>
          <w:tcPr>
            <w:tcW w:w="2610" w:type="dxa"/>
            <w:noWrap/>
            <w:hideMark/>
          </w:tcPr>
          <w:p w:rsidRPr="008E3C8E" w:rsidR="008E3C8E" w:rsidP="00D15283" w:rsidRDefault="008E3C8E" w14:paraId="63D93D05" w14:textId="77777777">
            <w:pPr>
              <w:spacing w:line="240" w:lineRule="auto"/>
              <w:ind w:right="766" w:firstLine="0"/>
              <w:rPr>
                <w:rFonts w:ascii="Calibri" w:hAnsi="Calibri" w:eastAsia="Times New Roman" w:cs="Calibri"/>
                <w:sz w:val="22"/>
              </w:rPr>
            </w:pPr>
            <w:r w:rsidRPr="008E3C8E">
              <w:rPr>
                <w:rFonts w:ascii="Calibri" w:hAnsi="Calibri" w:eastAsia="Times New Roman" w:cs="Calibri"/>
                <w:sz w:val="22"/>
              </w:rPr>
              <w:t xml:space="preserve"> $           21.00 </w:t>
            </w:r>
          </w:p>
        </w:tc>
      </w:tr>
      <w:tr w:rsidRPr="008E3C8E" w:rsidR="008E3C8E" w:rsidTr="00D15283" w14:paraId="0F536A24" w14:textId="77777777">
        <w:trPr>
          <w:gridAfter w:val="1"/>
          <w:wAfter w:w="501" w:type="dxa"/>
          <w:trHeight w:val="300"/>
        </w:trPr>
        <w:tc>
          <w:tcPr>
            <w:tcW w:w="2785" w:type="dxa"/>
            <w:noWrap/>
            <w:hideMark/>
          </w:tcPr>
          <w:p w:rsidRPr="008E3C8E" w:rsidR="008E3C8E" w:rsidP="008E3C8E" w:rsidRDefault="008E3C8E" w14:paraId="424BEBD4"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3/4"</w:t>
            </w:r>
          </w:p>
        </w:tc>
        <w:tc>
          <w:tcPr>
            <w:tcW w:w="2070" w:type="dxa"/>
            <w:noWrap/>
            <w:hideMark/>
          </w:tcPr>
          <w:p w:rsidRPr="008E3C8E" w:rsidR="008E3C8E" w:rsidP="008E3C8E" w:rsidRDefault="008E3C8E" w14:paraId="074AFF3F"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29.37 </w:t>
            </w:r>
          </w:p>
        </w:tc>
        <w:tc>
          <w:tcPr>
            <w:tcW w:w="1170" w:type="dxa"/>
            <w:noWrap/>
            <w:hideMark/>
          </w:tcPr>
          <w:p w:rsidRPr="008E3C8E" w:rsidR="008E3C8E" w:rsidP="008E3C8E" w:rsidRDefault="008E3C8E" w14:paraId="632EBEF8"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30.52 </w:t>
            </w:r>
          </w:p>
        </w:tc>
        <w:tc>
          <w:tcPr>
            <w:tcW w:w="2610" w:type="dxa"/>
            <w:noWrap/>
            <w:hideMark/>
          </w:tcPr>
          <w:p w:rsidRPr="008E3C8E" w:rsidR="008E3C8E" w:rsidP="008E3C8E" w:rsidRDefault="008E3C8E" w14:paraId="13611AF2"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31.50 </w:t>
            </w:r>
          </w:p>
        </w:tc>
      </w:tr>
      <w:tr w:rsidRPr="008E3C8E" w:rsidR="008E3C8E" w:rsidTr="00D15283" w14:paraId="305FF46D" w14:textId="77777777">
        <w:trPr>
          <w:gridAfter w:val="1"/>
          <w:wAfter w:w="501" w:type="dxa"/>
          <w:trHeight w:val="300"/>
        </w:trPr>
        <w:tc>
          <w:tcPr>
            <w:tcW w:w="2785" w:type="dxa"/>
            <w:noWrap/>
            <w:hideMark/>
          </w:tcPr>
          <w:p w:rsidRPr="008E3C8E" w:rsidR="008E3C8E" w:rsidP="008E3C8E" w:rsidRDefault="008E3C8E" w14:paraId="0E1BB1B6"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w:t>
            </w:r>
          </w:p>
        </w:tc>
        <w:tc>
          <w:tcPr>
            <w:tcW w:w="2070" w:type="dxa"/>
            <w:noWrap/>
            <w:hideMark/>
          </w:tcPr>
          <w:p w:rsidRPr="008E3C8E" w:rsidR="008E3C8E" w:rsidP="008E3C8E" w:rsidRDefault="008E3C8E" w14:paraId="7B8B8C94"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48.95 </w:t>
            </w:r>
          </w:p>
        </w:tc>
        <w:tc>
          <w:tcPr>
            <w:tcW w:w="1170" w:type="dxa"/>
            <w:noWrap/>
            <w:hideMark/>
          </w:tcPr>
          <w:p w:rsidRPr="008E3C8E" w:rsidR="008E3C8E" w:rsidP="008E3C8E" w:rsidRDefault="008E3C8E" w14:paraId="339CFF08"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50.86 </w:t>
            </w:r>
          </w:p>
        </w:tc>
        <w:tc>
          <w:tcPr>
            <w:tcW w:w="2610" w:type="dxa"/>
            <w:noWrap/>
            <w:hideMark/>
          </w:tcPr>
          <w:p w:rsidRPr="008E3C8E" w:rsidR="008E3C8E" w:rsidP="008E3C8E" w:rsidRDefault="008E3C8E" w14:paraId="28F093B9"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52.50 </w:t>
            </w:r>
          </w:p>
        </w:tc>
      </w:tr>
      <w:tr w:rsidRPr="008E3C8E" w:rsidR="008E3C8E" w:rsidTr="00D15283" w14:paraId="502247FB" w14:textId="77777777">
        <w:trPr>
          <w:gridAfter w:val="1"/>
          <w:wAfter w:w="501" w:type="dxa"/>
          <w:trHeight w:val="300"/>
        </w:trPr>
        <w:tc>
          <w:tcPr>
            <w:tcW w:w="2785" w:type="dxa"/>
            <w:noWrap/>
            <w:hideMark/>
          </w:tcPr>
          <w:p w:rsidRPr="008E3C8E" w:rsidR="008E3C8E" w:rsidP="008E3C8E" w:rsidRDefault="008E3C8E" w14:paraId="6C30D9BA"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1-1/2"</w:t>
            </w:r>
          </w:p>
        </w:tc>
        <w:tc>
          <w:tcPr>
            <w:tcW w:w="2070" w:type="dxa"/>
            <w:noWrap/>
            <w:hideMark/>
          </w:tcPr>
          <w:p w:rsidRPr="008E3C8E" w:rsidR="008E3C8E" w:rsidP="008E3C8E" w:rsidRDefault="008E3C8E" w14:paraId="73EEFEC6"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97.90 </w:t>
            </w:r>
          </w:p>
        </w:tc>
        <w:tc>
          <w:tcPr>
            <w:tcW w:w="1170" w:type="dxa"/>
            <w:noWrap/>
            <w:hideMark/>
          </w:tcPr>
          <w:p w:rsidRPr="008E3C8E" w:rsidR="008E3C8E" w:rsidP="008E3C8E" w:rsidRDefault="008E3C8E" w14:paraId="32B0ED90"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101.73 </w:t>
            </w:r>
          </w:p>
        </w:tc>
        <w:tc>
          <w:tcPr>
            <w:tcW w:w="2610" w:type="dxa"/>
            <w:noWrap/>
            <w:hideMark/>
          </w:tcPr>
          <w:p w:rsidRPr="008E3C8E" w:rsidR="008E3C8E" w:rsidP="008E3C8E" w:rsidRDefault="008E3C8E" w14:paraId="48967C10"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105.00 </w:t>
            </w:r>
          </w:p>
        </w:tc>
      </w:tr>
      <w:tr w:rsidRPr="008E3C8E" w:rsidR="008E3C8E" w:rsidTr="00D15283" w14:paraId="2F6E53FD" w14:textId="77777777">
        <w:trPr>
          <w:gridAfter w:val="1"/>
          <w:wAfter w:w="501" w:type="dxa"/>
          <w:trHeight w:val="300"/>
        </w:trPr>
        <w:tc>
          <w:tcPr>
            <w:tcW w:w="2785" w:type="dxa"/>
            <w:noWrap/>
            <w:hideMark/>
          </w:tcPr>
          <w:p w:rsidRPr="008E3C8E" w:rsidR="008E3C8E" w:rsidP="008E3C8E" w:rsidRDefault="008E3C8E" w14:paraId="4E303DAD"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2"</w:t>
            </w:r>
          </w:p>
        </w:tc>
        <w:tc>
          <w:tcPr>
            <w:tcW w:w="2070" w:type="dxa"/>
            <w:noWrap/>
            <w:hideMark/>
          </w:tcPr>
          <w:p w:rsidRPr="008E3C8E" w:rsidR="008E3C8E" w:rsidP="008E3C8E" w:rsidRDefault="008E3C8E" w14:paraId="3EFCD3ED"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156.64 </w:t>
            </w:r>
          </w:p>
        </w:tc>
        <w:tc>
          <w:tcPr>
            <w:tcW w:w="1170" w:type="dxa"/>
            <w:noWrap/>
            <w:hideMark/>
          </w:tcPr>
          <w:p w:rsidRPr="008E3C8E" w:rsidR="008E3C8E" w:rsidP="008E3C8E" w:rsidRDefault="008E3C8E" w14:paraId="045B09F6"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162.76 </w:t>
            </w:r>
          </w:p>
        </w:tc>
        <w:tc>
          <w:tcPr>
            <w:tcW w:w="2610" w:type="dxa"/>
            <w:noWrap/>
            <w:hideMark/>
          </w:tcPr>
          <w:p w:rsidRPr="008E3C8E" w:rsidR="008E3C8E" w:rsidP="008E3C8E" w:rsidRDefault="008E3C8E" w14:paraId="3399D432"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168.00 </w:t>
            </w:r>
          </w:p>
        </w:tc>
      </w:tr>
      <w:tr w:rsidRPr="008E3C8E" w:rsidR="008E3C8E" w:rsidTr="00D15283" w14:paraId="1F3383D2" w14:textId="77777777">
        <w:trPr>
          <w:gridAfter w:val="1"/>
          <w:wAfter w:w="501" w:type="dxa"/>
          <w:trHeight w:val="300"/>
        </w:trPr>
        <w:tc>
          <w:tcPr>
            <w:tcW w:w="2785" w:type="dxa"/>
            <w:noWrap/>
            <w:hideMark/>
          </w:tcPr>
          <w:p w:rsidRPr="008E3C8E" w:rsidR="008E3C8E" w:rsidP="008E3C8E" w:rsidRDefault="008E3C8E" w14:paraId="3698D1E0"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3"</w:t>
            </w:r>
          </w:p>
        </w:tc>
        <w:tc>
          <w:tcPr>
            <w:tcW w:w="2070" w:type="dxa"/>
            <w:noWrap/>
            <w:hideMark/>
          </w:tcPr>
          <w:p w:rsidRPr="008E3C8E" w:rsidR="008E3C8E" w:rsidP="008E3C8E" w:rsidRDefault="008E3C8E" w14:paraId="7B2349EC"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293.70 </w:t>
            </w:r>
          </w:p>
        </w:tc>
        <w:tc>
          <w:tcPr>
            <w:tcW w:w="1170" w:type="dxa"/>
            <w:noWrap/>
            <w:hideMark/>
          </w:tcPr>
          <w:p w:rsidRPr="008E3C8E" w:rsidR="008E3C8E" w:rsidP="008E3C8E" w:rsidRDefault="008E3C8E" w14:paraId="13D7CE09"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305.18 </w:t>
            </w:r>
          </w:p>
        </w:tc>
        <w:tc>
          <w:tcPr>
            <w:tcW w:w="2610" w:type="dxa"/>
            <w:noWrap/>
            <w:hideMark/>
          </w:tcPr>
          <w:p w:rsidRPr="008E3C8E" w:rsidR="008E3C8E" w:rsidP="008E3C8E" w:rsidRDefault="008E3C8E" w14:paraId="5907E6F1"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315.00 </w:t>
            </w:r>
          </w:p>
        </w:tc>
      </w:tr>
      <w:tr w:rsidRPr="008E3C8E" w:rsidR="008E3C8E" w:rsidTr="00D15283" w14:paraId="787C8BC4" w14:textId="77777777">
        <w:trPr>
          <w:gridAfter w:val="1"/>
          <w:wAfter w:w="501" w:type="dxa"/>
          <w:trHeight w:val="300"/>
        </w:trPr>
        <w:tc>
          <w:tcPr>
            <w:tcW w:w="2785" w:type="dxa"/>
            <w:noWrap/>
            <w:hideMark/>
          </w:tcPr>
          <w:p w:rsidRPr="008E3C8E" w:rsidR="008E3C8E" w:rsidP="008E3C8E" w:rsidRDefault="008E3C8E" w14:paraId="1654C1B8"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4"</w:t>
            </w:r>
          </w:p>
        </w:tc>
        <w:tc>
          <w:tcPr>
            <w:tcW w:w="2070" w:type="dxa"/>
            <w:noWrap/>
            <w:hideMark/>
          </w:tcPr>
          <w:p w:rsidRPr="008E3C8E" w:rsidR="008E3C8E" w:rsidP="008E3C8E" w:rsidRDefault="008E3C8E" w14:paraId="0E8E624C"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489.50 </w:t>
            </w:r>
          </w:p>
        </w:tc>
        <w:tc>
          <w:tcPr>
            <w:tcW w:w="1170" w:type="dxa"/>
            <w:noWrap/>
            <w:hideMark/>
          </w:tcPr>
          <w:p w:rsidRPr="008E3C8E" w:rsidR="008E3C8E" w:rsidP="008E3C8E" w:rsidRDefault="008E3C8E" w14:paraId="075DC698"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508.63 </w:t>
            </w:r>
          </w:p>
        </w:tc>
        <w:tc>
          <w:tcPr>
            <w:tcW w:w="2610" w:type="dxa"/>
            <w:noWrap/>
            <w:hideMark/>
          </w:tcPr>
          <w:p w:rsidRPr="008E3C8E" w:rsidR="008E3C8E" w:rsidP="008E3C8E" w:rsidRDefault="008E3C8E" w14:paraId="3398658C"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525.00 </w:t>
            </w:r>
          </w:p>
        </w:tc>
      </w:tr>
      <w:tr w:rsidRPr="008E3C8E" w:rsidR="008E3C8E" w:rsidTr="00D15283" w14:paraId="3240A2FB" w14:textId="77777777">
        <w:trPr>
          <w:gridAfter w:val="1"/>
          <w:wAfter w:w="501" w:type="dxa"/>
          <w:trHeight w:val="300"/>
        </w:trPr>
        <w:tc>
          <w:tcPr>
            <w:tcW w:w="2785" w:type="dxa"/>
            <w:noWrap/>
            <w:hideMark/>
          </w:tcPr>
          <w:p w:rsidRPr="008E3C8E" w:rsidR="008E3C8E" w:rsidP="008E3C8E" w:rsidRDefault="008E3C8E" w14:paraId="5D0ACB39"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6"</w:t>
            </w:r>
          </w:p>
        </w:tc>
        <w:tc>
          <w:tcPr>
            <w:tcW w:w="2070" w:type="dxa"/>
            <w:noWrap/>
            <w:hideMark/>
          </w:tcPr>
          <w:p w:rsidRPr="008E3C8E" w:rsidR="008E3C8E" w:rsidP="008E3C8E" w:rsidRDefault="008E3C8E" w14:paraId="1AC0F065"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979.00 </w:t>
            </w:r>
          </w:p>
        </w:tc>
        <w:tc>
          <w:tcPr>
            <w:tcW w:w="1170" w:type="dxa"/>
            <w:noWrap/>
            <w:hideMark/>
          </w:tcPr>
          <w:p w:rsidRPr="008E3C8E" w:rsidR="008E3C8E" w:rsidP="008E3C8E" w:rsidRDefault="008E3C8E" w14:paraId="76D3099D"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1,017.25 </w:t>
            </w:r>
          </w:p>
        </w:tc>
        <w:tc>
          <w:tcPr>
            <w:tcW w:w="2610" w:type="dxa"/>
            <w:noWrap/>
            <w:hideMark/>
          </w:tcPr>
          <w:p w:rsidRPr="008E3C8E" w:rsidR="008E3C8E" w:rsidP="008E3C8E" w:rsidRDefault="008E3C8E" w14:paraId="1924C25A"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1,050.00 </w:t>
            </w:r>
          </w:p>
        </w:tc>
      </w:tr>
      <w:tr w:rsidRPr="008E3C8E" w:rsidR="008E3C8E" w:rsidTr="00D15283" w14:paraId="74825400" w14:textId="77777777">
        <w:trPr>
          <w:gridAfter w:val="1"/>
          <w:wAfter w:w="501" w:type="dxa"/>
          <w:trHeight w:val="300"/>
        </w:trPr>
        <w:tc>
          <w:tcPr>
            <w:tcW w:w="2785" w:type="dxa"/>
            <w:noWrap/>
            <w:hideMark/>
          </w:tcPr>
          <w:p w:rsidRPr="008E3C8E" w:rsidR="008E3C8E" w:rsidP="008E3C8E" w:rsidRDefault="008E3C8E" w14:paraId="74B93812"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8"</w:t>
            </w:r>
          </w:p>
        </w:tc>
        <w:tc>
          <w:tcPr>
            <w:tcW w:w="2070" w:type="dxa"/>
            <w:noWrap/>
            <w:hideMark/>
          </w:tcPr>
          <w:p w:rsidRPr="008E3C8E" w:rsidR="008E3C8E" w:rsidP="008E3C8E" w:rsidRDefault="008E3C8E" w14:paraId="6C08DB11"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1,566.40 </w:t>
            </w:r>
          </w:p>
        </w:tc>
        <w:tc>
          <w:tcPr>
            <w:tcW w:w="1170" w:type="dxa"/>
            <w:noWrap/>
            <w:hideMark/>
          </w:tcPr>
          <w:p w:rsidRPr="008E3C8E" w:rsidR="008E3C8E" w:rsidP="008E3C8E" w:rsidRDefault="008E3C8E" w14:paraId="2AC90D12"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1,627.60 </w:t>
            </w:r>
          </w:p>
        </w:tc>
        <w:tc>
          <w:tcPr>
            <w:tcW w:w="2610" w:type="dxa"/>
            <w:noWrap/>
            <w:hideMark/>
          </w:tcPr>
          <w:p w:rsidRPr="008E3C8E" w:rsidR="008E3C8E" w:rsidP="008E3C8E" w:rsidRDefault="008E3C8E" w14:paraId="7E072E26"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1,680.00 </w:t>
            </w:r>
          </w:p>
        </w:tc>
      </w:tr>
      <w:tr w:rsidRPr="008E3C8E" w:rsidR="008E3C8E" w:rsidTr="00D15283" w14:paraId="4A173E92" w14:textId="77777777">
        <w:trPr>
          <w:gridAfter w:val="1"/>
          <w:wAfter w:w="501" w:type="dxa"/>
          <w:trHeight w:val="300"/>
        </w:trPr>
        <w:tc>
          <w:tcPr>
            <w:tcW w:w="2785" w:type="dxa"/>
            <w:noWrap/>
            <w:hideMark/>
          </w:tcPr>
          <w:p w:rsidRPr="008E3C8E" w:rsidR="008E3C8E" w:rsidP="008E3C8E" w:rsidRDefault="008E3C8E" w14:paraId="46DD68EE"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10"</w:t>
            </w:r>
          </w:p>
        </w:tc>
        <w:tc>
          <w:tcPr>
            <w:tcW w:w="2070" w:type="dxa"/>
            <w:noWrap/>
            <w:hideMark/>
          </w:tcPr>
          <w:p w:rsidRPr="008E3C8E" w:rsidR="008E3C8E" w:rsidP="008E3C8E" w:rsidRDefault="008E3C8E" w14:paraId="5F0C0D5F"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2,251.70 </w:t>
            </w:r>
          </w:p>
        </w:tc>
        <w:tc>
          <w:tcPr>
            <w:tcW w:w="1170" w:type="dxa"/>
            <w:noWrap/>
            <w:hideMark/>
          </w:tcPr>
          <w:p w:rsidRPr="008E3C8E" w:rsidR="008E3C8E" w:rsidP="008E3C8E" w:rsidRDefault="008E3C8E" w14:paraId="6C69D0B2"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2,339.68 </w:t>
            </w:r>
          </w:p>
        </w:tc>
        <w:tc>
          <w:tcPr>
            <w:tcW w:w="2610" w:type="dxa"/>
            <w:noWrap/>
            <w:hideMark/>
          </w:tcPr>
          <w:p w:rsidRPr="008E3C8E" w:rsidR="008E3C8E" w:rsidP="008E3C8E" w:rsidRDefault="008E3C8E" w14:paraId="32783F0A"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2,415.00 </w:t>
            </w:r>
          </w:p>
        </w:tc>
      </w:tr>
      <w:tr w:rsidRPr="008E3C8E" w:rsidR="008E3C8E" w:rsidTr="00D15283" w14:paraId="19A89498" w14:textId="77777777">
        <w:trPr>
          <w:gridAfter w:val="1"/>
          <w:wAfter w:w="501" w:type="dxa"/>
          <w:trHeight w:val="300"/>
        </w:trPr>
        <w:tc>
          <w:tcPr>
            <w:tcW w:w="2785" w:type="dxa"/>
            <w:noWrap/>
            <w:hideMark/>
          </w:tcPr>
          <w:p w:rsidRPr="008E3C8E" w:rsidR="008E3C8E" w:rsidP="008E3C8E" w:rsidRDefault="008E3C8E" w14:paraId="78C83C01"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12"</w:t>
            </w:r>
          </w:p>
        </w:tc>
        <w:tc>
          <w:tcPr>
            <w:tcW w:w="2070" w:type="dxa"/>
            <w:noWrap/>
            <w:hideMark/>
          </w:tcPr>
          <w:p w:rsidRPr="008E3C8E" w:rsidR="008E3C8E" w:rsidP="008E3C8E" w:rsidRDefault="008E3C8E" w14:paraId="4FF3B7B7"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3,230.70 </w:t>
            </w:r>
          </w:p>
        </w:tc>
        <w:tc>
          <w:tcPr>
            <w:tcW w:w="1170" w:type="dxa"/>
            <w:noWrap/>
            <w:hideMark/>
          </w:tcPr>
          <w:p w:rsidRPr="008E3C8E" w:rsidR="008E3C8E" w:rsidP="008E3C8E" w:rsidRDefault="008E3C8E" w14:paraId="53DBCAAF"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3,356.93 </w:t>
            </w:r>
          </w:p>
        </w:tc>
        <w:tc>
          <w:tcPr>
            <w:tcW w:w="2610" w:type="dxa"/>
            <w:noWrap/>
            <w:hideMark/>
          </w:tcPr>
          <w:p w:rsidRPr="008E3C8E" w:rsidR="008E3C8E" w:rsidP="008E3C8E" w:rsidRDefault="008E3C8E" w14:paraId="31FB884C"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3,465.00 </w:t>
            </w:r>
          </w:p>
        </w:tc>
      </w:tr>
      <w:tr w:rsidRPr="008E3C8E" w:rsidR="008E3C8E" w:rsidTr="00D15283" w14:paraId="1F407D78" w14:textId="77777777">
        <w:trPr>
          <w:gridAfter w:val="1"/>
          <w:wAfter w:w="501" w:type="dxa"/>
          <w:trHeight w:val="300"/>
        </w:trPr>
        <w:tc>
          <w:tcPr>
            <w:tcW w:w="2785" w:type="dxa"/>
            <w:noWrap/>
            <w:hideMark/>
          </w:tcPr>
          <w:p w:rsidRPr="008E3C8E" w:rsidR="008E3C8E" w:rsidP="008E3C8E" w:rsidRDefault="008E3C8E" w14:paraId="73593B8B" w14:textId="77777777">
            <w:pPr>
              <w:spacing w:line="240" w:lineRule="auto"/>
              <w:ind w:firstLine="0"/>
              <w:rPr>
                <w:rFonts w:ascii="Calibri" w:hAnsi="Calibri" w:eastAsia="Times New Roman" w:cs="Calibri"/>
                <w:sz w:val="22"/>
              </w:rPr>
            </w:pPr>
          </w:p>
        </w:tc>
        <w:tc>
          <w:tcPr>
            <w:tcW w:w="2070" w:type="dxa"/>
            <w:noWrap/>
            <w:hideMark/>
          </w:tcPr>
          <w:p w:rsidRPr="008E3C8E" w:rsidR="008E3C8E" w:rsidP="008E3C8E" w:rsidRDefault="008E3C8E" w14:paraId="7370D139" w14:textId="77777777">
            <w:pPr>
              <w:spacing w:line="240" w:lineRule="auto"/>
              <w:ind w:firstLine="0"/>
              <w:rPr>
                <w:rFonts w:ascii="Times New Roman" w:hAnsi="Times New Roman" w:eastAsia="Times New Roman" w:cs="Times New Roman"/>
                <w:sz w:val="20"/>
                <w:szCs w:val="20"/>
              </w:rPr>
            </w:pPr>
          </w:p>
        </w:tc>
        <w:tc>
          <w:tcPr>
            <w:tcW w:w="1170" w:type="dxa"/>
            <w:noWrap/>
            <w:hideMark/>
          </w:tcPr>
          <w:p w:rsidRPr="008E3C8E" w:rsidR="008E3C8E" w:rsidP="008E3C8E" w:rsidRDefault="008E3C8E" w14:paraId="4A175C8F" w14:textId="77777777">
            <w:pPr>
              <w:spacing w:line="240" w:lineRule="auto"/>
              <w:ind w:firstLine="0"/>
              <w:rPr>
                <w:rFonts w:ascii="Times New Roman" w:hAnsi="Times New Roman" w:eastAsia="Times New Roman" w:cs="Times New Roman"/>
                <w:sz w:val="20"/>
                <w:szCs w:val="20"/>
              </w:rPr>
            </w:pPr>
          </w:p>
        </w:tc>
        <w:tc>
          <w:tcPr>
            <w:tcW w:w="2610" w:type="dxa"/>
            <w:noWrap/>
            <w:hideMark/>
          </w:tcPr>
          <w:p w:rsidRPr="008E3C8E" w:rsidR="008E3C8E" w:rsidP="008E3C8E" w:rsidRDefault="008E3C8E" w14:paraId="7D46C6AB" w14:textId="77777777">
            <w:pPr>
              <w:spacing w:line="240" w:lineRule="auto"/>
              <w:ind w:firstLine="0"/>
              <w:rPr>
                <w:rFonts w:ascii="Times New Roman" w:hAnsi="Times New Roman" w:eastAsia="Times New Roman" w:cs="Times New Roman"/>
                <w:sz w:val="20"/>
                <w:szCs w:val="20"/>
              </w:rPr>
            </w:pPr>
          </w:p>
        </w:tc>
      </w:tr>
      <w:tr w:rsidRPr="008E3C8E" w:rsidR="008E3C8E" w:rsidTr="00D15283" w14:paraId="6F726C80" w14:textId="77777777">
        <w:trPr>
          <w:trHeight w:val="300"/>
        </w:trPr>
        <w:tc>
          <w:tcPr>
            <w:tcW w:w="2785" w:type="dxa"/>
            <w:noWrap/>
            <w:hideMark/>
          </w:tcPr>
          <w:p w:rsidRPr="008E3C8E" w:rsidR="008E3C8E" w:rsidP="008E3C8E" w:rsidRDefault="008E3C8E" w14:paraId="081A1513"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 xml:space="preserve">Tier 1 Residential </w:t>
            </w:r>
          </w:p>
        </w:tc>
        <w:tc>
          <w:tcPr>
            <w:tcW w:w="2070" w:type="dxa"/>
            <w:noWrap/>
            <w:hideMark/>
          </w:tcPr>
          <w:p w:rsidRPr="008E3C8E" w:rsidR="008E3C8E" w:rsidP="008E3C8E" w:rsidRDefault="008E3C8E" w14:paraId="0A843162"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$5.951</w:t>
            </w:r>
          </w:p>
        </w:tc>
        <w:tc>
          <w:tcPr>
            <w:tcW w:w="4281" w:type="dxa"/>
            <w:gridSpan w:val="3"/>
            <w:noWrap/>
            <w:hideMark/>
          </w:tcPr>
          <w:p w:rsidRPr="008E3C8E" w:rsidR="008E3C8E" w:rsidP="008E3C8E" w:rsidRDefault="008E3C8E" w14:paraId="0C673BEB"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$6.122</w:t>
            </w:r>
          </w:p>
        </w:tc>
      </w:tr>
      <w:tr w:rsidRPr="008E3C8E" w:rsidR="008E3C8E" w:rsidTr="00D15283" w14:paraId="1D75E2CF" w14:textId="77777777">
        <w:trPr>
          <w:trHeight w:val="300"/>
        </w:trPr>
        <w:tc>
          <w:tcPr>
            <w:tcW w:w="2785" w:type="dxa"/>
            <w:noWrap/>
            <w:hideMark/>
          </w:tcPr>
          <w:p w:rsidRPr="008E3C8E" w:rsidR="008E3C8E" w:rsidP="008E3C8E" w:rsidRDefault="008E3C8E" w14:paraId="13B96B4E"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 xml:space="preserve">Tier 2 Residential </w:t>
            </w:r>
          </w:p>
        </w:tc>
        <w:tc>
          <w:tcPr>
            <w:tcW w:w="2070" w:type="dxa"/>
            <w:noWrap/>
            <w:hideMark/>
          </w:tcPr>
          <w:p w:rsidRPr="008E3C8E" w:rsidR="008E3C8E" w:rsidP="008E3C8E" w:rsidRDefault="008E3C8E" w14:paraId="48B26733"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$6.844</w:t>
            </w:r>
          </w:p>
        </w:tc>
        <w:tc>
          <w:tcPr>
            <w:tcW w:w="4281" w:type="dxa"/>
            <w:gridSpan w:val="3"/>
            <w:noWrap/>
            <w:hideMark/>
          </w:tcPr>
          <w:p w:rsidRPr="008E3C8E" w:rsidR="008E3C8E" w:rsidP="008E3C8E" w:rsidRDefault="008E3C8E" w14:paraId="7F2DDCA0"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$7.040</w:t>
            </w:r>
          </w:p>
        </w:tc>
      </w:tr>
      <w:tr w:rsidRPr="008E3C8E" w:rsidR="008E3C8E" w:rsidTr="00D15283" w14:paraId="584F7F30" w14:textId="77777777">
        <w:trPr>
          <w:gridAfter w:val="1"/>
          <w:wAfter w:w="501" w:type="dxa"/>
          <w:trHeight w:val="300"/>
        </w:trPr>
        <w:tc>
          <w:tcPr>
            <w:tcW w:w="2785" w:type="dxa"/>
            <w:noWrap/>
            <w:hideMark/>
          </w:tcPr>
          <w:p w:rsidRPr="008E3C8E" w:rsidR="008E3C8E" w:rsidP="008E3C8E" w:rsidRDefault="008E3C8E" w14:paraId="4E8ADC44" w14:textId="77777777">
            <w:pPr>
              <w:spacing w:line="240" w:lineRule="auto"/>
              <w:ind w:firstLine="0"/>
              <w:jc w:val="right"/>
              <w:rPr>
                <w:rFonts w:ascii="Arial" w:hAnsi="Arial" w:eastAsia="Times New Roman" w:cs="Arial"/>
                <w:sz w:val="20"/>
                <w:szCs w:val="20"/>
              </w:rPr>
            </w:pPr>
          </w:p>
        </w:tc>
        <w:tc>
          <w:tcPr>
            <w:tcW w:w="2070" w:type="dxa"/>
            <w:noWrap/>
            <w:hideMark/>
          </w:tcPr>
          <w:p w:rsidRPr="008E3C8E" w:rsidR="008E3C8E" w:rsidP="008E3C8E" w:rsidRDefault="008E3C8E" w14:paraId="31A5A1B6" w14:textId="77777777">
            <w:pPr>
              <w:spacing w:line="240" w:lineRule="auto"/>
              <w:ind w:firstLine="0"/>
              <w:rPr>
                <w:rFonts w:ascii="Times New Roman" w:hAnsi="Times New Roman" w:eastAsia="Times New Roman" w:cs="Times New Roman"/>
                <w:sz w:val="20"/>
                <w:szCs w:val="20"/>
              </w:rPr>
            </w:pPr>
          </w:p>
        </w:tc>
        <w:tc>
          <w:tcPr>
            <w:tcW w:w="1170" w:type="dxa"/>
            <w:noWrap/>
            <w:hideMark/>
          </w:tcPr>
          <w:p w:rsidRPr="008E3C8E" w:rsidR="008E3C8E" w:rsidP="008E3C8E" w:rsidRDefault="008E3C8E" w14:paraId="3A399AEF" w14:textId="77777777">
            <w:pPr>
              <w:spacing w:line="240" w:lineRule="auto"/>
              <w:ind w:firstLine="0"/>
              <w:rPr>
                <w:rFonts w:ascii="Times New Roman" w:hAnsi="Times New Roman" w:eastAsia="Times New Roman" w:cs="Times New Roman"/>
                <w:sz w:val="20"/>
                <w:szCs w:val="20"/>
              </w:rPr>
            </w:pPr>
          </w:p>
        </w:tc>
        <w:tc>
          <w:tcPr>
            <w:tcW w:w="2610" w:type="dxa"/>
            <w:noWrap/>
            <w:hideMark/>
          </w:tcPr>
          <w:p w:rsidRPr="008E3C8E" w:rsidR="008E3C8E" w:rsidP="008E3C8E" w:rsidRDefault="008E3C8E" w14:paraId="4EF9982B" w14:textId="77777777">
            <w:pPr>
              <w:spacing w:line="240" w:lineRule="auto"/>
              <w:ind w:firstLine="0"/>
              <w:rPr>
                <w:rFonts w:ascii="Times New Roman" w:hAnsi="Times New Roman" w:eastAsia="Times New Roman" w:cs="Times New Roman"/>
                <w:sz w:val="20"/>
                <w:szCs w:val="20"/>
              </w:rPr>
            </w:pPr>
          </w:p>
        </w:tc>
      </w:tr>
      <w:tr w:rsidRPr="008E3C8E" w:rsidR="008E3C8E" w:rsidTr="00D15283" w14:paraId="5315F60A" w14:textId="77777777">
        <w:trPr>
          <w:gridAfter w:val="1"/>
          <w:wAfter w:w="501" w:type="dxa"/>
          <w:trHeight w:val="300"/>
        </w:trPr>
        <w:tc>
          <w:tcPr>
            <w:tcW w:w="2785" w:type="dxa"/>
            <w:noWrap/>
            <w:hideMark/>
          </w:tcPr>
          <w:p w:rsidRPr="008E3C8E" w:rsidR="008E3C8E" w:rsidP="008E3C8E" w:rsidRDefault="008E3C8E" w14:paraId="7CCF3EE8" w14:textId="77777777">
            <w:pPr>
              <w:spacing w:line="240" w:lineRule="auto"/>
              <w:ind w:firstLine="0"/>
              <w:rPr>
                <w:rFonts w:ascii="Calibri" w:hAnsi="Calibri" w:eastAsia="Times New Roman" w:cs="Calibri"/>
                <w:color w:val="000000"/>
                <w:sz w:val="22"/>
              </w:rPr>
            </w:pPr>
            <w:proofErr w:type="gramStart"/>
            <w:r w:rsidRPr="008E3C8E">
              <w:rPr>
                <w:rFonts w:ascii="Calibri" w:hAnsi="Calibri" w:eastAsia="Times New Roman" w:cs="Calibri"/>
                <w:color w:val="000000"/>
                <w:sz w:val="22"/>
              </w:rPr>
              <w:t>Non Residential</w:t>
            </w:r>
            <w:proofErr w:type="gramEnd"/>
            <w:r w:rsidRPr="008E3C8E">
              <w:rPr>
                <w:rFonts w:ascii="Calibri" w:hAnsi="Calibri" w:eastAsia="Times New Roman" w:cs="Calibri"/>
                <w:color w:val="000000"/>
                <w:sz w:val="22"/>
              </w:rPr>
              <w:t xml:space="preserve"> </w:t>
            </w:r>
          </w:p>
        </w:tc>
        <w:tc>
          <w:tcPr>
            <w:tcW w:w="2070" w:type="dxa"/>
            <w:noWrap/>
            <w:hideMark/>
          </w:tcPr>
          <w:p w:rsidRPr="008E3C8E" w:rsidR="008E3C8E" w:rsidP="008E3C8E" w:rsidRDefault="008E3C8E" w14:paraId="54B32159" w14:textId="77777777">
            <w:pPr>
              <w:spacing w:line="240" w:lineRule="auto"/>
              <w:ind w:firstLine="0"/>
              <w:rPr>
                <w:rFonts w:ascii="Times New Roman" w:hAnsi="Times New Roman" w:eastAsia="Times New Roman" w:cs="Times New Roman"/>
                <w:sz w:val="20"/>
                <w:szCs w:val="20"/>
              </w:rPr>
            </w:pPr>
          </w:p>
        </w:tc>
        <w:tc>
          <w:tcPr>
            <w:tcW w:w="1170" w:type="dxa"/>
            <w:noWrap/>
            <w:hideMark/>
          </w:tcPr>
          <w:p w:rsidRPr="008E3C8E" w:rsidR="008E3C8E" w:rsidP="008E3C8E" w:rsidRDefault="008E3C8E" w14:paraId="771327FF" w14:textId="77777777">
            <w:pPr>
              <w:spacing w:line="240" w:lineRule="auto"/>
              <w:ind w:firstLine="0"/>
              <w:rPr>
                <w:rFonts w:ascii="Times New Roman" w:hAnsi="Times New Roman" w:eastAsia="Times New Roman" w:cs="Times New Roman"/>
                <w:sz w:val="20"/>
                <w:szCs w:val="20"/>
              </w:rPr>
            </w:pPr>
          </w:p>
        </w:tc>
        <w:tc>
          <w:tcPr>
            <w:tcW w:w="2610" w:type="dxa"/>
            <w:noWrap/>
            <w:hideMark/>
          </w:tcPr>
          <w:p w:rsidRPr="008E3C8E" w:rsidR="008E3C8E" w:rsidP="008E3C8E" w:rsidRDefault="008E3C8E" w14:paraId="34F26B95" w14:textId="77777777">
            <w:pPr>
              <w:spacing w:line="240" w:lineRule="auto"/>
              <w:ind w:firstLine="0"/>
              <w:rPr>
                <w:rFonts w:ascii="Times New Roman" w:hAnsi="Times New Roman" w:eastAsia="Times New Roman" w:cs="Times New Roman"/>
                <w:sz w:val="20"/>
                <w:szCs w:val="20"/>
              </w:rPr>
            </w:pPr>
          </w:p>
        </w:tc>
      </w:tr>
      <w:tr w:rsidRPr="008E3C8E" w:rsidR="008E3C8E" w:rsidTr="00D15283" w14:paraId="718E1D33" w14:textId="77777777">
        <w:trPr>
          <w:gridAfter w:val="1"/>
          <w:wAfter w:w="501" w:type="dxa"/>
          <w:trHeight w:val="300"/>
        </w:trPr>
        <w:tc>
          <w:tcPr>
            <w:tcW w:w="2785" w:type="dxa"/>
            <w:noWrap/>
            <w:hideMark/>
          </w:tcPr>
          <w:p w:rsidRPr="008E3C8E" w:rsidR="008E3C8E" w:rsidP="008E3C8E" w:rsidRDefault="008E3C8E" w14:paraId="0C8CBF58"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5/8x3/4"</w:t>
            </w:r>
          </w:p>
        </w:tc>
        <w:tc>
          <w:tcPr>
            <w:tcW w:w="2070" w:type="dxa"/>
            <w:noWrap/>
            <w:hideMark/>
          </w:tcPr>
          <w:p w:rsidRPr="008E3C8E" w:rsidR="008E3C8E" w:rsidP="008E3C8E" w:rsidRDefault="008E3C8E" w14:paraId="0EED5E67"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19.58 </w:t>
            </w:r>
          </w:p>
        </w:tc>
        <w:tc>
          <w:tcPr>
            <w:tcW w:w="1170" w:type="dxa"/>
            <w:noWrap/>
            <w:hideMark/>
          </w:tcPr>
          <w:p w:rsidRPr="008E3C8E" w:rsidR="008E3C8E" w:rsidP="008E3C8E" w:rsidRDefault="008E3C8E" w14:paraId="434B3E41"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20.35 </w:t>
            </w:r>
          </w:p>
        </w:tc>
        <w:tc>
          <w:tcPr>
            <w:tcW w:w="2610" w:type="dxa"/>
            <w:noWrap/>
            <w:hideMark/>
          </w:tcPr>
          <w:p w:rsidRPr="008E3C8E" w:rsidR="008E3C8E" w:rsidP="008E3C8E" w:rsidRDefault="008E3C8E" w14:paraId="38A01D3A"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21.00 </w:t>
            </w:r>
          </w:p>
        </w:tc>
      </w:tr>
      <w:tr w:rsidRPr="008E3C8E" w:rsidR="008E3C8E" w:rsidTr="00D15283" w14:paraId="658E1BD5" w14:textId="77777777">
        <w:trPr>
          <w:gridAfter w:val="1"/>
          <w:wAfter w:w="501" w:type="dxa"/>
          <w:trHeight w:val="300"/>
        </w:trPr>
        <w:tc>
          <w:tcPr>
            <w:tcW w:w="2785" w:type="dxa"/>
            <w:noWrap/>
            <w:hideMark/>
          </w:tcPr>
          <w:p w:rsidRPr="008E3C8E" w:rsidR="008E3C8E" w:rsidP="008E3C8E" w:rsidRDefault="008E3C8E" w14:paraId="74031347"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3/4"</w:t>
            </w:r>
          </w:p>
        </w:tc>
        <w:tc>
          <w:tcPr>
            <w:tcW w:w="2070" w:type="dxa"/>
            <w:noWrap/>
            <w:hideMark/>
          </w:tcPr>
          <w:p w:rsidRPr="008E3C8E" w:rsidR="008E3C8E" w:rsidP="008E3C8E" w:rsidRDefault="008E3C8E" w14:paraId="7B89401B"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29.37 </w:t>
            </w:r>
          </w:p>
        </w:tc>
        <w:tc>
          <w:tcPr>
            <w:tcW w:w="1170" w:type="dxa"/>
            <w:noWrap/>
            <w:hideMark/>
          </w:tcPr>
          <w:p w:rsidRPr="008E3C8E" w:rsidR="008E3C8E" w:rsidP="008E3C8E" w:rsidRDefault="008E3C8E" w14:paraId="5B6D5454"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30.52 </w:t>
            </w:r>
          </w:p>
        </w:tc>
        <w:tc>
          <w:tcPr>
            <w:tcW w:w="2610" w:type="dxa"/>
            <w:noWrap/>
            <w:hideMark/>
          </w:tcPr>
          <w:p w:rsidRPr="008E3C8E" w:rsidR="008E3C8E" w:rsidP="008E3C8E" w:rsidRDefault="008E3C8E" w14:paraId="0C48F28F"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31.50 </w:t>
            </w:r>
          </w:p>
        </w:tc>
      </w:tr>
      <w:tr w:rsidRPr="008E3C8E" w:rsidR="008E3C8E" w:rsidTr="00D15283" w14:paraId="04A2819C" w14:textId="77777777">
        <w:trPr>
          <w:gridAfter w:val="1"/>
          <w:wAfter w:w="501" w:type="dxa"/>
          <w:trHeight w:val="300"/>
        </w:trPr>
        <w:tc>
          <w:tcPr>
            <w:tcW w:w="2785" w:type="dxa"/>
            <w:noWrap/>
            <w:hideMark/>
          </w:tcPr>
          <w:p w:rsidRPr="008E3C8E" w:rsidR="008E3C8E" w:rsidP="008E3C8E" w:rsidRDefault="008E3C8E" w14:paraId="17CEA9F3"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w:t>
            </w:r>
          </w:p>
        </w:tc>
        <w:tc>
          <w:tcPr>
            <w:tcW w:w="2070" w:type="dxa"/>
            <w:noWrap/>
            <w:hideMark/>
          </w:tcPr>
          <w:p w:rsidRPr="008E3C8E" w:rsidR="008E3C8E" w:rsidP="008E3C8E" w:rsidRDefault="008E3C8E" w14:paraId="24003923"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48.95 </w:t>
            </w:r>
          </w:p>
        </w:tc>
        <w:tc>
          <w:tcPr>
            <w:tcW w:w="1170" w:type="dxa"/>
            <w:noWrap/>
            <w:hideMark/>
          </w:tcPr>
          <w:p w:rsidRPr="008E3C8E" w:rsidR="008E3C8E" w:rsidP="008E3C8E" w:rsidRDefault="008E3C8E" w14:paraId="379CBB92"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50.86 </w:t>
            </w:r>
          </w:p>
        </w:tc>
        <w:tc>
          <w:tcPr>
            <w:tcW w:w="2610" w:type="dxa"/>
            <w:noWrap/>
            <w:hideMark/>
          </w:tcPr>
          <w:p w:rsidRPr="008E3C8E" w:rsidR="008E3C8E" w:rsidP="008E3C8E" w:rsidRDefault="008E3C8E" w14:paraId="12D4B14D"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52.50 </w:t>
            </w:r>
          </w:p>
        </w:tc>
      </w:tr>
      <w:tr w:rsidRPr="008E3C8E" w:rsidR="008E3C8E" w:rsidTr="00D15283" w14:paraId="065E6B41" w14:textId="77777777">
        <w:trPr>
          <w:gridAfter w:val="1"/>
          <w:wAfter w:w="501" w:type="dxa"/>
          <w:trHeight w:val="300"/>
        </w:trPr>
        <w:tc>
          <w:tcPr>
            <w:tcW w:w="2785" w:type="dxa"/>
            <w:noWrap/>
            <w:hideMark/>
          </w:tcPr>
          <w:p w:rsidRPr="008E3C8E" w:rsidR="008E3C8E" w:rsidP="008E3C8E" w:rsidRDefault="008E3C8E" w14:paraId="6952FEB5"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1-1/2"</w:t>
            </w:r>
          </w:p>
        </w:tc>
        <w:tc>
          <w:tcPr>
            <w:tcW w:w="2070" w:type="dxa"/>
            <w:noWrap/>
            <w:hideMark/>
          </w:tcPr>
          <w:p w:rsidRPr="008E3C8E" w:rsidR="008E3C8E" w:rsidP="008E3C8E" w:rsidRDefault="008E3C8E" w14:paraId="651FCFEB"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97.90 </w:t>
            </w:r>
          </w:p>
        </w:tc>
        <w:tc>
          <w:tcPr>
            <w:tcW w:w="1170" w:type="dxa"/>
            <w:noWrap/>
            <w:hideMark/>
          </w:tcPr>
          <w:p w:rsidRPr="008E3C8E" w:rsidR="008E3C8E" w:rsidP="008E3C8E" w:rsidRDefault="008E3C8E" w14:paraId="1078560C"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101.73 </w:t>
            </w:r>
          </w:p>
        </w:tc>
        <w:tc>
          <w:tcPr>
            <w:tcW w:w="2610" w:type="dxa"/>
            <w:noWrap/>
            <w:hideMark/>
          </w:tcPr>
          <w:p w:rsidRPr="008E3C8E" w:rsidR="008E3C8E" w:rsidP="008E3C8E" w:rsidRDefault="008E3C8E" w14:paraId="7389BE82"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105.00 </w:t>
            </w:r>
          </w:p>
        </w:tc>
      </w:tr>
      <w:tr w:rsidRPr="008E3C8E" w:rsidR="008E3C8E" w:rsidTr="00D15283" w14:paraId="795DC194" w14:textId="77777777">
        <w:trPr>
          <w:gridAfter w:val="1"/>
          <w:wAfter w:w="501" w:type="dxa"/>
          <w:trHeight w:val="300"/>
        </w:trPr>
        <w:tc>
          <w:tcPr>
            <w:tcW w:w="2785" w:type="dxa"/>
            <w:noWrap/>
            <w:hideMark/>
          </w:tcPr>
          <w:p w:rsidRPr="008E3C8E" w:rsidR="008E3C8E" w:rsidP="008E3C8E" w:rsidRDefault="008E3C8E" w14:paraId="6F4550FC"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2"</w:t>
            </w:r>
          </w:p>
        </w:tc>
        <w:tc>
          <w:tcPr>
            <w:tcW w:w="2070" w:type="dxa"/>
            <w:noWrap/>
            <w:hideMark/>
          </w:tcPr>
          <w:p w:rsidRPr="008E3C8E" w:rsidR="008E3C8E" w:rsidP="008E3C8E" w:rsidRDefault="008E3C8E" w14:paraId="3ED760C5"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156.64 </w:t>
            </w:r>
          </w:p>
        </w:tc>
        <w:tc>
          <w:tcPr>
            <w:tcW w:w="1170" w:type="dxa"/>
            <w:noWrap/>
            <w:hideMark/>
          </w:tcPr>
          <w:p w:rsidRPr="008E3C8E" w:rsidR="008E3C8E" w:rsidP="008E3C8E" w:rsidRDefault="008E3C8E" w14:paraId="67A84639"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162.76 </w:t>
            </w:r>
          </w:p>
        </w:tc>
        <w:tc>
          <w:tcPr>
            <w:tcW w:w="2610" w:type="dxa"/>
            <w:noWrap/>
            <w:hideMark/>
          </w:tcPr>
          <w:p w:rsidRPr="008E3C8E" w:rsidR="008E3C8E" w:rsidP="008E3C8E" w:rsidRDefault="008E3C8E" w14:paraId="3D9ADEAF"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168.00 </w:t>
            </w:r>
          </w:p>
        </w:tc>
      </w:tr>
      <w:tr w:rsidRPr="008E3C8E" w:rsidR="008E3C8E" w:rsidTr="00D15283" w14:paraId="6728EBCD" w14:textId="77777777">
        <w:trPr>
          <w:gridAfter w:val="1"/>
          <w:wAfter w:w="501" w:type="dxa"/>
          <w:trHeight w:val="300"/>
        </w:trPr>
        <w:tc>
          <w:tcPr>
            <w:tcW w:w="2785" w:type="dxa"/>
            <w:noWrap/>
            <w:hideMark/>
          </w:tcPr>
          <w:p w:rsidRPr="008E3C8E" w:rsidR="008E3C8E" w:rsidP="008E3C8E" w:rsidRDefault="008E3C8E" w14:paraId="1CD83B16"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3"</w:t>
            </w:r>
          </w:p>
        </w:tc>
        <w:tc>
          <w:tcPr>
            <w:tcW w:w="2070" w:type="dxa"/>
            <w:noWrap/>
            <w:hideMark/>
          </w:tcPr>
          <w:p w:rsidRPr="008E3C8E" w:rsidR="008E3C8E" w:rsidP="008E3C8E" w:rsidRDefault="008E3C8E" w14:paraId="1FBBB0A5"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293.70 </w:t>
            </w:r>
          </w:p>
        </w:tc>
        <w:tc>
          <w:tcPr>
            <w:tcW w:w="1170" w:type="dxa"/>
            <w:noWrap/>
            <w:hideMark/>
          </w:tcPr>
          <w:p w:rsidRPr="008E3C8E" w:rsidR="008E3C8E" w:rsidP="008E3C8E" w:rsidRDefault="008E3C8E" w14:paraId="7E747158"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305.18 </w:t>
            </w:r>
          </w:p>
        </w:tc>
        <w:tc>
          <w:tcPr>
            <w:tcW w:w="2610" w:type="dxa"/>
            <w:noWrap/>
            <w:hideMark/>
          </w:tcPr>
          <w:p w:rsidRPr="008E3C8E" w:rsidR="008E3C8E" w:rsidP="008E3C8E" w:rsidRDefault="008E3C8E" w14:paraId="542D4124"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315.00 </w:t>
            </w:r>
          </w:p>
        </w:tc>
      </w:tr>
      <w:tr w:rsidRPr="008E3C8E" w:rsidR="008E3C8E" w:rsidTr="00D15283" w14:paraId="63C592F0" w14:textId="77777777">
        <w:trPr>
          <w:gridAfter w:val="1"/>
          <w:wAfter w:w="501" w:type="dxa"/>
          <w:trHeight w:val="300"/>
        </w:trPr>
        <w:tc>
          <w:tcPr>
            <w:tcW w:w="2785" w:type="dxa"/>
            <w:noWrap/>
            <w:hideMark/>
          </w:tcPr>
          <w:p w:rsidRPr="008E3C8E" w:rsidR="008E3C8E" w:rsidP="008E3C8E" w:rsidRDefault="008E3C8E" w14:paraId="27EAFCA1"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4"</w:t>
            </w:r>
          </w:p>
        </w:tc>
        <w:tc>
          <w:tcPr>
            <w:tcW w:w="2070" w:type="dxa"/>
            <w:noWrap/>
            <w:hideMark/>
          </w:tcPr>
          <w:p w:rsidRPr="008E3C8E" w:rsidR="008E3C8E" w:rsidP="008E3C8E" w:rsidRDefault="008E3C8E" w14:paraId="47AC8A2D"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489.50 </w:t>
            </w:r>
          </w:p>
        </w:tc>
        <w:tc>
          <w:tcPr>
            <w:tcW w:w="1170" w:type="dxa"/>
            <w:noWrap/>
            <w:hideMark/>
          </w:tcPr>
          <w:p w:rsidRPr="008E3C8E" w:rsidR="008E3C8E" w:rsidP="008E3C8E" w:rsidRDefault="008E3C8E" w14:paraId="413DC0C8"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508.63 </w:t>
            </w:r>
          </w:p>
        </w:tc>
        <w:tc>
          <w:tcPr>
            <w:tcW w:w="2610" w:type="dxa"/>
            <w:noWrap/>
            <w:hideMark/>
          </w:tcPr>
          <w:p w:rsidRPr="008E3C8E" w:rsidR="008E3C8E" w:rsidP="008E3C8E" w:rsidRDefault="008E3C8E" w14:paraId="791989BA"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525.00 </w:t>
            </w:r>
          </w:p>
        </w:tc>
      </w:tr>
      <w:tr w:rsidRPr="008E3C8E" w:rsidR="008E3C8E" w:rsidTr="00D15283" w14:paraId="3DFA9DCD" w14:textId="77777777">
        <w:trPr>
          <w:gridAfter w:val="1"/>
          <w:wAfter w:w="501" w:type="dxa"/>
          <w:trHeight w:val="300"/>
        </w:trPr>
        <w:tc>
          <w:tcPr>
            <w:tcW w:w="2785" w:type="dxa"/>
            <w:noWrap/>
            <w:hideMark/>
          </w:tcPr>
          <w:p w:rsidRPr="008E3C8E" w:rsidR="008E3C8E" w:rsidP="008E3C8E" w:rsidRDefault="008E3C8E" w14:paraId="2DA2F075"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lastRenderedPageBreak/>
              <w:t>6"</w:t>
            </w:r>
          </w:p>
        </w:tc>
        <w:tc>
          <w:tcPr>
            <w:tcW w:w="2070" w:type="dxa"/>
            <w:noWrap/>
            <w:hideMark/>
          </w:tcPr>
          <w:p w:rsidRPr="008E3C8E" w:rsidR="008E3C8E" w:rsidP="008E3C8E" w:rsidRDefault="008E3C8E" w14:paraId="2649FD1A"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979.00 </w:t>
            </w:r>
          </w:p>
        </w:tc>
        <w:tc>
          <w:tcPr>
            <w:tcW w:w="1170" w:type="dxa"/>
            <w:noWrap/>
            <w:hideMark/>
          </w:tcPr>
          <w:p w:rsidRPr="008E3C8E" w:rsidR="008E3C8E" w:rsidP="008E3C8E" w:rsidRDefault="008E3C8E" w14:paraId="7F7F94B9"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1,017.25 </w:t>
            </w:r>
          </w:p>
        </w:tc>
        <w:tc>
          <w:tcPr>
            <w:tcW w:w="2610" w:type="dxa"/>
            <w:noWrap/>
            <w:hideMark/>
          </w:tcPr>
          <w:p w:rsidRPr="008E3C8E" w:rsidR="008E3C8E" w:rsidP="008E3C8E" w:rsidRDefault="008E3C8E" w14:paraId="5C798BF2"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1,050.00 </w:t>
            </w:r>
          </w:p>
        </w:tc>
      </w:tr>
      <w:tr w:rsidRPr="008E3C8E" w:rsidR="008E3C8E" w:rsidTr="00D15283" w14:paraId="5010A941" w14:textId="77777777">
        <w:trPr>
          <w:gridAfter w:val="1"/>
          <w:wAfter w:w="501" w:type="dxa"/>
          <w:trHeight w:val="300"/>
        </w:trPr>
        <w:tc>
          <w:tcPr>
            <w:tcW w:w="2785" w:type="dxa"/>
            <w:noWrap/>
            <w:hideMark/>
          </w:tcPr>
          <w:p w:rsidRPr="008E3C8E" w:rsidR="008E3C8E" w:rsidP="008E3C8E" w:rsidRDefault="008E3C8E" w14:paraId="5284A7F9"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8"</w:t>
            </w:r>
          </w:p>
        </w:tc>
        <w:tc>
          <w:tcPr>
            <w:tcW w:w="2070" w:type="dxa"/>
            <w:noWrap/>
            <w:hideMark/>
          </w:tcPr>
          <w:p w:rsidRPr="008E3C8E" w:rsidR="008E3C8E" w:rsidP="008E3C8E" w:rsidRDefault="008E3C8E" w14:paraId="43C87635"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1,566.40 </w:t>
            </w:r>
          </w:p>
        </w:tc>
        <w:tc>
          <w:tcPr>
            <w:tcW w:w="1170" w:type="dxa"/>
            <w:noWrap/>
            <w:hideMark/>
          </w:tcPr>
          <w:p w:rsidRPr="008E3C8E" w:rsidR="008E3C8E" w:rsidP="008E3C8E" w:rsidRDefault="008E3C8E" w14:paraId="7C6BB66D"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1,627.60 </w:t>
            </w:r>
          </w:p>
        </w:tc>
        <w:tc>
          <w:tcPr>
            <w:tcW w:w="2610" w:type="dxa"/>
            <w:noWrap/>
            <w:hideMark/>
          </w:tcPr>
          <w:p w:rsidRPr="008E3C8E" w:rsidR="008E3C8E" w:rsidP="008E3C8E" w:rsidRDefault="008E3C8E" w14:paraId="4B42785F"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1,680.00 </w:t>
            </w:r>
          </w:p>
        </w:tc>
      </w:tr>
      <w:tr w:rsidRPr="008E3C8E" w:rsidR="008E3C8E" w:rsidTr="00D15283" w14:paraId="265F0467" w14:textId="77777777">
        <w:trPr>
          <w:gridAfter w:val="1"/>
          <w:wAfter w:w="501" w:type="dxa"/>
          <w:trHeight w:val="300"/>
        </w:trPr>
        <w:tc>
          <w:tcPr>
            <w:tcW w:w="2785" w:type="dxa"/>
            <w:noWrap/>
            <w:hideMark/>
          </w:tcPr>
          <w:p w:rsidRPr="008E3C8E" w:rsidR="008E3C8E" w:rsidP="008E3C8E" w:rsidRDefault="008E3C8E" w14:paraId="2A3A0D2A"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10"</w:t>
            </w:r>
          </w:p>
        </w:tc>
        <w:tc>
          <w:tcPr>
            <w:tcW w:w="2070" w:type="dxa"/>
            <w:noWrap/>
            <w:hideMark/>
          </w:tcPr>
          <w:p w:rsidRPr="008E3C8E" w:rsidR="008E3C8E" w:rsidP="008E3C8E" w:rsidRDefault="008E3C8E" w14:paraId="7A9FA591"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2,251.70 </w:t>
            </w:r>
          </w:p>
        </w:tc>
        <w:tc>
          <w:tcPr>
            <w:tcW w:w="1170" w:type="dxa"/>
            <w:noWrap/>
            <w:hideMark/>
          </w:tcPr>
          <w:p w:rsidRPr="008E3C8E" w:rsidR="008E3C8E" w:rsidP="008E3C8E" w:rsidRDefault="008E3C8E" w14:paraId="599FA715"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2,339.68 </w:t>
            </w:r>
          </w:p>
        </w:tc>
        <w:tc>
          <w:tcPr>
            <w:tcW w:w="2610" w:type="dxa"/>
            <w:noWrap/>
            <w:hideMark/>
          </w:tcPr>
          <w:p w:rsidRPr="008E3C8E" w:rsidR="008E3C8E" w:rsidP="008E3C8E" w:rsidRDefault="008E3C8E" w14:paraId="5CD9B0C3"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2,415.00 </w:t>
            </w:r>
          </w:p>
        </w:tc>
      </w:tr>
      <w:tr w:rsidRPr="008E3C8E" w:rsidR="008E3C8E" w:rsidTr="00D15283" w14:paraId="3890AE88" w14:textId="77777777">
        <w:trPr>
          <w:gridAfter w:val="1"/>
          <w:wAfter w:w="501" w:type="dxa"/>
          <w:trHeight w:val="300"/>
        </w:trPr>
        <w:tc>
          <w:tcPr>
            <w:tcW w:w="2785" w:type="dxa"/>
            <w:noWrap/>
            <w:hideMark/>
          </w:tcPr>
          <w:p w:rsidRPr="008E3C8E" w:rsidR="008E3C8E" w:rsidP="008E3C8E" w:rsidRDefault="008E3C8E" w14:paraId="2638BBE9"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12"</w:t>
            </w:r>
          </w:p>
        </w:tc>
        <w:tc>
          <w:tcPr>
            <w:tcW w:w="2070" w:type="dxa"/>
            <w:noWrap/>
            <w:hideMark/>
          </w:tcPr>
          <w:p w:rsidRPr="008E3C8E" w:rsidR="008E3C8E" w:rsidP="008E3C8E" w:rsidRDefault="008E3C8E" w14:paraId="79656DA9"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3,230.70 </w:t>
            </w:r>
          </w:p>
        </w:tc>
        <w:tc>
          <w:tcPr>
            <w:tcW w:w="1170" w:type="dxa"/>
            <w:noWrap/>
            <w:hideMark/>
          </w:tcPr>
          <w:p w:rsidRPr="008E3C8E" w:rsidR="008E3C8E" w:rsidP="008E3C8E" w:rsidRDefault="008E3C8E" w14:paraId="432CDA3D"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3,356.93 </w:t>
            </w:r>
          </w:p>
        </w:tc>
        <w:tc>
          <w:tcPr>
            <w:tcW w:w="2610" w:type="dxa"/>
            <w:noWrap/>
            <w:hideMark/>
          </w:tcPr>
          <w:p w:rsidRPr="008E3C8E" w:rsidR="008E3C8E" w:rsidP="008E3C8E" w:rsidRDefault="008E3C8E" w14:paraId="2ABD3B17"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3,465.00 </w:t>
            </w:r>
          </w:p>
        </w:tc>
      </w:tr>
      <w:tr w:rsidRPr="008E3C8E" w:rsidR="008E3C8E" w:rsidTr="00D15283" w14:paraId="109E5FCA" w14:textId="77777777">
        <w:trPr>
          <w:gridAfter w:val="1"/>
          <w:wAfter w:w="501" w:type="dxa"/>
          <w:trHeight w:val="300"/>
        </w:trPr>
        <w:tc>
          <w:tcPr>
            <w:tcW w:w="2785" w:type="dxa"/>
            <w:noWrap/>
            <w:hideMark/>
          </w:tcPr>
          <w:p w:rsidRPr="008E3C8E" w:rsidR="008E3C8E" w:rsidP="008E3C8E" w:rsidRDefault="008E3C8E" w14:paraId="218474B2" w14:textId="77777777">
            <w:pPr>
              <w:spacing w:line="240" w:lineRule="auto"/>
              <w:ind w:firstLine="0"/>
              <w:rPr>
                <w:rFonts w:ascii="Calibri" w:hAnsi="Calibri" w:eastAsia="Times New Roman" w:cs="Calibri"/>
                <w:sz w:val="22"/>
              </w:rPr>
            </w:pPr>
          </w:p>
        </w:tc>
        <w:tc>
          <w:tcPr>
            <w:tcW w:w="2070" w:type="dxa"/>
            <w:noWrap/>
            <w:hideMark/>
          </w:tcPr>
          <w:p w:rsidRPr="008E3C8E" w:rsidR="008E3C8E" w:rsidP="008E3C8E" w:rsidRDefault="008E3C8E" w14:paraId="7815014E" w14:textId="77777777">
            <w:pPr>
              <w:spacing w:line="240" w:lineRule="auto"/>
              <w:ind w:firstLine="0"/>
              <w:rPr>
                <w:rFonts w:ascii="Times New Roman" w:hAnsi="Times New Roman" w:eastAsia="Times New Roman" w:cs="Times New Roman"/>
                <w:sz w:val="20"/>
                <w:szCs w:val="20"/>
              </w:rPr>
            </w:pPr>
          </w:p>
        </w:tc>
        <w:tc>
          <w:tcPr>
            <w:tcW w:w="1170" w:type="dxa"/>
            <w:noWrap/>
            <w:hideMark/>
          </w:tcPr>
          <w:p w:rsidRPr="008E3C8E" w:rsidR="008E3C8E" w:rsidP="008E3C8E" w:rsidRDefault="008E3C8E" w14:paraId="58E0133B" w14:textId="77777777">
            <w:pPr>
              <w:spacing w:line="240" w:lineRule="auto"/>
              <w:ind w:firstLine="0"/>
              <w:rPr>
                <w:rFonts w:ascii="Times New Roman" w:hAnsi="Times New Roman" w:eastAsia="Times New Roman" w:cs="Times New Roman"/>
                <w:sz w:val="20"/>
                <w:szCs w:val="20"/>
              </w:rPr>
            </w:pPr>
          </w:p>
        </w:tc>
        <w:tc>
          <w:tcPr>
            <w:tcW w:w="2610" w:type="dxa"/>
            <w:noWrap/>
            <w:hideMark/>
          </w:tcPr>
          <w:p w:rsidRPr="008E3C8E" w:rsidR="008E3C8E" w:rsidP="008E3C8E" w:rsidRDefault="008E3C8E" w14:paraId="274EAF0D" w14:textId="77777777">
            <w:pPr>
              <w:spacing w:line="240" w:lineRule="auto"/>
              <w:ind w:firstLine="0"/>
              <w:rPr>
                <w:rFonts w:ascii="Times New Roman" w:hAnsi="Times New Roman" w:eastAsia="Times New Roman" w:cs="Times New Roman"/>
                <w:sz w:val="20"/>
                <w:szCs w:val="20"/>
              </w:rPr>
            </w:pPr>
          </w:p>
        </w:tc>
      </w:tr>
      <w:tr w:rsidRPr="008E3C8E" w:rsidR="008E3C8E" w:rsidTr="00D15283" w14:paraId="50035D83" w14:textId="77777777">
        <w:trPr>
          <w:gridAfter w:val="1"/>
          <w:wAfter w:w="501" w:type="dxa"/>
          <w:trHeight w:val="300"/>
        </w:trPr>
        <w:tc>
          <w:tcPr>
            <w:tcW w:w="2785" w:type="dxa"/>
            <w:noWrap/>
            <w:hideMark/>
          </w:tcPr>
          <w:p w:rsidRPr="008E3C8E" w:rsidR="008E3C8E" w:rsidP="008E3C8E" w:rsidRDefault="008E3C8E" w14:paraId="26CD8899"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Reclaimed Rate</w:t>
            </w:r>
          </w:p>
        </w:tc>
        <w:tc>
          <w:tcPr>
            <w:tcW w:w="2070" w:type="dxa"/>
            <w:noWrap/>
            <w:hideMark/>
          </w:tcPr>
          <w:p w:rsidRPr="008E3C8E" w:rsidR="008E3C8E" w:rsidP="008E3C8E" w:rsidRDefault="008E3C8E" w14:paraId="71828A05" w14:textId="77777777">
            <w:pPr>
              <w:spacing w:line="240" w:lineRule="auto"/>
              <w:ind w:firstLine="0"/>
              <w:rPr>
                <w:rFonts w:ascii="Times New Roman" w:hAnsi="Times New Roman" w:eastAsia="Times New Roman" w:cs="Times New Roman"/>
                <w:sz w:val="20"/>
                <w:szCs w:val="20"/>
              </w:rPr>
            </w:pPr>
          </w:p>
        </w:tc>
        <w:tc>
          <w:tcPr>
            <w:tcW w:w="1170" w:type="dxa"/>
            <w:noWrap/>
            <w:hideMark/>
          </w:tcPr>
          <w:p w:rsidRPr="008E3C8E" w:rsidR="008E3C8E" w:rsidP="008E3C8E" w:rsidRDefault="008E3C8E" w14:paraId="37F5C95E" w14:textId="77777777">
            <w:pPr>
              <w:spacing w:line="240" w:lineRule="auto"/>
              <w:ind w:firstLine="0"/>
              <w:rPr>
                <w:rFonts w:ascii="Times New Roman" w:hAnsi="Times New Roman" w:eastAsia="Times New Roman" w:cs="Times New Roman"/>
                <w:sz w:val="20"/>
                <w:szCs w:val="20"/>
              </w:rPr>
            </w:pPr>
          </w:p>
        </w:tc>
        <w:tc>
          <w:tcPr>
            <w:tcW w:w="2610" w:type="dxa"/>
            <w:noWrap/>
            <w:hideMark/>
          </w:tcPr>
          <w:p w:rsidRPr="008E3C8E" w:rsidR="008E3C8E" w:rsidP="008E3C8E" w:rsidRDefault="008E3C8E" w14:paraId="6B3AF62F" w14:textId="77777777">
            <w:pPr>
              <w:spacing w:line="240" w:lineRule="auto"/>
              <w:ind w:firstLine="0"/>
              <w:rPr>
                <w:rFonts w:ascii="Times New Roman" w:hAnsi="Times New Roman" w:eastAsia="Times New Roman" w:cs="Times New Roman"/>
                <w:sz w:val="20"/>
                <w:szCs w:val="20"/>
              </w:rPr>
            </w:pPr>
          </w:p>
        </w:tc>
      </w:tr>
      <w:tr w:rsidRPr="008E3C8E" w:rsidR="008E3C8E" w:rsidTr="00D15283" w14:paraId="0AEE231A" w14:textId="77777777">
        <w:trPr>
          <w:gridAfter w:val="1"/>
          <w:wAfter w:w="501" w:type="dxa"/>
          <w:trHeight w:val="300"/>
        </w:trPr>
        <w:tc>
          <w:tcPr>
            <w:tcW w:w="2785" w:type="dxa"/>
            <w:noWrap/>
            <w:hideMark/>
          </w:tcPr>
          <w:p w:rsidRPr="008E3C8E" w:rsidR="008E3C8E" w:rsidP="008E3C8E" w:rsidRDefault="008E3C8E" w14:paraId="2C274EEC"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5/8x3/4"</w:t>
            </w:r>
          </w:p>
        </w:tc>
        <w:tc>
          <w:tcPr>
            <w:tcW w:w="2070" w:type="dxa"/>
            <w:noWrap/>
            <w:hideMark/>
          </w:tcPr>
          <w:p w:rsidRPr="008E3C8E" w:rsidR="008E3C8E" w:rsidP="008E3C8E" w:rsidRDefault="008E3C8E" w14:paraId="00C265F0"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19.58 </w:t>
            </w:r>
          </w:p>
        </w:tc>
        <w:tc>
          <w:tcPr>
            <w:tcW w:w="1170" w:type="dxa"/>
            <w:noWrap/>
            <w:hideMark/>
          </w:tcPr>
          <w:p w:rsidRPr="008E3C8E" w:rsidR="008E3C8E" w:rsidP="008E3C8E" w:rsidRDefault="008E3C8E" w14:paraId="3CCD5E36"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20.35 </w:t>
            </w:r>
          </w:p>
        </w:tc>
        <w:tc>
          <w:tcPr>
            <w:tcW w:w="2610" w:type="dxa"/>
            <w:noWrap/>
            <w:hideMark/>
          </w:tcPr>
          <w:p w:rsidRPr="008E3C8E" w:rsidR="008E3C8E" w:rsidP="008E3C8E" w:rsidRDefault="008E3C8E" w14:paraId="2DA41609"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21.00 </w:t>
            </w:r>
          </w:p>
        </w:tc>
      </w:tr>
      <w:tr w:rsidRPr="008E3C8E" w:rsidR="008E3C8E" w:rsidTr="00D15283" w14:paraId="36F8D781" w14:textId="77777777">
        <w:trPr>
          <w:gridAfter w:val="1"/>
          <w:wAfter w:w="501" w:type="dxa"/>
          <w:trHeight w:val="300"/>
        </w:trPr>
        <w:tc>
          <w:tcPr>
            <w:tcW w:w="2785" w:type="dxa"/>
            <w:noWrap/>
            <w:hideMark/>
          </w:tcPr>
          <w:p w:rsidRPr="008E3C8E" w:rsidR="008E3C8E" w:rsidP="008E3C8E" w:rsidRDefault="008E3C8E" w14:paraId="6CC54906"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3/4"</w:t>
            </w:r>
          </w:p>
        </w:tc>
        <w:tc>
          <w:tcPr>
            <w:tcW w:w="2070" w:type="dxa"/>
            <w:noWrap/>
            <w:hideMark/>
          </w:tcPr>
          <w:p w:rsidRPr="008E3C8E" w:rsidR="008E3C8E" w:rsidP="008E3C8E" w:rsidRDefault="008E3C8E" w14:paraId="04877B62"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29.37 </w:t>
            </w:r>
          </w:p>
        </w:tc>
        <w:tc>
          <w:tcPr>
            <w:tcW w:w="1170" w:type="dxa"/>
            <w:noWrap/>
            <w:hideMark/>
          </w:tcPr>
          <w:p w:rsidRPr="008E3C8E" w:rsidR="008E3C8E" w:rsidP="008E3C8E" w:rsidRDefault="008E3C8E" w14:paraId="5C95184C"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30.52 </w:t>
            </w:r>
          </w:p>
        </w:tc>
        <w:tc>
          <w:tcPr>
            <w:tcW w:w="2610" w:type="dxa"/>
            <w:noWrap/>
            <w:hideMark/>
          </w:tcPr>
          <w:p w:rsidRPr="008E3C8E" w:rsidR="008E3C8E" w:rsidP="008E3C8E" w:rsidRDefault="008E3C8E" w14:paraId="5ED1F034"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31.50 </w:t>
            </w:r>
          </w:p>
        </w:tc>
      </w:tr>
      <w:tr w:rsidRPr="008E3C8E" w:rsidR="008E3C8E" w:rsidTr="00D15283" w14:paraId="0D90FC86" w14:textId="77777777">
        <w:trPr>
          <w:gridAfter w:val="1"/>
          <w:wAfter w:w="501" w:type="dxa"/>
          <w:trHeight w:val="300"/>
        </w:trPr>
        <w:tc>
          <w:tcPr>
            <w:tcW w:w="2785" w:type="dxa"/>
            <w:noWrap/>
            <w:hideMark/>
          </w:tcPr>
          <w:p w:rsidRPr="008E3C8E" w:rsidR="008E3C8E" w:rsidP="008E3C8E" w:rsidRDefault="008E3C8E" w14:paraId="037036D3"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w:t>
            </w:r>
          </w:p>
        </w:tc>
        <w:tc>
          <w:tcPr>
            <w:tcW w:w="2070" w:type="dxa"/>
            <w:noWrap/>
            <w:hideMark/>
          </w:tcPr>
          <w:p w:rsidRPr="008E3C8E" w:rsidR="008E3C8E" w:rsidP="008E3C8E" w:rsidRDefault="008E3C8E" w14:paraId="636412C1"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48.95 </w:t>
            </w:r>
          </w:p>
        </w:tc>
        <w:tc>
          <w:tcPr>
            <w:tcW w:w="1170" w:type="dxa"/>
            <w:noWrap/>
            <w:hideMark/>
          </w:tcPr>
          <w:p w:rsidRPr="008E3C8E" w:rsidR="008E3C8E" w:rsidP="008E3C8E" w:rsidRDefault="008E3C8E" w14:paraId="11305906"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50.86 </w:t>
            </w:r>
          </w:p>
        </w:tc>
        <w:tc>
          <w:tcPr>
            <w:tcW w:w="2610" w:type="dxa"/>
            <w:noWrap/>
            <w:hideMark/>
          </w:tcPr>
          <w:p w:rsidRPr="008E3C8E" w:rsidR="008E3C8E" w:rsidP="008E3C8E" w:rsidRDefault="008E3C8E" w14:paraId="06D3FCAC"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52.50 </w:t>
            </w:r>
          </w:p>
        </w:tc>
      </w:tr>
      <w:tr w:rsidRPr="008E3C8E" w:rsidR="008E3C8E" w:rsidTr="00D15283" w14:paraId="606BE9CE" w14:textId="77777777">
        <w:trPr>
          <w:gridAfter w:val="1"/>
          <w:wAfter w:w="501" w:type="dxa"/>
          <w:trHeight w:val="300"/>
        </w:trPr>
        <w:tc>
          <w:tcPr>
            <w:tcW w:w="2785" w:type="dxa"/>
            <w:noWrap/>
            <w:hideMark/>
          </w:tcPr>
          <w:p w:rsidRPr="008E3C8E" w:rsidR="008E3C8E" w:rsidP="008E3C8E" w:rsidRDefault="008E3C8E" w14:paraId="0E345056"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1-1/2"</w:t>
            </w:r>
          </w:p>
        </w:tc>
        <w:tc>
          <w:tcPr>
            <w:tcW w:w="2070" w:type="dxa"/>
            <w:noWrap/>
            <w:hideMark/>
          </w:tcPr>
          <w:p w:rsidRPr="008E3C8E" w:rsidR="008E3C8E" w:rsidP="008E3C8E" w:rsidRDefault="008E3C8E" w14:paraId="38DD0FDB"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97.90 </w:t>
            </w:r>
          </w:p>
        </w:tc>
        <w:tc>
          <w:tcPr>
            <w:tcW w:w="1170" w:type="dxa"/>
            <w:noWrap/>
            <w:hideMark/>
          </w:tcPr>
          <w:p w:rsidRPr="008E3C8E" w:rsidR="008E3C8E" w:rsidP="008E3C8E" w:rsidRDefault="008E3C8E" w14:paraId="13B6260B"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101.73 </w:t>
            </w:r>
          </w:p>
        </w:tc>
        <w:tc>
          <w:tcPr>
            <w:tcW w:w="2610" w:type="dxa"/>
            <w:noWrap/>
            <w:hideMark/>
          </w:tcPr>
          <w:p w:rsidRPr="008E3C8E" w:rsidR="008E3C8E" w:rsidP="008E3C8E" w:rsidRDefault="008E3C8E" w14:paraId="4DDE3389"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105.00 </w:t>
            </w:r>
          </w:p>
        </w:tc>
      </w:tr>
      <w:tr w:rsidRPr="008E3C8E" w:rsidR="008E3C8E" w:rsidTr="00D15283" w14:paraId="1DB381F4" w14:textId="77777777">
        <w:trPr>
          <w:gridAfter w:val="1"/>
          <w:wAfter w:w="501" w:type="dxa"/>
          <w:trHeight w:val="300"/>
        </w:trPr>
        <w:tc>
          <w:tcPr>
            <w:tcW w:w="2785" w:type="dxa"/>
            <w:noWrap/>
            <w:hideMark/>
          </w:tcPr>
          <w:p w:rsidRPr="008E3C8E" w:rsidR="008E3C8E" w:rsidP="008E3C8E" w:rsidRDefault="008E3C8E" w14:paraId="26F57847"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2"</w:t>
            </w:r>
          </w:p>
        </w:tc>
        <w:tc>
          <w:tcPr>
            <w:tcW w:w="2070" w:type="dxa"/>
            <w:noWrap/>
            <w:hideMark/>
          </w:tcPr>
          <w:p w:rsidRPr="008E3C8E" w:rsidR="008E3C8E" w:rsidP="008E3C8E" w:rsidRDefault="008E3C8E" w14:paraId="435BA9E4"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156.64 </w:t>
            </w:r>
          </w:p>
        </w:tc>
        <w:tc>
          <w:tcPr>
            <w:tcW w:w="1170" w:type="dxa"/>
            <w:noWrap/>
            <w:hideMark/>
          </w:tcPr>
          <w:p w:rsidRPr="008E3C8E" w:rsidR="008E3C8E" w:rsidP="008E3C8E" w:rsidRDefault="008E3C8E" w14:paraId="2E916FF6"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162.76 </w:t>
            </w:r>
          </w:p>
        </w:tc>
        <w:tc>
          <w:tcPr>
            <w:tcW w:w="2610" w:type="dxa"/>
            <w:noWrap/>
            <w:hideMark/>
          </w:tcPr>
          <w:p w:rsidRPr="008E3C8E" w:rsidR="008E3C8E" w:rsidP="008E3C8E" w:rsidRDefault="008E3C8E" w14:paraId="1C810BEF"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168.00 </w:t>
            </w:r>
          </w:p>
        </w:tc>
      </w:tr>
      <w:tr w:rsidRPr="008E3C8E" w:rsidR="008E3C8E" w:rsidTr="00D15283" w14:paraId="5894E7FC" w14:textId="77777777">
        <w:trPr>
          <w:gridAfter w:val="1"/>
          <w:wAfter w:w="501" w:type="dxa"/>
          <w:trHeight w:val="300"/>
        </w:trPr>
        <w:tc>
          <w:tcPr>
            <w:tcW w:w="2785" w:type="dxa"/>
            <w:noWrap/>
            <w:hideMark/>
          </w:tcPr>
          <w:p w:rsidRPr="008E3C8E" w:rsidR="008E3C8E" w:rsidP="008E3C8E" w:rsidRDefault="008E3C8E" w14:paraId="0A8D34FA"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3"</w:t>
            </w:r>
          </w:p>
        </w:tc>
        <w:tc>
          <w:tcPr>
            <w:tcW w:w="2070" w:type="dxa"/>
            <w:noWrap/>
            <w:hideMark/>
          </w:tcPr>
          <w:p w:rsidRPr="008E3C8E" w:rsidR="008E3C8E" w:rsidP="008E3C8E" w:rsidRDefault="008E3C8E" w14:paraId="425C5074"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293.70 </w:t>
            </w:r>
          </w:p>
        </w:tc>
        <w:tc>
          <w:tcPr>
            <w:tcW w:w="1170" w:type="dxa"/>
            <w:noWrap/>
            <w:hideMark/>
          </w:tcPr>
          <w:p w:rsidRPr="008E3C8E" w:rsidR="008E3C8E" w:rsidP="008E3C8E" w:rsidRDefault="008E3C8E" w14:paraId="6A8756EB"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305.18 </w:t>
            </w:r>
          </w:p>
        </w:tc>
        <w:tc>
          <w:tcPr>
            <w:tcW w:w="2610" w:type="dxa"/>
            <w:noWrap/>
            <w:hideMark/>
          </w:tcPr>
          <w:p w:rsidRPr="008E3C8E" w:rsidR="008E3C8E" w:rsidP="008E3C8E" w:rsidRDefault="008E3C8E" w14:paraId="651E5AF9"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315.00 </w:t>
            </w:r>
          </w:p>
        </w:tc>
      </w:tr>
      <w:tr w:rsidRPr="008E3C8E" w:rsidR="008E3C8E" w:rsidTr="00D15283" w14:paraId="497B7AC4" w14:textId="77777777">
        <w:trPr>
          <w:gridAfter w:val="1"/>
          <w:wAfter w:w="501" w:type="dxa"/>
          <w:trHeight w:val="300"/>
        </w:trPr>
        <w:tc>
          <w:tcPr>
            <w:tcW w:w="2785" w:type="dxa"/>
            <w:noWrap/>
            <w:hideMark/>
          </w:tcPr>
          <w:p w:rsidRPr="008E3C8E" w:rsidR="008E3C8E" w:rsidP="008E3C8E" w:rsidRDefault="008E3C8E" w14:paraId="63948D1B"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4"</w:t>
            </w:r>
          </w:p>
        </w:tc>
        <w:tc>
          <w:tcPr>
            <w:tcW w:w="2070" w:type="dxa"/>
            <w:noWrap/>
            <w:hideMark/>
          </w:tcPr>
          <w:p w:rsidRPr="008E3C8E" w:rsidR="008E3C8E" w:rsidP="008E3C8E" w:rsidRDefault="008E3C8E" w14:paraId="0255C8B8"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489.50 </w:t>
            </w:r>
          </w:p>
        </w:tc>
        <w:tc>
          <w:tcPr>
            <w:tcW w:w="1170" w:type="dxa"/>
            <w:noWrap/>
            <w:hideMark/>
          </w:tcPr>
          <w:p w:rsidRPr="008E3C8E" w:rsidR="008E3C8E" w:rsidP="008E3C8E" w:rsidRDefault="008E3C8E" w14:paraId="3001FA4F"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508.63 </w:t>
            </w:r>
          </w:p>
        </w:tc>
        <w:tc>
          <w:tcPr>
            <w:tcW w:w="2610" w:type="dxa"/>
            <w:noWrap/>
            <w:hideMark/>
          </w:tcPr>
          <w:p w:rsidRPr="008E3C8E" w:rsidR="008E3C8E" w:rsidP="008E3C8E" w:rsidRDefault="008E3C8E" w14:paraId="56EC7CC5"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525.00 </w:t>
            </w:r>
          </w:p>
        </w:tc>
      </w:tr>
      <w:tr w:rsidRPr="008E3C8E" w:rsidR="008E3C8E" w:rsidTr="00D15283" w14:paraId="5CCAE524" w14:textId="77777777">
        <w:trPr>
          <w:gridAfter w:val="1"/>
          <w:wAfter w:w="501" w:type="dxa"/>
          <w:trHeight w:val="300"/>
        </w:trPr>
        <w:tc>
          <w:tcPr>
            <w:tcW w:w="2785" w:type="dxa"/>
            <w:noWrap/>
            <w:hideMark/>
          </w:tcPr>
          <w:p w:rsidRPr="008E3C8E" w:rsidR="008E3C8E" w:rsidP="008E3C8E" w:rsidRDefault="008E3C8E" w14:paraId="21218BF2"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6"</w:t>
            </w:r>
          </w:p>
        </w:tc>
        <w:tc>
          <w:tcPr>
            <w:tcW w:w="2070" w:type="dxa"/>
            <w:noWrap/>
            <w:hideMark/>
          </w:tcPr>
          <w:p w:rsidRPr="008E3C8E" w:rsidR="008E3C8E" w:rsidP="008E3C8E" w:rsidRDefault="008E3C8E" w14:paraId="3C53CE33"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979.00 </w:t>
            </w:r>
          </w:p>
        </w:tc>
        <w:tc>
          <w:tcPr>
            <w:tcW w:w="1170" w:type="dxa"/>
            <w:noWrap/>
            <w:hideMark/>
          </w:tcPr>
          <w:p w:rsidRPr="008E3C8E" w:rsidR="008E3C8E" w:rsidP="008E3C8E" w:rsidRDefault="008E3C8E" w14:paraId="761A4D3F"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1,017.25 </w:t>
            </w:r>
          </w:p>
        </w:tc>
        <w:tc>
          <w:tcPr>
            <w:tcW w:w="2610" w:type="dxa"/>
            <w:noWrap/>
            <w:hideMark/>
          </w:tcPr>
          <w:p w:rsidRPr="008E3C8E" w:rsidR="008E3C8E" w:rsidP="008E3C8E" w:rsidRDefault="008E3C8E" w14:paraId="6A12581B"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1,050.00 </w:t>
            </w:r>
          </w:p>
        </w:tc>
      </w:tr>
      <w:tr w:rsidRPr="008E3C8E" w:rsidR="008E3C8E" w:rsidTr="00D15283" w14:paraId="165EED1C" w14:textId="77777777">
        <w:trPr>
          <w:gridAfter w:val="1"/>
          <w:wAfter w:w="501" w:type="dxa"/>
          <w:trHeight w:val="300"/>
        </w:trPr>
        <w:tc>
          <w:tcPr>
            <w:tcW w:w="2785" w:type="dxa"/>
            <w:noWrap/>
            <w:hideMark/>
          </w:tcPr>
          <w:p w:rsidRPr="008E3C8E" w:rsidR="008E3C8E" w:rsidP="008E3C8E" w:rsidRDefault="008E3C8E" w14:paraId="6EC56E0B"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8"</w:t>
            </w:r>
          </w:p>
        </w:tc>
        <w:tc>
          <w:tcPr>
            <w:tcW w:w="2070" w:type="dxa"/>
            <w:noWrap/>
            <w:hideMark/>
          </w:tcPr>
          <w:p w:rsidRPr="008E3C8E" w:rsidR="008E3C8E" w:rsidP="008E3C8E" w:rsidRDefault="008E3C8E" w14:paraId="64EE9431"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1,566.40 </w:t>
            </w:r>
          </w:p>
        </w:tc>
        <w:tc>
          <w:tcPr>
            <w:tcW w:w="1170" w:type="dxa"/>
            <w:noWrap/>
            <w:hideMark/>
          </w:tcPr>
          <w:p w:rsidRPr="008E3C8E" w:rsidR="008E3C8E" w:rsidP="008E3C8E" w:rsidRDefault="008E3C8E" w14:paraId="2FB80DFE"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1,627.60 </w:t>
            </w:r>
          </w:p>
        </w:tc>
        <w:tc>
          <w:tcPr>
            <w:tcW w:w="2610" w:type="dxa"/>
            <w:noWrap/>
            <w:hideMark/>
          </w:tcPr>
          <w:p w:rsidRPr="008E3C8E" w:rsidR="008E3C8E" w:rsidP="008E3C8E" w:rsidRDefault="008E3C8E" w14:paraId="42FD9C38"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1,680.00 </w:t>
            </w:r>
          </w:p>
        </w:tc>
      </w:tr>
      <w:tr w:rsidRPr="008E3C8E" w:rsidR="008E3C8E" w:rsidTr="00D15283" w14:paraId="57F25CDC" w14:textId="77777777">
        <w:trPr>
          <w:gridAfter w:val="1"/>
          <w:wAfter w:w="501" w:type="dxa"/>
          <w:trHeight w:val="300"/>
        </w:trPr>
        <w:tc>
          <w:tcPr>
            <w:tcW w:w="2785" w:type="dxa"/>
            <w:noWrap/>
            <w:hideMark/>
          </w:tcPr>
          <w:p w:rsidRPr="008E3C8E" w:rsidR="008E3C8E" w:rsidP="008E3C8E" w:rsidRDefault="008E3C8E" w14:paraId="52BAF9B4"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10"</w:t>
            </w:r>
          </w:p>
        </w:tc>
        <w:tc>
          <w:tcPr>
            <w:tcW w:w="2070" w:type="dxa"/>
            <w:noWrap/>
            <w:hideMark/>
          </w:tcPr>
          <w:p w:rsidRPr="008E3C8E" w:rsidR="008E3C8E" w:rsidP="008E3C8E" w:rsidRDefault="008E3C8E" w14:paraId="2659BE6E"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2,251.70 </w:t>
            </w:r>
          </w:p>
        </w:tc>
        <w:tc>
          <w:tcPr>
            <w:tcW w:w="1170" w:type="dxa"/>
            <w:noWrap/>
            <w:hideMark/>
          </w:tcPr>
          <w:p w:rsidRPr="008E3C8E" w:rsidR="008E3C8E" w:rsidP="008E3C8E" w:rsidRDefault="008E3C8E" w14:paraId="5BEB3775"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2,339.68 </w:t>
            </w:r>
          </w:p>
        </w:tc>
        <w:tc>
          <w:tcPr>
            <w:tcW w:w="2610" w:type="dxa"/>
            <w:noWrap/>
            <w:hideMark/>
          </w:tcPr>
          <w:p w:rsidRPr="008E3C8E" w:rsidR="008E3C8E" w:rsidP="008E3C8E" w:rsidRDefault="008E3C8E" w14:paraId="69BB77DE"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2,415.00 </w:t>
            </w:r>
          </w:p>
        </w:tc>
      </w:tr>
      <w:tr w:rsidRPr="008E3C8E" w:rsidR="008E3C8E" w:rsidTr="00D15283" w14:paraId="67CA1C67" w14:textId="77777777">
        <w:trPr>
          <w:gridAfter w:val="1"/>
          <w:wAfter w:w="501" w:type="dxa"/>
          <w:trHeight w:val="300"/>
        </w:trPr>
        <w:tc>
          <w:tcPr>
            <w:tcW w:w="2785" w:type="dxa"/>
            <w:noWrap/>
            <w:hideMark/>
          </w:tcPr>
          <w:p w:rsidRPr="008E3C8E" w:rsidR="008E3C8E" w:rsidP="008E3C8E" w:rsidRDefault="008E3C8E" w14:paraId="07E13C44"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12"</w:t>
            </w:r>
          </w:p>
        </w:tc>
        <w:tc>
          <w:tcPr>
            <w:tcW w:w="2070" w:type="dxa"/>
            <w:noWrap/>
            <w:hideMark/>
          </w:tcPr>
          <w:p w:rsidRPr="008E3C8E" w:rsidR="008E3C8E" w:rsidP="008E3C8E" w:rsidRDefault="008E3C8E" w14:paraId="1643BC2B"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3,230.70 </w:t>
            </w:r>
          </w:p>
        </w:tc>
        <w:tc>
          <w:tcPr>
            <w:tcW w:w="1170" w:type="dxa"/>
            <w:noWrap/>
            <w:hideMark/>
          </w:tcPr>
          <w:p w:rsidRPr="008E3C8E" w:rsidR="008E3C8E" w:rsidP="008E3C8E" w:rsidRDefault="008E3C8E" w14:paraId="3F96845B"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3,356.93 </w:t>
            </w:r>
          </w:p>
        </w:tc>
        <w:tc>
          <w:tcPr>
            <w:tcW w:w="2610" w:type="dxa"/>
            <w:noWrap/>
            <w:hideMark/>
          </w:tcPr>
          <w:p w:rsidRPr="008E3C8E" w:rsidR="008E3C8E" w:rsidP="008E3C8E" w:rsidRDefault="008E3C8E" w14:paraId="0C605C85"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3,465.00 </w:t>
            </w:r>
          </w:p>
        </w:tc>
      </w:tr>
      <w:tr w:rsidRPr="008E3C8E" w:rsidR="008E3C8E" w:rsidTr="00D15283" w14:paraId="2908AF31" w14:textId="77777777">
        <w:trPr>
          <w:gridAfter w:val="1"/>
          <w:wAfter w:w="501" w:type="dxa"/>
          <w:trHeight w:val="300"/>
        </w:trPr>
        <w:tc>
          <w:tcPr>
            <w:tcW w:w="2785" w:type="dxa"/>
            <w:noWrap/>
            <w:hideMark/>
          </w:tcPr>
          <w:p w:rsidRPr="008E3C8E" w:rsidR="008E3C8E" w:rsidP="008E3C8E" w:rsidRDefault="008E3C8E" w14:paraId="4FB07D33" w14:textId="77777777">
            <w:pPr>
              <w:spacing w:line="240" w:lineRule="auto"/>
              <w:ind w:firstLine="0"/>
              <w:rPr>
                <w:rFonts w:ascii="Calibri" w:hAnsi="Calibri" w:eastAsia="Times New Roman" w:cs="Calibri"/>
                <w:sz w:val="22"/>
              </w:rPr>
            </w:pPr>
          </w:p>
        </w:tc>
        <w:tc>
          <w:tcPr>
            <w:tcW w:w="2070" w:type="dxa"/>
            <w:noWrap/>
            <w:hideMark/>
          </w:tcPr>
          <w:p w:rsidRPr="008E3C8E" w:rsidR="008E3C8E" w:rsidP="008E3C8E" w:rsidRDefault="008E3C8E" w14:paraId="1D58301B" w14:textId="77777777">
            <w:pPr>
              <w:spacing w:line="240" w:lineRule="auto"/>
              <w:ind w:firstLine="0"/>
              <w:rPr>
                <w:rFonts w:ascii="Times New Roman" w:hAnsi="Times New Roman" w:eastAsia="Times New Roman" w:cs="Times New Roman"/>
                <w:sz w:val="20"/>
                <w:szCs w:val="20"/>
              </w:rPr>
            </w:pPr>
          </w:p>
        </w:tc>
        <w:tc>
          <w:tcPr>
            <w:tcW w:w="1170" w:type="dxa"/>
            <w:noWrap/>
            <w:hideMark/>
          </w:tcPr>
          <w:p w:rsidRPr="008E3C8E" w:rsidR="008E3C8E" w:rsidP="008E3C8E" w:rsidRDefault="008E3C8E" w14:paraId="5B3A4B62" w14:textId="77777777">
            <w:pPr>
              <w:spacing w:line="240" w:lineRule="auto"/>
              <w:ind w:firstLine="0"/>
              <w:rPr>
                <w:rFonts w:ascii="Times New Roman" w:hAnsi="Times New Roman" w:eastAsia="Times New Roman" w:cs="Times New Roman"/>
                <w:sz w:val="20"/>
                <w:szCs w:val="20"/>
              </w:rPr>
            </w:pPr>
          </w:p>
        </w:tc>
        <w:tc>
          <w:tcPr>
            <w:tcW w:w="2610" w:type="dxa"/>
            <w:noWrap/>
            <w:hideMark/>
          </w:tcPr>
          <w:p w:rsidRPr="008E3C8E" w:rsidR="008E3C8E" w:rsidP="008E3C8E" w:rsidRDefault="008E3C8E" w14:paraId="666AC4B1" w14:textId="77777777">
            <w:pPr>
              <w:spacing w:line="240" w:lineRule="auto"/>
              <w:ind w:firstLine="0"/>
              <w:rPr>
                <w:rFonts w:ascii="Times New Roman" w:hAnsi="Times New Roman" w:eastAsia="Times New Roman" w:cs="Times New Roman"/>
                <w:sz w:val="20"/>
                <w:szCs w:val="20"/>
              </w:rPr>
            </w:pPr>
          </w:p>
        </w:tc>
      </w:tr>
      <w:tr w:rsidRPr="008E3C8E" w:rsidR="008E3C8E" w:rsidTr="00D15283" w14:paraId="5CFDB785" w14:textId="77777777">
        <w:trPr>
          <w:gridAfter w:val="1"/>
          <w:wAfter w:w="501" w:type="dxa"/>
          <w:trHeight w:val="300"/>
        </w:trPr>
        <w:tc>
          <w:tcPr>
            <w:tcW w:w="2785" w:type="dxa"/>
            <w:noWrap/>
            <w:hideMark/>
          </w:tcPr>
          <w:p w:rsidRPr="008E3C8E" w:rsidR="008E3C8E" w:rsidP="008E3C8E" w:rsidRDefault="008E3C8E" w14:paraId="4D35AC10"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Quantity Rate</w:t>
            </w:r>
          </w:p>
        </w:tc>
        <w:tc>
          <w:tcPr>
            <w:tcW w:w="2070" w:type="dxa"/>
            <w:noWrap/>
            <w:hideMark/>
          </w:tcPr>
          <w:p w:rsidRPr="008E3C8E" w:rsidR="008E3C8E" w:rsidP="008E3C8E" w:rsidRDefault="008E3C8E" w14:paraId="475D5980"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5.034</w:t>
            </w:r>
          </w:p>
        </w:tc>
        <w:tc>
          <w:tcPr>
            <w:tcW w:w="1170" w:type="dxa"/>
            <w:noWrap/>
            <w:hideMark/>
          </w:tcPr>
          <w:p w:rsidRPr="008E3C8E" w:rsidR="008E3C8E" w:rsidP="008E3C8E" w:rsidRDefault="008E3C8E" w14:paraId="633F704B"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5.572</w:t>
            </w:r>
          </w:p>
        </w:tc>
        <w:tc>
          <w:tcPr>
            <w:tcW w:w="2610" w:type="dxa"/>
            <w:noWrap/>
            <w:hideMark/>
          </w:tcPr>
          <w:p w:rsidRPr="008E3C8E" w:rsidR="008E3C8E" w:rsidP="008E3C8E" w:rsidRDefault="008E3C8E" w14:paraId="13C3E390"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5.773</w:t>
            </w:r>
          </w:p>
        </w:tc>
      </w:tr>
      <w:tr w:rsidRPr="008E3C8E" w:rsidR="008E3C8E" w:rsidTr="00D15283" w14:paraId="5FB3FAFD" w14:textId="77777777">
        <w:trPr>
          <w:gridAfter w:val="1"/>
          <w:wAfter w:w="501" w:type="dxa"/>
          <w:trHeight w:val="300"/>
        </w:trPr>
        <w:tc>
          <w:tcPr>
            <w:tcW w:w="2785" w:type="dxa"/>
            <w:noWrap/>
            <w:hideMark/>
          </w:tcPr>
          <w:p w:rsidRPr="008E3C8E" w:rsidR="008E3C8E" w:rsidP="008E3C8E" w:rsidRDefault="008E3C8E" w14:paraId="0C76499A" w14:textId="77777777">
            <w:pPr>
              <w:spacing w:line="240" w:lineRule="auto"/>
              <w:ind w:firstLine="0"/>
              <w:jc w:val="right"/>
              <w:rPr>
                <w:rFonts w:ascii="Arial" w:hAnsi="Arial" w:eastAsia="Times New Roman" w:cs="Arial"/>
                <w:sz w:val="20"/>
                <w:szCs w:val="20"/>
              </w:rPr>
            </w:pPr>
          </w:p>
        </w:tc>
        <w:tc>
          <w:tcPr>
            <w:tcW w:w="2070" w:type="dxa"/>
            <w:noWrap/>
            <w:hideMark/>
          </w:tcPr>
          <w:p w:rsidRPr="008E3C8E" w:rsidR="008E3C8E" w:rsidP="008E3C8E" w:rsidRDefault="008E3C8E" w14:paraId="5CC361E0" w14:textId="77777777">
            <w:pPr>
              <w:spacing w:line="240" w:lineRule="auto"/>
              <w:ind w:firstLine="0"/>
              <w:rPr>
                <w:rFonts w:ascii="Times New Roman" w:hAnsi="Times New Roman" w:eastAsia="Times New Roman" w:cs="Times New Roman"/>
                <w:sz w:val="20"/>
                <w:szCs w:val="20"/>
              </w:rPr>
            </w:pPr>
          </w:p>
        </w:tc>
        <w:tc>
          <w:tcPr>
            <w:tcW w:w="1170" w:type="dxa"/>
            <w:noWrap/>
            <w:hideMark/>
          </w:tcPr>
          <w:p w:rsidRPr="008E3C8E" w:rsidR="008E3C8E" w:rsidP="008E3C8E" w:rsidRDefault="008E3C8E" w14:paraId="4E8EBCD2" w14:textId="77777777">
            <w:pPr>
              <w:spacing w:line="240" w:lineRule="auto"/>
              <w:ind w:firstLine="0"/>
              <w:rPr>
                <w:rFonts w:ascii="Times New Roman" w:hAnsi="Times New Roman" w:eastAsia="Times New Roman" w:cs="Times New Roman"/>
                <w:sz w:val="20"/>
                <w:szCs w:val="20"/>
              </w:rPr>
            </w:pPr>
          </w:p>
        </w:tc>
        <w:tc>
          <w:tcPr>
            <w:tcW w:w="2610" w:type="dxa"/>
            <w:noWrap/>
            <w:hideMark/>
          </w:tcPr>
          <w:p w:rsidRPr="008E3C8E" w:rsidR="008E3C8E" w:rsidP="008E3C8E" w:rsidRDefault="008E3C8E" w14:paraId="54EE9416" w14:textId="77777777">
            <w:pPr>
              <w:spacing w:line="240" w:lineRule="auto"/>
              <w:ind w:firstLine="0"/>
              <w:rPr>
                <w:rFonts w:ascii="Times New Roman" w:hAnsi="Times New Roman" w:eastAsia="Times New Roman" w:cs="Times New Roman"/>
                <w:sz w:val="20"/>
                <w:szCs w:val="20"/>
              </w:rPr>
            </w:pPr>
          </w:p>
        </w:tc>
      </w:tr>
      <w:tr w:rsidRPr="008E3C8E" w:rsidR="008E3C8E" w:rsidTr="00D15283" w14:paraId="039AD16C" w14:textId="77777777">
        <w:trPr>
          <w:gridAfter w:val="1"/>
          <w:wAfter w:w="501" w:type="dxa"/>
          <w:trHeight w:val="300"/>
        </w:trPr>
        <w:tc>
          <w:tcPr>
            <w:tcW w:w="2785" w:type="dxa"/>
            <w:noWrap/>
            <w:hideMark/>
          </w:tcPr>
          <w:p w:rsidRPr="008E3C8E" w:rsidR="008E3C8E" w:rsidP="008E3C8E" w:rsidRDefault="008E3C8E" w14:paraId="16B0A470" w14:textId="77777777">
            <w:pPr>
              <w:spacing w:line="240" w:lineRule="auto"/>
              <w:ind w:firstLine="0"/>
              <w:rPr>
                <w:rFonts w:ascii="Calibri" w:hAnsi="Calibri" w:eastAsia="Times New Roman" w:cs="Calibri"/>
                <w:b/>
                <w:bCs/>
                <w:color w:val="000000"/>
                <w:sz w:val="22"/>
              </w:rPr>
            </w:pPr>
            <w:r w:rsidRPr="008E3C8E">
              <w:rPr>
                <w:rFonts w:ascii="Calibri" w:hAnsi="Calibri" w:eastAsia="Times New Roman" w:cs="Calibri"/>
                <w:b/>
                <w:bCs/>
                <w:color w:val="000000"/>
                <w:sz w:val="22"/>
              </w:rPr>
              <w:t>Fire Service</w:t>
            </w:r>
          </w:p>
        </w:tc>
        <w:tc>
          <w:tcPr>
            <w:tcW w:w="2070" w:type="dxa"/>
            <w:noWrap/>
            <w:hideMark/>
          </w:tcPr>
          <w:p w:rsidRPr="008E3C8E" w:rsidR="008E3C8E" w:rsidP="008E3C8E" w:rsidRDefault="008E3C8E" w14:paraId="6D31F331" w14:textId="77777777">
            <w:pPr>
              <w:spacing w:line="240" w:lineRule="auto"/>
              <w:ind w:firstLine="0"/>
              <w:rPr>
                <w:rFonts w:ascii="Times New Roman" w:hAnsi="Times New Roman" w:eastAsia="Times New Roman" w:cs="Times New Roman"/>
                <w:sz w:val="20"/>
                <w:szCs w:val="20"/>
              </w:rPr>
            </w:pPr>
          </w:p>
        </w:tc>
        <w:tc>
          <w:tcPr>
            <w:tcW w:w="1170" w:type="dxa"/>
            <w:noWrap/>
            <w:hideMark/>
          </w:tcPr>
          <w:p w:rsidRPr="008E3C8E" w:rsidR="008E3C8E" w:rsidP="008E3C8E" w:rsidRDefault="008E3C8E" w14:paraId="304B9018" w14:textId="77777777">
            <w:pPr>
              <w:spacing w:line="240" w:lineRule="auto"/>
              <w:ind w:firstLine="0"/>
              <w:rPr>
                <w:rFonts w:ascii="Times New Roman" w:hAnsi="Times New Roman" w:eastAsia="Times New Roman" w:cs="Times New Roman"/>
                <w:sz w:val="20"/>
                <w:szCs w:val="20"/>
              </w:rPr>
            </w:pPr>
          </w:p>
        </w:tc>
        <w:tc>
          <w:tcPr>
            <w:tcW w:w="2610" w:type="dxa"/>
            <w:noWrap/>
            <w:hideMark/>
          </w:tcPr>
          <w:p w:rsidRPr="008E3C8E" w:rsidR="008E3C8E" w:rsidP="008E3C8E" w:rsidRDefault="008E3C8E" w14:paraId="5DE3B4C5" w14:textId="77777777">
            <w:pPr>
              <w:spacing w:line="240" w:lineRule="auto"/>
              <w:ind w:firstLine="0"/>
              <w:rPr>
                <w:rFonts w:ascii="Times New Roman" w:hAnsi="Times New Roman" w:eastAsia="Times New Roman" w:cs="Times New Roman"/>
                <w:sz w:val="20"/>
                <w:szCs w:val="20"/>
              </w:rPr>
            </w:pPr>
          </w:p>
        </w:tc>
      </w:tr>
      <w:tr w:rsidRPr="008E3C8E" w:rsidR="008E3C8E" w:rsidTr="00D15283" w14:paraId="11E4FA4A" w14:textId="77777777">
        <w:trPr>
          <w:gridAfter w:val="1"/>
          <w:wAfter w:w="501" w:type="dxa"/>
          <w:trHeight w:val="300"/>
        </w:trPr>
        <w:tc>
          <w:tcPr>
            <w:tcW w:w="2785" w:type="dxa"/>
            <w:noWrap/>
            <w:hideMark/>
          </w:tcPr>
          <w:p w:rsidRPr="008E3C8E" w:rsidR="008E3C8E" w:rsidP="008E3C8E" w:rsidRDefault="008E3C8E" w14:paraId="6560C644"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2"</w:t>
            </w:r>
          </w:p>
        </w:tc>
        <w:tc>
          <w:tcPr>
            <w:tcW w:w="2070" w:type="dxa"/>
            <w:noWrap/>
            <w:hideMark/>
          </w:tcPr>
          <w:p w:rsidRPr="008E3C8E" w:rsidR="008E3C8E" w:rsidP="008E3C8E" w:rsidRDefault="008E3C8E" w14:paraId="2852E28D"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21.12</w:t>
            </w:r>
          </w:p>
        </w:tc>
        <w:tc>
          <w:tcPr>
            <w:tcW w:w="1170" w:type="dxa"/>
            <w:noWrap/>
            <w:hideMark/>
          </w:tcPr>
          <w:p w:rsidRPr="008E3C8E" w:rsidR="008E3C8E" w:rsidP="008E3C8E" w:rsidRDefault="008E3C8E" w14:paraId="0ECA009C"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22.04</w:t>
            </w:r>
          </w:p>
        </w:tc>
        <w:tc>
          <w:tcPr>
            <w:tcW w:w="2610" w:type="dxa"/>
            <w:noWrap/>
            <w:hideMark/>
          </w:tcPr>
          <w:p w:rsidRPr="008E3C8E" w:rsidR="008E3C8E" w:rsidP="008E3C8E" w:rsidRDefault="008E3C8E" w14:paraId="76861BCA"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23</w:t>
            </w:r>
          </w:p>
        </w:tc>
      </w:tr>
      <w:tr w:rsidRPr="008E3C8E" w:rsidR="008E3C8E" w:rsidTr="00D15283" w14:paraId="046674AF" w14:textId="77777777">
        <w:trPr>
          <w:gridAfter w:val="1"/>
          <w:wAfter w:w="501" w:type="dxa"/>
          <w:trHeight w:val="300"/>
        </w:trPr>
        <w:tc>
          <w:tcPr>
            <w:tcW w:w="2785" w:type="dxa"/>
            <w:noWrap/>
            <w:hideMark/>
          </w:tcPr>
          <w:p w:rsidRPr="008E3C8E" w:rsidR="008E3C8E" w:rsidP="008E3C8E" w:rsidRDefault="008E3C8E" w14:paraId="18629D8F"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3"</w:t>
            </w:r>
          </w:p>
        </w:tc>
        <w:tc>
          <w:tcPr>
            <w:tcW w:w="2070" w:type="dxa"/>
            <w:noWrap/>
            <w:hideMark/>
          </w:tcPr>
          <w:p w:rsidRPr="008E3C8E" w:rsidR="008E3C8E" w:rsidP="008E3C8E" w:rsidRDefault="008E3C8E" w14:paraId="21BBDB5C"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28.03</w:t>
            </w:r>
          </w:p>
        </w:tc>
        <w:tc>
          <w:tcPr>
            <w:tcW w:w="1170" w:type="dxa"/>
            <w:noWrap/>
            <w:hideMark/>
          </w:tcPr>
          <w:p w:rsidRPr="008E3C8E" w:rsidR="008E3C8E" w:rsidP="008E3C8E" w:rsidRDefault="008E3C8E" w14:paraId="3EDB2CA4"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29.26</w:t>
            </w:r>
          </w:p>
        </w:tc>
        <w:tc>
          <w:tcPr>
            <w:tcW w:w="2610" w:type="dxa"/>
            <w:noWrap/>
            <w:hideMark/>
          </w:tcPr>
          <w:p w:rsidRPr="008E3C8E" w:rsidR="008E3C8E" w:rsidP="008E3C8E" w:rsidRDefault="008E3C8E" w14:paraId="794C6FB5"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30.54</w:t>
            </w:r>
          </w:p>
        </w:tc>
      </w:tr>
      <w:tr w:rsidRPr="008E3C8E" w:rsidR="008E3C8E" w:rsidTr="00D15283" w14:paraId="6C2E1B89" w14:textId="77777777">
        <w:trPr>
          <w:gridAfter w:val="1"/>
          <w:wAfter w:w="501" w:type="dxa"/>
          <w:trHeight w:val="300"/>
        </w:trPr>
        <w:tc>
          <w:tcPr>
            <w:tcW w:w="2785" w:type="dxa"/>
            <w:noWrap/>
            <w:hideMark/>
          </w:tcPr>
          <w:p w:rsidRPr="008E3C8E" w:rsidR="008E3C8E" w:rsidP="008E3C8E" w:rsidRDefault="008E3C8E" w14:paraId="69970FD9"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4"</w:t>
            </w:r>
          </w:p>
        </w:tc>
        <w:tc>
          <w:tcPr>
            <w:tcW w:w="2070" w:type="dxa"/>
            <w:noWrap/>
            <w:hideMark/>
          </w:tcPr>
          <w:p w:rsidRPr="008E3C8E" w:rsidR="008E3C8E" w:rsidP="008E3C8E" w:rsidRDefault="008E3C8E" w14:paraId="5A53EAD4"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41.68</w:t>
            </w:r>
          </w:p>
        </w:tc>
        <w:tc>
          <w:tcPr>
            <w:tcW w:w="1170" w:type="dxa"/>
            <w:noWrap/>
            <w:hideMark/>
          </w:tcPr>
          <w:p w:rsidRPr="008E3C8E" w:rsidR="008E3C8E" w:rsidP="008E3C8E" w:rsidRDefault="008E3C8E" w14:paraId="6064B59C"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43.5</w:t>
            </w:r>
          </w:p>
        </w:tc>
        <w:tc>
          <w:tcPr>
            <w:tcW w:w="2610" w:type="dxa"/>
            <w:noWrap/>
            <w:hideMark/>
          </w:tcPr>
          <w:p w:rsidRPr="008E3C8E" w:rsidR="008E3C8E" w:rsidP="008E3C8E" w:rsidRDefault="008E3C8E" w14:paraId="1297FF69"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45.4</w:t>
            </w:r>
          </w:p>
        </w:tc>
      </w:tr>
      <w:tr w:rsidRPr="008E3C8E" w:rsidR="008E3C8E" w:rsidTr="00D15283" w14:paraId="49553386" w14:textId="77777777">
        <w:trPr>
          <w:gridAfter w:val="1"/>
          <w:wAfter w:w="501" w:type="dxa"/>
          <w:trHeight w:val="300"/>
        </w:trPr>
        <w:tc>
          <w:tcPr>
            <w:tcW w:w="2785" w:type="dxa"/>
            <w:noWrap/>
            <w:hideMark/>
          </w:tcPr>
          <w:p w:rsidRPr="008E3C8E" w:rsidR="008E3C8E" w:rsidP="008E3C8E" w:rsidRDefault="008E3C8E" w14:paraId="3FE3400B"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6"</w:t>
            </w:r>
          </w:p>
        </w:tc>
        <w:tc>
          <w:tcPr>
            <w:tcW w:w="2070" w:type="dxa"/>
            <w:noWrap/>
            <w:hideMark/>
          </w:tcPr>
          <w:p w:rsidRPr="008E3C8E" w:rsidR="008E3C8E" w:rsidP="008E3C8E" w:rsidRDefault="008E3C8E" w14:paraId="4728F8B5"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61.57</w:t>
            </w:r>
          </w:p>
        </w:tc>
        <w:tc>
          <w:tcPr>
            <w:tcW w:w="1170" w:type="dxa"/>
            <w:noWrap/>
            <w:hideMark/>
          </w:tcPr>
          <w:p w:rsidRPr="008E3C8E" w:rsidR="008E3C8E" w:rsidP="008E3C8E" w:rsidRDefault="008E3C8E" w14:paraId="09DA0250"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64.26</w:t>
            </w:r>
          </w:p>
        </w:tc>
        <w:tc>
          <w:tcPr>
            <w:tcW w:w="2610" w:type="dxa"/>
            <w:noWrap/>
            <w:hideMark/>
          </w:tcPr>
          <w:p w:rsidRPr="008E3C8E" w:rsidR="008E3C8E" w:rsidP="008E3C8E" w:rsidRDefault="008E3C8E" w14:paraId="0B976047"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67.07</w:t>
            </w:r>
          </w:p>
        </w:tc>
      </w:tr>
      <w:tr w:rsidRPr="008E3C8E" w:rsidR="008E3C8E" w:rsidTr="00D15283" w14:paraId="3ADBD635" w14:textId="77777777">
        <w:trPr>
          <w:gridAfter w:val="1"/>
          <w:wAfter w:w="501" w:type="dxa"/>
          <w:trHeight w:val="300"/>
        </w:trPr>
        <w:tc>
          <w:tcPr>
            <w:tcW w:w="2785" w:type="dxa"/>
            <w:noWrap/>
            <w:hideMark/>
          </w:tcPr>
          <w:p w:rsidRPr="008E3C8E" w:rsidR="008E3C8E" w:rsidP="008E3C8E" w:rsidRDefault="008E3C8E" w14:paraId="64A66A34"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8"</w:t>
            </w:r>
          </w:p>
        </w:tc>
        <w:tc>
          <w:tcPr>
            <w:tcW w:w="2070" w:type="dxa"/>
            <w:noWrap/>
            <w:hideMark/>
          </w:tcPr>
          <w:p w:rsidRPr="008E3C8E" w:rsidR="008E3C8E" w:rsidP="008E3C8E" w:rsidRDefault="008E3C8E" w14:paraId="7CFC8DCE"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91.1</w:t>
            </w:r>
          </w:p>
        </w:tc>
        <w:tc>
          <w:tcPr>
            <w:tcW w:w="1170" w:type="dxa"/>
            <w:noWrap/>
            <w:hideMark/>
          </w:tcPr>
          <w:p w:rsidRPr="008E3C8E" w:rsidR="008E3C8E" w:rsidP="008E3C8E" w:rsidRDefault="008E3C8E" w14:paraId="7FD92094"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95.09</w:t>
            </w:r>
          </w:p>
        </w:tc>
        <w:tc>
          <w:tcPr>
            <w:tcW w:w="2610" w:type="dxa"/>
            <w:noWrap/>
            <w:hideMark/>
          </w:tcPr>
          <w:p w:rsidRPr="008E3C8E" w:rsidR="008E3C8E" w:rsidP="008E3C8E" w:rsidRDefault="008E3C8E" w14:paraId="47C3BAA3"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99.25</w:t>
            </w:r>
          </w:p>
        </w:tc>
      </w:tr>
      <w:tr w:rsidRPr="008E3C8E" w:rsidR="008E3C8E" w:rsidTr="00D15283" w14:paraId="32D814BF" w14:textId="77777777">
        <w:trPr>
          <w:gridAfter w:val="1"/>
          <w:wAfter w:w="501" w:type="dxa"/>
          <w:trHeight w:val="300"/>
        </w:trPr>
        <w:tc>
          <w:tcPr>
            <w:tcW w:w="2785" w:type="dxa"/>
            <w:noWrap/>
            <w:hideMark/>
          </w:tcPr>
          <w:p w:rsidRPr="008E3C8E" w:rsidR="008E3C8E" w:rsidP="008E3C8E" w:rsidRDefault="008E3C8E" w14:paraId="1EB584AD"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10"</w:t>
            </w:r>
          </w:p>
        </w:tc>
        <w:tc>
          <w:tcPr>
            <w:tcW w:w="2070" w:type="dxa"/>
            <w:noWrap/>
            <w:hideMark/>
          </w:tcPr>
          <w:p w:rsidRPr="008E3C8E" w:rsidR="008E3C8E" w:rsidP="008E3C8E" w:rsidRDefault="008E3C8E" w14:paraId="4F41812B"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134.02</w:t>
            </w:r>
          </w:p>
        </w:tc>
        <w:tc>
          <w:tcPr>
            <w:tcW w:w="1170" w:type="dxa"/>
            <w:noWrap/>
            <w:hideMark/>
          </w:tcPr>
          <w:p w:rsidRPr="008E3C8E" w:rsidR="008E3C8E" w:rsidP="008E3C8E" w:rsidRDefault="008E3C8E" w14:paraId="1F052D1C"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139.89</w:t>
            </w:r>
          </w:p>
        </w:tc>
        <w:tc>
          <w:tcPr>
            <w:tcW w:w="2610" w:type="dxa"/>
            <w:noWrap/>
            <w:hideMark/>
          </w:tcPr>
          <w:p w:rsidRPr="008E3C8E" w:rsidR="008E3C8E" w:rsidP="008E3C8E" w:rsidRDefault="008E3C8E" w14:paraId="24A04086"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146.01</w:t>
            </w:r>
          </w:p>
        </w:tc>
      </w:tr>
      <w:tr w:rsidRPr="008E3C8E" w:rsidR="008E3C8E" w:rsidTr="00D15283" w14:paraId="0BF26E1B" w14:textId="77777777">
        <w:trPr>
          <w:gridAfter w:val="1"/>
          <w:wAfter w:w="501" w:type="dxa"/>
          <w:trHeight w:val="300"/>
        </w:trPr>
        <w:tc>
          <w:tcPr>
            <w:tcW w:w="2785" w:type="dxa"/>
            <w:noWrap/>
            <w:hideMark/>
          </w:tcPr>
          <w:p w:rsidRPr="008E3C8E" w:rsidR="008E3C8E" w:rsidP="008E3C8E" w:rsidRDefault="008E3C8E" w14:paraId="26A0A27A" w14:textId="77777777">
            <w:pPr>
              <w:spacing w:line="240" w:lineRule="auto"/>
              <w:ind w:firstLine="0"/>
              <w:rPr>
                <w:rFonts w:ascii="Calibri" w:hAnsi="Calibri" w:eastAsia="Times New Roman" w:cs="Calibri"/>
                <w:color w:val="000000"/>
                <w:sz w:val="22"/>
              </w:rPr>
            </w:pPr>
            <w:r w:rsidRPr="008E3C8E">
              <w:rPr>
                <w:rFonts w:ascii="Calibri" w:hAnsi="Calibri" w:eastAsia="Times New Roman" w:cs="Calibri"/>
                <w:color w:val="000000"/>
                <w:sz w:val="22"/>
              </w:rPr>
              <w:t>12"</w:t>
            </w:r>
          </w:p>
        </w:tc>
        <w:tc>
          <w:tcPr>
            <w:tcW w:w="2070" w:type="dxa"/>
            <w:noWrap/>
            <w:hideMark/>
          </w:tcPr>
          <w:p w:rsidRPr="008E3C8E" w:rsidR="008E3C8E" w:rsidP="008E3C8E" w:rsidRDefault="008E3C8E" w14:paraId="5DD14672"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193.92</w:t>
            </w:r>
          </w:p>
        </w:tc>
        <w:tc>
          <w:tcPr>
            <w:tcW w:w="1170" w:type="dxa"/>
            <w:noWrap/>
            <w:hideMark/>
          </w:tcPr>
          <w:p w:rsidRPr="008E3C8E" w:rsidR="008E3C8E" w:rsidP="008E3C8E" w:rsidRDefault="008E3C8E" w14:paraId="40886558"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202.41</w:t>
            </w:r>
          </w:p>
        </w:tc>
        <w:tc>
          <w:tcPr>
            <w:tcW w:w="2610" w:type="dxa"/>
            <w:noWrap/>
            <w:hideMark/>
          </w:tcPr>
          <w:p w:rsidRPr="008E3C8E" w:rsidR="008E3C8E" w:rsidP="008E3C8E" w:rsidRDefault="008E3C8E" w14:paraId="4BA4CA51" w14:textId="77777777">
            <w:pPr>
              <w:spacing w:line="240" w:lineRule="auto"/>
              <w:ind w:firstLine="0"/>
              <w:jc w:val="right"/>
              <w:rPr>
                <w:rFonts w:ascii="Arial" w:hAnsi="Arial" w:eastAsia="Times New Roman" w:cs="Arial"/>
                <w:sz w:val="20"/>
                <w:szCs w:val="20"/>
              </w:rPr>
            </w:pPr>
            <w:r w:rsidRPr="008E3C8E">
              <w:rPr>
                <w:rFonts w:ascii="Arial" w:hAnsi="Arial" w:eastAsia="Times New Roman" w:cs="Arial"/>
                <w:sz w:val="20"/>
                <w:szCs w:val="20"/>
              </w:rPr>
              <w:t>211.27</w:t>
            </w:r>
          </w:p>
        </w:tc>
      </w:tr>
      <w:tr w:rsidRPr="008E3C8E" w:rsidR="008E3C8E" w:rsidTr="00D15283" w14:paraId="279284C0" w14:textId="77777777">
        <w:trPr>
          <w:gridAfter w:val="1"/>
          <w:wAfter w:w="501" w:type="dxa"/>
          <w:trHeight w:val="300"/>
        </w:trPr>
        <w:tc>
          <w:tcPr>
            <w:tcW w:w="2785" w:type="dxa"/>
            <w:noWrap/>
            <w:hideMark/>
          </w:tcPr>
          <w:p w:rsidRPr="008E3C8E" w:rsidR="008E3C8E" w:rsidP="008E3C8E" w:rsidRDefault="008E3C8E" w14:paraId="6E76ABC4" w14:textId="77777777">
            <w:pPr>
              <w:spacing w:line="240" w:lineRule="auto"/>
              <w:ind w:firstLine="0"/>
              <w:jc w:val="right"/>
              <w:rPr>
                <w:rFonts w:ascii="Arial" w:hAnsi="Arial" w:eastAsia="Times New Roman" w:cs="Arial"/>
                <w:sz w:val="20"/>
                <w:szCs w:val="20"/>
              </w:rPr>
            </w:pPr>
          </w:p>
        </w:tc>
        <w:tc>
          <w:tcPr>
            <w:tcW w:w="2070" w:type="dxa"/>
            <w:noWrap/>
            <w:hideMark/>
          </w:tcPr>
          <w:p w:rsidRPr="008E3C8E" w:rsidR="008E3C8E" w:rsidP="008E3C8E" w:rsidRDefault="008E3C8E" w14:paraId="2E684027" w14:textId="77777777">
            <w:pPr>
              <w:spacing w:line="240" w:lineRule="auto"/>
              <w:ind w:firstLine="0"/>
              <w:rPr>
                <w:rFonts w:ascii="Times New Roman" w:hAnsi="Times New Roman" w:eastAsia="Times New Roman" w:cs="Times New Roman"/>
                <w:sz w:val="20"/>
                <w:szCs w:val="20"/>
              </w:rPr>
            </w:pPr>
          </w:p>
        </w:tc>
        <w:tc>
          <w:tcPr>
            <w:tcW w:w="1170" w:type="dxa"/>
            <w:noWrap/>
            <w:hideMark/>
          </w:tcPr>
          <w:p w:rsidRPr="008E3C8E" w:rsidR="008E3C8E" w:rsidP="008E3C8E" w:rsidRDefault="008E3C8E" w14:paraId="7071E425" w14:textId="77777777">
            <w:pPr>
              <w:spacing w:line="240" w:lineRule="auto"/>
              <w:ind w:firstLine="0"/>
              <w:rPr>
                <w:rFonts w:ascii="Times New Roman" w:hAnsi="Times New Roman" w:eastAsia="Times New Roman" w:cs="Times New Roman"/>
                <w:sz w:val="20"/>
                <w:szCs w:val="20"/>
              </w:rPr>
            </w:pPr>
          </w:p>
        </w:tc>
        <w:tc>
          <w:tcPr>
            <w:tcW w:w="2610" w:type="dxa"/>
            <w:noWrap/>
            <w:hideMark/>
          </w:tcPr>
          <w:p w:rsidRPr="008E3C8E" w:rsidR="008E3C8E" w:rsidP="008E3C8E" w:rsidRDefault="008E3C8E" w14:paraId="5C4A4053" w14:textId="77777777">
            <w:pPr>
              <w:spacing w:line="240" w:lineRule="auto"/>
              <w:ind w:firstLine="0"/>
              <w:rPr>
                <w:rFonts w:ascii="Times New Roman" w:hAnsi="Times New Roman" w:eastAsia="Times New Roman" w:cs="Times New Roman"/>
                <w:sz w:val="20"/>
                <w:szCs w:val="20"/>
              </w:rPr>
            </w:pPr>
          </w:p>
        </w:tc>
      </w:tr>
      <w:tr w:rsidRPr="008E3C8E" w:rsidR="008E3C8E" w:rsidTr="00D15283" w14:paraId="0A8A573E" w14:textId="77777777">
        <w:trPr>
          <w:gridAfter w:val="1"/>
          <w:wAfter w:w="501" w:type="dxa"/>
          <w:trHeight w:val="300"/>
        </w:trPr>
        <w:tc>
          <w:tcPr>
            <w:tcW w:w="2785" w:type="dxa"/>
            <w:noWrap/>
            <w:hideMark/>
          </w:tcPr>
          <w:p w:rsidRPr="008E3C8E" w:rsidR="008E3C8E" w:rsidP="008E3C8E" w:rsidRDefault="008E3C8E" w14:paraId="3AFB7000" w14:textId="77777777">
            <w:pPr>
              <w:spacing w:line="240" w:lineRule="auto"/>
              <w:ind w:firstLine="0"/>
              <w:rPr>
                <w:rFonts w:ascii="Calibri" w:hAnsi="Calibri" w:eastAsia="Times New Roman" w:cs="Calibri"/>
                <w:b/>
                <w:bCs/>
                <w:color w:val="000000"/>
                <w:sz w:val="22"/>
              </w:rPr>
            </w:pPr>
            <w:r w:rsidRPr="008E3C8E">
              <w:rPr>
                <w:rFonts w:ascii="Calibri" w:hAnsi="Calibri" w:eastAsia="Times New Roman" w:cs="Calibri"/>
                <w:b/>
                <w:bCs/>
                <w:color w:val="000000"/>
                <w:sz w:val="22"/>
              </w:rPr>
              <w:lastRenderedPageBreak/>
              <w:t>Quantity Rate</w:t>
            </w:r>
          </w:p>
        </w:tc>
        <w:tc>
          <w:tcPr>
            <w:tcW w:w="2070" w:type="dxa"/>
            <w:noWrap/>
            <w:hideMark/>
          </w:tcPr>
          <w:p w:rsidRPr="008E3C8E" w:rsidR="008E3C8E" w:rsidP="008E3C8E" w:rsidRDefault="008E3C8E" w14:paraId="55546F5E"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6.000 </w:t>
            </w:r>
          </w:p>
        </w:tc>
        <w:tc>
          <w:tcPr>
            <w:tcW w:w="1170" w:type="dxa"/>
            <w:noWrap/>
            <w:hideMark/>
          </w:tcPr>
          <w:p w:rsidRPr="008E3C8E" w:rsidR="008E3C8E" w:rsidP="008E3C8E" w:rsidRDefault="008E3C8E" w14:paraId="2341453D"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         6.538 </w:t>
            </w:r>
          </w:p>
        </w:tc>
        <w:tc>
          <w:tcPr>
            <w:tcW w:w="2610" w:type="dxa"/>
            <w:noWrap/>
            <w:hideMark/>
          </w:tcPr>
          <w:p w:rsidRPr="008E3C8E" w:rsidR="008E3C8E" w:rsidP="008E3C8E" w:rsidRDefault="008E3C8E" w14:paraId="1A09F1B4" w14:textId="77777777">
            <w:pPr>
              <w:spacing w:line="240" w:lineRule="auto"/>
              <w:ind w:firstLine="0"/>
              <w:rPr>
                <w:rFonts w:ascii="Calibri" w:hAnsi="Calibri" w:eastAsia="Times New Roman" w:cs="Calibri"/>
                <w:sz w:val="22"/>
              </w:rPr>
            </w:pPr>
            <w:r w:rsidRPr="008E3C8E">
              <w:rPr>
                <w:rFonts w:ascii="Calibri" w:hAnsi="Calibri" w:eastAsia="Times New Roman" w:cs="Calibri"/>
                <w:sz w:val="22"/>
              </w:rPr>
              <w:t xml:space="preserve">              6.739 </w:t>
            </w:r>
          </w:p>
        </w:tc>
      </w:tr>
    </w:tbl>
    <w:p w:rsidR="008E3C8E" w:rsidRDefault="008E3C8E" w14:paraId="433C40FA" w14:textId="3244BE62">
      <w:pPr>
        <w:spacing w:after="160" w:line="259" w:lineRule="auto"/>
        <w:ind w:firstLine="0"/>
        <w:rPr>
          <w:b/>
          <w:bCs/>
        </w:rPr>
      </w:pPr>
    </w:p>
    <w:tbl>
      <w:tblPr>
        <w:tblW w:w="1026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4"/>
        <w:gridCol w:w="957"/>
        <w:gridCol w:w="1001"/>
        <w:gridCol w:w="1001"/>
        <w:gridCol w:w="883"/>
        <w:gridCol w:w="1001"/>
        <w:gridCol w:w="1001"/>
        <w:gridCol w:w="952"/>
        <w:gridCol w:w="920"/>
        <w:gridCol w:w="810"/>
      </w:tblGrid>
      <w:tr w:rsidRPr="00C618BF" w:rsidR="00781BBF" w:rsidTr="009B34DB" w14:paraId="32E136CE" w14:textId="77777777">
        <w:trPr>
          <w:trHeight w:val="890"/>
        </w:trPr>
        <w:tc>
          <w:tcPr>
            <w:tcW w:w="1734" w:type="dxa"/>
            <w:shd w:val="clear" w:color="auto" w:fill="auto"/>
            <w:vAlign w:val="bottom"/>
            <w:hideMark/>
          </w:tcPr>
          <w:p w:rsidRPr="00C618BF" w:rsidR="00781BBF" w:rsidP="009B34DB" w:rsidRDefault="00781BBF" w14:paraId="04ADF3FC" w14:textId="77777777">
            <w:pPr>
              <w:spacing w:line="240" w:lineRule="auto"/>
              <w:ind w:firstLine="0"/>
              <w:rPr>
                <w:rFonts w:ascii="Calibri" w:hAnsi="Calibri" w:eastAsia="Times New Roman" w:cs="Calibri"/>
                <w:b/>
                <w:bCs/>
                <w:color w:val="000000"/>
                <w:sz w:val="22"/>
              </w:rPr>
            </w:pPr>
          </w:p>
        </w:tc>
        <w:tc>
          <w:tcPr>
            <w:tcW w:w="5844" w:type="dxa"/>
            <w:gridSpan w:val="6"/>
            <w:shd w:val="clear" w:color="auto" w:fill="auto"/>
            <w:vAlign w:val="bottom"/>
            <w:hideMark/>
          </w:tcPr>
          <w:p w:rsidRPr="00C618BF" w:rsidR="00781BBF" w:rsidP="009B34DB" w:rsidRDefault="00781BBF" w14:paraId="2075C5D1" w14:textId="77777777">
            <w:pPr>
              <w:spacing w:line="240" w:lineRule="auto"/>
              <w:ind w:firstLine="0"/>
              <w:jc w:val="center"/>
              <w:rPr>
                <w:rFonts w:ascii="Calibri" w:hAnsi="Calibri" w:eastAsia="Times New Roman" w:cs="Calibri"/>
                <w:b/>
                <w:bCs/>
                <w:color w:val="000000"/>
                <w:sz w:val="22"/>
              </w:rPr>
            </w:pPr>
            <w:r>
              <w:rPr>
                <w:rFonts w:ascii="Calibri" w:hAnsi="Calibri" w:eastAsia="Times New Roman" w:cs="Calibri"/>
                <w:b/>
                <w:bCs/>
                <w:color w:val="000000"/>
                <w:sz w:val="22"/>
              </w:rPr>
              <w:t>Interim Rates Vs. Approved</w:t>
            </w:r>
            <w:r w:rsidRPr="00C618BF">
              <w:rPr>
                <w:rFonts w:ascii="Calibri" w:hAnsi="Calibri" w:eastAsia="Times New Roman" w:cs="Calibri"/>
                <w:b/>
                <w:bCs/>
                <w:color w:val="000000"/>
                <w:sz w:val="22"/>
              </w:rPr>
              <w:t xml:space="preserve"> Rates</w:t>
            </w:r>
            <w:r>
              <w:rPr>
                <w:rFonts w:ascii="Calibri" w:hAnsi="Calibri" w:eastAsia="Times New Roman" w:cs="Calibri"/>
                <w:b/>
                <w:bCs/>
                <w:color w:val="000000"/>
                <w:sz w:val="22"/>
              </w:rPr>
              <w:t>:</w:t>
            </w:r>
            <w:r w:rsidRPr="00C618BF">
              <w:rPr>
                <w:rFonts w:ascii="Calibri" w:hAnsi="Calibri" w:eastAsia="Times New Roman" w:cs="Calibri"/>
                <w:b/>
                <w:bCs/>
                <w:color w:val="000000"/>
                <w:sz w:val="22"/>
              </w:rPr>
              <w:t xml:space="preserve">                                                                                                                   </w:t>
            </w:r>
          </w:p>
        </w:tc>
        <w:tc>
          <w:tcPr>
            <w:tcW w:w="1872" w:type="dxa"/>
            <w:gridSpan w:val="2"/>
            <w:shd w:val="clear" w:color="auto" w:fill="auto"/>
            <w:vAlign w:val="bottom"/>
            <w:hideMark/>
          </w:tcPr>
          <w:p w:rsidRPr="00C618BF" w:rsidR="00781BBF" w:rsidP="009B34DB" w:rsidRDefault="00781BBF" w14:paraId="6132B066" w14:textId="77777777">
            <w:pPr>
              <w:spacing w:line="240" w:lineRule="auto"/>
              <w:ind w:firstLine="0"/>
              <w:jc w:val="center"/>
              <w:rPr>
                <w:rFonts w:ascii="Calibri" w:hAnsi="Calibri" w:eastAsia="Times New Roman" w:cs="Calibri"/>
                <w:b/>
                <w:bCs/>
                <w:color w:val="000000"/>
                <w:sz w:val="22"/>
              </w:rPr>
            </w:pPr>
            <w:r w:rsidRPr="00C618BF">
              <w:rPr>
                <w:rFonts w:ascii="Calibri" w:hAnsi="Calibri" w:eastAsia="Times New Roman" w:cs="Calibri"/>
                <w:b/>
                <w:bCs/>
                <w:color w:val="000000"/>
                <w:sz w:val="22"/>
              </w:rPr>
              <w:t>Bill Change</w:t>
            </w:r>
          </w:p>
        </w:tc>
        <w:tc>
          <w:tcPr>
            <w:tcW w:w="810" w:type="dxa"/>
            <w:shd w:val="clear" w:color="auto" w:fill="auto"/>
            <w:noWrap/>
            <w:vAlign w:val="bottom"/>
            <w:hideMark/>
          </w:tcPr>
          <w:p w:rsidRPr="00C618BF" w:rsidR="00781BBF" w:rsidP="009B34DB" w:rsidRDefault="00781BBF" w14:paraId="70A63236"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Year</w:t>
            </w:r>
          </w:p>
        </w:tc>
      </w:tr>
      <w:tr w:rsidRPr="00C618BF" w:rsidR="00781BBF" w:rsidTr="009B34DB" w14:paraId="3D4FD0A7" w14:textId="77777777">
        <w:trPr>
          <w:trHeight w:val="570"/>
        </w:trPr>
        <w:tc>
          <w:tcPr>
            <w:tcW w:w="1734" w:type="dxa"/>
            <w:shd w:val="clear" w:color="auto" w:fill="auto"/>
            <w:vAlign w:val="bottom"/>
            <w:hideMark/>
          </w:tcPr>
          <w:p w:rsidRPr="00C618BF" w:rsidR="00781BBF" w:rsidP="009B34DB" w:rsidRDefault="00781BBF" w14:paraId="050059FA"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p>
        </w:tc>
        <w:tc>
          <w:tcPr>
            <w:tcW w:w="957" w:type="dxa"/>
            <w:shd w:val="clear" w:color="auto" w:fill="auto"/>
            <w:vAlign w:val="bottom"/>
            <w:hideMark/>
          </w:tcPr>
          <w:p w:rsidRPr="00C618BF" w:rsidR="00781BBF" w:rsidP="009B34DB" w:rsidRDefault="00781BBF" w14:paraId="798876D3"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Usage CCF</w:t>
            </w:r>
          </w:p>
        </w:tc>
        <w:tc>
          <w:tcPr>
            <w:tcW w:w="1001" w:type="dxa"/>
            <w:shd w:val="clear" w:color="auto" w:fill="auto"/>
            <w:vAlign w:val="bottom"/>
            <w:hideMark/>
          </w:tcPr>
          <w:p w:rsidRPr="00C618BF" w:rsidR="00781BBF" w:rsidP="009B34DB" w:rsidRDefault="00781BBF" w14:paraId="034386E6"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Bill</w:t>
            </w:r>
          </w:p>
        </w:tc>
        <w:tc>
          <w:tcPr>
            <w:tcW w:w="1001" w:type="dxa"/>
            <w:shd w:val="clear" w:color="auto" w:fill="auto"/>
            <w:vAlign w:val="bottom"/>
            <w:hideMark/>
          </w:tcPr>
          <w:p w:rsidRPr="00C618BF" w:rsidR="00781BBF" w:rsidP="009B34DB" w:rsidRDefault="00781BBF" w14:paraId="509ADDFA"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Service Charge</w:t>
            </w:r>
          </w:p>
        </w:tc>
        <w:tc>
          <w:tcPr>
            <w:tcW w:w="883" w:type="dxa"/>
            <w:shd w:val="clear" w:color="auto" w:fill="auto"/>
            <w:vAlign w:val="bottom"/>
            <w:hideMark/>
          </w:tcPr>
          <w:p w:rsidRPr="00C618BF" w:rsidR="00781BBF" w:rsidP="009B34DB" w:rsidRDefault="00781BBF" w14:paraId="6042910B"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Tier 1</w:t>
            </w:r>
          </w:p>
        </w:tc>
        <w:tc>
          <w:tcPr>
            <w:tcW w:w="1001" w:type="dxa"/>
            <w:shd w:val="clear" w:color="auto" w:fill="auto"/>
            <w:vAlign w:val="bottom"/>
            <w:hideMark/>
          </w:tcPr>
          <w:p w:rsidRPr="00C618BF" w:rsidR="00781BBF" w:rsidP="009B34DB" w:rsidRDefault="00781BBF" w14:paraId="74C33FF0"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Tier 2</w:t>
            </w:r>
          </w:p>
        </w:tc>
        <w:tc>
          <w:tcPr>
            <w:tcW w:w="1001" w:type="dxa"/>
            <w:shd w:val="clear" w:color="auto" w:fill="auto"/>
            <w:vAlign w:val="bottom"/>
            <w:hideMark/>
          </w:tcPr>
          <w:p w:rsidRPr="00C618BF" w:rsidR="00781BBF" w:rsidP="009B34DB" w:rsidRDefault="00781BBF" w14:paraId="0178DE71" w14:textId="77777777">
            <w:pPr>
              <w:spacing w:line="240" w:lineRule="auto"/>
              <w:ind w:firstLine="0"/>
              <w:rPr>
                <w:rFonts w:ascii="Calibri" w:hAnsi="Calibri" w:eastAsia="Times New Roman" w:cs="Calibri"/>
                <w:b/>
                <w:bCs/>
                <w:color w:val="000000"/>
                <w:sz w:val="22"/>
              </w:rPr>
            </w:pPr>
          </w:p>
        </w:tc>
        <w:tc>
          <w:tcPr>
            <w:tcW w:w="952" w:type="dxa"/>
            <w:shd w:val="clear" w:color="auto" w:fill="auto"/>
            <w:vAlign w:val="bottom"/>
            <w:hideMark/>
          </w:tcPr>
          <w:p w:rsidRPr="00C618BF" w:rsidR="00781BBF" w:rsidP="009B34DB" w:rsidRDefault="00781BBF" w14:paraId="14FA3918"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Bill Change</w:t>
            </w:r>
            <w:r w:rsidRPr="00C618BF">
              <w:rPr>
                <w:rFonts w:ascii="Calibri" w:hAnsi="Calibri" w:eastAsia="Times New Roman" w:cs="Calibri"/>
                <w:b/>
                <w:bCs/>
                <w:color w:val="000000"/>
                <w:sz w:val="22"/>
              </w:rPr>
              <w:t xml:space="preserve"> </w:t>
            </w:r>
          </w:p>
        </w:tc>
        <w:tc>
          <w:tcPr>
            <w:tcW w:w="920" w:type="dxa"/>
            <w:shd w:val="clear" w:color="auto" w:fill="auto"/>
            <w:vAlign w:val="bottom"/>
            <w:hideMark/>
          </w:tcPr>
          <w:p w:rsidRPr="00C618BF" w:rsidR="00781BBF" w:rsidP="009B34DB" w:rsidRDefault="00781BBF" w14:paraId="5E6D0F5B"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Percent</w:t>
            </w:r>
          </w:p>
        </w:tc>
        <w:tc>
          <w:tcPr>
            <w:tcW w:w="810" w:type="dxa"/>
            <w:shd w:val="clear" w:color="auto" w:fill="auto"/>
            <w:vAlign w:val="bottom"/>
            <w:hideMark/>
          </w:tcPr>
          <w:p w:rsidRPr="00C618BF" w:rsidR="00781BBF" w:rsidP="009B34DB" w:rsidRDefault="00781BBF" w14:paraId="18F2FFE6"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p>
        </w:tc>
      </w:tr>
      <w:tr w:rsidRPr="00C618BF" w:rsidR="00781BBF" w:rsidTr="009B34DB" w14:paraId="6F48909C" w14:textId="77777777">
        <w:trPr>
          <w:trHeight w:val="570"/>
        </w:trPr>
        <w:tc>
          <w:tcPr>
            <w:tcW w:w="1734" w:type="dxa"/>
            <w:shd w:val="clear" w:color="auto" w:fill="auto"/>
            <w:vAlign w:val="bottom"/>
            <w:hideMark/>
          </w:tcPr>
          <w:p w:rsidRPr="00C618BF" w:rsidR="00781BBF" w:rsidP="009B34DB" w:rsidRDefault="00781BBF" w14:paraId="3A04760D"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Liberty </w:t>
            </w:r>
            <w:r>
              <w:rPr>
                <w:rFonts w:ascii="Calibri" w:hAnsi="Calibri" w:eastAsia="Times New Roman" w:cs="Calibri"/>
                <w:b/>
                <w:bCs/>
                <w:color w:val="000000"/>
                <w:sz w:val="22"/>
              </w:rPr>
              <w:t xml:space="preserve">Park Interim (tier breakpoint at 9 </w:t>
            </w:r>
            <w:proofErr w:type="spellStart"/>
            <w:r>
              <w:rPr>
                <w:rFonts w:ascii="Calibri" w:hAnsi="Calibri" w:eastAsia="Times New Roman" w:cs="Calibri"/>
                <w:b/>
                <w:bCs/>
                <w:color w:val="000000"/>
                <w:sz w:val="22"/>
              </w:rPr>
              <w:t>ccf</w:t>
            </w:r>
            <w:proofErr w:type="spellEnd"/>
            <w:r>
              <w:rPr>
                <w:rFonts w:ascii="Calibri" w:hAnsi="Calibri" w:eastAsia="Times New Roman" w:cs="Calibri"/>
                <w:b/>
                <w:bCs/>
                <w:color w:val="000000"/>
                <w:sz w:val="22"/>
              </w:rPr>
              <w:t>)</w:t>
            </w:r>
          </w:p>
        </w:tc>
        <w:tc>
          <w:tcPr>
            <w:tcW w:w="957" w:type="dxa"/>
            <w:shd w:val="clear" w:color="auto" w:fill="auto"/>
            <w:vAlign w:val="bottom"/>
            <w:hideMark/>
          </w:tcPr>
          <w:p w:rsidRPr="00C618BF" w:rsidR="00781BBF" w:rsidP="009B34DB" w:rsidRDefault="00781BBF" w14:paraId="5831B354"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8.8</w:t>
            </w:r>
          </w:p>
        </w:tc>
        <w:tc>
          <w:tcPr>
            <w:tcW w:w="1001" w:type="dxa"/>
            <w:shd w:val="clear" w:color="auto" w:fill="auto"/>
            <w:vAlign w:val="bottom"/>
            <w:hideMark/>
          </w:tcPr>
          <w:p w:rsidRPr="00C618BF" w:rsidR="00781BBF" w:rsidP="009B34DB" w:rsidRDefault="00781BBF" w14:paraId="05B978DB"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$75.45</w:t>
            </w:r>
          </w:p>
        </w:tc>
        <w:tc>
          <w:tcPr>
            <w:tcW w:w="1001" w:type="dxa"/>
            <w:shd w:val="clear" w:color="auto" w:fill="auto"/>
            <w:vAlign w:val="bottom"/>
            <w:hideMark/>
          </w:tcPr>
          <w:p w:rsidRPr="00C618BF" w:rsidR="00781BBF" w:rsidP="009B34DB" w:rsidRDefault="00781BBF" w14:paraId="375E2D25"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22.</w:t>
            </w:r>
            <w:r>
              <w:rPr>
                <w:rFonts w:ascii="Calibri" w:hAnsi="Calibri" w:eastAsia="Times New Roman" w:cs="Calibri"/>
                <w:b/>
                <w:bCs/>
                <w:color w:val="000000"/>
                <w:sz w:val="22"/>
              </w:rPr>
              <w:t>00</w:t>
            </w:r>
          </w:p>
        </w:tc>
        <w:tc>
          <w:tcPr>
            <w:tcW w:w="883" w:type="dxa"/>
            <w:shd w:val="clear" w:color="auto" w:fill="auto"/>
            <w:vAlign w:val="bottom"/>
            <w:hideMark/>
          </w:tcPr>
          <w:p w:rsidRPr="00C618BF" w:rsidR="00781BBF" w:rsidP="009B34DB" w:rsidRDefault="00781BBF" w14:paraId="32F6B823"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$5.459</w:t>
            </w:r>
          </w:p>
        </w:tc>
        <w:tc>
          <w:tcPr>
            <w:tcW w:w="1001" w:type="dxa"/>
            <w:shd w:val="clear" w:color="auto" w:fill="auto"/>
            <w:vAlign w:val="bottom"/>
            <w:hideMark/>
          </w:tcPr>
          <w:p w:rsidRPr="00C618BF" w:rsidR="00781BBF" w:rsidP="009B34DB" w:rsidRDefault="00781BBF" w14:paraId="3E02EC6F"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$6.277</w:t>
            </w:r>
          </w:p>
        </w:tc>
        <w:tc>
          <w:tcPr>
            <w:tcW w:w="1001" w:type="dxa"/>
            <w:shd w:val="clear" w:color="auto" w:fill="auto"/>
            <w:vAlign w:val="bottom"/>
            <w:hideMark/>
          </w:tcPr>
          <w:p w:rsidRPr="00C618BF" w:rsidR="00781BBF" w:rsidP="009B34DB" w:rsidRDefault="00781BBF" w14:paraId="11353060" w14:textId="77777777">
            <w:pPr>
              <w:spacing w:line="240" w:lineRule="auto"/>
              <w:ind w:firstLine="0"/>
              <w:rPr>
                <w:rFonts w:ascii="Calibri" w:hAnsi="Calibri" w:eastAsia="Times New Roman" w:cs="Calibri"/>
                <w:b/>
                <w:bCs/>
                <w:color w:val="000000"/>
                <w:sz w:val="22"/>
              </w:rPr>
            </w:pPr>
          </w:p>
        </w:tc>
        <w:tc>
          <w:tcPr>
            <w:tcW w:w="952" w:type="dxa"/>
            <w:shd w:val="clear" w:color="auto" w:fill="auto"/>
            <w:vAlign w:val="bottom"/>
            <w:hideMark/>
          </w:tcPr>
          <w:p w:rsidRPr="00C618BF" w:rsidR="00781BBF" w:rsidP="009B34DB" w:rsidRDefault="00781BBF" w14:paraId="408D8261"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w:t>
            </w:r>
          </w:p>
        </w:tc>
        <w:tc>
          <w:tcPr>
            <w:tcW w:w="920" w:type="dxa"/>
            <w:shd w:val="clear" w:color="auto" w:fill="auto"/>
            <w:vAlign w:val="bottom"/>
            <w:hideMark/>
          </w:tcPr>
          <w:p w:rsidRPr="00C618BF" w:rsidR="00781BBF" w:rsidP="009B34DB" w:rsidRDefault="00781BBF" w14:paraId="0FCFA33A" w14:textId="77777777">
            <w:pPr>
              <w:spacing w:line="240" w:lineRule="auto"/>
              <w:ind w:firstLine="0"/>
              <w:rPr>
                <w:rFonts w:ascii="Calibri" w:hAnsi="Calibri" w:eastAsia="Times New Roman" w:cs="Calibri"/>
                <w:b/>
                <w:bCs/>
                <w:color w:val="000000"/>
                <w:sz w:val="22"/>
              </w:rPr>
            </w:pPr>
          </w:p>
        </w:tc>
        <w:tc>
          <w:tcPr>
            <w:tcW w:w="810" w:type="dxa"/>
            <w:shd w:val="clear" w:color="auto" w:fill="auto"/>
            <w:vAlign w:val="bottom"/>
            <w:hideMark/>
          </w:tcPr>
          <w:p w:rsidRPr="00C618BF" w:rsidR="00781BBF" w:rsidP="009B34DB" w:rsidRDefault="00781BBF" w14:paraId="2BB58F56"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2019</w:t>
            </w:r>
          </w:p>
        </w:tc>
      </w:tr>
      <w:tr w:rsidRPr="00C618BF" w:rsidR="00781BBF" w:rsidTr="009B34DB" w14:paraId="7B268386" w14:textId="77777777">
        <w:trPr>
          <w:trHeight w:val="570"/>
        </w:trPr>
        <w:tc>
          <w:tcPr>
            <w:tcW w:w="1734" w:type="dxa"/>
            <w:shd w:val="clear" w:color="auto" w:fill="auto"/>
            <w:vAlign w:val="bottom"/>
            <w:hideMark/>
          </w:tcPr>
          <w:p w:rsidRPr="00C618BF" w:rsidR="00781BBF" w:rsidP="009B34DB" w:rsidRDefault="00781BBF" w14:paraId="4DE09D9E"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 xml:space="preserve">Liberty Park Approved (tier breakpoint at 8 </w:t>
            </w:r>
            <w:proofErr w:type="spellStart"/>
            <w:r>
              <w:rPr>
                <w:rFonts w:ascii="Calibri" w:hAnsi="Calibri" w:eastAsia="Times New Roman" w:cs="Calibri"/>
                <w:b/>
                <w:bCs/>
                <w:color w:val="000000"/>
                <w:sz w:val="22"/>
              </w:rPr>
              <w:t>ccf</w:t>
            </w:r>
            <w:proofErr w:type="spellEnd"/>
            <w:r>
              <w:rPr>
                <w:rFonts w:ascii="Calibri" w:hAnsi="Calibri" w:eastAsia="Times New Roman" w:cs="Calibri"/>
                <w:b/>
                <w:bCs/>
                <w:color w:val="000000"/>
                <w:sz w:val="22"/>
              </w:rPr>
              <w:t>)</w:t>
            </w:r>
          </w:p>
        </w:tc>
        <w:tc>
          <w:tcPr>
            <w:tcW w:w="957" w:type="dxa"/>
            <w:shd w:val="clear" w:color="auto" w:fill="auto"/>
            <w:vAlign w:val="bottom"/>
            <w:hideMark/>
          </w:tcPr>
          <w:p w:rsidRPr="00C618BF" w:rsidR="00781BBF" w:rsidP="009B34DB" w:rsidRDefault="00781BBF" w14:paraId="3D0B946F"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8.8</w:t>
            </w:r>
          </w:p>
        </w:tc>
        <w:tc>
          <w:tcPr>
            <w:tcW w:w="1001" w:type="dxa"/>
            <w:shd w:val="clear" w:color="auto" w:fill="auto"/>
            <w:vAlign w:val="bottom"/>
            <w:hideMark/>
          </w:tcPr>
          <w:p w:rsidRPr="00C618BF" w:rsidR="00781BBF" w:rsidP="009B34DB" w:rsidRDefault="00781BBF" w14:paraId="004A3E98"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$75.74</w:t>
            </w:r>
          </w:p>
        </w:tc>
        <w:tc>
          <w:tcPr>
            <w:tcW w:w="1001" w:type="dxa"/>
            <w:shd w:val="clear" w:color="auto" w:fill="auto"/>
            <w:vAlign w:val="bottom"/>
            <w:hideMark/>
          </w:tcPr>
          <w:p w:rsidRPr="00C618BF" w:rsidR="00781BBF" w:rsidP="009B34DB" w:rsidRDefault="00781BBF" w14:paraId="3B4FFFA5"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19.58</w:t>
            </w:r>
          </w:p>
        </w:tc>
        <w:tc>
          <w:tcPr>
            <w:tcW w:w="883" w:type="dxa"/>
            <w:shd w:val="clear" w:color="auto" w:fill="auto"/>
            <w:vAlign w:val="bottom"/>
            <w:hideMark/>
          </w:tcPr>
          <w:p w:rsidRPr="00C618BF" w:rsidR="00781BBF" w:rsidP="009B34DB" w:rsidRDefault="00781BBF" w14:paraId="070F4027"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$5.735</w:t>
            </w:r>
          </w:p>
        </w:tc>
        <w:tc>
          <w:tcPr>
            <w:tcW w:w="1001" w:type="dxa"/>
            <w:shd w:val="clear" w:color="auto" w:fill="auto"/>
            <w:vAlign w:val="bottom"/>
            <w:hideMark/>
          </w:tcPr>
          <w:p w:rsidRPr="00C618BF" w:rsidR="00781BBF" w:rsidP="009B34DB" w:rsidRDefault="00781BBF" w14:paraId="6F1CC68C"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$6.595</w:t>
            </w:r>
          </w:p>
        </w:tc>
        <w:tc>
          <w:tcPr>
            <w:tcW w:w="1001" w:type="dxa"/>
            <w:shd w:val="clear" w:color="auto" w:fill="auto"/>
            <w:vAlign w:val="bottom"/>
            <w:hideMark/>
          </w:tcPr>
          <w:p w:rsidRPr="00C618BF" w:rsidR="00781BBF" w:rsidP="009B34DB" w:rsidRDefault="00781BBF" w14:paraId="3DF9D368" w14:textId="77777777">
            <w:pPr>
              <w:spacing w:line="240" w:lineRule="auto"/>
              <w:ind w:firstLine="0"/>
              <w:rPr>
                <w:rFonts w:ascii="Calibri" w:hAnsi="Calibri" w:eastAsia="Times New Roman" w:cs="Calibri"/>
                <w:b/>
                <w:bCs/>
                <w:color w:val="000000"/>
                <w:sz w:val="22"/>
              </w:rPr>
            </w:pPr>
          </w:p>
        </w:tc>
        <w:tc>
          <w:tcPr>
            <w:tcW w:w="952" w:type="dxa"/>
            <w:shd w:val="clear" w:color="auto" w:fill="auto"/>
            <w:vAlign w:val="bottom"/>
            <w:hideMark/>
          </w:tcPr>
          <w:p w:rsidRPr="00C618BF" w:rsidR="00781BBF" w:rsidP="009B34DB" w:rsidRDefault="00781BBF" w14:paraId="34302203"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w:t>
            </w:r>
          </w:p>
        </w:tc>
        <w:tc>
          <w:tcPr>
            <w:tcW w:w="920" w:type="dxa"/>
            <w:shd w:val="clear" w:color="auto" w:fill="auto"/>
            <w:vAlign w:val="bottom"/>
            <w:hideMark/>
          </w:tcPr>
          <w:p w:rsidRPr="00C618BF" w:rsidR="00781BBF" w:rsidP="009B34DB" w:rsidRDefault="00781BBF" w14:paraId="35958FC7"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0.3%</w:t>
            </w:r>
          </w:p>
        </w:tc>
        <w:tc>
          <w:tcPr>
            <w:tcW w:w="810" w:type="dxa"/>
            <w:shd w:val="clear" w:color="auto" w:fill="auto"/>
            <w:vAlign w:val="bottom"/>
          </w:tcPr>
          <w:p w:rsidRPr="00C618BF" w:rsidR="00781BBF" w:rsidP="009B34DB" w:rsidRDefault="00781BBF" w14:paraId="45B99218"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2019</w:t>
            </w:r>
          </w:p>
        </w:tc>
      </w:tr>
      <w:tr w:rsidRPr="00C618BF" w:rsidR="00781BBF" w:rsidTr="009B34DB" w14:paraId="3BE8EF5F" w14:textId="77777777">
        <w:trPr>
          <w:trHeight w:val="570"/>
        </w:trPr>
        <w:tc>
          <w:tcPr>
            <w:tcW w:w="1734" w:type="dxa"/>
            <w:shd w:val="clear" w:color="auto" w:fill="auto"/>
            <w:vAlign w:val="bottom"/>
            <w:hideMark/>
          </w:tcPr>
          <w:p w:rsidRPr="00C618BF" w:rsidR="00781BBF" w:rsidP="009B34DB" w:rsidRDefault="00781BBF" w14:paraId="0F909F99"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 xml:space="preserve">Liberty Park Approved (tier breakpoint at 8 </w:t>
            </w:r>
            <w:proofErr w:type="spellStart"/>
            <w:r>
              <w:rPr>
                <w:rFonts w:ascii="Calibri" w:hAnsi="Calibri" w:eastAsia="Times New Roman" w:cs="Calibri"/>
                <w:b/>
                <w:bCs/>
                <w:color w:val="000000"/>
                <w:sz w:val="22"/>
              </w:rPr>
              <w:t>ccf</w:t>
            </w:r>
            <w:proofErr w:type="spellEnd"/>
            <w:r>
              <w:rPr>
                <w:rFonts w:ascii="Calibri" w:hAnsi="Calibri" w:eastAsia="Times New Roman" w:cs="Calibri"/>
                <w:b/>
                <w:bCs/>
                <w:color w:val="000000"/>
                <w:sz w:val="22"/>
              </w:rPr>
              <w:t>)</w:t>
            </w:r>
          </w:p>
        </w:tc>
        <w:tc>
          <w:tcPr>
            <w:tcW w:w="957" w:type="dxa"/>
            <w:shd w:val="clear" w:color="auto" w:fill="auto"/>
            <w:vAlign w:val="bottom"/>
            <w:hideMark/>
          </w:tcPr>
          <w:p w:rsidRPr="00C618BF" w:rsidR="00781BBF" w:rsidP="009B34DB" w:rsidRDefault="00781BBF" w14:paraId="3A47640F"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8.8</w:t>
            </w:r>
          </w:p>
        </w:tc>
        <w:tc>
          <w:tcPr>
            <w:tcW w:w="1001" w:type="dxa"/>
            <w:shd w:val="clear" w:color="auto" w:fill="auto"/>
            <w:vAlign w:val="bottom"/>
            <w:hideMark/>
          </w:tcPr>
          <w:p w:rsidRPr="00C618BF" w:rsidR="00781BBF" w:rsidP="009B34DB" w:rsidRDefault="00781BBF" w14:paraId="5FD6651F"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$78.62</w:t>
            </w:r>
          </w:p>
        </w:tc>
        <w:tc>
          <w:tcPr>
            <w:tcW w:w="1001" w:type="dxa"/>
            <w:shd w:val="clear" w:color="auto" w:fill="auto"/>
            <w:vAlign w:val="bottom"/>
            <w:hideMark/>
          </w:tcPr>
          <w:p w:rsidRPr="00C618BF" w:rsidR="00781BBF" w:rsidP="009B34DB" w:rsidRDefault="00781BBF" w14:paraId="3EF22FA7"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20.35</w:t>
            </w:r>
          </w:p>
        </w:tc>
        <w:tc>
          <w:tcPr>
            <w:tcW w:w="883" w:type="dxa"/>
            <w:shd w:val="clear" w:color="auto" w:fill="auto"/>
            <w:vAlign w:val="bottom"/>
            <w:hideMark/>
          </w:tcPr>
          <w:p w:rsidRPr="00C618BF" w:rsidR="00781BBF" w:rsidP="009B34DB" w:rsidRDefault="00781BBF" w14:paraId="6C1AE7E4"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$5.951</w:t>
            </w:r>
          </w:p>
        </w:tc>
        <w:tc>
          <w:tcPr>
            <w:tcW w:w="1001" w:type="dxa"/>
            <w:shd w:val="clear" w:color="auto" w:fill="auto"/>
            <w:vAlign w:val="bottom"/>
            <w:hideMark/>
          </w:tcPr>
          <w:p w:rsidRPr="00C618BF" w:rsidR="00781BBF" w:rsidP="009B34DB" w:rsidRDefault="00781BBF" w14:paraId="5F3F07F1"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$6.844</w:t>
            </w:r>
          </w:p>
        </w:tc>
        <w:tc>
          <w:tcPr>
            <w:tcW w:w="1001" w:type="dxa"/>
            <w:shd w:val="clear" w:color="auto" w:fill="auto"/>
            <w:vAlign w:val="bottom"/>
            <w:hideMark/>
          </w:tcPr>
          <w:p w:rsidRPr="00C618BF" w:rsidR="00781BBF" w:rsidP="009B34DB" w:rsidRDefault="00781BBF" w14:paraId="10209AF8" w14:textId="77777777">
            <w:pPr>
              <w:spacing w:line="240" w:lineRule="auto"/>
              <w:ind w:firstLine="0"/>
              <w:rPr>
                <w:rFonts w:ascii="Calibri" w:hAnsi="Calibri" w:eastAsia="Times New Roman" w:cs="Calibri"/>
                <w:b/>
                <w:bCs/>
                <w:color w:val="000000"/>
                <w:sz w:val="22"/>
              </w:rPr>
            </w:pPr>
          </w:p>
        </w:tc>
        <w:tc>
          <w:tcPr>
            <w:tcW w:w="952" w:type="dxa"/>
            <w:shd w:val="clear" w:color="auto" w:fill="auto"/>
            <w:vAlign w:val="bottom"/>
            <w:hideMark/>
          </w:tcPr>
          <w:p w:rsidRPr="00C618BF" w:rsidR="00781BBF" w:rsidP="009B34DB" w:rsidRDefault="00781BBF" w14:paraId="4DE5DD95"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w:t>
            </w:r>
          </w:p>
        </w:tc>
        <w:tc>
          <w:tcPr>
            <w:tcW w:w="920" w:type="dxa"/>
            <w:shd w:val="clear" w:color="auto" w:fill="auto"/>
            <w:vAlign w:val="bottom"/>
            <w:hideMark/>
          </w:tcPr>
          <w:p w:rsidRPr="00C618BF" w:rsidR="00781BBF" w:rsidP="009B34DB" w:rsidRDefault="00781BBF" w14:paraId="06726D88"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3.80</w:t>
            </w:r>
            <w:r w:rsidRPr="00C618BF">
              <w:rPr>
                <w:rFonts w:ascii="Calibri" w:hAnsi="Calibri" w:eastAsia="Times New Roman" w:cs="Calibri"/>
                <w:b/>
                <w:bCs/>
                <w:color w:val="000000"/>
                <w:sz w:val="22"/>
              </w:rPr>
              <w:t>%</w:t>
            </w:r>
          </w:p>
        </w:tc>
        <w:tc>
          <w:tcPr>
            <w:tcW w:w="810" w:type="dxa"/>
            <w:shd w:val="clear" w:color="auto" w:fill="auto"/>
            <w:vAlign w:val="bottom"/>
          </w:tcPr>
          <w:p w:rsidRPr="00C618BF" w:rsidR="00781BBF" w:rsidP="009B34DB" w:rsidRDefault="00781BBF" w14:paraId="6EE0AA0F"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2020</w:t>
            </w:r>
          </w:p>
        </w:tc>
      </w:tr>
      <w:tr w:rsidRPr="00C618BF" w:rsidR="00781BBF" w:rsidTr="009B34DB" w14:paraId="6809A8AC" w14:textId="77777777">
        <w:trPr>
          <w:trHeight w:val="570"/>
        </w:trPr>
        <w:tc>
          <w:tcPr>
            <w:tcW w:w="1734" w:type="dxa"/>
            <w:shd w:val="clear" w:color="auto" w:fill="auto"/>
            <w:vAlign w:val="bottom"/>
            <w:hideMark/>
          </w:tcPr>
          <w:p w:rsidRPr="00C618BF" w:rsidR="00781BBF" w:rsidP="009B34DB" w:rsidRDefault="00781BBF" w14:paraId="7233D4F8"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w:t>
            </w:r>
            <w:r>
              <w:rPr>
                <w:rFonts w:ascii="Calibri" w:hAnsi="Calibri" w:eastAsia="Times New Roman" w:cs="Calibri"/>
                <w:b/>
                <w:bCs/>
                <w:color w:val="000000"/>
                <w:sz w:val="22"/>
              </w:rPr>
              <w:t xml:space="preserve">Liberty Park Approved (tier breakpoint at 8 </w:t>
            </w:r>
            <w:proofErr w:type="spellStart"/>
            <w:r>
              <w:rPr>
                <w:rFonts w:ascii="Calibri" w:hAnsi="Calibri" w:eastAsia="Times New Roman" w:cs="Calibri"/>
                <w:b/>
                <w:bCs/>
                <w:color w:val="000000"/>
                <w:sz w:val="22"/>
              </w:rPr>
              <w:t>ccf</w:t>
            </w:r>
            <w:proofErr w:type="spellEnd"/>
            <w:r>
              <w:rPr>
                <w:rFonts w:ascii="Calibri" w:hAnsi="Calibri" w:eastAsia="Times New Roman" w:cs="Calibri"/>
                <w:b/>
                <w:bCs/>
                <w:color w:val="000000"/>
                <w:sz w:val="22"/>
              </w:rPr>
              <w:t>)</w:t>
            </w:r>
          </w:p>
        </w:tc>
        <w:tc>
          <w:tcPr>
            <w:tcW w:w="957" w:type="dxa"/>
            <w:shd w:val="clear" w:color="auto" w:fill="auto"/>
            <w:vAlign w:val="bottom"/>
            <w:hideMark/>
          </w:tcPr>
          <w:p w:rsidRPr="00C618BF" w:rsidR="00781BBF" w:rsidP="009B34DB" w:rsidRDefault="00781BBF" w14:paraId="497E168B"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8.8</w:t>
            </w:r>
          </w:p>
        </w:tc>
        <w:tc>
          <w:tcPr>
            <w:tcW w:w="1001" w:type="dxa"/>
            <w:shd w:val="clear" w:color="auto" w:fill="auto"/>
            <w:vAlign w:val="bottom"/>
            <w:hideMark/>
          </w:tcPr>
          <w:p w:rsidRPr="00C618BF" w:rsidR="00781BBF" w:rsidP="009B34DB" w:rsidRDefault="00781BBF" w14:paraId="0533B46E"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$80.94</w:t>
            </w:r>
            <w:r w:rsidRPr="00C618BF">
              <w:rPr>
                <w:rFonts w:ascii="Calibri" w:hAnsi="Calibri" w:eastAsia="Times New Roman" w:cs="Calibri"/>
                <w:b/>
                <w:bCs/>
                <w:color w:val="000000"/>
                <w:sz w:val="22"/>
              </w:rPr>
              <w:t xml:space="preserve"> </w:t>
            </w:r>
          </w:p>
        </w:tc>
        <w:tc>
          <w:tcPr>
            <w:tcW w:w="1001" w:type="dxa"/>
            <w:shd w:val="clear" w:color="auto" w:fill="auto"/>
            <w:vAlign w:val="bottom"/>
            <w:hideMark/>
          </w:tcPr>
          <w:p w:rsidRPr="00C618BF" w:rsidR="00781BBF" w:rsidP="009B34DB" w:rsidRDefault="00781BBF" w14:paraId="2B9DA2F3"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21.00</w:t>
            </w:r>
            <w:r w:rsidRPr="00C618BF">
              <w:rPr>
                <w:rFonts w:ascii="Calibri" w:hAnsi="Calibri" w:eastAsia="Times New Roman" w:cs="Calibri"/>
                <w:b/>
                <w:bCs/>
                <w:color w:val="000000"/>
                <w:sz w:val="22"/>
              </w:rPr>
              <w:t xml:space="preserve"> </w:t>
            </w:r>
          </w:p>
        </w:tc>
        <w:tc>
          <w:tcPr>
            <w:tcW w:w="883" w:type="dxa"/>
            <w:shd w:val="clear" w:color="auto" w:fill="auto"/>
            <w:vAlign w:val="bottom"/>
            <w:hideMark/>
          </w:tcPr>
          <w:p w:rsidRPr="00C618BF" w:rsidR="00781BBF" w:rsidP="009B34DB" w:rsidRDefault="00781BBF" w14:paraId="59810696"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$6.122</w:t>
            </w:r>
          </w:p>
        </w:tc>
        <w:tc>
          <w:tcPr>
            <w:tcW w:w="1001" w:type="dxa"/>
            <w:shd w:val="clear" w:color="auto" w:fill="auto"/>
            <w:vAlign w:val="bottom"/>
            <w:hideMark/>
          </w:tcPr>
          <w:p w:rsidRPr="00C618BF" w:rsidR="00781BBF" w:rsidP="009B34DB" w:rsidRDefault="00781BBF" w14:paraId="45E69F2E"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w:t>
            </w:r>
            <w:r>
              <w:rPr>
                <w:rFonts w:ascii="Calibri" w:hAnsi="Calibri" w:eastAsia="Times New Roman" w:cs="Calibri"/>
                <w:b/>
                <w:bCs/>
                <w:color w:val="000000"/>
                <w:sz w:val="22"/>
              </w:rPr>
              <w:t>7.040</w:t>
            </w:r>
            <w:r w:rsidRPr="00C618BF">
              <w:rPr>
                <w:rFonts w:ascii="Calibri" w:hAnsi="Calibri" w:eastAsia="Times New Roman" w:cs="Calibri"/>
                <w:b/>
                <w:bCs/>
                <w:color w:val="000000"/>
                <w:sz w:val="22"/>
              </w:rPr>
              <w:t xml:space="preserve"> </w:t>
            </w:r>
          </w:p>
        </w:tc>
        <w:tc>
          <w:tcPr>
            <w:tcW w:w="1001" w:type="dxa"/>
            <w:shd w:val="clear" w:color="auto" w:fill="auto"/>
            <w:vAlign w:val="bottom"/>
            <w:hideMark/>
          </w:tcPr>
          <w:p w:rsidRPr="00C618BF" w:rsidR="00781BBF" w:rsidP="009B34DB" w:rsidRDefault="00781BBF" w14:paraId="3B7576C3"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w:t>
            </w:r>
          </w:p>
        </w:tc>
        <w:tc>
          <w:tcPr>
            <w:tcW w:w="952" w:type="dxa"/>
            <w:shd w:val="clear" w:color="auto" w:fill="auto"/>
            <w:vAlign w:val="bottom"/>
            <w:hideMark/>
          </w:tcPr>
          <w:p w:rsidRPr="00C618BF" w:rsidR="00781BBF" w:rsidP="009B34DB" w:rsidRDefault="00781BBF" w14:paraId="2459E285"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 xml:space="preserve"> </w:t>
            </w:r>
          </w:p>
        </w:tc>
        <w:tc>
          <w:tcPr>
            <w:tcW w:w="920" w:type="dxa"/>
            <w:shd w:val="clear" w:color="auto" w:fill="auto"/>
            <w:vAlign w:val="bottom"/>
            <w:hideMark/>
          </w:tcPr>
          <w:p w:rsidRPr="00C618BF" w:rsidR="00781BBF" w:rsidP="009B34DB" w:rsidRDefault="00781BBF" w14:paraId="2753CD54" w14:textId="77777777">
            <w:pPr>
              <w:spacing w:line="240" w:lineRule="auto"/>
              <w:ind w:firstLine="0"/>
              <w:rPr>
                <w:rFonts w:ascii="Calibri" w:hAnsi="Calibri" w:eastAsia="Times New Roman" w:cs="Calibri"/>
                <w:b/>
                <w:bCs/>
                <w:color w:val="000000"/>
                <w:sz w:val="22"/>
              </w:rPr>
            </w:pPr>
            <w:r>
              <w:rPr>
                <w:rFonts w:ascii="Calibri" w:hAnsi="Calibri" w:eastAsia="Times New Roman" w:cs="Calibri"/>
                <w:b/>
                <w:bCs/>
                <w:color w:val="000000"/>
                <w:sz w:val="22"/>
              </w:rPr>
              <w:t>2.96</w:t>
            </w:r>
            <w:r w:rsidRPr="00C618BF">
              <w:rPr>
                <w:rFonts w:ascii="Calibri" w:hAnsi="Calibri" w:eastAsia="Times New Roman" w:cs="Calibri"/>
                <w:b/>
                <w:bCs/>
                <w:color w:val="000000"/>
                <w:sz w:val="22"/>
              </w:rPr>
              <w:t>%</w:t>
            </w:r>
          </w:p>
        </w:tc>
        <w:tc>
          <w:tcPr>
            <w:tcW w:w="810" w:type="dxa"/>
            <w:shd w:val="clear" w:color="auto" w:fill="auto"/>
            <w:vAlign w:val="bottom"/>
            <w:hideMark/>
          </w:tcPr>
          <w:p w:rsidRPr="00C618BF" w:rsidR="00781BBF" w:rsidP="009B34DB" w:rsidRDefault="00781BBF" w14:paraId="54F8CE28" w14:textId="77777777">
            <w:pPr>
              <w:spacing w:line="240" w:lineRule="auto"/>
              <w:ind w:firstLine="0"/>
              <w:rPr>
                <w:rFonts w:ascii="Calibri" w:hAnsi="Calibri" w:eastAsia="Times New Roman" w:cs="Calibri"/>
                <w:b/>
                <w:bCs/>
                <w:color w:val="000000"/>
                <w:sz w:val="22"/>
              </w:rPr>
            </w:pPr>
            <w:r w:rsidRPr="00C618BF">
              <w:rPr>
                <w:rFonts w:ascii="Calibri" w:hAnsi="Calibri" w:eastAsia="Times New Roman" w:cs="Calibri"/>
                <w:b/>
                <w:bCs/>
                <w:color w:val="000000"/>
                <w:sz w:val="22"/>
              </w:rPr>
              <w:t>2021</w:t>
            </w:r>
          </w:p>
        </w:tc>
      </w:tr>
    </w:tbl>
    <w:p w:rsidR="00781BBF" w:rsidRDefault="00781BBF" w14:paraId="12488F4B" w14:textId="77777777">
      <w:pPr>
        <w:spacing w:after="160" w:line="259" w:lineRule="auto"/>
        <w:ind w:firstLine="0"/>
        <w:rPr>
          <w:b/>
          <w:bCs/>
        </w:rPr>
      </w:pPr>
    </w:p>
    <w:p w:rsidR="00D15283" w:rsidP="00D15283" w:rsidRDefault="008E3C8E" w14:paraId="059E186F" w14:textId="3BD8864D">
      <w:pPr>
        <w:spacing w:after="160" w:line="259" w:lineRule="auto"/>
        <w:ind w:firstLine="0"/>
        <w:jc w:val="center"/>
        <w:rPr>
          <w:b/>
          <w:bCs/>
        </w:rPr>
        <w:sectPr w:rsidR="00D15283" w:rsidSect="00C618BF">
          <w:footerReference w:type="default" r:id="rId37"/>
          <w:pgSz w:w="12240" w:h="15840"/>
          <w:pgMar w:top="1728" w:right="1440" w:bottom="1440" w:left="1440" w:header="720" w:footer="720" w:gutter="0"/>
          <w:pgNumType w:fmt="numberInDash" w:start="1"/>
          <w:cols w:space="720"/>
          <w:docGrid w:linePitch="360"/>
        </w:sectPr>
      </w:pPr>
      <w:r>
        <w:rPr>
          <w:b/>
          <w:bCs/>
        </w:rPr>
        <w:t>(END OF APPENDIX G)</w:t>
      </w:r>
    </w:p>
    <w:p w:rsidR="00554B20" w:rsidP="00D15283" w:rsidRDefault="00554B20" w14:paraId="31976B94" w14:textId="4E64F08E">
      <w:pPr>
        <w:spacing w:after="160" w:line="259" w:lineRule="auto"/>
        <w:ind w:firstLine="0"/>
        <w:jc w:val="center"/>
        <w:rPr>
          <w:b/>
          <w:bCs/>
        </w:rPr>
      </w:pPr>
    </w:p>
    <w:p w:rsidR="00D15283" w:rsidP="00D15283" w:rsidRDefault="00D15283" w14:paraId="116D534D" w14:textId="2A21710A">
      <w:pPr>
        <w:spacing w:after="160" w:line="259" w:lineRule="auto"/>
        <w:ind w:firstLine="0"/>
        <w:jc w:val="center"/>
        <w:rPr>
          <w:b/>
          <w:bCs/>
        </w:rPr>
      </w:pPr>
    </w:p>
    <w:p w:rsidR="00D15283" w:rsidP="00D15283" w:rsidRDefault="00D15283" w14:paraId="5FFA4BB9" w14:textId="2037CFCD">
      <w:pPr>
        <w:spacing w:after="160" w:line="259" w:lineRule="auto"/>
        <w:ind w:firstLine="0"/>
        <w:jc w:val="center"/>
        <w:rPr>
          <w:b/>
          <w:bCs/>
        </w:rPr>
      </w:pPr>
    </w:p>
    <w:p w:rsidR="00D15283" w:rsidP="00D15283" w:rsidRDefault="00D15283" w14:paraId="182BABEA" w14:textId="5E6EEB93">
      <w:pPr>
        <w:spacing w:after="160" w:line="259" w:lineRule="auto"/>
        <w:ind w:firstLine="0"/>
        <w:jc w:val="center"/>
        <w:rPr>
          <w:b/>
          <w:bCs/>
        </w:rPr>
      </w:pPr>
    </w:p>
    <w:p w:rsidR="00D15283" w:rsidP="00D15283" w:rsidRDefault="00D15283" w14:paraId="60504FC0" w14:textId="0410616E">
      <w:pPr>
        <w:spacing w:after="160" w:line="259" w:lineRule="auto"/>
        <w:ind w:firstLine="0"/>
        <w:jc w:val="center"/>
        <w:rPr>
          <w:b/>
          <w:bCs/>
        </w:rPr>
      </w:pPr>
    </w:p>
    <w:p w:rsidR="00D15283" w:rsidP="00D15283" w:rsidRDefault="00D15283" w14:paraId="037662ED" w14:textId="77777777">
      <w:pPr>
        <w:spacing w:after="160" w:line="259" w:lineRule="auto"/>
        <w:ind w:firstLine="0"/>
        <w:jc w:val="center"/>
        <w:rPr>
          <w:b/>
          <w:bCs/>
        </w:rPr>
      </w:pPr>
    </w:p>
    <w:p w:rsidR="00554B20" w:rsidP="00554B20" w:rsidRDefault="00554B20" w14:paraId="07E1F68A" w14:textId="19C727F2">
      <w:pPr>
        <w:pStyle w:val="Main"/>
        <w:rPr>
          <w:rFonts w:ascii="Book Antiqua" w:hAnsi="Book Antiqua"/>
          <w:sz w:val="50"/>
          <w:szCs w:val="50"/>
        </w:rPr>
      </w:pPr>
      <w:r w:rsidRPr="00F85246">
        <w:rPr>
          <w:rFonts w:ascii="Book Antiqua" w:hAnsi="Book Antiqua"/>
          <w:sz w:val="50"/>
          <w:szCs w:val="50"/>
        </w:rPr>
        <w:t xml:space="preserve">Appendix </w:t>
      </w:r>
      <w:r w:rsidR="002F37F3">
        <w:rPr>
          <w:rFonts w:ascii="Book Antiqua" w:hAnsi="Book Antiqua"/>
          <w:sz w:val="50"/>
          <w:szCs w:val="50"/>
        </w:rPr>
        <w:t>H</w:t>
      </w:r>
      <w:r w:rsidRPr="00F85246">
        <w:rPr>
          <w:rFonts w:ascii="Book Antiqua" w:hAnsi="Book Antiqua"/>
          <w:sz w:val="50"/>
          <w:szCs w:val="50"/>
        </w:rPr>
        <w:t xml:space="preserve"> </w:t>
      </w:r>
    </w:p>
    <w:p w:rsidRPr="00D2090C" w:rsidR="00554B20" w:rsidP="00554B20" w:rsidRDefault="00554B20" w14:paraId="02BBCA2D" w14:textId="77777777"/>
    <w:p w:rsidR="00554B20" w:rsidP="00554B20" w:rsidRDefault="00554B20" w14:paraId="7947E31B" w14:textId="4E263F90">
      <w:pPr>
        <w:spacing w:line="240" w:lineRule="auto"/>
        <w:jc w:val="center"/>
        <w:rPr>
          <w:rFonts w:cs="Arial"/>
          <w:b/>
          <w:bCs/>
          <w:sz w:val="50"/>
          <w:szCs w:val="50"/>
        </w:rPr>
      </w:pPr>
      <w:r w:rsidRPr="00D2090C">
        <w:rPr>
          <w:rFonts w:cs="Arial"/>
          <w:b/>
          <w:bCs/>
          <w:sz w:val="50"/>
          <w:szCs w:val="50"/>
        </w:rPr>
        <w:t xml:space="preserve">Liberty </w:t>
      </w:r>
      <w:r w:rsidR="002F37F3">
        <w:rPr>
          <w:rFonts w:cs="Arial"/>
          <w:b/>
          <w:bCs/>
          <w:sz w:val="50"/>
          <w:szCs w:val="50"/>
        </w:rPr>
        <w:t xml:space="preserve">Park Quantities </w:t>
      </w:r>
      <w:r w:rsidR="00145F34">
        <w:rPr>
          <w:rFonts w:cs="Arial"/>
          <w:b/>
          <w:bCs/>
          <w:sz w:val="50"/>
          <w:szCs w:val="50"/>
        </w:rPr>
        <w:t xml:space="preserve">of Customers </w:t>
      </w:r>
      <w:r w:rsidR="002F37F3">
        <w:rPr>
          <w:rFonts w:cs="Arial"/>
          <w:b/>
          <w:bCs/>
          <w:sz w:val="50"/>
          <w:szCs w:val="50"/>
        </w:rPr>
        <w:t>and Sales</w:t>
      </w:r>
    </w:p>
    <w:p w:rsidR="00D15283" w:rsidRDefault="00D15283" w14:paraId="34AAB1DD" w14:textId="13762E33">
      <w:pPr>
        <w:spacing w:after="160" w:line="259" w:lineRule="auto"/>
        <w:ind w:firstLine="0"/>
        <w:rPr>
          <w:rFonts w:cs="Arial"/>
          <w:b/>
          <w:bCs/>
          <w:sz w:val="50"/>
          <w:szCs w:val="50"/>
        </w:rPr>
        <w:sectPr w:rsidR="00D15283" w:rsidSect="00C618BF">
          <w:footerReference w:type="default" r:id="rId38"/>
          <w:pgSz w:w="12240" w:h="15840"/>
          <w:pgMar w:top="1728" w:right="1440" w:bottom="1440" w:left="1440" w:header="720" w:footer="720" w:gutter="0"/>
          <w:pgNumType w:fmt="numberInDash" w:start="1"/>
          <w:cols w:space="720"/>
          <w:docGrid w:linePitch="360"/>
        </w:sectPr>
      </w:pPr>
    </w:p>
    <w:tbl>
      <w:tblPr>
        <w:tblW w:w="8687" w:type="dxa"/>
        <w:tblLook w:val="04A0" w:firstRow="1" w:lastRow="0" w:firstColumn="1" w:lastColumn="0" w:noHBand="0" w:noVBand="1"/>
      </w:tblPr>
      <w:tblGrid>
        <w:gridCol w:w="1467"/>
        <w:gridCol w:w="3674"/>
        <w:gridCol w:w="1773"/>
        <w:gridCol w:w="1773"/>
      </w:tblGrid>
      <w:tr w:rsidR="00781BBF" w:rsidTr="00D15283" w14:paraId="2124C0FB" w14:textId="77777777">
        <w:trPr>
          <w:trHeight w:val="300"/>
        </w:trPr>
        <w:tc>
          <w:tcPr>
            <w:tcW w:w="8687" w:type="dxa"/>
            <w:gridSpan w:val="4"/>
            <w:tcBorders>
              <w:top w:val="single" w:color="auto" w:sz="8" w:space="0"/>
              <w:left w:val="single" w:color="auto" w:sz="8" w:space="0"/>
              <w:bottom w:val="nil"/>
              <w:right w:val="nil"/>
            </w:tcBorders>
            <w:shd w:val="clear" w:color="auto" w:fill="auto"/>
            <w:noWrap/>
            <w:vAlign w:val="bottom"/>
            <w:hideMark/>
          </w:tcPr>
          <w:p w:rsidR="00781BBF" w:rsidP="009B34DB" w:rsidRDefault="00781BBF" w14:paraId="179DF09F" w14:textId="77777777">
            <w:pPr>
              <w:spacing w:line="240" w:lineRule="auto"/>
              <w:ind w:firstLine="0"/>
              <w:jc w:val="center"/>
              <w:rPr>
                <w:rFonts w:ascii="Calibri" w:hAnsi="Calibri"/>
                <w:b/>
                <w:bCs/>
                <w:sz w:val="22"/>
              </w:rPr>
            </w:pPr>
            <w:r>
              <w:rPr>
                <w:rFonts w:ascii="Calibri" w:hAnsi="Calibri"/>
                <w:b/>
                <w:bCs/>
                <w:sz w:val="22"/>
              </w:rPr>
              <w:lastRenderedPageBreak/>
              <w:t>Liberty Park Water</w:t>
            </w:r>
          </w:p>
        </w:tc>
      </w:tr>
      <w:tr w:rsidR="00781BBF" w:rsidTr="00D15283" w14:paraId="5E353A8E" w14:textId="77777777">
        <w:trPr>
          <w:trHeight w:val="300"/>
        </w:trPr>
        <w:tc>
          <w:tcPr>
            <w:tcW w:w="8687" w:type="dxa"/>
            <w:gridSpan w:val="4"/>
            <w:tcBorders>
              <w:top w:val="nil"/>
              <w:left w:val="single" w:color="auto" w:sz="8" w:space="0"/>
              <w:bottom w:val="single" w:color="auto" w:sz="4" w:space="0"/>
              <w:right w:val="nil"/>
            </w:tcBorders>
            <w:shd w:val="clear" w:color="auto" w:fill="auto"/>
            <w:noWrap/>
            <w:vAlign w:val="bottom"/>
            <w:hideMark/>
          </w:tcPr>
          <w:p w:rsidR="00781BBF" w:rsidP="009B34DB" w:rsidRDefault="00781BBF" w14:paraId="1A0C2006" w14:textId="77777777">
            <w:pPr>
              <w:jc w:val="center"/>
              <w:rPr>
                <w:rFonts w:ascii="Calibri" w:hAnsi="Calibri"/>
                <w:b/>
                <w:bCs/>
                <w:sz w:val="22"/>
              </w:rPr>
            </w:pPr>
            <w:r w:rsidRPr="00D2090C">
              <w:rPr>
                <w:rFonts w:ascii="Calibri" w:hAnsi="Calibri" w:eastAsia="Times New Roman" w:cs="Calibri"/>
                <w:b/>
                <w:bCs/>
                <w:sz w:val="22"/>
              </w:rPr>
              <w:t xml:space="preserve">Quantities of Customers and Water </w:t>
            </w:r>
            <w:proofErr w:type="gramStart"/>
            <w:r w:rsidRPr="00D2090C">
              <w:rPr>
                <w:rFonts w:ascii="Calibri" w:hAnsi="Calibri" w:eastAsia="Times New Roman" w:cs="Calibri"/>
                <w:b/>
                <w:bCs/>
                <w:sz w:val="22"/>
              </w:rPr>
              <w:t>Sales  (</w:t>
            </w:r>
            <w:proofErr w:type="spellStart"/>
            <w:proofErr w:type="gramEnd"/>
            <w:r w:rsidRPr="00D2090C">
              <w:rPr>
                <w:rFonts w:ascii="Calibri" w:hAnsi="Calibri" w:eastAsia="Times New Roman" w:cs="Calibri"/>
                <w:b/>
                <w:bCs/>
                <w:sz w:val="22"/>
              </w:rPr>
              <w:t>ccf</w:t>
            </w:r>
            <w:proofErr w:type="spellEnd"/>
            <w:r w:rsidRPr="00D2090C">
              <w:rPr>
                <w:rFonts w:ascii="Calibri" w:hAnsi="Calibri" w:eastAsia="Times New Roman" w:cs="Calibri"/>
                <w:b/>
                <w:bCs/>
                <w:sz w:val="22"/>
              </w:rPr>
              <w:t>)</w:t>
            </w:r>
          </w:p>
        </w:tc>
      </w:tr>
      <w:tr w:rsidR="00781BBF" w:rsidTr="00D15283" w14:paraId="67F4D869" w14:textId="77777777">
        <w:trPr>
          <w:trHeight w:val="300"/>
        </w:trPr>
        <w:tc>
          <w:tcPr>
            <w:tcW w:w="1467" w:type="dxa"/>
            <w:tcBorders>
              <w:top w:val="single" w:color="auto" w:sz="4" w:space="0"/>
              <w:left w:val="single" w:color="auto" w:sz="4" w:space="0"/>
              <w:bottom w:val="nil"/>
              <w:right w:val="nil"/>
            </w:tcBorders>
            <w:shd w:val="clear" w:color="auto" w:fill="auto"/>
            <w:noWrap/>
            <w:vAlign w:val="bottom"/>
            <w:hideMark/>
          </w:tcPr>
          <w:p w:rsidRPr="00AB51AD" w:rsidR="00781BBF" w:rsidP="009B34DB" w:rsidRDefault="00781BBF" w14:paraId="3B143227" w14:textId="77777777">
            <w:pPr>
              <w:rPr>
                <w:rFonts w:ascii="Calibri" w:hAnsi="Calibri"/>
                <w:color w:val="000000"/>
                <w:sz w:val="18"/>
                <w:szCs w:val="18"/>
              </w:rPr>
            </w:pPr>
            <w:r w:rsidRPr="00AB51AD">
              <w:rPr>
                <w:rFonts w:ascii="Calibri" w:hAnsi="Calibri"/>
                <w:color w:val="000000"/>
                <w:sz w:val="18"/>
                <w:szCs w:val="18"/>
              </w:rPr>
              <w:t>Class</w:t>
            </w:r>
          </w:p>
        </w:tc>
        <w:tc>
          <w:tcPr>
            <w:tcW w:w="3674" w:type="dxa"/>
            <w:tcBorders>
              <w:top w:val="single" w:color="auto" w:sz="4" w:space="0"/>
              <w:left w:val="nil"/>
              <w:bottom w:val="nil"/>
              <w:right w:val="nil"/>
            </w:tcBorders>
            <w:shd w:val="clear" w:color="auto" w:fill="auto"/>
            <w:noWrap/>
            <w:vAlign w:val="bottom"/>
            <w:hideMark/>
          </w:tcPr>
          <w:p w:rsidRPr="00AB51AD" w:rsidR="00781BBF" w:rsidP="009B34DB" w:rsidRDefault="00781BBF" w14:paraId="10D4D079" w14:textId="77777777">
            <w:pPr>
              <w:rPr>
                <w:rFonts w:ascii="Calibri" w:hAnsi="Calibri"/>
                <w:color w:val="000000"/>
                <w:sz w:val="20"/>
                <w:szCs w:val="20"/>
              </w:rPr>
            </w:pPr>
            <w:r w:rsidRPr="00AB51AD">
              <w:rPr>
                <w:rFonts w:ascii="Calibri" w:hAnsi="Calibri"/>
                <w:color w:val="000000"/>
                <w:sz w:val="20"/>
                <w:szCs w:val="20"/>
              </w:rPr>
              <w:t>Description</w:t>
            </w:r>
          </w:p>
        </w:tc>
        <w:tc>
          <w:tcPr>
            <w:tcW w:w="1773" w:type="dxa"/>
            <w:tcBorders>
              <w:top w:val="single" w:color="auto" w:sz="4" w:space="0"/>
              <w:left w:val="nil"/>
              <w:bottom w:val="nil"/>
              <w:right w:val="nil"/>
            </w:tcBorders>
            <w:shd w:val="clear" w:color="auto" w:fill="auto"/>
            <w:noWrap/>
            <w:vAlign w:val="bottom"/>
            <w:hideMark/>
          </w:tcPr>
          <w:p w:rsidR="00781BBF" w:rsidP="009B34DB" w:rsidRDefault="00781BBF" w14:paraId="4F4E5E50" w14:textId="77777777">
            <w:pPr>
              <w:jc w:val="right"/>
              <w:rPr>
                <w:rFonts w:ascii="Calibri" w:hAnsi="Calibri"/>
                <w:color w:val="000000"/>
                <w:sz w:val="22"/>
              </w:rPr>
            </w:pPr>
            <w:r>
              <w:rPr>
                <w:rFonts w:ascii="Calibri" w:hAnsi="Calibri"/>
                <w:color w:val="000000"/>
                <w:sz w:val="22"/>
              </w:rPr>
              <w:t>2019</w:t>
            </w:r>
          </w:p>
        </w:tc>
        <w:tc>
          <w:tcPr>
            <w:tcW w:w="1773" w:type="dxa"/>
            <w:tcBorders>
              <w:top w:val="single" w:color="auto" w:sz="4" w:space="0"/>
              <w:left w:val="nil"/>
              <w:bottom w:val="nil"/>
              <w:right w:val="nil"/>
            </w:tcBorders>
            <w:shd w:val="clear" w:color="auto" w:fill="auto"/>
            <w:noWrap/>
            <w:vAlign w:val="bottom"/>
            <w:hideMark/>
          </w:tcPr>
          <w:p w:rsidR="00781BBF" w:rsidP="009B34DB" w:rsidRDefault="00781BBF" w14:paraId="0C851149" w14:textId="77777777">
            <w:pPr>
              <w:jc w:val="right"/>
              <w:rPr>
                <w:rFonts w:ascii="Calibri" w:hAnsi="Calibri"/>
                <w:color w:val="000000"/>
                <w:sz w:val="22"/>
              </w:rPr>
            </w:pPr>
            <w:r>
              <w:rPr>
                <w:rFonts w:ascii="Calibri" w:hAnsi="Calibri"/>
                <w:color w:val="000000"/>
                <w:sz w:val="22"/>
              </w:rPr>
              <w:t>2020</w:t>
            </w:r>
          </w:p>
        </w:tc>
      </w:tr>
      <w:tr w:rsidR="00781BBF" w:rsidTr="00D15283" w14:paraId="305A94D1" w14:textId="77777777">
        <w:trPr>
          <w:trHeight w:val="300"/>
        </w:trPr>
        <w:tc>
          <w:tcPr>
            <w:tcW w:w="1467" w:type="dxa"/>
            <w:tcBorders>
              <w:top w:val="nil"/>
              <w:left w:val="single" w:color="auto" w:sz="4" w:space="0"/>
              <w:bottom w:val="single" w:color="auto" w:sz="4" w:space="0"/>
              <w:right w:val="nil"/>
            </w:tcBorders>
            <w:shd w:val="clear" w:color="auto" w:fill="auto"/>
            <w:noWrap/>
            <w:vAlign w:val="bottom"/>
            <w:hideMark/>
          </w:tcPr>
          <w:p w:rsidR="00781BBF" w:rsidP="009B34DB" w:rsidRDefault="00781BBF" w14:paraId="371F2B82" w14:textId="77777777">
            <w:pPr>
              <w:jc w:val="right"/>
              <w:rPr>
                <w:rFonts w:ascii="Calibri" w:hAnsi="Calibri"/>
                <w:color w:val="000000"/>
                <w:sz w:val="22"/>
              </w:rPr>
            </w:pPr>
          </w:p>
        </w:tc>
        <w:tc>
          <w:tcPr>
            <w:tcW w:w="3674" w:type="dxa"/>
            <w:tcBorders>
              <w:top w:val="nil"/>
              <w:left w:val="nil"/>
              <w:bottom w:val="single" w:color="auto" w:sz="4" w:space="0"/>
              <w:right w:val="nil"/>
            </w:tcBorders>
            <w:shd w:val="clear" w:color="auto" w:fill="auto"/>
            <w:noWrap/>
            <w:vAlign w:val="bottom"/>
            <w:hideMark/>
          </w:tcPr>
          <w:p w:rsidR="00781BBF" w:rsidP="009B34DB" w:rsidRDefault="00781BBF" w14:paraId="41D4DB44" w14:textId="77777777">
            <w:pPr>
              <w:rPr>
                <w:sz w:val="20"/>
                <w:szCs w:val="20"/>
              </w:rPr>
            </w:pPr>
          </w:p>
        </w:tc>
        <w:tc>
          <w:tcPr>
            <w:tcW w:w="1773" w:type="dxa"/>
            <w:tcBorders>
              <w:top w:val="nil"/>
              <w:left w:val="nil"/>
              <w:bottom w:val="single" w:color="auto" w:sz="4" w:space="0"/>
              <w:right w:val="nil"/>
            </w:tcBorders>
            <w:shd w:val="clear" w:color="auto" w:fill="auto"/>
            <w:noWrap/>
            <w:vAlign w:val="bottom"/>
            <w:hideMark/>
          </w:tcPr>
          <w:p w:rsidR="00781BBF" w:rsidP="009B34DB" w:rsidRDefault="00781BBF" w14:paraId="1DEC8CA8" w14:textId="77777777">
            <w:pPr>
              <w:rPr>
                <w:sz w:val="20"/>
                <w:szCs w:val="20"/>
              </w:rPr>
            </w:pPr>
          </w:p>
        </w:tc>
        <w:tc>
          <w:tcPr>
            <w:tcW w:w="1773" w:type="dxa"/>
            <w:tcBorders>
              <w:top w:val="nil"/>
              <w:left w:val="nil"/>
              <w:bottom w:val="single" w:color="auto" w:sz="4" w:space="0"/>
              <w:right w:val="nil"/>
            </w:tcBorders>
            <w:shd w:val="clear" w:color="auto" w:fill="auto"/>
            <w:noWrap/>
            <w:vAlign w:val="bottom"/>
            <w:hideMark/>
          </w:tcPr>
          <w:p w:rsidR="00781BBF" w:rsidP="009B34DB" w:rsidRDefault="00781BBF" w14:paraId="16DCD16A" w14:textId="77777777">
            <w:pPr>
              <w:rPr>
                <w:sz w:val="20"/>
                <w:szCs w:val="20"/>
              </w:rPr>
            </w:pPr>
          </w:p>
        </w:tc>
      </w:tr>
      <w:tr w:rsidRPr="00AB51AD" w:rsidR="00781BBF" w:rsidTr="00D15283" w14:paraId="4B13E2B6" w14:textId="77777777">
        <w:trPr>
          <w:trHeight w:val="300"/>
        </w:trPr>
        <w:tc>
          <w:tcPr>
            <w:tcW w:w="8687"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1E0BF071" w14:textId="77777777">
            <w:pPr>
              <w:rPr>
                <w:b/>
                <w:bCs/>
                <w:sz w:val="20"/>
                <w:szCs w:val="20"/>
              </w:rPr>
            </w:pPr>
            <w:r w:rsidRPr="00AB51AD">
              <w:rPr>
                <w:rFonts w:ascii="Calibri" w:hAnsi="Calibri"/>
                <w:b/>
                <w:bCs/>
                <w:color w:val="000000"/>
                <w:sz w:val="18"/>
                <w:szCs w:val="18"/>
              </w:rPr>
              <w:t>Number of Customers</w:t>
            </w:r>
          </w:p>
        </w:tc>
      </w:tr>
      <w:tr w:rsidRPr="00AB51AD" w:rsidR="00781BBF" w:rsidTr="00D15283" w14:paraId="625B73D9"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54ED3AC8" w14:textId="77777777">
            <w:pPr>
              <w:jc w:val="right"/>
              <w:rPr>
                <w:rFonts w:ascii="Calibri" w:hAnsi="Calibri"/>
                <w:color w:val="000000"/>
                <w:sz w:val="20"/>
                <w:szCs w:val="20"/>
              </w:rPr>
            </w:pPr>
            <w:r w:rsidRPr="00AB51AD">
              <w:rPr>
                <w:rFonts w:ascii="Calibri" w:hAnsi="Calibri"/>
                <w:color w:val="000000"/>
                <w:sz w:val="20"/>
                <w:szCs w:val="20"/>
              </w:rPr>
              <w:t>11</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BF4DC41" w14:textId="77777777">
            <w:pPr>
              <w:rPr>
                <w:rFonts w:ascii="Calibri" w:hAnsi="Calibri"/>
                <w:color w:val="000000"/>
                <w:sz w:val="20"/>
                <w:szCs w:val="20"/>
              </w:rPr>
            </w:pPr>
            <w:r w:rsidRPr="00AB51AD">
              <w:rPr>
                <w:rFonts w:ascii="Calibri" w:hAnsi="Calibri"/>
                <w:color w:val="000000"/>
                <w:sz w:val="20"/>
                <w:szCs w:val="20"/>
              </w:rPr>
              <w:t>Residential_Bi_Monthly_11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BB27C08" w14:textId="77777777">
            <w:pPr>
              <w:jc w:val="right"/>
              <w:rPr>
                <w:rFonts w:ascii="Calibri" w:hAnsi="Calibri"/>
                <w:color w:val="000000"/>
                <w:sz w:val="20"/>
                <w:szCs w:val="20"/>
              </w:rPr>
            </w:pPr>
            <w:r w:rsidRPr="00AB51AD">
              <w:rPr>
                <w:rFonts w:ascii="Calibri" w:hAnsi="Calibri"/>
                <w:color w:val="000000"/>
                <w:sz w:val="20"/>
                <w:szCs w:val="20"/>
              </w:rPr>
              <w:t>25301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94D379E" w14:textId="77777777">
            <w:pPr>
              <w:jc w:val="right"/>
              <w:rPr>
                <w:rFonts w:ascii="Calibri" w:hAnsi="Calibri"/>
                <w:color w:val="000000"/>
                <w:sz w:val="20"/>
                <w:szCs w:val="20"/>
              </w:rPr>
            </w:pPr>
            <w:r w:rsidRPr="00AB51AD">
              <w:rPr>
                <w:rFonts w:ascii="Calibri" w:hAnsi="Calibri"/>
                <w:color w:val="000000"/>
                <w:sz w:val="20"/>
                <w:szCs w:val="20"/>
              </w:rPr>
              <w:t>25335</w:t>
            </w:r>
          </w:p>
        </w:tc>
      </w:tr>
      <w:tr w:rsidRPr="00AB51AD" w:rsidR="00781BBF" w:rsidTr="00D15283" w14:paraId="557C2584"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97848A9" w14:textId="77777777">
            <w:pPr>
              <w:jc w:val="right"/>
              <w:rPr>
                <w:rFonts w:ascii="Calibri" w:hAnsi="Calibri"/>
                <w:color w:val="000000"/>
                <w:sz w:val="20"/>
                <w:szCs w:val="20"/>
              </w:rPr>
            </w:pPr>
            <w:r w:rsidRPr="00AB51AD">
              <w:rPr>
                <w:rFonts w:ascii="Calibri" w:hAnsi="Calibri"/>
                <w:color w:val="000000"/>
                <w:sz w:val="20"/>
                <w:szCs w:val="20"/>
              </w:rPr>
              <w:t>22/18</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46886CC3" w14:textId="77777777">
            <w:pPr>
              <w:rPr>
                <w:rFonts w:ascii="Calibri" w:hAnsi="Calibri"/>
                <w:color w:val="000000"/>
                <w:sz w:val="20"/>
                <w:szCs w:val="20"/>
              </w:rPr>
            </w:pPr>
            <w:r w:rsidRPr="00AB51AD">
              <w:rPr>
                <w:rFonts w:ascii="Calibri" w:hAnsi="Calibri"/>
                <w:color w:val="000000"/>
                <w:sz w:val="20"/>
                <w:szCs w:val="20"/>
              </w:rPr>
              <w:t>Business_Bi_Monthly_22_18</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AC147DB" w14:textId="77777777">
            <w:pPr>
              <w:jc w:val="right"/>
              <w:rPr>
                <w:rFonts w:ascii="Calibri" w:hAnsi="Calibri"/>
                <w:color w:val="000000"/>
                <w:sz w:val="20"/>
                <w:szCs w:val="20"/>
              </w:rPr>
            </w:pPr>
            <w:r w:rsidRPr="00AB51AD">
              <w:rPr>
                <w:rFonts w:ascii="Calibri" w:hAnsi="Calibri"/>
                <w:color w:val="000000"/>
                <w:sz w:val="20"/>
                <w:szCs w:val="20"/>
              </w:rPr>
              <w:t>1674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3EEA6A6" w14:textId="77777777">
            <w:pPr>
              <w:jc w:val="right"/>
              <w:rPr>
                <w:rFonts w:ascii="Calibri" w:hAnsi="Calibri"/>
                <w:color w:val="000000"/>
                <w:sz w:val="20"/>
                <w:szCs w:val="20"/>
              </w:rPr>
            </w:pPr>
            <w:r w:rsidRPr="00AB51AD">
              <w:rPr>
                <w:rFonts w:ascii="Calibri" w:hAnsi="Calibri"/>
                <w:color w:val="000000"/>
                <w:sz w:val="20"/>
                <w:szCs w:val="20"/>
              </w:rPr>
              <w:t>1674</w:t>
            </w:r>
          </w:p>
        </w:tc>
      </w:tr>
      <w:tr w:rsidRPr="00AB51AD" w:rsidR="00781BBF" w:rsidTr="00D15283" w14:paraId="61E71E95"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16B8126C" w14:textId="77777777">
            <w:pPr>
              <w:jc w:val="right"/>
              <w:rPr>
                <w:rFonts w:ascii="Calibri" w:hAnsi="Calibri"/>
                <w:color w:val="000000"/>
                <w:sz w:val="20"/>
                <w:szCs w:val="20"/>
              </w:rPr>
            </w:pPr>
            <w:r w:rsidRPr="00AB51AD">
              <w:rPr>
                <w:rFonts w:ascii="Calibri" w:hAnsi="Calibri"/>
                <w:color w:val="000000"/>
                <w:sz w:val="20"/>
                <w:szCs w:val="20"/>
              </w:rPr>
              <w:t>23/19</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EA76811" w14:textId="77777777">
            <w:pPr>
              <w:rPr>
                <w:rFonts w:ascii="Calibri" w:hAnsi="Calibri"/>
                <w:color w:val="000000"/>
                <w:sz w:val="20"/>
                <w:szCs w:val="20"/>
              </w:rPr>
            </w:pPr>
            <w:r w:rsidRPr="00AB51AD">
              <w:rPr>
                <w:rFonts w:ascii="Calibri" w:hAnsi="Calibri"/>
                <w:color w:val="000000"/>
                <w:sz w:val="20"/>
                <w:szCs w:val="20"/>
              </w:rPr>
              <w:t>Business_Monthly_23_19</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7501BCE" w14:textId="77777777">
            <w:pPr>
              <w:jc w:val="right"/>
              <w:rPr>
                <w:rFonts w:ascii="Calibri" w:hAnsi="Calibri"/>
                <w:color w:val="000000"/>
                <w:sz w:val="20"/>
                <w:szCs w:val="20"/>
              </w:rPr>
            </w:pPr>
            <w:r w:rsidRPr="00AB51AD">
              <w:rPr>
                <w:rFonts w:ascii="Calibri" w:hAnsi="Calibri"/>
                <w:color w:val="000000"/>
                <w:sz w:val="20"/>
                <w:szCs w:val="20"/>
              </w:rPr>
              <w:t>50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747A08E" w14:textId="77777777">
            <w:pPr>
              <w:jc w:val="right"/>
              <w:rPr>
                <w:rFonts w:ascii="Calibri" w:hAnsi="Calibri"/>
                <w:color w:val="000000"/>
                <w:sz w:val="20"/>
                <w:szCs w:val="20"/>
              </w:rPr>
            </w:pPr>
            <w:r w:rsidRPr="00AB51AD">
              <w:rPr>
                <w:rFonts w:ascii="Calibri" w:hAnsi="Calibri"/>
                <w:color w:val="000000"/>
                <w:sz w:val="20"/>
                <w:szCs w:val="20"/>
              </w:rPr>
              <w:t>53</w:t>
            </w:r>
          </w:p>
        </w:tc>
      </w:tr>
      <w:tr w:rsidRPr="00AB51AD" w:rsidR="00781BBF" w:rsidTr="00D15283" w14:paraId="77D60B91"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A8D2067" w14:textId="77777777">
            <w:pPr>
              <w:jc w:val="right"/>
              <w:rPr>
                <w:rFonts w:ascii="Calibri" w:hAnsi="Calibri"/>
                <w:color w:val="000000"/>
                <w:sz w:val="20"/>
                <w:szCs w:val="20"/>
              </w:rPr>
            </w:pPr>
            <w:r w:rsidRPr="00AB51AD">
              <w:rPr>
                <w:rFonts w:ascii="Calibri" w:hAnsi="Calibri"/>
                <w:color w:val="000000"/>
                <w:sz w:val="20"/>
                <w:szCs w:val="20"/>
              </w:rPr>
              <w:t>33</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13210D4D" w14:textId="77777777">
            <w:pPr>
              <w:rPr>
                <w:rFonts w:ascii="Calibri" w:hAnsi="Calibri"/>
                <w:color w:val="000000"/>
                <w:sz w:val="20"/>
                <w:szCs w:val="20"/>
              </w:rPr>
            </w:pPr>
            <w:r w:rsidRPr="00AB51AD">
              <w:rPr>
                <w:rFonts w:ascii="Calibri" w:hAnsi="Calibri"/>
                <w:color w:val="000000"/>
                <w:sz w:val="20"/>
                <w:szCs w:val="20"/>
              </w:rPr>
              <w:t>Industrial_Bi_Monthly_33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607FC71" w14:textId="77777777">
            <w:pPr>
              <w:jc w:val="right"/>
              <w:rPr>
                <w:rFonts w:ascii="Calibri" w:hAnsi="Calibri"/>
                <w:color w:val="000000"/>
                <w:sz w:val="20"/>
                <w:szCs w:val="20"/>
              </w:rPr>
            </w:pPr>
            <w:r w:rsidRPr="00AB51AD">
              <w:rPr>
                <w:rFonts w:ascii="Calibri" w:hAnsi="Calibri"/>
                <w:color w:val="000000"/>
                <w:sz w:val="20"/>
                <w:szCs w:val="20"/>
              </w:rPr>
              <w:t>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B6C611B" w14:textId="77777777">
            <w:pPr>
              <w:jc w:val="right"/>
              <w:rPr>
                <w:rFonts w:ascii="Calibri" w:hAnsi="Calibri"/>
                <w:color w:val="000000"/>
                <w:sz w:val="20"/>
                <w:szCs w:val="20"/>
              </w:rPr>
            </w:pPr>
            <w:r w:rsidRPr="00AB51AD">
              <w:rPr>
                <w:rFonts w:ascii="Calibri" w:hAnsi="Calibri"/>
                <w:color w:val="000000"/>
                <w:sz w:val="20"/>
                <w:szCs w:val="20"/>
              </w:rPr>
              <w:t>0</w:t>
            </w:r>
          </w:p>
        </w:tc>
      </w:tr>
      <w:tr w:rsidRPr="00AB51AD" w:rsidR="00781BBF" w:rsidTr="00D15283" w14:paraId="2E75D1A6"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986B3CF" w14:textId="77777777">
            <w:pPr>
              <w:jc w:val="right"/>
              <w:rPr>
                <w:rFonts w:ascii="Calibri" w:hAnsi="Calibri"/>
                <w:color w:val="000000"/>
                <w:sz w:val="20"/>
                <w:szCs w:val="20"/>
              </w:rPr>
            </w:pPr>
            <w:r w:rsidRPr="00AB51AD">
              <w:rPr>
                <w:rFonts w:ascii="Calibri" w:hAnsi="Calibri"/>
                <w:color w:val="000000"/>
                <w:sz w:val="20"/>
                <w:szCs w:val="20"/>
              </w:rPr>
              <w:t>34</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FACE908" w14:textId="77777777">
            <w:pPr>
              <w:rPr>
                <w:rFonts w:ascii="Calibri" w:hAnsi="Calibri"/>
                <w:color w:val="000000"/>
                <w:sz w:val="20"/>
                <w:szCs w:val="20"/>
              </w:rPr>
            </w:pPr>
            <w:r w:rsidRPr="00AB51AD">
              <w:rPr>
                <w:rFonts w:ascii="Calibri" w:hAnsi="Calibri"/>
                <w:color w:val="000000"/>
                <w:sz w:val="20"/>
                <w:szCs w:val="20"/>
              </w:rPr>
              <w:t>Industrial_Monthly_34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5774DA21" w14:textId="77777777">
            <w:pPr>
              <w:jc w:val="right"/>
              <w:rPr>
                <w:rFonts w:ascii="Calibri" w:hAnsi="Calibri"/>
                <w:color w:val="000000"/>
                <w:sz w:val="20"/>
                <w:szCs w:val="20"/>
              </w:rPr>
            </w:pPr>
            <w:r w:rsidRPr="00AB51AD">
              <w:rPr>
                <w:rFonts w:ascii="Calibri" w:hAnsi="Calibri"/>
                <w:color w:val="000000"/>
                <w:sz w:val="20"/>
                <w:szCs w:val="20"/>
              </w:rPr>
              <w:t>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8E11881" w14:textId="77777777">
            <w:pPr>
              <w:jc w:val="right"/>
              <w:rPr>
                <w:rFonts w:ascii="Calibri" w:hAnsi="Calibri"/>
                <w:color w:val="000000"/>
                <w:sz w:val="20"/>
                <w:szCs w:val="20"/>
              </w:rPr>
            </w:pPr>
            <w:r w:rsidRPr="00AB51AD">
              <w:rPr>
                <w:rFonts w:ascii="Calibri" w:hAnsi="Calibri"/>
                <w:color w:val="000000"/>
                <w:sz w:val="20"/>
                <w:szCs w:val="20"/>
              </w:rPr>
              <w:t>5</w:t>
            </w:r>
          </w:p>
        </w:tc>
      </w:tr>
      <w:tr w:rsidRPr="00AB51AD" w:rsidR="00781BBF" w:rsidTr="00D15283" w14:paraId="000A28CF"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8F89D66" w14:textId="77777777">
            <w:pPr>
              <w:jc w:val="right"/>
              <w:rPr>
                <w:rFonts w:ascii="Calibri" w:hAnsi="Calibri"/>
                <w:color w:val="000000"/>
                <w:sz w:val="20"/>
                <w:szCs w:val="20"/>
              </w:rPr>
            </w:pPr>
            <w:r w:rsidRPr="00AB51AD">
              <w:rPr>
                <w:rFonts w:ascii="Calibri" w:hAnsi="Calibri"/>
                <w:color w:val="000000"/>
                <w:sz w:val="20"/>
                <w:szCs w:val="20"/>
              </w:rPr>
              <w:t>45</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4BB58EC" w14:textId="77777777">
            <w:pPr>
              <w:rPr>
                <w:rFonts w:ascii="Calibri" w:hAnsi="Calibri"/>
                <w:color w:val="000000"/>
                <w:sz w:val="20"/>
                <w:szCs w:val="20"/>
              </w:rPr>
            </w:pPr>
            <w:r w:rsidRPr="00AB51AD">
              <w:rPr>
                <w:rFonts w:ascii="Calibri" w:hAnsi="Calibri"/>
                <w:color w:val="000000"/>
                <w:sz w:val="20"/>
                <w:szCs w:val="20"/>
              </w:rPr>
              <w:t>Public_Auth_Bi_Monthly_45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524F5423" w14:textId="77777777">
            <w:pPr>
              <w:jc w:val="right"/>
              <w:rPr>
                <w:rFonts w:ascii="Calibri" w:hAnsi="Calibri"/>
                <w:color w:val="000000"/>
                <w:sz w:val="20"/>
                <w:szCs w:val="20"/>
              </w:rPr>
            </w:pPr>
            <w:r w:rsidRPr="00AB51AD">
              <w:rPr>
                <w:rFonts w:ascii="Calibri" w:hAnsi="Calibri"/>
                <w:color w:val="000000"/>
                <w:sz w:val="20"/>
                <w:szCs w:val="20"/>
              </w:rPr>
              <w:t>140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485BAD0A" w14:textId="77777777">
            <w:pPr>
              <w:jc w:val="right"/>
              <w:rPr>
                <w:rFonts w:ascii="Calibri" w:hAnsi="Calibri"/>
                <w:color w:val="000000"/>
                <w:sz w:val="20"/>
                <w:szCs w:val="20"/>
              </w:rPr>
            </w:pPr>
            <w:r w:rsidRPr="00AB51AD">
              <w:rPr>
                <w:rFonts w:ascii="Calibri" w:hAnsi="Calibri"/>
                <w:color w:val="000000"/>
                <w:sz w:val="20"/>
                <w:szCs w:val="20"/>
              </w:rPr>
              <w:t>139</w:t>
            </w:r>
          </w:p>
        </w:tc>
      </w:tr>
      <w:tr w:rsidRPr="00AB51AD" w:rsidR="00781BBF" w:rsidTr="00D15283" w14:paraId="55A31C31"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0CC4E50" w14:textId="77777777">
            <w:pPr>
              <w:jc w:val="right"/>
              <w:rPr>
                <w:rFonts w:ascii="Calibri" w:hAnsi="Calibri"/>
                <w:color w:val="000000"/>
                <w:sz w:val="20"/>
                <w:szCs w:val="20"/>
              </w:rPr>
            </w:pPr>
            <w:r w:rsidRPr="00AB51AD">
              <w:rPr>
                <w:rFonts w:ascii="Calibri" w:hAnsi="Calibri"/>
                <w:color w:val="000000"/>
                <w:sz w:val="20"/>
                <w:szCs w:val="20"/>
              </w:rPr>
              <w:t>46</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58E526FB" w14:textId="77777777">
            <w:pPr>
              <w:rPr>
                <w:rFonts w:ascii="Calibri" w:hAnsi="Calibri"/>
                <w:color w:val="000000"/>
                <w:sz w:val="20"/>
                <w:szCs w:val="20"/>
              </w:rPr>
            </w:pPr>
            <w:r w:rsidRPr="00AB51AD">
              <w:rPr>
                <w:rFonts w:ascii="Calibri" w:hAnsi="Calibri"/>
                <w:color w:val="000000"/>
                <w:sz w:val="20"/>
                <w:szCs w:val="20"/>
              </w:rPr>
              <w:t>Public_Auth_Monthly_46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A156371" w14:textId="77777777">
            <w:pPr>
              <w:jc w:val="right"/>
              <w:rPr>
                <w:rFonts w:ascii="Calibri" w:hAnsi="Calibri"/>
                <w:color w:val="000000"/>
                <w:sz w:val="20"/>
                <w:szCs w:val="20"/>
              </w:rPr>
            </w:pPr>
            <w:r w:rsidRPr="00AB51AD">
              <w:rPr>
                <w:rFonts w:ascii="Calibri" w:hAnsi="Calibri"/>
                <w:color w:val="000000"/>
                <w:sz w:val="20"/>
                <w:szCs w:val="20"/>
              </w:rPr>
              <w:t>62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5194D458" w14:textId="77777777">
            <w:pPr>
              <w:jc w:val="right"/>
              <w:rPr>
                <w:rFonts w:ascii="Calibri" w:hAnsi="Calibri"/>
                <w:color w:val="000000"/>
                <w:sz w:val="20"/>
                <w:szCs w:val="20"/>
              </w:rPr>
            </w:pPr>
            <w:r w:rsidRPr="00AB51AD">
              <w:rPr>
                <w:rFonts w:ascii="Calibri" w:hAnsi="Calibri"/>
                <w:color w:val="000000"/>
                <w:sz w:val="20"/>
                <w:szCs w:val="20"/>
              </w:rPr>
              <w:t>63</w:t>
            </w:r>
          </w:p>
        </w:tc>
      </w:tr>
      <w:tr w:rsidRPr="00AB51AD" w:rsidR="00781BBF" w:rsidTr="00D15283" w14:paraId="101E651C"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D7D770A" w14:textId="77777777">
            <w:pPr>
              <w:jc w:val="right"/>
              <w:rPr>
                <w:rFonts w:ascii="Calibri" w:hAnsi="Calibri"/>
                <w:color w:val="000000"/>
                <w:sz w:val="20"/>
                <w:szCs w:val="20"/>
              </w:rPr>
            </w:pPr>
            <w:r w:rsidRPr="00AB51AD">
              <w:rPr>
                <w:rFonts w:ascii="Calibri" w:hAnsi="Calibri"/>
                <w:color w:val="000000"/>
                <w:sz w:val="20"/>
                <w:szCs w:val="20"/>
              </w:rPr>
              <w:t>52</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14CA26A" w14:textId="77777777">
            <w:pPr>
              <w:rPr>
                <w:rFonts w:ascii="Calibri" w:hAnsi="Calibri"/>
                <w:color w:val="000000"/>
                <w:sz w:val="20"/>
                <w:szCs w:val="20"/>
              </w:rPr>
            </w:pPr>
            <w:r w:rsidRPr="00AB51AD">
              <w:rPr>
                <w:rFonts w:ascii="Calibri" w:hAnsi="Calibri"/>
                <w:color w:val="000000"/>
                <w:sz w:val="20"/>
                <w:szCs w:val="20"/>
              </w:rPr>
              <w:t>Priv_Fire_Srv_Bi_Monthly_52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3FF5FA5" w14:textId="77777777">
            <w:pPr>
              <w:jc w:val="right"/>
              <w:rPr>
                <w:rFonts w:ascii="Calibri" w:hAnsi="Calibri"/>
                <w:color w:val="000000"/>
                <w:sz w:val="20"/>
                <w:szCs w:val="20"/>
              </w:rPr>
            </w:pPr>
            <w:r w:rsidRPr="00AB51AD">
              <w:rPr>
                <w:rFonts w:ascii="Calibri" w:hAnsi="Calibri"/>
                <w:color w:val="000000"/>
                <w:sz w:val="20"/>
                <w:szCs w:val="20"/>
              </w:rPr>
              <w:t>25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705446A" w14:textId="77777777">
            <w:pPr>
              <w:jc w:val="right"/>
              <w:rPr>
                <w:rFonts w:ascii="Calibri" w:hAnsi="Calibri"/>
                <w:color w:val="000000"/>
                <w:sz w:val="20"/>
                <w:szCs w:val="20"/>
              </w:rPr>
            </w:pPr>
            <w:r w:rsidRPr="00AB51AD">
              <w:rPr>
                <w:rFonts w:ascii="Calibri" w:hAnsi="Calibri"/>
                <w:color w:val="000000"/>
                <w:sz w:val="20"/>
                <w:szCs w:val="20"/>
              </w:rPr>
              <w:t>14</w:t>
            </w:r>
          </w:p>
        </w:tc>
      </w:tr>
      <w:tr w:rsidRPr="00AB51AD" w:rsidR="00781BBF" w:rsidTr="00D15283" w14:paraId="1BE48954"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919AB66" w14:textId="77777777">
            <w:pPr>
              <w:jc w:val="right"/>
              <w:rPr>
                <w:rFonts w:ascii="Calibri" w:hAnsi="Calibri"/>
                <w:color w:val="000000"/>
                <w:sz w:val="20"/>
                <w:szCs w:val="20"/>
              </w:rPr>
            </w:pPr>
            <w:r w:rsidRPr="00AB51AD">
              <w:rPr>
                <w:rFonts w:ascii="Calibri" w:hAnsi="Calibri"/>
                <w:color w:val="000000"/>
                <w:sz w:val="20"/>
                <w:szCs w:val="20"/>
              </w:rPr>
              <w:t>53</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8D16C27" w14:textId="77777777">
            <w:pPr>
              <w:rPr>
                <w:rFonts w:ascii="Calibri" w:hAnsi="Calibri"/>
                <w:color w:val="000000"/>
                <w:sz w:val="20"/>
                <w:szCs w:val="20"/>
              </w:rPr>
            </w:pPr>
            <w:r w:rsidRPr="00AB51AD">
              <w:rPr>
                <w:rFonts w:ascii="Calibri" w:hAnsi="Calibri"/>
                <w:color w:val="000000"/>
                <w:sz w:val="20"/>
                <w:szCs w:val="20"/>
              </w:rPr>
              <w:t>Priv_Fire_Srv_Monthly_53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452EF700" w14:textId="77777777">
            <w:pPr>
              <w:jc w:val="right"/>
              <w:rPr>
                <w:rFonts w:ascii="Calibri" w:hAnsi="Calibri"/>
                <w:color w:val="000000"/>
                <w:sz w:val="20"/>
                <w:szCs w:val="20"/>
              </w:rPr>
            </w:pPr>
            <w:r w:rsidRPr="00AB51AD">
              <w:rPr>
                <w:rFonts w:ascii="Calibri" w:hAnsi="Calibri"/>
                <w:color w:val="000000"/>
                <w:sz w:val="20"/>
                <w:szCs w:val="20"/>
              </w:rPr>
              <w:t>177</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5C684E1" w14:textId="77777777">
            <w:pPr>
              <w:jc w:val="right"/>
              <w:rPr>
                <w:rFonts w:ascii="Calibri" w:hAnsi="Calibri"/>
                <w:color w:val="000000"/>
                <w:sz w:val="20"/>
                <w:szCs w:val="20"/>
              </w:rPr>
            </w:pPr>
            <w:r w:rsidRPr="00AB51AD">
              <w:rPr>
                <w:rFonts w:ascii="Calibri" w:hAnsi="Calibri"/>
                <w:color w:val="000000"/>
                <w:sz w:val="20"/>
                <w:szCs w:val="20"/>
              </w:rPr>
              <w:t>191</w:t>
            </w:r>
          </w:p>
        </w:tc>
      </w:tr>
      <w:tr w:rsidRPr="00AB51AD" w:rsidR="00781BBF" w:rsidTr="00D15283" w14:paraId="04956059"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97509F9" w14:textId="77777777">
            <w:pPr>
              <w:jc w:val="right"/>
              <w:rPr>
                <w:rFonts w:ascii="Calibri" w:hAnsi="Calibri"/>
                <w:color w:val="000000"/>
                <w:sz w:val="20"/>
                <w:szCs w:val="20"/>
              </w:rPr>
            </w:pPr>
            <w:r w:rsidRPr="00AB51AD">
              <w:rPr>
                <w:rFonts w:ascii="Calibri" w:hAnsi="Calibri"/>
                <w:color w:val="000000"/>
                <w:sz w:val="20"/>
                <w:szCs w:val="20"/>
              </w:rPr>
              <w:t>61</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A0C609D" w14:textId="77777777">
            <w:pPr>
              <w:rPr>
                <w:rFonts w:ascii="Calibri" w:hAnsi="Calibri"/>
                <w:color w:val="000000"/>
                <w:sz w:val="20"/>
                <w:szCs w:val="20"/>
              </w:rPr>
            </w:pPr>
            <w:r w:rsidRPr="00AB51AD">
              <w:rPr>
                <w:rFonts w:ascii="Calibri" w:hAnsi="Calibri"/>
                <w:color w:val="000000"/>
                <w:sz w:val="20"/>
                <w:szCs w:val="20"/>
              </w:rPr>
              <w:t>Fire_Hydrants_Bi_Monthly_61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17E321A2" w14:textId="77777777">
            <w:pPr>
              <w:jc w:val="right"/>
              <w:rPr>
                <w:rFonts w:ascii="Calibri" w:hAnsi="Calibri"/>
                <w:color w:val="000000"/>
                <w:sz w:val="20"/>
                <w:szCs w:val="20"/>
              </w:rPr>
            </w:pPr>
            <w:r w:rsidRPr="00AB51AD">
              <w:rPr>
                <w:rFonts w:ascii="Calibri" w:hAnsi="Calibri"/>
                <w:color w:val="000000"/>
                <w:sz w:val="20"/>
                <w:szCs w:val="20"/>
              </w:rPr>
              <w:t>11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F8DF8F9" w14:textId="77777777">
            <w:pPr>
              <w:jc w:val="right"/>
              <w:rPr>
                <w:rFonts w:ascii="Calibri" w:hAnsi="Calibri"/>
                <w:color w:val="000000"/>
                <w:sz w:val="20"/>
                <w:szCs w:val="20"/>
              </w:rPr>
            </w:pPr>
            <w:r w:rsidRPr="00AB51AD">
              <w:rPr>
                <w:rFonts w:ascii="Calibri" w:hAnsi="Calibri"/>
                <w:color w:val="000000"/>
                <w:sz w:val="20"/>
                <w:szCs w:val="20"/>
              </w:rPr>
              <w:t>11</w:t>
            </w:r>
          </w:p>
        </w:tc>
      </w:tr>
      <w:tr w:rsidRPr="00AB51AD" w:rsidR="00781BBF" w:rsidTr="00D15283" w14:paraId="589DC6A0"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19DDB6B" w14:textId="77777777">
            <w:pPr>
              <w:rPr>
                <w:rFonts w:ascii="Calibri" w:hAnsi="Calibri"/>
                <w:color w:val="000000"/>
                <w:sz w:val="20"/>
                <w:szCs w:val="20"/>
              </w:rPr>
            </w:pPr>
            <w:r w:rsidRPr="00AB51AD">
              <w:rPr>
                <w:rFonts w:ascii="Calibri" w:hAnsi="Calibri"/>
                <w:color w:val="000000"/>
                <w:sz w:val="20"/>
                <w:szCs w:val="20"/>
              </w:rPr>
              <w:t>71/76</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4FF794B3" w14:textId="77777777">
            <w:pPr>
              <w:rPr>
                <w:rFonts w:ascii="Calibri" w:hAnsi="Calibri"/>
                <w:color w:val="000000"/>
                <w:sz w:val="20"/>
                <w:szCs w:val="20"/>
              </w:rPr>
            </w:pPr>
            <w:r w:rsidRPr="00AB51AD">
              <w:rPr>
                <w:rFonts w:ascii="Calibri" w:hAnsi="Calibri"/>
                <w:color w:val="000000"/>
                <w:sz w:val="20"/>
                <w:szCs w:val="20"/>
              </w:rPr>
              <w:t>Resale_Monthly_71_76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810888B" w14:textId="77777777">
            <w:pPr>
              <w:jc w:val="right"/>
              <w:rPr>
                <w:rFonts w:ascii="Calibri" w:hAnsi="Calibri"/>
                <w:color w:val="000000"/>
                <w:sz w:val="20"/>
                <w:szCs w:val="20"/>
              </w:rPr>
            </w:pPr>
            <w:r w:rsidRPr="00AB51AD">
              <w:rPr>
                <w:rFonts w:ascii="Calibri" w:hAnsi="Calibri"/>
                <w:color w:val="000000"/>
                <w:sz w:val="20"/>
                <w:szCs w:val="20"/>
              </w:rPr>
              <w:t>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5D531D74" w14:textId="77777777">
            <w:pPr>
              <w:jc w:val="right"/>
              <w:rPr>
                <w:rFonts w:ascii="Calibri" w:hAnsi="Calibri"/>
                <w:color w:val="000000"/>
                <w:sz w:val="20"/>
                <w:szCs w:val="20"/>
              </w:rPr>
            </w:pPr>
            <w:r w:rsidRPr="00AB51AD">
              <w:rPr>
                <w:rFonts w:ascii="Calibri" w:hAnsi="Calibri"/>
                <w:color w:val="000000"/>
                <w:sz w:val="20"/>
                <w:szCs w:val="20"/>
              </w:rPr>
              <w:t>0</w:t>
            </w:r>
          </w:p>
        </w:tc>
      </w:tr>
      <w:tr w:rsidRPr="00AB51AD" w:rsidR="00781BBF" w:rsidTr="00D15283" w14:paraId="1A776552"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7D9E003" w14:textId="77777777">
            <w:pPr>
              <w:jc w:val="right"/>
              <w:rPr>
                <w:rFonts w:ascii="Calibri" w:hAnsi="Calibri"/>
                <w:color w:val="000000"/>
                <w:sz w:val="20"/>
                <w:szCs w:val="20"/>
              </w:rPr>
            </w:pPr>
            <w:r w:rsidRPr="00AB51AD">
              <w:rPr>
                <w:rFonts w:ascii="Calibri" w:hAnsi="Calibri"/>
                <w:color w:val="000000"/>
                <w:sz w:val="20"/>
                <w:szCs w:val="20"/>
              </w:rPr>
              <w:t>81</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C739E8B" w14:textId="77777777">
            <w:pPr>
              <w:rPr>
                <w:rFonts w:ascii="Calibri" w:hAnsi="Calibri"/>
                <w:color w:val="000000"/>
                <w:sz w:val="20"/>
                <w:szCs w:val="20"/>
              </w:rPr>
            </w:pPr>
            <w:r w:rsidRPr="00AB51AD">
              <w:rPr>
                <w:rFonts w:ascii="Calibri" w:hAnsi="Calibri"/>
                <w:color w:val="000000"/>
                <w:sz w:val="20"/>
                <w:szCs w:val="20"/>
              </w:rPr>
              <w:t>Temp_Bi_Monthly_81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A9610F7" w14:textId="77777777">
            <w:pPr>
              <w:jc w:val="right"/>
              <w:rPr>
                <w:rFonts w:ascii="Calibri" w:hAnsi="Calibri"/>
                <w:color w:val="000000"/>
                <w:sz w:val="20"/>
                <w:szCs w:val="20"/>
              </w:rPr>
            </w:pPr>
            <w:r w:rsidRPr="00AB51AD">
              <w:rPr>
                <w:rFonts w:ascii="Calibri" w:hAnsi="Calibri"/>
                <w:color w:val="000000"/>
                <w:sz w:val="20"/>
                <w:szCs w:val="20"/>
              </w:rPr>
              <w:t>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A159EBC" w14:textId="77777777">
            <w:pPr>
              <w:jc w:val="right"/>
              <w:rPr>
                <w:rFonts w:ascii="Calibri" w:hAnsi="Calibri"/>
                <w:color w:val="000000"/>
                <w:sz w:val="20"/>
                <w:szCs w:val="20"/>
              </w:rPr>
            </w:pPr>
            <w:r w:rsidRPr="00AB51AD">
              <w:rPr>
                <w:rFonts w:ascii="Calibri" w:hAnsi="Calibri"/>
                <w:color w:val="000000"/>
                <w:sz w:val="20"/>
                <w:szCs w:val="20"/>
              </w:rPr>
              <w:t>0</w:t>
            </w:r>
          </w:p>
        </w:tc>
      </w:tr>
      <w:tr w:rsidRPr="00AB51AD" w:rsidR="00781BBF" w:rsidTr="00D15283" w14:paraId="1454B093"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176B827" w14:textId="77777777">
            <w:pPr>
              <w:jc w:val="right"/>
              <w:rPr>
                <w:rFonts w:ascii="Calibri" w:hAnsi="Calibri"/>
                <w:color w:val="000000"/>
                <w:sz w:val="20"/>
                <w:szCs w:val="20"/>
              </w:rPr>
            </w:pPr>
            <w:r w:rsidRPr="00AB51AD">
              <w:rPr>
                <w:rFonts w:ascii="Calibri" w:hAnsi="Calibri"/>
                <w:color w:val="000000"/>
                <w:sz w:val="20"/>
                <w:szCs w:val="20"/>
              </w:rPr>
              <w:t>82</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283A74D" w14:textId="77777777">
            <w:pPr>
              <w:rPr>
                <w:rFonts w:ascii="Calibri" w:hAnsi="Calibri"/>
                <w:color w:val="000000"/>
                <w:sz w:val="20"/>
                <w:szCs w:val="20"/>
              </w:rPr>
            </w:pPr>
            <w:r w:rsidRPr="00AB51AD">
              <w:rPr>
                <w:rFonts w:ascii="Calibri" w:hAnsi="Calibri"/>
                <w:color w:val="000000"/>
                <w:sz w:val="20"/>
                <w:szCs w:val="20"/>
              </w:rPr>
              <w:t>Temp_Monthly_82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FB62DFB" w14:textId="77777777">
            <w:pPr>
              <w:jc w:val="right"/>
              <w:rPr>
                <w:rFonts w:ascii="Calibri" w:hAnsi="Calibri"/>
                <w:color w:val="000000"/>
                <w:sz w:val="20"/>
                <w:szCs w:val="20"/>
              </w:rPr>
            </w:pPr>
            <w:r w:rsidRPr="00AB51AD">
              <w:rPr>
                <w:rFonts w:ascii="Calibri" w:hAnsi="Calibri"/>
                <w:color w:val="000000"/>
                <w:sz w:val="20"/>
                <w:szCs w:val="20"/>
              </w:rPr>
              <w:t>14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4B0EDD82" w14:textId="77777777">
            <w:pPr>
              <w:jc w:val="right"/>
              <w:rPr>
                <w:rFonts w:ascii="Calibri" w:hAnsi="Calibri"/>
                <w:color w:val="000000"/>
                <w:sz w:val="20"/>
                <w:szCs w:val="20"/>
              </w:rPr>
            </w:pPr>
            <w:r w:rsidRPr="00AB51AD">
              <w:rPr>
                <w:rFonts w:ascii="Calibri" w:hAnsi="Calibri"/>
                <w:color w:val="000000"/>
                <w:sz w:val="20"/>
                <w:szCs w:val="20"/>
              </w:rPr>
              <w:t>16</w:t>
            </w:r>
          </w:p>
        </w:tc>
      </w:tr>
      <w:tr w:rsidRPr="00AB51AD" w:rsidR="00781BBF" w:rsidTr="00D15283" w14:paraId="6F023480"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1006C3E8" w14:textId="77777777">
            <w:pPr>
              <w:jc w:val="right"/>
              <w:rPr>
                <w:rFonts w:ascii="Calibri" w:hAnsi="Calibri"/>
                <w:color w:val="000000"/>
                <w:sz w:val="20"/>
                <w:szCs w:val="20"/>
              </w:rPr>
            </w:pPr>
            <w:r w:rsidRPr="00AB51AD">
              <w:rPr>
                <w:rFonts w:ascii="Calibri" w:hAnsi="Calibri"/>
                <w:color w:val="000000"/>
                <w:sz w:val="20"/>
                <w:szCs w:val="20"/>
              </w:rPr>
              <w:t>86</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E966036" w14:textId="77777777">
            <w:pPr>
              <w:rPr>
                <w:rFonts w:ascii="Calibri" w:hAnsi="Calibri"/>
                <w:color w:val="000000"/>
                <w:sz w:val="20"/>
                <w:szCs w:val="20"/>
              </w:rPr>
            </w:pPr>
            <w:r w:rsidRPr="00AB51AD">
              <w:rPr>
                <w:rFonts w:ascii="Calibri" w:hAnsi="Calibri"/>
                <w:color w:val="000000"/>
                <w:sz w:val="20"/>
                <w:szCs w:val="20"/>
              </w:rPr>
              <w:t>Reclaimed_Monthly_86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19F5FC05" w14:textId="77777777">
            <w:pPr>
              <w:jc w:val="right"/>
              <w:rPr>
                <w:rFonts w:ascii="Calibri" w:hAnsi="Calibri"/>
                <w:color w:val="000000"/>
                <w:sz w:val="20"/>
                <w:szCs w:val="20"/>
              </w:rPr>
            </w:pPr>
            <w:r w:rsidRPr="00AB51AD">
              <w:rPr>
                <w:rFonts w:ascii="Calibri" w:hAnsi="Calibri"/>
                <w:color w:val="000000"/>
                <w:sz w:val="20"/>
                <w:szCs w:val="20"/>
              </w:rPr>
              <w:t>26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CD1FDCC" w14:textId="77777777">
            <w:pPr>
              <w:jc w:val="right"/>
              <w:rPr>
                <w:rFonts w:ascii="Calibri" w:hAnsi="Calibri"/>
                <w:color w:val="000000"/>
                <w:sz w:val="20"/>
                <w:szCs w:val="20"/>
              </w:rPr>
            </w:pPr>
            <w:r w:rsidRPr="00AB51AD">
              <w:rPr>
                <w:rFonts w:ascii="Calibri" w:hAnsi="Calibri"/>
                <w:color w:val="000000"/>
                <w:sz w:val="20"/>
                <w:szCs w:val="20"/>
              </w:rPr>
              <w:t>26</w:t>
            </w:r>
          </w:p>
        </w:tc>
      </w:tr>
      <w:tr w:rsidRPr="00AB51AD" w:rsidR="00781BBF" w:rsidTr="00D15283" w14:paraId="576633AF"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42A517F3" w14:textId="77777777">
            <w:pPr>
              <w:rPr>
                <w:rFonts w:ascii="Calibri" w:hAnsi="Calibri"/>
                <w:color w:val="000000"/>
                <w:sz w:val="20"/>
                <w:szCs w:val="20"/>
              </w:rPr>
            </w:pPr>
            <w:r w:rsidRPr="00AB51AD">
              <w:rPr>
                <w:rFonts w:ascii="Calibri" w:hAnsi="Calibri"/>
                <w:color w:val="000000"/>
                <w:sz w:val="20"/>
                <w:szCs w:val="20"/>
              </w:rPr>
              <w:t>Total Customers</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52948C15" w14:textId="77777777">
            <w:pPr>
              <w:rPr>
                <w:rFonts w:ascii="Calibri" w:hAnsi="Calibri"/>
                <w:color w:val="000000"/>
                <w:sz w:val="20"/>
                <w:szCs w:val="20"/>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7CEF46C" w14:textId="77777777">
            <w:pPr>
              <w:jc w:val="right"/>
              <w:rPr>
                <w:rFonts w:ascii="Calibri" w:hAnsi="Calibri"/>
                <w:color w:val="000000"/>
                <w:sz w:val="20"/>
                <w:szCs w:val="20"/>
              </w:rPr>
            </w:pPr>
            <w:r w:rsidRPr="00AB51AD">
              <w:rPr>
                <w:rFonts w:ascii="Calibri" w:hAnsi="Calibri"/>
                <w:color w:val="000000"/>
                <w:sz w:val="20"/>
                <w:szCs w:val="20"/>
              </w:rPr>
              <w:t>27485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49839133" w14:textId="77777777">
            <w:pPr>
              <w:jc w:val="right"/>
              <w:rPr>
                <w:rFonts w:ascii="Calibri" w:hAnsi="Calibri"/>
                <w:color w:val="000000"/>
                <w:sz w:val="20"/>
                <w:szCs w:val="20"/>
              </w:rPr>
            </w:pPr>
            <w:r w:rsidRPr="00AB51AD">
              <w:rPr>
                <w:rFonts w:ascii="Calibri" w:hAnsi="Calibri"/>
                <w:color w:val="000000"/>
                <w:sz w:val="20"/>
                <w:szCs w:val="20"/>
              </w:rPr>
              <w:t>27527</w:t>
            </w:r>
          </w:p>
        </w:tc>
      </w:tr>
      <w:tr w:rsidRPr="00AB51AD" w:rsidR="00781BBF" w:rsidTr="00D15283" w14:paraId="64BAE98A" w14:textId="77777777">
        <w:trPr>
          <w:trHeight w:val="300"/>
        </w:trPr>
        <w:tc>
          <w:tcPr>
            <w:tcW w:w="8687"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6D99878" w14:textId="77777777">
            <w:pPr>
              <w:rPr>
                <w:b/>
                <w:bCs/>
                <w:sz w:val="20"/>
                <w:szCs w:val="20"/>
              </w:rPr>
            </w:pPr>
            <w:r w:rsidRPr="00AB51AD">
              <w:rPr>
                <w:rFonts w:ascii="Calibri" w:hAnsi="Calibri"/>
                <w:b/>
                <w:bCs/>
                <w:color w:val="000000"/>
                <w:sz w:val="20"/>
                <w:szCs w:val="20"/>
              </w:rPr>
              <w:t>Water Sales (</w:t>
            </w:r>
            <w:proofErr w:type="spellStart"/>
            <w:r w:rsidRPr="00AB51AD">
              <w:rPr>
                <w:rFonts w:ascii="Calibri" w:hAnsi="Calibri"/>
                <w:b/>
                <w:bCs/>
                <w:color w:val="000000"/>
                <w:sz w:val="20"/>
                <w:szCs w:val="20"/>
              </w:rPr>
              <w:t>ccf</w:t>
            </w:r>
            <w:proofErr w:type="spellEnd"/>
            <w:r w:rsidRPr="00AB51AD">
              <w:rPr>
                <w:rFonts w:ascii="Calibri" w:hAnsi="Calibri"/>
                <w:b/>
                <w:bCs/>
                <w:color w:val="000000"/>
                <w:sz w:val="20"/>
                <w:szCs w:val="20"/>
              </w:rPr>
              <w:t>/</w:t>
            </w:r>
            <w:proofErr w:type="spellStart"/>
            <w:r w:rsidRPr="00AB51AD">
              <w:rPr>
                <w:rFonts w:ascii="Calibri" w:hAnsi="Calibri"/>
                <w:b/>
                <w:bCs/>
                <w:color w:val="000000"/>
                <w:sz w:val="20"/>
                <w:szCs w:val="20"/>
              </w:rPr>
              <w:t>cust</w:t>
            </w:r>
            <w:proofErr w:type="spellEnd"/>
            <w:r w:rsidRPr="00AB51AD">
              <w:rPr>
                <w:rFonts w:ascii="Calibri" w:hAnsi="Calibri"/>
                <w:b/>
                <w:bCs/>
                <w:color w:val="000000"/>
                <w:sz w:val="20"/>
                <w:szCs w:val="20"/>
              </w:rPr>
              <w:t>)</w:t>
            </w:r>
          </w:p>
        </w:tc>
      </w:tr>
      <w:tr w:rsidRPr="00AB51AD" w:rsidR="00781BBF" w:rsidTr="00D15283" w14:paraId="320C8C5D"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19E4AF1" w14:textId="77777777">
            <w:pPr>
              <w:jc w:val="right"/>
              <w:rPr>
                <w:rFonts w:ascii="Calibri" w:hAnsi="Calibri"/>
                <w:color w:val="000000"/>
                <w:sz w:val="20"/>
                <w:szCs w:val="20"/>
              </w:rPr>
            </w:pPr>
            <w:r w:rsidRPr="00AB51AD">
              <w:rPr>
                <w:rFonts w:ascii="Calibri" w:hAnsi="Calibri"/>
                <w:color w:val="000000"/>
                <w:sz w:val="20"/>
                <w:szCs w:val="20"/>
              </w:rPr>
              <w:t>11</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0ADEA66" w14:textId="77777777">
            <w:pPr>
              <w:rPr>
                <w:rFonts w:ascii="Calibri" w:hAnsi="Calibri"/>
                <w:color w:val="000000"/>
                <w:sz w:val="20"/>
                <w:szCs w:val="20"/>
              </w:rPr>
            </w:pPr>
            <w:r w:rsidRPr="00AB51AD">
              <w:rPr>
                <w:rFonts w:ascii="Calibri" w:hAnsi="Calibri"/>
                <w:color w:val="000000"/>
                <w:sz w:val="20"/>
                <w:szCs w:val="20"/>
              </w:rPr>
              <w:t>Residential_Bi_Monthly_11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B0625CC" w14:textId="77777777">
            <w:pPr>
              <w:jc w:val="right"/>
              <w:rPr>
                <w:rFonts w:ascii="Calibri" w:hAnsi="Calibri"/>
                <w:color w:val="000000"/>
                <w:sz w:val="20"/>
                <w:szCs w:val="20"/>
              </w:rPr>
            </w:pPr>
            <w:r w:rsidRPr="00AB51AD">
              <w:rPr>
                <w:rFonts w:ascii="Calibri" w:hAnsi="Calibri"/>
                <w:color w:val="000000"/>
                <w:sz w:val="20"/>
                <w:szCs w:val="20"/>
              </w:rPr>
              <w:t>105.69</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5E4B551" w14:textId="77777777">
            <w:pPr>
              <w:jc w:val="right"/>
              <w:rPr>
                <w:rFonts w:ascii="Calibri" w:hAnsi="Calibri"/>
                <w:color w:val="000000"/>
                <w:sz w:val="20"/>
                <w:szCs w:val="20"/>
              </w:rPr>
            </w:pPr>
            <w:r w:rsidRPr="00AB51AD">
              <w:rPr>
                <w:rFonts w:ascii="Calibri" w:hAnsi="Calibri"/>
                <w:color w:val="000000"/>
                <w:sz w:val="20"/>
                <w:szCs w:val="20"/>
              </w:rPr>
              <w:t>105.69</w:t>
            </w:r>
          </w:p>
        </w:tc>
      </w:tr>
      <w:tr w:rsidRPr="00AB51AD" w:rsidR="00781BBF" w:rsidTr="00D15283" w14:paraId="4B15BA02"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6719E82" w14:textId="77777777">
            <w:pPr>
              <w:jc w:val="right"/>
              <w:rPr>
                <w:rFonts w:ascii="Calibri" w:hAnsi="Calibri"/>
                <w:color w:val="000000"/>
                <w:sz w:val="20"/>
                <w:szCs w:val="20"/>
              </w:rPr>
            </w:pPr>
            <w:r w:rsidRPr="00AB51AD">
              <w:rPr>
                <w:rFonts w:ascii="Calibri" w:hAnsi="Calibri"/>
                <w:color w:val="000000"/>
                <w:sz w:val="20"/>
                <w:szCs w:val="20"/>
              </w:rPr>
              <w:t>22/18</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FDAA915" w14:textId="77777777">
            <w:pPr>
              <w:rPr>
                <w:rFonts w:ascii="Calibri" w:hAnsi="Calibri"/>
                <w:color w:val="000000"/>
                <w:sz w:val="20"/>
                <w:szCs w:val="20"/>
              </w:rPr>
            </w:pPr>
            <w:r w:rsidRPr="00AB51AD">
              <w:rPr>
                <w:rFonts w:ascii="Calibri" w:hAnsi="Calibri"/>
                <w:color w:val="000000"/>
                <w:sz w:val="20"/>
                <w:szCs w:val="20"/>
              </w:rPr>
              <w:t>Business_Bi_Monthly_22_18</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2956BE3" w14:textId="77777777">
            <w:pPr>
              <w:jc w:val="right"/>
              <w:rPr>
                <w:rFonts w:ascii="Calibri" w:hAnsi="Calibri"/>
                <w:color w:val="000000"/>
                <w:sz w:val="20"/>
                <w:szCs w:val="20"/>
              </w:rPr>
            </w:pPr>
            <w:r w:rsidRPr="00AB51AD">
              <w:rPr>
                <w:rFonts w:ascii="Calibri" w:hAnsi="Calibri"/>
                <w:color w:val="000000"/>
                <w:sz w:val="20"/>
                <w:szCs w:val="20"/>
              </w:rPr>
              <w:t>449.39</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958B49D" w14:textId="77777777">
            <w:pPr>
              <w:jc w:val="right"/>
              <w:rPr>
                <w:rFonts w:ascii="Calibri" w:hAnsi="Calibri"/>
                <w:color w:val="000000"/>
                <w:sz w:val="20"/>
                <w:szCs w:val="20"/>
              </w:rPr>
            </w:pPr>
            <w:r w:rsidRPr="00AB51AD">
              <w:rPr>
                <w:rFonts w:ascii="Calibri" w:hAnsi="Calibri"/>
                <w:color w:val="000000"/>
                <w:sz w:val="20"/>
                <w:szCs w:val="20"/>
              </w:rPr>
              <w:t>449.39</w:t>
            </w:r>
          </w:p>
        </w:tc>
      </w:tr>
      <w:tr w:rsidRPr="00AB51AD" w:rsidR="00781BBF" w:rsidTr="00D15283" w14:paraId="0B6BD2F3"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1B8DC9CD" w14:textId="77777777">
            <w:pPr>
              <w:jc w:val="right"/>
              <w:rPr>
                <w:rFonts w:ascii="Calibri" w:hAnsi="Calibri"/>
                <w:color w:val="000000"/>
                <w:sz w:val="20"/>
                <w:szCs w:val="20"/>
              </w:rPr>
            </w:pPr>
            <w:r w:rsidRPr="00AB51AD">
              <w:rPr>
                <w:rFonts w:ascii="Calibri" w:hAnsi="Calibri"/>
                <w:color w:val="000000"/>
                <w:sz w:val="20"/>
                <w:szCs w:val="20"/>
              </w:rPr>
              <w:t>23/19</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983869B" w14:textId="77777777">
            <w:pPr>
              <w:rPr>
                <w:rFonts w:ascii="Calibri" w:hAnsi="Calibri"/>
                <w:color w:val="000000"/>
                <w:sz w:val="20"/>
                <w:szCs w:val="20"/>
              </w:rPr>
            </w:pPr>
            <w:r w:rsidRPr="00AB51AD">
              <w:rPr>
                <w:rFonts w:ascii="Calibri" w:hAnsi="Calibri"/>
                <w:color w:val="000000"/>
                <w:sz w:val="20"/>
                <w:szCs w:val="20"/>
              </w:rPr>
              <w:t>Business_Monthly_23_19</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5CFA693" w14:textId="77777777">
            <w:pPr>
              <w:jc w:val="right"/>
              <w:rPr>
                <w:rFonts w:ascii="Calibri" w:hAnsi="Calibri"/>
                <w:color w:val="000000"/>
                <w:sz w:val="20"/>
                <w:szCs w:val="20"/>
              </w:rPr>
            </w:pPr>
            <w:r w:rsidRPr="00AB51AD">
              <w:rPr>
                <w:rFonts w:ascii="Calibri" w:hAnsi="Calibri"/>
                <w:color w:val="000000"/>
                <w:sz w:val="20"/>
                <w:szCs w:val="20"/>
              </w:rPr>
              <w:t>4879.66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A362D11" w14:textId="77777777">
            <w:pPr>
              <w:jc w:val="right"/>
              <w:rPr>
                <w:rFonts w:ascii="Calibri" w:hAnsi="Calibri"/>
                <w:color w:val="000000"/>
                <w:sz w:val="20"/>
                <w:szCs w:val="20"/>
              </w:rPr>
            </w:pPr>
            <w:r w:rsidRPr="00AB51AD">
              <w:rPr>
                <w:rFonts w:ascii="Calibri" w:hAnsi="Calibri"/>
                <w:color w:val="000000"/>
                <w:sz w:val="20"/>
                <w:szCs w:val="20"/>
              </w:rPr>
              <w:t>4879.66</w:t>
            </w:r>
          </w:p>
        </w:tc>
      </w:tr>
      <w:tr w:rsidRPr="00AB51AD" w:rsidR="00781BBF" w:rsidTr="00D15283" w14:paraId="29FD1831"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42886BCD" w14:textId="77777777">
            <w:pPr>
              <w:jc w:val="right"/>
              <w:rPr>
                <w:rFonts w:ascii="Calibri" w:hAnsi="Calibri"/>
                <w:color w:val="000000"/>
                <w:sz w:val="20"/>
                <w:szCs w:val="20"/>
              </w:rPr>
            </w:pPr>
            <w:r w:rsidRPr="00AB51AD">
              <w:rPr>
                <w:rFonts w:ascii="Calibri" w:hAnsi="Calibri"/>
                <w:color w:val="000000"/>
                <w:sz w:val="20"/>
                <w:szCs w:val="20"/>
              </w:rPr>
              <w:t>33</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69C61CE" w14:textId="77777777">
            <w:pPr>
              <w:rPr>
                <w:rFonts w:ascii="Calibri" w:hAnsi="Calibri"/>
                <w:color w:val="000000"/>
                <w:sz w:val="20"/>
                <w:szCs w:val="20"/>
              </w:rPr>
            </w:pPr>
            <w:r w:rsidRPr="00AB51AD">
              <w:rPr>
                <w:rFonts w:ascii="Calibri" w:hAnsi="Calibri"/>
                <w:color w:val="000000"/>
                <w:sz w:val="20"/>
                <w:szCs w:val="20"/>
              </w:rPr>
              <w:t>Industrial_Bi_Monthly_33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860D681" w14:textId="77777777">
            <w:pPr>
              <w:jc w:val="right"/>
              <w:rPr>
                <w:rFonts w:ascii="Calibri" w:hAnsi="Calibri"/>
                <w:color w:val="000000"/>
                <w:sz w:val="20"/>
                <w:szCs w:val="20"/>
              </w:rPr>
            </w:pPr>
            <w:r w:rsidRPr="00AB51AD">
              <w:rPr>
                <w:rFonts w:ascii="Calibri" w:hAnsi="Calibri"/>
                <w:color w:val="000000"/>
                <w:sz w:val="20"/>
                <w:szCs w:val="20"/>
              </w:rPr>
              <w:t>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611F551" w14:textId="77777777">
            <w:pPr>
              <w:jc w:val="right"/>
              <w:rPr>
                <w:rFonts w:ascii="Calibri" w:hAnsi="Calibri"/>
                <w:color w:val="000000"/>
                <w:sz w:val="20"/>
                <w:szCs w:val="20"/>
              </w:rPr>
            </w:pPr>
            <w:r w:rsidRPr="00AB51AD">
              <w:rPr>
                <w:rFonts w:ascii="Calibri" w:hAnsi="Calibri"/>
                <w:color w:val="000000"/>
                <w:sz w:val="20"/>
                <w:szCs w:val="20"/>
              </w:rPr>
              <w:t>0</w:t>
            </w:r>
          </w:p>
        </w:tc>
      </w:tr>
      <w:tr w:rsidRPr="00AB51AD" w:rsidR="00781BBF" w:rsidTr="00D15283" w14:paraId="7E5C8F1A"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D95DBB3" w14:textId="77777777">
            <w:pPr>
              <w:jc w:val="right"/>
              <w:rPr>
                <w:rFonts w:ascii="Calibri" w:hAnsi="Calibri"/>
                <w:color w:val="000000"/>
                <w:sz w:val="20"/>
                <w:szCs w:val="20"/>
              </w:rPr>
            </w:pPr>
            <w:r w:rsidRPr="00AB51AD">
              <w:rPr>
                <w:rFonts w:ascii="Calibri" w:hAnsi="Calibri"/>
                <w:color w:val="000000"/>
                <w:sz w:val="20"/>
                <w:szCs w:val="20"/>
              </w:rPr>
              <w:t>34</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91A624E" w14:textId="77777777">
            <w:pPr>
              <w:rPr>
                <w:rFonts w:ascii="Calibri" w:hAnsi="Calibri"/>
                <w:color w:val="000000"/>
                <w:sz w:val="20"/>
                <w:szCs w:val="20"/>
              </w:rPr>
            </w:pPr>
            <w:r w:rsidRPr="00AB51AD">
              <w:rPr>
                <w:rFonts w:ascii="Calibri" w:hAnsi="Calibri"/>
                <w:color w:val="000000"/>
                <w:sz w:val="20"/>
                <w:szCs w:val="20"/>
              </w:rPr>
              <w:t>Industrial_Monthly_34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43A22F9" w14:textId="77777777">
            <w:pPr>
              <w:jc w:val="right"/>
              <w:rPr>
                <w:rFonts w:ascii="Calibri" w:hAnsi="Calibri"/>
                <w:color w:val="000000"/>
                <w:sz w:val="20"/>
                <w:szCs w:val="20"/>
              </w:rPr>
            </w:pPr>
            <w:r w:rsidRPr="00AB51AD">
              <w:rPr>
                <w:rFonts w:ascii="Calibri" w:hAnsi="Calibri"/>
                <w:color w:val="000000"/>
                <w:sz w:val="20"/>
                <w:szCs w:val="20"/>
              </w:rPr>
              <w:t>8608.2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55CA616" w14:textId="77777777">
            <w:pPr>
              <w:jc w:val="right"/>
              <w:rPr>
                <w:rFonts w:ascii="Calibri" w:hAnsi="Calibri"/>
                <w:color w:val="000000"/>
                <w:sz w:val="20"/>
                <w:szCs w:val="20"/>
              </w:rPr>
            </w:pPr>
            <w:r w:rsidRPr="00AB51AD">
              <w:rPr>
                <w:rFonts w:ascii="Calibri" w:hAnsi="Calibri"/>
                <w:color w:val="000000"/>
                <w:sz w:val="20"/>
                <w:szCs w:val="20"/>
              </w:rPr>
              <w:t>8608.2</w:t>
            </w:r>
          </w:p>
        </w:tc>
      </w:tr>
      <w:tr w:rsidRPr="00AB51AD" w:rsidR="00781BBF" w:rsidTr="00D15283" w14:paraId="091DE6B7"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FEAD50D" w14:textId="77777777">
            <w:pPr>
              <w:jc w:val="right"/>
              <w:rPr>
                <w:rFonts w:ascii="Calibri" w:hAnsi="Calibri"/>
                <w:color w:val="000000"/>
                <w:sz w:val="20"/>
                <w:szCs w:val="20"/>
              </w:rPr>
            </w:pPr>
            <w:r w:rsidRPr="00AB51AD">
              <w:rPr>
                <w:rFonts w:ascii="Calibri" w:hAnsi="Calibri"/>
                <w:color w:val="000000"/>
                <w:sz w:val="20"/>
                <w:szCs w:val="20"/>
              </w:rPr>
              <w:t>45</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EFC3043" w14:textId="77777777">
            <w:pPr>
              <w:rPr>
                <w:rFonts w:ascii="Calibri" w:hAnsi="Calibri"/>
                <w:color w:val="000000"/>
                <w:sz w:val="20"/>
                <w:szCs w:val="20"/>
              </w:rPr>
            </w:pPr>
            <w:r w:rsidRPr="00AB51AD">
              <w:rPr>
                <w:rFonts w:ascii="Calibri" w:hAnsi="Calibri"/>
                <w:color w:val="000000"/>
                <w:sz w:val="20"/>
                <w:szCs w:val="20"/>
              </w:rPr>
              <w:t>Public_Auth_Bi_Monthly_45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1BD43A55" w14:textId="77777777">
            <w:pPr>
              <w:jc w:val="right"/>
              <w:rPr>
                <w:rFonts w:ascii="Calibri" w:hAnsi="Calibri"/>
                <w:color w:val="000000"/>
                <w:sz w:val="20"/>
                <w:szCs w:val="20"/>
              </w:rPr>
            </w:pPr>
            <w:r w:rsidRPr="00AB51AD">
              <w:rPr>
                <w:rFonts w:ascii="Calibri" w:hAnsi="Calibri"/>
                <w:color w:val="000000"/>
                <w:sz w:val="20"/>
                <w:szCs w:val="20"/>
              </w:rPr>
              <w:t>280.03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7CE8700" w14:textId="77777777">
            <w:pPr>
              <w:jc w:val="right"/>
              <w:rPr>
                <w:rFonts w:ascii="Calibri" w:hAnsi="Calibri"/>
                <w:color w:val="000000"/>
                <w:sz w:val="20"/>
                <w:szCs w:val="20"/>
              </w:rPr>
            </w:pPr>
            <w:r w:rsidRPr="00AB51AD">
              <w:rPr>
                <w:rFonts w:ascii="Calibri" w:hAnsi="Calibri"/>
                <w:color w:val="000000"/>
                <w:sz w:val="20"/>
                <w:szCs w:val="20"/>
              </w:rPr>
              <w:t>280.03</w:t>
            </w:r>
          </w:p>
        </w:tc>
      </w:tr>
      <w:tr w:rsidRPr="00AB51AD" w:rsidR="00781BBF" w:rsidTr="00D15283" w14:paraId="75353CB5"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5B28BA8B" w14:textId="77777777">
            <w:pPr>
              <w:jc w:val="right"/>
              <w:rPr>
                <w:rFonts w:ascii="Calibri" w:hAnsi="Calibri"/>
                <w:color w:val="000000"/>
                <w:sz w:val="20"/>
                <w:szCs w:val="20"/>
              </w:rPr>
            </w:pPr>
            <w:r w:rsidRPr="00AB51AD">
              <w:rPr>
                <w:rFonts w:ascii="Calibri" w:hAnsi="Calibri"/>
                <w:color w:val="000000"/>
                <w:sz w:val="20"/>
                <w:szCs w:val="20"/>
              </w:rPr>
              <w:t>46</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44894BF3" w14:textId="77777777">
            <w:pPr>
              <w:rPr>
                <w:rFonts w:ascii="Calibri" w:hAnsi="Calibri"/>
                <w:color w:val="000000"/>
                <w:sz w:val="20"/>
                <w:szCs w:val="20"/>
              </w:rPr>
            </w:pPr>
            <w:r w:rsidRPr="00AB51AD">
              <w:rPr>
                <w:rFonts w:ascii="Calibri" w:hAnsi="Calibri"/>
                <w:color w:val="000000"/>
                <w:sz w:val="20"/>
                <w:szCs w:val="20"/>
              </w:rPr>
              <w:t>Public_Auth_Monthly_46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23380DE" w14:textId="77777777">
            <w:pPr>
              <w:jc w:val="right"/>
              <w:rPr>
                <w:rFonts w:ascii="Calibri" w:hAnsi="Calibri"/>
                <w:color w:val="000000"/>
                <w:sz w:val="20"/>
                <w:szCs w:val="20"/>
              </w:rPr>
            </w:pPr>
            <w:r w:rsidRPr="00AB51AD">
              <w:rPr>
                <w:rFonts w:ascii="Calibri" w:hAnsi="Calibri"/>
                <w:color w:val="000000"/>
                <w:sz w:val="20"/>
                <w:szCs w:val="20"/>
              </w:rPr>
              <w:t>3235.38</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CE3AB73" w14:textId="77777777">
            <w:pPr>
              <w:jc w:val="right"/>
              <w:rPr>
                <w:rFonts w:ascii="Calibri" w:hAnsi="Calibri"/>
                <w:color w:val="000000"/>
                <w:sz w:val="20"/>
                <w:szCs w:val="20"/>
              </w:rPr>
            </w:pPr>
            <w:r w:rsidRPr="00AB51AD">
              <w:rPr>
                <w:rFonts w:ascii="Calibri" w:hAnsi="Calibri"/>
                <w:color w:val="000000"/>
                <w:sz w:val="20"/>
                <w:szCs w:val="20"/>
              </w:rPr>
              <w:t>3235.38</w:t>
            </w:r>
          </w:p>
        </w:tc>
      </w:tr>
      <w:tr w:rsidRPr="00AB51AD" w:rsidR="00781BBF" w:rsidTr="00D15283" w14:paraId="68B72BBF"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1666D52E" w14:textId="77777777">
            <w:pPr>
              <w:jc w:val="right"/>
              <w:rPr>
                <w:rFonts w:ascii="Calibri" w:hAnsi="Calibri"/>
                <w:color w:val="000000"/>
                <w:sz w:val="20"/>
                <w:szCs w:val="20"/>
              </w:rPr>
            </w:pPr>
            <w:r w:rsidRPr="00AB51AD">
              <w:rPr>
                <w:rFonts w:ascii="Calibri" w:hAnsi="Calibri"/>
                <w:color w:val="000000"/>
                <w:sz w:val="20"/>
                <w:szCs w:val="20"/>
              </w:rPr>
              <w:t>52</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20D0F12" w14:textId="77777777">
            <w:pPr>
              <w:rPr>
                <w:rFonts w:ascii="Calibri" w:hAnsi="Calibri"/>
                <w:color w:val="000000"/>
                <w:sz w:val="20"/>
                <w:szCs w:val="20"/>
              </w:rPr>
            </w:pPr>
            <w:r w:rsidRPr="00AB51AD">
              <w:rPr>
                <w:rFonts w:ascii="Calibri" w:hAnsi="Calibri"/>
                <w:color w:val="000000"/>
                <w:sz w:val="20"/>
                <w:szCs w:val="20"/>
              </w:rPr>
              <w:t>Priv_Fire_Srv_Bi_Monthly_52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4A07D259" w14:textId="77777777">
            <w:pPr>
              <w:jc w:val="right"/>
              <w:rPr>
                <w:rFonts w:ascii="Calibri" w:hAnsi="Calibri"/>
                <w:color w:val="000000"/>
                <w:sz w:val="20"/>
                <w:szCs w:val="20"/>
              </w:rPr>
            </w:pPr>
            <w:r w:rsidRPr="00AB51AD">
              <w:rPr>
                <w:rFonts w:ascii="Calibri" w:hAnsi="Calibri"/>
                <w:color w:val="000000"/>
                <w:sz w:val="20"/>
                <w:szCs w:val="20"/>
              </w:rPr>
              <w:t>2.42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91D6BA4" w14:textId="77777777">
            <w:pPr>
              <w:jc w:val="right"/>
              <w:rPr>
                <w:rFonts w:ascii="Calibri" w:hAnsi="Calibri"/>
                <w:color w:val="000000"/>
                <w:sz w:val="20"/>
                <w:szCs w:val="20"/>
              </w:rPr>
            </w:pPr>
            <w:r w:rsidRPr="00AB51AD">
              <w:rPr>
                <w:rFonts w:ascii="Calibri" w:hAnsi="Calibri"/>
                <w:color w:val="000000"/>
                <w:sz w:val="20"/>
                <w:szCs w:val="20"/>
              </w:rPr>
              <w:t>2.42</w:t>
            </w:r>
          </w:p>
        </w:tc>
      </w:tr>
      <w:tr w:rsidRPr="00AB51AD" w:rsidR="00781BBF" w:rsidTr="00D15283" w14:paraId="38BC54EE"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56162EEE" w14:textId="77777777">
            <w:pPr>
              <w:jc w:val="right"/>
              <w:rPr>
                <w:rFonts w:ascii="Calibri" w:hAnsi="Calibri"/>
                <w:color w:val="000000"/>
                <w:sz w:val="20"/>
                <w:szCs w:val="20"/>
              </w:rPr>
            </w:pPr>
            <w:r w:rsidRPr="00AB51AD">
              <w:rPr>
                <w:rFonts w:ascii="Calibri" w:hAnsi="Calibri"/>
                <w:color w:val="000000"/>
                <w:sz w:val="20"/>
                <w:szCs w:val="20"/>
              </w:rPr>
              <w:t>53</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C13338F" w14:textId="77777777">
            <w:pPr>
              <w:rPr>
                <w:rFonts w:ascii="Calibri" w:hAnsi="Calibri"/>
                <w:color w:val="000000"/>
                <w:sz w:val="20"/>
                <w:szCs w:val="20"/>
              </w:rPr>
            </w:pPr>
            <w:r w:rsidRPr="00AB51AD">
              <w:rPr>
                <w:rFonts w:ascii="Calibri" w:hAnsi="Calibri"/>
                <w:color w:val="000000"/>
                <w:sz w:val="20"/>
                <w:szCs w:val="20"/>
              </w:rPr>
              <w:t>Priv_Fire_Srv_Monthly_53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7ADB948" w14:textId="77777777">
            <w:pPr>
              <w:jc w:val="right"/>
              <w:rPr>
                <w:rFonts w:ascii="Calibri" w:hAnsi="Calibri"/>
                <w:color w:val="000000"/>
                <w:sz w:val="20"/>
                <w:szCs w:val="20"/>
              </w:rPr>
            </w:pPr>
            <w:r w:rsidRPr="00AB51AD">
              <w:rPr>
                <w:rFonts w:ascii="Calibri" w:hAnsi="Calibri"/>
                <w:color w:val="000000"/>
                <w:sz w:val="20"/>
                <w:szCs w:val="20"/>
              </w:rPr>
              <w:t>30.86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5EA9F22B" w14:textId="77777777">
            <w:pPr>
              <w:jc w:val="right"/>
              <w:rPr>
                <w:rFonts w:ascii="Calibri" w:hAnsi="Calibri"/>
                <w:color w:val="000000"/>
                <w:sz w:val="20"/>
                <w:szCs w:val="20"/>
              </w:rPr>
            </w:pPr>
            <w:r w:rsidRPr="00AB51AD">
              <w:rPr>
                <w:rFonts w:ascii="Calibri" w:hAnsi="Calibri"/>
                <w:color w:val="000000"/>
                <w:sz w:val="20"/>
                <w:szCs w:val="20"/>
              </w:rPr>
              <w:t>30.86</w:t>
            </w:r>
          </w:p>
        </w:tc>
      </w:tr>
      <w:tr w:rsidRPr="00AB51AD" w:rsidR="00781BBF" w:rsidTr="00D15283" w14:paraId="2ED5E007"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C130B39" w14:textId="77777777">
            <w:pPr>
              <w:jc w:val="right"/>
              <w:rPr>
                <w:rFonts w:ascii="Calibri" w:hAnsi="Calibri"/>
                <w:color w:val="000000"/>
                <w:sz w:val="20"/>
                <w:szCs w:val="20"/>
              </w:rPr>
            </w:pPr>
            <w:r w:rsidRPr="00AB51AD">
              <w:rPr>
                <w:rFonts w:ascii="Calibri" w:hAnsi="Calibri"/>
                <w:color w:val="000000"/>
                <w:sz w:val="20"/>
                <w:szCs w:val="20"/>
              </w:rPr>
              <w:t>61</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1A25E99" w14:textId="77777777">
            <w:pPr>
              <w:rPr>
                <w:rFonts w:ascii="Calibri" w:hAnsi="Calibri"/>
                <w:color w:val="000000"/>
                <w:sz w:val="20"/>
                <w:szCs w:val="20"/>
              </w:rPr>
            </w:pPr>
            <w:r w:rsidRPr="00AB51AD">
              <w:rPr>
                <w:rFonts w:ascii="Calibri" w:hAnsi="Calibri"/>
                <w:color w:val="000000"/>
                <w:sz w:val="20"/>
                <w:szCs w:val="20"/>
              </w:rPr>
              <w:t>Fire_Hydrants_Bi_Monthly_61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D140C10" w14:textId="77777777">
            <w:pPr>
              <w:jc w:val="right"/>
              <w:rPr>
                <w:rFonts w:ascii="Calibri" w:hAnsi="Calibri"/>
                <w:color w:val="000000"/>
                <w:sz w:val="20"/>
                <w:szCs w:val="20"/>
              </w:rPr>
            </w:pPr>
            <w:r w:rsidRPr="00AB51AD">
              <w:rPr>
                <w:rFonts w:ascii="Calibri" w:hAnsi="Calibri"/>
                <w:color w:val="000000"/>
                <w:sz w:val="20"/>
                <w:szCs w:val="20"/>
              </w:rPr>
              <w:t>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51FC504" w14:textId="77777777">
            <w:pPr>
              <w:jc w:val="right"/>
              <w:rPr>
                <w:rFonts w:ascii="Calibri" w:hAnsi="Calibri"/>
                <w:color w:val="000000"/>
                <w:sz w:val="20"/>
                <w:szCs w:val="20"/>
              </w:rPr>
            </w:pPr>
            <w:r w:rsidRPr="00AB51AD">
              <w:rPr>
                <w:rFonts w:ascii="Calibri" w:hAnsi="Calibri"/>
                <w:color w:val="000000"/>
                <w:sz w:val="20"/>
                <w:szCs w:val="20"/>
              </w:rPr>
              <w:t>0</w:t>
            </w:r>
          </w:p>
        </w:tc>
      </w:tr>
      <w:tr w:rsidRPr="00AB51AD" w:rsidR="00781BBF" w:rsidTr="00D15283" w14:paraId="794883B8"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5E004183" w14:textId="77777777">
            <w:pPr>
              <w:rPr>
                <w:rFonts w:ascii="Calibri" w:hAnsi="Calibri"/>
                <w:color w:val="000000"/>
                <w:sz w:val="20"/>
                <w:szCs w:val="20"/>
              </w:rPr>
            </w:pPr>
            <w:r w:rsidRPr="00AB51AD">
              <w:rPr>
                <w:rFonts w:ascii="Calibri" w:hAnsi="Calibri"/>
                <w:color w:val="000000"/>
                <w:sz w:val="20"/>
                <w:szCs w:val="20"/>
              </w:rPr>
              <w:t>71/76</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4ADE17AE" w14:textId="77777777">
            <w:pPr>
              <w:rPr>
                <w:rFonts w:ascii="Calibri" w:hAnsi="Calibri"/>
                <w:color w:val="000000"/>
                <w:sz w:val="20"/>
                <w:szCs w:val="20"/>
              </w:rPr>
            </w:pPr>
            <w:r w:rsidRPr="00AB51AD">
              <w:rPr>
                <w:rFonts w:ascii="Calibri" w:hAnsi="Calibri"/>
                <w:color w:val="000000"/>
                <w:sz w:val="20"/>
                <w:szCs w:val="20"/>
              </w:rPr>
              <w:t>Resale_Monthly_71_76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453F46ED" w14:textId="77777777">
            <w:pPr>
              <w:jc w:val="right"/>
              <w:rPr>
                <w:rFonts w:ascii="Calibri" w:hAnsi="Calibri"/>
                <w:color w:val="000000"/>
                <w:sz w:val="20"/>
                <w:szCs w:val="20"/>
              </w:rPr>
            </w:pPr>
            <w:r w:rsidRPr="00AB51AD">
              <w:rPr>
                <w:rFonts w:ascii="Calibri" w:hAnsi="Calibri"/>
                <w:color w:val="000000"/>
                <w:sz w:val="20"/>
                <w:szCs w:val="20"/>
              </w:rPr>
              <w:t>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790CE56" w14:textId="77777777">
            <w:pPr>
              <w:jc w:val="right"/>
              <w:rPr>
                <w:rFonts w:ascii="Calibri" w:hAnsi="Calibri"/>
                <w:color w:val="000000"/>
                <w:sz w:val="20"/>
                <w:szCs w:val="20"/>
              </w:rPr>
            </w:pPr>
            <w:r w:rsidRPr="00AB51AD">
              <w:rPr>
                <w:rFonts w:ascii="Calibri" w:hAnsi="Calibri"/>
                <w:color w:val="000000"/>
                <w:sz w:val="20"/>
                <w:szCs w:val="20"/>
              </w:rPr>
              <w:t>0</w:t>
            </w:r>
          </w:p>
        </w:tc>
      </w:tr>
      <w:tr w:rsidRPr="00AB51AD" w:rsidR="00781BBF" w:rsidTr="00D15283" w14:paraId="368791AA"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DF218CF" w14:textId="77777777">
            <w:pPr>
              <w:jc w:val="right"/>
              <w:rPr>
                <w:rFonts w:ascii="Calibri" w:hAnsi="Calibri"/>
                <w:color w:val="000000"/>
                <w:sz w:val="20"/>
                <w:szCs w:val="20"/>
              </w:rPr>
            </w:pPr>
            <w:r w:rsidRPr="00AB51AD">
              <w:rPr>
                <w:rFonts w:ascii="Calibri" w:hAnsi="Calibri"/>
                <w:color w:val="000000"/>
                <w:sz w:val="20"/>
                <w:szCs w:val="20"/>
              </w:rPr>
              <w:lastRenderedPageBreak/>
              <w:t>81</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BAEBDD9" w14:textId="77777777">
            <w:pPr>
              <w:rPr>
                <w:rFonts w:ascii="Calibri" w:hAnsi="Calibri"/>
                <w:color w:val="000000"/>
                <w:sz w:val="20"/>
                <w:szCs w:val="20"/>
              </w:rPr>
            </w:pPr>
            <w:r w:rsidRPr="00AB51AD">
              <w:rPr>
                <w:rFonts w:ascii="Calibri" w:hAnsi="Calibri"/>
                <w:color w:val="000000"/>
                <w:sz w:val="20"/>
                <w:szCs w:val="20"/>
              </w:rPr>
              <w:t>Temp_Bi_Monthly_81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9B62963" w14:textId="77777777">
            <w:pPr>
              <w:jc w:val="right"/>
              <w:rPr>
                <w:rFonts w:ascii="Calibri" w:hAnsi="Calibri"/>
                <w:color w:val="000000"/>
                <w:sz w:val="20"/>
                <w:szCs w:val="20"/>
              </w:rPr>
            </w:pPr>
            <w:r w:rsidRPr="00AB51AD">
              <w:rPr>
                <w:rFonts w:ascii="Calibri" w:hAnsi="Calibri"/>
                <w:color w:val="000000"/>
                <w:sz w:val="20"/>
                <w:szCs w:val="20"/>
              </w:rPr>
              <w:t>2.2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5C5EA908" w14:textId="77777777">
            <w:pPr>
              <w:jc w:val="right"/>
              <w:rPr>
                <w:rFonts w:ascii="Calibri" w:hAnsi="Calibri"/>
                <w:color w:val="000000"/>
                <w:sz w:val="20"/>
                <w:szCs w:val="20"/>
              </w:rPr>
            </w:pPr>
            <w:r w:rsidRPr="00AB51AD">
              <w:rPr>
                <w:rFonts w:ascii="Calibri" w:hAnsi="Calibri"/>
                <w:color w:val="000000"/>
                <w:sz w:val="20"/>
                <w:szCs w:val="20"/>
              </w:rPr>
              <w:t>2.2</w:t>
            </w:r>
          </w:p>
        </w:tc>
      </w:tr>
      <w:tr w:rsidRPr="00AB51AD" w:rsidR="00781BBF" w:rsidTr="00D15283" w14:paraId="1945DCFA"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9EC06F8" w14:textId="77777777">
            <w:pPr>
              <w:jc w:val="right"/>
              <w:rPr>
                <w:rFonts w:ascii="Calibri" w:hAnsi="Calibri"/>
                <w:color w:val="000000"/>
                <w:sz w:val="20"/>
                <w:szCs w:val="20"/>
              </w:rPr>
            </w:pPr>
            <w:r w:rsidRPr="00AB51AD">
              <w:rPr>
                <w:rFonts w:ascii="Calibri" w:hAnsi="Calibri"/>
                <w:color w:val="000000"/>
                <w:sz w:val="20"/>
                <w:szCs w:val="20"/>
              </w:rPr>
              <w:t>82</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ED41443" w14:textId="77777777">
            <w:pPr>
              <w:rPr>
                <w:rFonts w:ascii="Calibri" w:hAnsi="Calibri"/>
                <w:color w:val="000000"/>
                <w:sz w:val="20"/>
                <w:szCs w:val="20"/>
              </w:rPr>
            </w:pPr>
            <w:r w:rsidRPr="00AB51AD">
              <w:rPr>
                <w:rFonts w:ascii="Calibri" w:hAnsi="Calibri"/>
                <w:color w:val="000000"/>
                <w:sz w:val="20"/>
                <w:szCs w:val="20"/>
              </w:rPr>
              <w:t>Temp_Monthly_82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91A22B5" w14:textId="77777777">
            <w:pPr>
              <w:jc w:val="right"/>
              <w:rPr>
                <w:rFonts w:ascii="Calibri" w:hAnsi="Calibri"/>
                <w:color w:val="000000"/>
                <w:sz w:val="20"/>
                <w:szCs w:val="20"/>
              </w:rPr>
            </w:pPr>
            <w:r w:rsidRPr="00AB51AD">
              <w:rPr>
                <w:rFonts w:ascii="Calibri" w:hAnsi="Calibri"/>
                <w:color w:val="000000"/>
                <w:sz w:val="20"/>
                <w:szCs w:val="20"/>
              </w:rPr>
              <w:t>1744.33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AB267D3" w14:textId="77777777">
            <w:pPr>
              <w:jc w:val="right"/>
              <w:rPr>
                <w:rFonts w:ascii="Calibri" w:hAnsi="Calibri"/>
                <w:color w:val="000000"/>
                <w:sz w:val="20"/>
                <w:szCs w:val="20"/>
              </w:rPr>
            </w:pPr>
            <w:r w:rsidRPr="00AB51AD">
              <w:rPr>
                <w:rFonts w:ascii="Calibri" w:hAnsi="Calibri"/>
                <w:color w:val="000000"/>
                <w:sz w:val="20"/>
                <w:szCs w:val="20"/>
              </w:rPr>
              <w:t>1744.33</w:t>
            </w:r>
          </w:p>
        </w:tc>
      </w:tr>
      <w:tr w:rsidRPr="00AB51AD" w:rsidR="00781BBF" w:rsidTr="00D15283" w14:paraId="19063BAB"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283B15B3" w14:textId="77777777">
            <w:pPr>
              <w:jc w:val="right"/>
              <w:rPr>
                <w:rFonts w:ascii="Calibri" w:hAnsi="Calibri"/>
                <w:color w:val="000000"/>
                <w:sz w:val="20"/>
                <w:szCs w:val="20"/>
              </w:rPr>
            </w:pPr>
            <w:r w:rsidRPr="00AB51AD">
              <w:rPr>
                <w:rFonts w:ascii="Calibri" w:hAnsi="Calibri"/>
                <w:color w:val="000000"/>
                <w:sz w:val="20"/>
                <w:szCs w:val="20"/>
              </w:rPr>
              <w:t>86</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7DBC3450" w14:textId="77777777">
            <w:pPr>
              <w:rPr>
                <w:rFonts w:ascii="Calibri" w:hAnsi="Calibri"/>
                <w:color w:val="000000"/>
                <w:sz w:val="20"/>
                <w:szCs w:val="20"/>
              </w:rPr>
            </w:pPr>
            <w:r w:rsidRPr="00AB51AD">
              <w:rPr>
                <w:rFonts w:ascii="Calibri" w:hAnsi="Calibri"/>
                <w:color w:val="000000"/>
                <w:sz w:val="20"/>
                <w:szCs w:val="20"/>
              </w:rPr>
              <w:t>Reclaimed_Monthly_86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382FDB6C" w14:textId="77777777">
            <w:pPr>
              <w:jc w:val="right"/>
              <w:rPr>
                <w:rFonts w:ascii="Calibri" w:hAnsi="Calibri"/>
                <w:color w:val="000000"/>
                <w:sz w:val="20"/>
                <w:szCs w:val="20"/>
              </w:rPr>
            </w:pPr>
            <w:r w:rsidRPr="00AB51AD">
              <w:rPr>
                <w:rFonts w:ascii="Calibri" w:hAnsi="Calibri"/>
                <w:color w:val="000000"/>
                <w:sz w:val="20"/>
                <w:szCs w:val="20"/>
              </w:rPr>
              <w:t>4789.14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1F01898A" w14:textId="77777777">
            <w:pPr>
              <w:jc w:val="right"/>
              <w:rPr>
                <w:rFonts w:ascii="Calibri" w:hAnsi="Calibri"/>
                <w:color w:val="000000"/>
                <w:sz w:val="20"/>
                <w:szCs w:val="20"/>
              </w:rPr>
            </w:pPr>
            <w:r w:rsidRPr="00AB51AD">
              <w:rPr>
                <w:rFonts w:ascii="Calibri" w:hAnsi="Calibri"/>
                <w:color w:val="000000"/>
                <w:sz w:val="20"/>
                <w:szCs w:val="20"/>
              </w:rPr>
              <w:t>4789.14</w:t>
            </w:r>
          </w:p>
        </w:tc>
      </w:tr>
      <w:tr w:rsidRPr="00AB51AD" w:rsidR="00781BBF" w:rsidTr="00D15283" w14:paraId="5EB29401"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1F2BBC01" w14:textId="77777777">
            <w:pPr>
              <w:rPr>
                <w:rFonts w:ascii="Calibri" w:hAnsi="Calibri"/>
                <w:color w:val="000000"/>
                <w:sz w:val="22"/>
              </w:rPr>
            </w:pPr>
            <w:r>
              <w:rPr>
                <w:rFonts w:ascii="Calibri" w:hAnsi="Calibri"/>
                <w:color w:val="000000"/>
                <w:sz w:val="22"/>
              </w:rPr>
              <w:t>Total Unit Sales (</w:t>
            </w:r>
            <w:proofErr w:type="spellStart"/>
            <w:r>
              <w:rPr>
                <w:rFonts w:ascii="Calibri" w:hAnsi="Calibri"/>
                <w:color w:val="000000"/>
                <w:sz w:val="22"/>
              </w:rPr>
              <w:t>ccf</w:t>
            </w:r>
            <w:proofErr w:type="spellEnd"/>
            <w:r>
              <w:rPr>
                <w:rFonts w:ascii="Calibri" w:hAnsi="Calibri"/>
                <w:color w:val="000000"/>
                <w:sz w:val="22"/>
              </w:rPr>
              <w:t>/</w:t>
            </w:r>
            <w:proofErr w:type="spellStart"/>
            <w:r>
              <w:rPr>
                <w:rFonts w:ascii="Calibri" w:hAnsi="Calibri"/>
                <w:color w:val="000000"/>
                <w:sz w:val="22"/>
              </w:rPr>
              <w:t>cust</w:t>
            </w:r>
            <w:proofErr w:type="spellEnd"/>
            <w:r>
              <w:rPr>
                <w:rFonts w:ascii="Calibri" w:hAnsi="Calibri"/>
                <w:color w:val="000000"/>
                <w:sz w:val="22"/>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BD844A2" w14:textId="77777777">
            <w:pPr>
              <w:rPr>
                <w:rFonts w:ascii="Calibri" w:hAnsi="Calibri"/>
                <w:color w:val="000000"/>
                <w:sz w:val="20"/>
                <w:szCs w:val="20"/>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62CDE59F" w14:textId="77777777">
            <w:pPr>
              <w:jc w:val="right"/>
              <w:rPr>
                <w:rFonts w:ascii="Calibri" w:hAnsi="Calibri"/>
                <w:color w:val="000000"/>
                <w:sz w:val="20"/>
                <w:szCs w:val="20"/>
              </w:rPr>
            </w:pPr>
            <w:r w:rsidRPr="00AB51AD">
              <w:rPr>
                <w:rFonts w:ascii="Calibri" w:hAnsi="Calibri"/>
                <w:color w:val="000000"/>
                <w:sz w:val="20"/>
                <w:szCs w:val="20"/>
              </w:rPr>
              <w:t>24127.3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FEEFED3" w14:textId="77777777">
            <w:pPr>
              <w:jc w:val="right"/>
              <w:rPr>
                <w:rFonts w:ascii="Calibri" w:hAnsi="Calibri"/>
                <w:color w:val="000000"/>
                <w:sz w:val="20"/>
                <w:szCs w:val="20"/>
              </w:rPr>
            </w:pPr>
            <w:r w:rsidRPr="00AB51AD">
              <w:rPr>
                <w:rFonts w:ascii="Calibri" w:hAnsi="Calibri"/>
                <w:color w:val="000000"/>
                <w:sz w:val="20"/>
                <w:szCs w:val="20"/>
              </w:rPr>
              <w:t>24127.3</w:t>
            </w:r>
          </w:p>
        </w:tc>
      </w:tr>
      <w:tr w:rsidRPr="00AB51AD" w:rsidR="00781BBF" w:rsidTr="00D15283" w14:paraId="7EDC9BCB" w14:textId="77777777">
        <w:trPr>
          <w:trHeight w:val="300"/>
        </w:trPr>
        <w:tc>
          <w:tcPr>
            <w:tcW w:w="8687"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51AD" w:rsidR="00781BBF" w:rsidP="009B34DB" w:rsidRDefault="00781BBF" w14:paraId="03E4E2C7" w14:textId="77777777">
            <w:pPr>
              <w:rPr>
                <w:b/>
                <w:bCs/>
                <w:sz w:val="20"/>
                <w:szCs w:val="20"/>
              </w:rPr>
            </w:pPr>
            <w:r w:rsidRPr="00AB51AD">
              <w:rPr>
                <w:rFonts w:ascii="Calibri" w:hAnsi="Calibri"/>
                <w:b/>
                <w:bCs/>
                <w:color w:val="000000"/>
                <w:sz w:val="22"/>
              </w:rPr>
              <w:t>Total Consumption (</w:t>
            </w:r>
            <w:proofErr w:type="spellStart"/>
            <w:r w:rsidRPr="00AB51AD">
              <w:rPr>
                <w:rFonts w:ascii="Calibri" w:hAnsi="Calibri"/>
                <w:b/>
                <w:bCs/>
                <w:color w:val="000000"/>
                <w:sz w:val="22"/>
              </w:rPr>
              <w:t>ccf</w:t>
            </w:r>
            <w:proofErr w:type="spellEnd"/>
            <w:r w:rsidRPr="00AB51AD">
              <w:rPr>
                <w:rFonts w:ascii="Calibri" w:hAnsi="Calibri"/>
                <w:b/>
                <w:bCs/>
                <w:color w:val="000000"/>
                <w:sz w:val="22"/>
              </w:rPr>
              <w:t>)</w:t>
            </w:r>
          </w:p>
        </w:tc>
      </w:tr>
      <w:tr w:rsidR="00781BBF" w:rsidTr="00D15283" w14:paraId="663D6A6F"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7051C117" w14:textId="77777777">
            <w:pPr>
              <w:jc w:val="right"/>
              <w:rPr>
                <w:rFonts w:ascii="Calibri" w:hAnsi="Calibri"/>
                <w:color w:val="000000"/>
                <w:sz w:val="22"/>
              </w:rPr>
            </w:pPr>
            <w:r>
              <w:rPr>
                <w:rFonts w:ascii="Calibri" w:hAnsi="Calibri"/>
                <w:color w:val="000000"/>
                <w:sz w:val="22"/>
              </w:rPr>
              <w:t>11</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B69836C" w14:textId="77777777">
            <w:pPr>
              <w:rPr>
                <w:rFonts w:ascii="Calibri" w:hAnsi="Calibri"/>
                <w:color w:val="000000"/>
                <w:sz w:val="22"/>
              </w:rPr>
            </w:pPr>
            <w:r>
              <w:rPr>
                <w:rFonts w:ascii="Calibri" w:hAnsi="Calibri"/>
                <w:color w:val="000000"/>
                <w:sz w:val="22"/>
              </w:rPr>
              <w:t>Residential_Bi_Monthly_11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69E387A5" w14:textId="77777777">
            <w:pPr>
              <w:jc w:val="right"/>
              <w:rPr>
                <w:rFonts w:ascii="Calibri" w:hAnsi="Calibri"/>
                <w:color w:val="000000"/>
                <w:sz w:val="22"/>
              </w:rPr>
            </w:pPr>
            <w:r>
              <w:rPr>
                <w:rFonts w:ascii="Calibri" w:hAnsi="Calibri"/>
                <w:color w:val="000000"/>
                <w:sz w:val="22"/>
              </w:rPr>
              <w:t>2674063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58D7B4BC" w14:textId="77777777">
            <w:pPr>
              <w:jc w:val="right"/>
              <w:rPr>
                <w:rFonts w:ascii="Calibri" w:hAnsi="Calibri"/>
                <w:color w:val="000000"/>
                <w:sz w:val="22"/>
              </w:rPr>
            </w:pPr>
            <w:r>
              <w:rPr>
                <w:rFonts w:ascii="Calibri" w:hAnsi="Calibri"/>
                <w:color w:val="000000"/>
                <w:sz w:val="22"/>
              </w:rPr>
              <w:t>2677656</w:t>
            </w:r>
          </w:p>
        </w:tc>
      </w:tr>
      <w:tr w:rsidR="00781BBF" w:rsidTr="00D15283" w14:paraId="468BF71C"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5D2911DE" w14:textId="77777777">
            <w:pPr>
              <w:rPr>
                <w:rFonts w:ascii="Calibri" w:hAnsi="Calibri"/>
                <w:color w:val="000000"/>
                <w:sz w:val="22"/>
              </w:rPr>
            </w:pPr>
            <w:r>
              <w:rPr>
                <w:rFonts w:ascii="Calibri" w:hAnsi="Calibri"/>
                <w:color w:val="000000"/>
                <w:sz w:val="22"/>
              </w:rPr>
              <w:t>22/18</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B9F60EC" w14:textId="77777777">
            <w:pPr>
              <w:rPr>
                <w:rFonts w:ascii="Calibri" w:hAnsi="Calibri"/>
                <w:color w:val="000000"/>
                <w:sz w:val="22"/>
              </w:rPr>
            </w:pPr>
            <w:r>
              <w:rPr>
                <w:rFonts w:ascii="Calibri" w:hAnsi="Calibri"/>
                <w:color w:val="000000"/>
                <w:sz w:val="22"/>
              </w:rPr>
              <w:t>Business_Bi_Monthly_22_18</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7C55E717" w14:textId="77777777">
            <w:pPr>
              <w:jc w:val="right"/>
              <w:rPr>
                <w:rFonts w:ascii="Calibri" w:hAnsi="Calibri"/>
                <w:color w:val="000000"/>
                <w:sz w:val="22"/>
              </w:rPr>
            </w:pPr>
            <w:r>
              <w:rPr>
                <w:rFonts w:ascii="Calibri" w:hAnsi="Calibri"/>
                <w:color w:val="000000"/>
                <w:sz w:val="22"/>
              </w:rPr>
              <w:t>752278.9</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68F67C0" w14:textId="77777777">
            <w:pPr>
              <w:jc w:val="right"/>
              <w:rPr>
                <w:rFonts w:ascii="Calibri" w:hAnsi="Calibri"/>
                <w:color w:val="000000"/>
                <w:sz w:val="22"/>
              </w:rPr>
            </w:pPr>
            <w:r>
              <w:rPr>
                <w:rFonts w:ascii="Calibri" w:hAnsi="Calibri"/>
                <w:color w:val="000000"/>
                <w:sz w:val="22"/>
              </w:rPr>
              <w:t>752278.9</w:t>
            </w:r>
          </w:p>
        </w:tc>
      </w:tr>
      <w:tr w:rsidR="00781BBF" w:rsidTr="00D15283" w14:paraId="0A040B4B"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293B628" w14:textId="77777777">
            <w:pPr>
              <w:rPr>
                <w:rFonts w:ascii="Calibri" w:hAnsi="Calibri"/>
                <w:color w:val="000000"/>
                <w:sz w:val="22"/>
              </w:rPr>
            </w:pPr>
            <w:r>
              <w:rPr>
                <w:rFonts w:ascii="Calibri" w:hAnsi="Calibri"/>
                <w:color w:val="000000"/>
                <w:sz w:val="22"/>
              </w:rPr>
              <w:t>23/19</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77BFCCDB" w14:textId="77777777">
            <w:pPr>
              <w:rPr>
                <w:rFonts w:ascii="Calibri" w:hAnsi="Calibri"/>
                <w:color w:val="000000"/>
                <w:sz w:val="22"/>
              </w:rPr>
            </w:pPr>
            <w:r>
              <w:rPr>
                <w:rFonts w:ascii="Calibri" w:hAnsi="Calibri"/>
                <w:color w:val="000000"/>
                <w:sz w:val="22"/>
              </w:rPr>
              <w:t>Business_Monthly_23_19</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1422F3D6" w14:textId="77777777">
            <w:pPr>
              <w:jc w:val="right"/>
              <w:rPr>
                <w:rFonts w:ascii="Calibri" w:hAnsi="Calibri"/>
                <w:color w:val="000000"/>
                <w:sz w:val="22"/>
              </w:rPr>
            </w:pPr>
            <w:r>
              <w:rPr>
                <w:rFonts w:ascii="Calibri" w:hAnsi="Calibri"/>
                <w:color w:val="000000"/>
                <w:sz w:val="22"/>
              </w:rPr>
              <w:t>243983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1BF1101E" w14:textId="77777777">
            <w:pPr>
              <w:jc w:val="right"/>
              <w:rPr>
                <w:rFonts w:ascii="Calibri" w:hAnsi="Calibri"/>
                <w:color w:val="000000"/>
                <w:sz w:val="22"/>
              </w:rPr>
            </w:pPr>
            <w:r>
              <w:rPr>
                <w:rFonts w:ascii="Calibri" w:hAnsi="Calibri"/>
                <w:color w:val="000000"/>
                <w:sz w:val="22"/>
              </w:rPr>
              <w:t>258622</w:t>
            </w:r>
          </w:p>
        </w:tc>
      </w:tr>
      <w:tr w:rsidR="00781BBF" w:rsidTr="00D15283" w14:paraId="3999C1BF"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5831FF28" w14:textId="77777777">
            <w:pPr>
              <w:jc w:val="right"/>
              <w:rPr>
                <w:rFonts w:ascii="Calibri" w:hAnsi="Calibri"/>
                <w:color w:val="000000"/>
                <w:sz w:val="22"/>
              </w:rPr>
            </w:pPr>
            <w:r>
              <w:rPr>
                <w:rFonts w:ascii="Calibri" w:hAnsi="Calibri"/>
                <w:color w:val="000000"/>
                <w:sz w:val="22"/>
              </w:rPr>
              <w:t>33</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1116833E" w14:textId="77777777">
            <w:pPr>
              <w:rPr>
                <w:rFonts w:ascii="Calibri" w:hAnsi="Calibri"/>
                <w:color w:val="000000"/>
                <w:sz w:val="22"/>
              </w:rPr>
            </w:pPr>
            <w:r>
              <w:rPr>
                <w:rFonts w:ascii="Calibri" w:hAnsi="Calibri"/>
                <w:color w:val="000000"/>
                <w:sz w:val="22"/>
              </w:rPr>
              <w:t>Industrial_Bi_Monthly_33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27B58F9B" w14:textId="77777777">
            <w:pPr>
              <w:jc w:val="right"/>
              <w:rPr>
                <w:rFonts w:ascii="Calibri" w:hAnsi="Calibri"/>
                <w:color w:val="000000"/>
                <w:sz w:val="22"/>
              </w:rPr>
            </w:pPr>
            <w:r>
              <w:rPr>
                <w:rFonts w:ascii="Calibri" w:hAnsi="Calibri"/>
                <w:color w:val="000000"/>
                <w:sz w:val="22"/>
              </w:rPr>
              <w:t>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7B52FBFB" w14:textId="77777777">
            <w:pPr>
              <w:jc w:val="right"/>
              <w:rPr>
                <w:rFonts w:ascii="Calibri" w:hAnsi="Calibri"/>
                <w:color w:val="000000"/>
                <w:sz w:val="22"/>
              </w:rPr>
            </w:pPr>
            <w:r>
              <w:rPr>
                <w:rFonts w:ascii="Calibri" w:hAnsi="Calibri"/>
                <w:color w:val="000000"/>
                <w:sz w:val="22"/>
              </w:rPr>
              <w:t>0</w:t>
            </w:r>
          </w:p>
        </w:tc>
      </w:tr>
      <w:tr w:rsidR="00781BBF" w:rsidTr="00D15283" w14:paraId="0F089B51"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5AAA9613" w14:textId="77777777">
            <w:pPr>
              <w:jc w:val="right"/>
              <w:rPr>
                <w:rFonts w:ascii="Calibri" w:hAnsi="Calibri"/>
                <w:color w:val="000000"/>
                <w:sz w:val="22"/>
              </w:rPr>
            </w:pPr>
            <w:r>
              <w:rPr>
                <w:rFonts w:ascii="Calibri" w:hAnsi="Calibri"/>
                <w:color w:val="000000"/>
                <w:sz w:val="22"/>
              </w:rPr>
              <w:t>34</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5D4C4100" w14:textId="77777777">
            <w:pPr>
              <w:rPr>
                <w:rFonts w:ascii="Calibri" w:hAnsi="Calibri"/>
                <w:color w:val="000000"/>
                <w:sz w:val="22"/>
              </w:rPr>
            </w:pPr>
            <w:r>
              <w:rPr>
                <w:rFonts w:ascii="Calibri" w:hAnsi="Calibri"/>
                <w:color w:val="000000"/>
                <w:sz w:val="22"/>
              </w:rPr>
              <w:t>Industrial_Monthly_34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51667EA1" w14:textId="77777777">
            <w:pPr>
              <w:jc w:val="right"/>
              <w:rPr>
                <w:rFonts w:ascii="Calibri" w:hAnsi="Calibri"/>
                <w:color w:val="000000"/>
                <w:sz w:val="22"/>
              </w:rPr>
            </w:pPr>
            <w:r>
              <w:rPr>
                <w:rFonts w:ascii="Calibri" w:hAnsi="Calibri"/>
                <w:color w:val="000000"/>
                <w:sz w:val="22"/>
              </w:rPr>
              <w:t>43041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6414DA53" w14:textId="77777777">
            <w:pPr>
              <w:jc w:val="right"/>
              <w:rPr>
                <w:rFonts w:ascii="Calibri" w:hAnsi="Calibri"/>
                <w:color w:val="000000"/>
                <w:sz w:val="22"/>
              </w:rPr>
            </w:pPr>
            <w:r>
              <w:rPr>
                <w:rFonts w:ascii="Calibri" w:hAnsi="Calibri"/>
                <w:color w:val="000000"/>
                <w:sz w:val="22"/>
              </w:rPr>
              <w:t>43041</w:t>
            </w:r>
          </w:p>
        </w:tc>
      </w:tr>
      <w:tr w:rsidR="00781BBF" w:rsidTr="00D15283" w14:paraId="7EE845C8"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583B1AE3" w14:textId="77777777">
            <w:pPr>
              <w:jc w:val="right"/>
              <w:rPr>
                <w:rFonts w:ascii="Calibri" w:hAnsi="Calibri"/>
                <w:color w:val="000000"/>
                <w:sz w:val="22"/>
              </w:rPr>
            </w:pPr>
            <w:r>
              <w:rPr>
                <w:rFonts w:ascii="Calibri" w:hAnsi="Calibri"/>
                <w:color w:val="000000"/>
                <w:sz w:val="22"/>
              </w:rPr>
              <w:t>45</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6E835399" w14:textId="77777777">
            <w:pPr>
              <w:rPr>
                <w:rFonts w:ascii="Calibri" w:hAnsi="Calibri"/>
                <w:color w:val="000000"/>
                <w:sz w:val="22"/>
              </w:rPr>
            </w:pPr>
            <w:r>
              <w:rPr>
                <w:rFonts w:ascii="Calibri" w:hAnsi="Calibri"/>
                <w:color w:val="000000"/>
                <w:sz w:val="22"/>
              </w:rPr>
              <w:t>Public_Auth_Bi_Monthly_45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3F2B0C51" w14:textId="77777777">
            <w:pPr>
              <w:jc w:val="right"/>
              <w:rPr>
                <w:rFonts w:ascii="Calibri" w:hAnsi="Calibri"/>
                <w:color w:val="000000"/>
                <w:sz w:val="22"/>
              </w:rPr>
            </w:pPr>
            <w:r>
              <w:rPr>
                <w:rFonts w:ascii="Calibri" w:hAnsi="Calibri"/>
                <w:color w:val="000000"/>
                <w:sz w:val="22"/>
              </w:rPr>
              <w:t>39204.2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71846374" w14:textId="77777777">
            <w:pPr>
              <w:jc w:val="right"/>
              <w:rPr>
                <w:rFonts w:ascii="Calibri" w:hAnsi="Calibri"/>
                <w:color w:val="000000"/>
                <w:sz w:val="22"/>
              </w:rPr>
            </w:pPr>
            <w:r>
              <w:rPr>
                <w:rFonts w:ascii="Calibri" w:hAnsi="Calibri"/>
                <w:color w:val="000000"/>
                <w:sz w:val="22"/>
              </w:rPr>
              <w:t>38924.17</w:t>
            </w:r>
          </w:p>
        </w:tc>
      </w:tr>
      <w:tr w:rsidR="00781BBF" w:rsidTr="00D15283" w14:paraId="4E34D393"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2FCA188C" w14:textId="77777777">
            <w:pPr>
              <w:jc w:val="right"/>
              <w:rPr>
                <w:rFonts w:ascii="Calibri" w:hAnsi="Calibri"/>
                <w:color w:val="000000"/>
                <w:sz w:val="22"/>
              </w:rPr>
            </w:pPr>
            <w:r>
              <w:rPr>
                <w:rFonts w:ascii="Calibri" w:hAnsi="Calibri"/>
                <w:color w:val="000000"/>
                <w:sz w:val="22"/>
              </w:rPr>
              <w:t>46</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771C7551" w14:textId="77777777">
            <w:pPr>
              <w:rPr>
                <w:rFonts w:ascii="Calibri" w:hAnsi="Calibri"/>
                <w:color w:val="000000"/>
                <w:sz w:val="22"/>
              </w:rPr>
            </w:pPr>
            <w:r>
              <w:rPr>
                <w:rFonts w:ascii="Calibri" w:hAnsi="Calibri"/>
                <w:color w:val="000000"/>
                <w:sz w:val="22"/>
              </w:rPr>
              <w:t>Public_Auth_Monthly_46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19CDA90D" w14:textId="77777777">
            <w:pPr>
              <w:jc w:val="right"/>
              <w:rPr>
                <w:rFonts w:ascii="Calibri" w:hAnsi="Calibri"/>
                <w:color w:val="000000"/>
                <w:sz w:val="22"/>
              </w:rPr>
            </w:pPr>
            <w:r>
              <w:rPr>
                <w:rFonts w:ascii="Calibri" w:hAnsi="Calibri"/>
                <w:color w:val="000000"/>
                <w:sz w:val="22"/>
              </w:rPr>
              <w:t>200593.6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1DB1EAF" w14:textId="77777777">
            <w:pPr>
              <w:jc w:val="right"/>
              <w:rPr>
                <w:rFonts w:ascii="Calibri" w:hAnsi="Calibri"/>
                <w:color w:val="000000"/>
                <w:sz w:val="22"/>
              </w:rPr>
            </w:pPr>
            <w:r>
              <w:rPr>
                <w:rFonts w:ascii="Calibri" w:hAnsi="Calibri"/>
                <w:color w:val="000000"/>
                <w:sz w:val="22"/>
              </w:rPr>
              <w:t>203828.9</w:t>
            </w:r>
          </w:p>
        </w:tc>
      </w:tr>
      <w:tr w:rsidR="00781BBF" w:rsidTr="00D15283" w14:paraId="3E6CA660"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5BA58A7D" w14:textId="77777777">
            <w:pPr>
              <w:jc w:val="right"/>
              <w:rPr>
                <w:rFonts w:ascii="Calibri" w:hAnsi="Calibri"/>
                <w:color w:val="000000"/>
                <w:sz w:val="22"/>
              </w:rPr>
            </w:pPr>
            <w:r>
              <w:rPr>
                <w:rFonts w:ascii="Calibri" w:hAnsi="Calibri"/>
                <w:color w:val="000000"/>
                <w:sz w:val="22"/>
              </w:rPr>
              <w:t>52</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78BED751" w14:textId="77777777">
            <w:pPr>
              <w:rPr>
                <w:rFonts w:ascii="Calibri" w:hAnsi="Calibri"/>
                <w:color w:val="000000"/>
                <w:sz w:val="22"/>
              </w:rPr>
            </w:pPr>
            <w:r>
              <w:rPr>
                <w:rFonts w:ascii="Calibri" w:hAnsi="Calibri"/>
                <w:color w:val="000000"/>
                <w:sz w:val="22"/>
              </w:rPr>
              <w:t>Priv_Fire_Srv_Bi_Monthly_52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4C572C92" w14:textId="77777777">
            <w:pPr>
              <w:jc w:val="right"/>
              <w:rPr>
                <w:rFonts w:ascii="Calibri" w:hAnsi="Calibri"/>
                <w:color w:val="000000"/>
                <w:sz w:val="22"/>
              </w:rPr>
            </w:pPr>
            <w:r>
              <w:rPr>
                <w:rFonts w:ascii="Calibri" w:hAnsi="Calibri"/>
                <w:color w:val="000000"/>
                <w:sz w:val="22"/>
              </w:rPr>
              <w:t>60.5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4755B77A" w14:textId="77777777">
            <w:pPr>
              <w:jc w:val="right"/>
              <w:rPr>
                <w:rFonts w:ascii="Calibri" w:hAnsi="Calibri"/>
                <w:color w:val="000000"/>
                <w:sz w:val="22"/>
              </w:rPr>
            </w:pPr>
            <w:r>
              <w:rPr>
                <w:rFonts w:ascii="Calibri" w:hAnsi="Calibri"/>
                <w:color w:val="000000"/>
                <w:sz w:val="22"/>
              </w:rPr>
              <w:t>33.88</w:t>
            </w:r>
          </w:p>
        </w:tc>
      </w:tr>
      <w:tr w:rsidR="00781BBF" w:rsidTr="00D15283" w14:paraId="6F53B59A"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69378FA8" w14:textId="77777777">
            <w:pPr>
              <w:jc w:val="right"/>
              <w:rPr>
                <w:rFonts w:ascii="Calibri" w:hAnsi="Calibri"/>
                <w:color w:val="000000"/>
                <w:sz w:val="22"/>
              </w:rPr>
            </w:pPr>
            <w:r>
              <w:rPr>
                <w:rFonts w:ascii="Calibri" w:hAnsi="Calibri"/>
                <w:color w:val="000000"/>
                <w:sz w:val="22"/>
              </w:rPr>
              <w:t>53</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138F179F" w14:textId="77777777">
            <w:pPr>
              <w:rPr>
                <w:rFonts w:ascii="Calibri" w:hAnsi="Calibri"/>
                <w:color w:val="000000"/>
                <w:sz w:val="22"/>
              </w:rPr>
            </w:pPr>
            <w:r>
              <w:rPr>
                <w:rFonts w:ascii="Calibri" w:hAnsi="Calibri"/>
                <w:color w:val="000000"/>
                <w:sz w:val="22"/>
              </w:rPr>
              <w:t>Priv_Fire_Srv_Monthly_53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7389DE57" w14:textId="77777777">
            <w:pPr>
              <w:jc w:val="right"/>
              <w:rPr>
                <w:rFonts w:ascii="Calibri" w:hAnsi="Calibri"/>
                <w:color w:val="000000"/>
                <w:sz w:val="22"/>
              </w:rPr>
            </w:pPr>
            <w:r>
              <w:rPr>
                <w:rFonts w:ascii="Calibri" w:hAnsi="Calibri"/>
                <w:color w:val="000000"/>
                <w:sz w:val="22"/>
              </w:rPr>
              <w:t>5462.22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B23968F" w14:textId="77777777">
            <w:pPr>
              <w:jc w:val="right"/>
              <w:rPr>
                <w:rFonts w:ascii="Calibri" w:hAnsi="Calibri"/>
                <w:color w:val="000000"/>
                <w:sz w:val="22"/>
              </w:rPr>
            </w:pPr>
            <w:r>
              <w:rPr>
                <w:rFonts w:ascii="Calibri" w:hAnsi="Calibri"/>
                <w:color w:val="000000"/>
                <w:sz w:val="22"/>
              </w:rPr>
              <w:t>5894.26</w:t>
            </w:r>
          </w:p>
        </w:tc>
      </w:tr>
      <w:tr w:rsidR="00781BBF" w:rsidTr="00D15283" w14:paraId="0B0CFF85"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796AC3FC" w14:textId="77777777">
            <w:pPr>
              <w:jc w:val="right"/>
              <w:rPr>
                <w:rFonts w:ascii="Calibri" w:hAnsi="Calibri"/>
                <w:color w:val="000000"/>
                <w:sz w:val="22"/>
              </w:rPr>
            </w:pPr>
            <w:r>
              <w:rPr>
                <w:rFonts w:ascii="Calibri" w:hAnsi="Calibri"/>
                <w:color w:val="000000"/>
                <w:sz w:val="22"/>
              </w:rPr>
              <w:t>61</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FEDA23F" w14:textId="77777777">
            <w:pPr>
              <w:rPr>
                <w:rFonts w:ascii="Calibri" w:hAnsi="Calibri"/>
                <w:color w:val="000000"/>
                <w:sz w:val="22"/>
              </w:rPr>
            </w:pPr>
            <w:r>
              <w:rPr>
                <w:rFonts w:ascii="Calibri" w:hAnsi="Calibri"/>
                <w:color w:val="000000"/>
                <w:sz w:val="22"/>
              </w:rPr>
              <w:t>Fire_Hydrants_Bi_Monthly_61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2A75FC91" w14:textId="77777777">
            <w:pPr>
              <w:jc w:val="right"/>
              <w:rPr>
                <w:rFonts w:ascii="Calibri" w:hAnsi="Calibri"/>
                <w:color w:val="000000"/>
                <w:sz w:val="22"/>
              </w:rPr>
            </w:pPr>
            <w:r>
              <w:rPr>
                <w:rFonts w:ascii="Calibri" w:hAnsi="Calibri"/>
                <w:color w:val="000000"/>
                <w:sz w:val="22"/>
              </w:rPr>
              <w:t>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B670A90" w14:textId="77777777">
            <w:pPr>
              <w:jc w:val="right"/>
              <w:rPr>
                <w:rFonts w:ascii="Calibri" w:hAnsi="Calibri"/>
                <w:color w:val="000000"/>
                <w:sz w:val="22"/>
              </w:rPr>
            </w:pPr>
            <w:r>
              <w:rPr>
                <w:rFonts w:ascii="Calibri" w:hAnsi="Calibri"/>
                <w:color w:val="000000"/>
                <w:sz w:val="22"/>
              </w:rPr>
              <w:t>0</w:t>
            </w:r>
          </w:p>
        </w:tc>
      </w:tr>
      <w:tr w:rsidR="00781BBF" w:rsidTr="00D15283" w14:paraId="492487E1"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CB3568E" w14:textId="77777777">
            <w:pPr>
              <w:rPr>
                <w:rFonts w:ascii="Calibri" w:hAnsi="Calibri"/>
                <w:color w:val="000000"/>
                <w:sz w:val="22"/>
              </w:rPr>
            </w:pPr>
            <w:r>
              <w:rPr>
                <w:rFonts w:ascii="Calibri" w:hAnsi="Calibri"/>
                <w:color w:val="000000"/>
                <w:sz w:val="22"/>
              </w:rPr>
              <w:t>71/76</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570C32C4" w14:textId="77777777">
            <w:pPr>
              <w:rPr>
                <w:rFonts w:ascii="Calibri" w:hAnsi="Calibri"/>
                <w:color w:val="000000"/>
                <w:sz w:val="22"/>
              </w:rPr>
            </w:pPr>
            <w:r>
              <w:rPr>
                <w:rFonts w:ascii="Calibri" w:hAnsi="Calibri"/>
                <w:color w:val="000000"/>
                <w:sz w:val="22"/>
              </w:rPr>
              <w:t>Resale_Monthly_71_76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A04775A" w14:textId="77777777">
            <w:pPr>
              <w:jc w:val="right"/>
              <w:rPr>
                <w:rFonts w:ascii="Calibri" w:hAnsi="Calibri"/>
                <w:color w:val="000000"/>
                <w:sz w:val="22"/>
              </w:rPr>
            </w:pPr>
            <w:r>
              <w:rPr>
                <w:rFonts w:ascii="Calibri" w:hAnsi="Calibri"/>
                <w:color w:val="000000"/>
                <w:sz w:val="22"/>
              </w:rPr>
              <w:t>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68636B9E" w14:textId="77777777">
            <w:pPr>
              <w:jc w:val="right"/>
              <w:rPr>
                <w:rFonts w:ascii="Calibri" w:hAnsi="Calibri"/>
                <w:color w:val="000000"/>
                <w:sz w:val="22"/>
              </w:rPr>
            </w:pPr>
            <w:r>
              <w:rPr>
                <w:rFonts w:ascii="Calibri" w:hAnsi="Calibri"/>
                <w:color w:val="000000"/>
                <w:sz w:val="22"/>
              </w:rPr>
              <w:t>0</w:t>
            </w:r>
          </w:p>
        </w:tc>
      </w:tr>
      <w:tr w:rsidR="00781BBF" w:rsidTr="00D15283" w14:paraId="44F4C078"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197DA9C4" w14:textId="77777777">
            <w:pPr>
              <w:jc w:val="right"/>
              <w:rPr>
                <w:rFonts w:ascii="Calibri" w:hAnsi="Calibri"/>
                <w:color w:val="000000"/>
                <w:sz w:val="22"/>
              </w:rPr>
            </w:pPr>
            <w:r>
              <w:rPr>
                <w:rFonts w:ascii="Calibri" w:hAnsi="Calibri"/>
                <w:color w:val="000000"/>
                <w:sz w:val="22"/>
              </w:rPr>
              <w:t>81</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4E694AE" w14:textId="77777777">
            <w:pPr>
              <w:rPr>
                <w:rFonts w:ascii="Calibri" w:hAnsi="Calibri"/>
                <w:color w:val="000000"/>
                <w:sz w:val="22"/>
              </w:rPr>
            </w:pPr>
            <w:r>
              <w:rPr>
                <w:rFonts w:ascii="Calibri" w:hAnsi="Calibri"/>
                <w:color w:val="000000"/>
                <w:sz w:val="22"/>
              </w:rPr>
              <w:t>Temp_Bi_Monthly_81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1CE28DD6" w14:textId="77777777">
            <w:pPr>
              <w:jc w:val="right"/>
              <w:rPr>
                <w:rFonts w:ascii="Calibri" w:hAnsi="Calibri"/>
                <w:color w:val="000000"/>
                <w:sz w:val="22"/>
              </w:rPr>
            </w:pPr>
            <w:r>
              <w:rPr>
                <w:rFonts w:ascii="Calibri" w:hAnsi="Calibri"/>
                <w:color w:val="000000"/>
                <w:sz w:val="22"/>
              </w:rPr>
              <w:t>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3A680E2E" w14:textId="77777777">
            <w:pPr>
              <w:jc w:val="right"/>
              <w:rPr>
                <w:rFonts w:ascii="Calibri" w:hAnsi="Calibri"/>
                <w:color w:val="000000"/>
                <w:sz w:val="22"/>
              </w:rPr>
            </w:pPr>
            <w:r>
              <w:rPr>
                <w:rFonts w:ascii="Calibri" w:hAnsi="Calibri"/>
                <w:color w:val="000000"/>
                <w:sz w:val="22"/>
              </w:rPr>
              <w:t>0</w:t>
            </w:r>
          </w:p>
        </w:tc>
      </w:tr>
      <w:tr w:rsidR="00781BBF" w:rsidTr="00D15283" w14:paraId="682AA681"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7C88998D" w14:textId="77777777">
            <w:pPr>
              <w:jc w:val="right"/>
              <w:rPr>
                <w:rFonts w:ascii="Calibri" w:hAnsi="Calibri"/>
                <w:color w:val="000000"/>
                <w:sz w:val="22"/>
              </w:rPr>
            </w:pPr>
            <w:r>
              <w:rPr>
                <w:rFonts w:ascii="Calibri" w:hAnsi="Calibri"/>
                <w:color w:val="000000"/>
                <w:sz w:val="22"/>
              </w:rPr>
              <w:t>82</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1F77ADE3" w14:textId="77777777">
            <w:pPr>
              <w:rPr>
                <w:rFonts w:ascii="Calibri" w:hAnsi="Calibri"/>
                <w:color w:val="000000"/>
                <w:sz w:val="22"/>
              </w:rPr>
            </w:pPr>
            <w:r>
              <w:rPr>
                <w:rFonts w:ascii="Calibri" w:hAnsi="Calibri"/>
                <w:color w:val="000000"/>
                <w:sz w:val="22"/>
              </w:rPr>
              <w:t>Temp_Monthly_82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4D569416" w14:textId="77777777">
            <w:pPr>
              <w:jc w:val="right"/>
              <w:rPr>
                <w:rFonts w:ascii="Calibri" w:hAnsi="Calibri"/>
                <w:color w:val="000000"/>
                <w:sz w:val="22"/>
              </w:rPr>
            </w:pPr>
            <w:r>
              <w:rPr>
                <w:rFonts w:ascii="Calibri" w:hAnsi="Calibri"/>
                <w:color w:val="000000"/>
                <w:sz w:val="22"/>
              </w:rPr>
              <w:t>24420.62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D7BF9CB" w14:textId="77777777">
            <w:pPr>
              <w:jc w:val="right"/>
              <w:rPr>
                <w:rFonts w:ascii="Calibri" w:hAnsi="Calibri"/>
                <w:color w:val="000000"/>
                <w:sz w:val="22"/>
              </w:rPr>
            </w:pPr>
            <w:r>
              <w:rPr>
                <w:rFonts w:ascii="Calibri" w:hAnsi="Calibri"/>
                <w:color w:val="000000"/>
                <w:sz w:val="22"/>
              </w:rPr>
              <w:t>27909.28</w:t>
            </w:r>
          </w:p>
        </w:tc>
      </w:tr>
      <w:tr w:rsidR="00781BBF" w:rsidTr="00D15283" w14:paraId="4AD6CEF2"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474280D3" w14:textId="77777777">
            <w:pPr>
              <w:jc w:val="right"/>
              <w:rPr>
                <w:rFonts w:ascii="Calibri" w:hAnsi="Calibri"/>
                <w:color w:val="000000"/>
                <w:sz w:val="22"/>
              </w:rPr>
            </w:pPr>
            <w:r>
              <w:rPr>
                <w:rFonts w:ascii="Calibri" w:hAnsi="Calibri"/>
                <w:color w:val="000000"/>
                <w:sz w:val="22"/>
              </w:rPr>
              <w:t>86</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5D54EFF3" w14:textId="77777777">
            <w:pPr>
              <w:rPr>
                <w:rFonts w:ascii="Calibri" w:hAnsi="Calibri"/>
                <w:color w:val="000000"/>
                <w:sz w:val="22"/>
              </w:rPr>
            </w:pPr>
            <w:r>
              <w:rPr>
                <w:rFonts w:ascii="Calibri" w:hAnsi="Calibri"/>
                <w:color w:val="000000"/>
                <w:sz w:val="22"/>
              </w:rPr>
              <w:t>Reclaimed_Monthly_86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1E861A31" w14:textId="77777777">
            <w:pPr>
              <w:jc w:val="right"/>
              <w:rPr>
                <w:rFonts w:ascii="Calibri" w:hAnsi="Calibri"/>
                <w:color w:val="000000"/>
                <w:sz w:val="22"/>
              </w:rPr>
            </w:pPr>
            <w:r>
              <w:rPr>
                <w:rFonts w:ascii="Calibri" w:hAnsi="Calibri"/>
                <w:color w:val="000000"/>
                <w:sz w:val="22"/>
              </w:rPr>
              <w:t>124517.6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19A78645" w14:textId="77777777">
            <w:pPr>
              <w:jc w:val="right"/>
              <w:rPr>
                <w:rFonts w:ascii="Calibri" w:hAnsi="Calibri"/>
                <w:color w:val="000000"/>
                <w:sz w:val="22"/>
              </w:rPr>
            </w:pPr>
            <w:r>
              <w:rPr>
                <w:rFonts w:ascii="Calibri" w:hAnsi="Calibri"/>
                <w:color w:val="000000"/>
                <w:sz w:val="22"/>
              </w:rPr>
              <w:t>124517.6</w:t>
            </w:r>
          </w:p>
        </w:tc>
      </w:tr>
      <w:tr w:rsidR="00781BBF" w:rsidTr="00D15283" w14:paraId="1E9506B7" w14:textId="77777777">
        <w:trPr>
          <w:trHeight w:val="300"/>
        </w:trPr>
        <w:tc>
          <w:tcPr>
            <w:tcW w:w="146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2DCDF780" w14:textId="77777777">
            <w:pPr>
              <w:rPr>
                <w:rFonts w:ascii="Calibri" w:hAnsi="Calibri"/>
                <w:color w:val="000000"/>
                <w:sz w:val="22"/>
              </w:rPr>
            </w:pPr>
            <w:r>
              <w:rPr>
                <w:rFonts w:ascii="Calibri" w:hAnsi="Calibri"/>
                <w:color w:val="000000"/>
                <w:sz w:val="22"/>
              </w:rPr>
              <w:t>Total Sales (</w:t>
            </w:r>
            <w:proofErr w:type="spellStart"/>
            <w:r>
              <w:rPr>
                <w:rFonts w:ascii="Calibri" w:hAnsi="Calibri"/>
                <w:color w:val="000000"/>
                <w:sz w:val="22"/>
              </w:rPr>
              <w:t>ccf</w:t>
            </w:r>
            <w:proofErr w:type="spellEnd"/>
            <w:r>
              <w:rPr>
                <w:rFonts w:ascii="Calibri" w:hAnsi="Calibri"/>
                <w:color w:val="000000"/>
                <w:sz w:val="22"/>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519CBE51" w14:textId="77777777">
            <w:pPr>
              <w:rPr>
                <w:rFonts w:ascii="Calibri" w:hAnsi="Calibri"/>
                <w:color w:val="000000"/>
                <w:sz w:val="22"/>
              </w:rPr>
            </w:pPr>
            <w:r>
              <w:rPr>
                <w:rFonts w:ascii="Calibri" w:hAnsi="Calibri"/>
                <w:color w:val="000000"/>
                <w:sz w:val="22"/>
              </w:rPr>
              <w:t>Total</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053E1AF2" w14:textId="77777777">
            <w:pPr>
              <w:jc w:val="right"/>
              <w:rPr>
                <w:rFonts w:ascii="Calibri" w:hAnsi="Calibri"/>
                <w:color w:val="000000"/>
                <w:sz w:val="22"/>
              </w:rPr>
            </w:pPr>
            <w:r>
              <w:rPr>
                <w:rFonts w:ascii="Calibri" w:hAnsi="Calibri"/>
                <w:color w:val="000000"/>
                <w:sz w:val="22"/>
              </w:rPr>
              <w:t>4107624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781BBF" w:rsidP="009B34DB" w:rsidRDefault="00781BBF" w14:paraId="3A9C7082" w14:textId="77777777">
            <w:pPr>
              <w:jc w:val="right"/>
              <w:rPr>
                <w:rFonts w:ascii="Calibri" w:hAnsi="Calibri"/>
                <w:color w:val="000000"/>
                <w:sz w:val="22"/>
              </w:rPr>
            </w:pPr>
            <w:r>
              <w:rPr>
                <w:rFonts w:ascii="Calibri" w:hAnsi="Calibri"/>
                <w:color w:val="000000"/>
                <w:sz w:val="22"/>
              </w:rPr>
              <w:t>4132706</w:t>
            </w:r>
          </w:p>
        </w:tc>
      </w:tr>
    </w:tbl>
    <w:p w:rsidR="008E3C8E" w:rsidP="00554B20" w:rsidRDefault="00781BBF" w14:paraId="0B4DB4B8" w14:textId="562F6C00">
      <w:pPr>
        <w:spacing w:line="240" w:lineRule="auto"/>
        <w:jc w:val="center"/>
        <w:rPr>
          <w:rFonts w:cs="Arial"/>
          <w:b/>
          <w:bCs/>
          <w:sz w:val="50"/>
          <w:szCs w:val="50"/>
        </w:rPr>
      </w:pPr>
      <w:r>
        <w:rPr>
          <w:b/>
          <w:bCs/>
        </w:rPr>
        <w:t xml:space="preserve"> </w:t>
      </w:r>
      <w:r w:rsidR="008E3C8E">
        <w:rPr>
          <w:b/>
          <w:bCs/>
        </w:rPr>
        <w:t>(END OF APPENDIX H)</w:t>
      </w:r>
    </w:p>
    <w:p w:rsidR="00554B20" w:rsidP="000B12B9" w:rsidRDefault="00554B20" w14:paraId="20261D51" w14:textId="77777777">
      <w:pPr>
        <w:ind w:firstLine="0"/>
        <w:jc w:val="center"/>
        <w:rPr>
          <w:b/>
          <w:bCs/>
        </w:rPr>
      </w:pPr>
    </w:p>
    <w:p w:rsidR="00D15283" w:rsidRDefault="00D15283" w14:paraId="516EE075" w14:textId="25A5B72E">
      <w:pPr>
        <w:spacing w:after="160" w:line="259" w:lineRule="auto"/>
        <w:ind w:firstLine="0"/>
        <w:rPr>
          <w:b/>
          <w:bCs/>
        </w:rPr>
        <w:sectPr w:rsidR="00D15283" w:rsidSect="00C618BF">
          <w:footerReference w:type="default" r:id="rId39"/>
          <w:pgSz w:w="12240" w:h="15840"/>
          <w:pgMar w:top="1728" w:right="1440" w:bottom="1440" w:left="1440" w:header="720" w:footer="720" w:gutter="0"/>
          <w:pgNumType w:fmt="numberInDash" w:start="1"/>
          <w:cols w:space="720"/>
          <w:docGrid w:linePitch="360"/>
        </w:sectPr>
      </w:pPr>
    </w:p>
    <w:p w:rsidR="00554B20" w:rsidRDefault="00554B20" w14:paraId="5E8FF058" w14:textId="37D715DF">
      <w:pPr>
        <w:spacing w:after="160" w:line="259" w:lineRule="auto"/>
        <w:ind w:firstLine="0"/>
        <w:rPr>
          <w:b/>
          <w:bCs/>
        </w:rPr>
      </w:pPr>
    </w:p>
    <w:p w:rsidR="00F85466" w:rsidP="00554B20" w:rsidRDefault="00F85466" w14:paraId="5A7480CE" w14:textId="77777777">
      <w:pPr>
        <w:pStyle w:val="Main"/>
        <w:rPr>
          <w:rFonts w:ascii="Book Antiqua" w:hAnsi="Book Antiqua"/>
          <w:sz w:val="50"/>
          <w:szCs w:val="50"/>
        </w:rPr>
      </w:pPr>
    </w:p>
    <w:p w:rsidR="00F85466" w:rsidP="00554B20" w:rsidRDefault="00F85466" w14:paraId="7E5CC182" w14:textId="77777777">
      <w:pPr>
        <w:pStyle w:val="Main"/>
        <w:rPr>
          <w:rFonts w:ascii="Book Antiqua" w:hAnsi="Book Antiqua"/>
          <w:sz w:val="50"/>
          <w:szCs w:val="50"/>
        </w:rPr>
      </w:pPr>
    </w:p>
    <w:p w:rsidR="00F85466" w:rsidP="00554B20" w:rsidRDefault="00F85466" w14:paraId="792BDDBE" w14:textId="77777777">
      <w:pPr>
        <w:pStyle w:val="Main"/>
        <w:rPr>
          <w:rFonts w:ascii="Book Antiqua" w:hAnsi="Book Antiqua"/>
          <w:sz w:val="50"/>
          <w:szCs w:val="50"/>
        </w:rPr>
      </w:pPr>
    </w:p>
    <w:p w:rsidR="00F85466" w:rsidP="00554B20" w:rsidRDefault="00F85466" w14:paraId="06774245" w14:textId="77777777">
      <w:pPr>
        <w:pStyle w:val="Main"/>
        <w:rPr>
          <w:rFonts w:ascii="Book Antiqua" w:hAnsi="Book Antiqua"/>
          <w:sz w:val="50"/>
          <w:szCs w:val="50"/>
        </w:rPr>
      </w:pPr>
    </w:p>
    <w:p w:rsidR="00F85466" w:rsidP="00554B20" w:rsidRDefault="00F85466" w14:paraId="3DA09FEA" w14:textId="5623B4D0">
      <w:pPr>
        <w:pStyle w:val="Main"/>
        <w:rPr>
          <w:rFonts w:ascii="Book Antiqua" w:hAnsi="Book Antiqua"/>
          <w:sz w:val="50"/>
          <w:szCs w:val="50"/>
        </w:rPr>
      </w:pPr>
    </w:p>
    <w:p w:rsidRPr="00F85466" w:rsidR="00F85466" w:rsidP="00F85466" w:rsidRDefault="00F85466" w14:paraId="32DC837A" w14:textId="77777777"/>
    <w:p w:rsidR="00554B20" w:rsidP="00554B20" w:rsidRDefault="00554B20" w14:paraId="057F601B" w14:textId="283613C1">
      <w:pPr>
        <w:pStyle w:val="Main"/>
        <w:rPr>
          <w:rFonts w:ascii="Book Antiqua" w:hAnsi="Book Antiqua"/>
          <w:sz w:val="50"/>
          <w:szCs w:val="50"/>
        </w:rPr>
      </w:pPr>
      <w:r w:rsidRPr="00F85246">
        <w:rPr>
          <w:rFonts w:ascii="Book Antiqua" w:hAnsi="Book Antiqua"/>
          <w:sz w:val="50"/>
          <w:szCs w:val="50"/>
        </w:rPr>
        <w:t xml:space="preserve">Appendix </w:t>
      </w:r>
      <w:r w:rsidR="00695E96">
        <w:rPr>
          <w:rFonts w:ascii="Book Antiqua" w:hAnsi="Book Antiqua"/>
          <w:sz w:val="50"/>
          <w:szCs w:val="50"/>
        </w:rPr>
        <w:t>I</w:t>
      </w:r>
      <w:r w:rsidRPr="00F85246">
        <w:rPr>
          <w:rFonts w:ascii="Book Antiqua" w:hAnsi="Book Antiqua"/>
          <w:sz w:val="50"/>
          <w:szCs w:val="50"/>
        </w:rPr>
        <w:t xml:space="preserve"> </w:t>
      </w:r>
    </w:p>
    <w:p w:rsidRPr="00D2090C" w:rsidR="00554B20" w:rsidP="00554B20" w:rsidRDefault="00554B20" w14:paraId="0296A2A9" w14:textId="77777777"/>
    <w:p w:rsidR="00554B20" w:rsidP="00554B20" w:rsidRDefault="00554B20" w14:paraId="67EADF5F" w14:textId="1F8D2EA2">
      <w:pPr>
        <w:spacing w:line="240" w:lineRule="auto"/>
        <w:jc w:val="center"/>
        <w:rPr>
          <w:rFonts w:cs="Arial"/>
          <w:b/>
          <w:bCs/>
          <w:sz w:val="50"/>
          <w:szCs w:val="50"/>
        </w:rPr>
      </w:pPr>
      <w:r w:rsidRPr="00D2090C">
        <w:rPr>
          <w:rFonts w:cs="Arial"/>
          <w:b/>
          <w:bCs/>
          <w:sz w:val="50"/>
          <w:szCs w:val="50"/>
        </w:rPr>
        <w:t xml:space="preserve">Liberty </w:t>
      </w:r>
      <w:r w:rsidR="00695E96">
        <w:rPr>
          <w:rFonts w:cs="Arial"/>
          <w:b/>
          <w:bCs/>
          <w:sz w:val="50"/>
          <w:szCs w:val="50"/>
        </w:rPr>
        <w:t>Park Approved</w:t>
      </w:r>
      <w:r w:rsidRPr="00D2090C">
        <w:rPr>
          <w:rFonts w:cs="Arial"/>
          <w:b/>
          <w:bCs/>
          <w:sz w:val="50"/>
          <w:szCs w:val="50"/>
        </w:rPr>
        <w:t xml:space="preserve"> </w:t>
      </w:r>
      <w:r w:rsidR="00695E96">
        <w:rPr>
          <w:rFonts w:cs="Arial"/>
          <w:b/>
          <w:bCs/>
          <w:sz w:val="50"/>
          <w:szCs w:val="50"/>
        </w:rPr>
        <w:t>Settled and Uncontested Issues</w:t>
      </w:r>
    </w:p>
    <w:p w:rsidR="00F85466" w:rsidRDefault="00F85466" w14:paraId="52ADE845" w14:textId="74B470E3">
      <w:pPr>
        <w:spacing w:after="160" w:line="259" w:lineRule="auto"/>
        <w:ind w:firstLine="0"/>
        <w:rPr>
          <w:rFonts w:cs="Arial"/>
          <w:b/>
          <w:bCs/>
          <w:sz w:val="50"/>
          <w:szCs w:val="50"/>
        </w:rPr>
        <w:sectPr w:rsidR="00F85466" w:rsidSect="00C618BF">
          <w:footerReference w:type="default" r:id="rId40"/>
          <w:pgSz w:w="12240" w:h="15840"/>
          <w:pgMar w:top="1728" w:right="1440" w:bottom="1440" w:left="1440" w:header="720" w:footer="720" w:gutter="0"/>
          <w:pgNumType w:fmt="numberInDash" w:start="1"/>
          <w:cols w:space="720"/>
          <w:docGrid w:linePitch="360"/>
        </w:sectPr>
      </w:pPr>
    </w:p>
    <w:p w:rsidR="00554B20" w:rsidRDefault="00554B20" w14:paraId="2AF5288F" w14:textId="50ACB915">
      <w:pPr>
        <w:spacing w:after="160" w:line="259" w:lineRule="auto"/>
        <w:ind w:firstLine="0"/>
        <w:rPr>
          <w:b/>
          <w:bCs/>
        </w:rPr>
      </w:pPr>
    </w:p>
    <w:p w:rsidR="00F85466" w:rsidP="00554B20" w:rsidRDefault="00F85466" w14:paraId="7F33D4DA" w14:textId="77777777">
      <w:pPr>
        <w:pStyle w:val="Main"/>
        <w:rPr>
          <w:rFonts w:ascii="Book Antiqua" w:hAnsi="Book Antiqua"/>
          <w:sz w:val="50"/>
          <w:szCs w:val="50"/>
        </w:rPr>
      </w:pPr>
    </w:p>
    <w:p w:rsidR="00F85466" w:rsidP="00554B20" w:rsidRDefault="00F85466" w14:paraId="0FD21EAC" w14:textId="77777777">
      <w:pPr>
        <w:pStyle w:val="Main"/>
        <w:rPr>
          <w:rFonts w:ascii="Book Antiqua" w:hAnsi="Book Antiqua"/>
          <w:sz w:val="50"/>
          <w:szCs w:val="50"/>
        </w:rPr>
      </w:pPr>
    </w:p>
    <w:p w:rsidR="00F85466" w:rsidP="00554B20" w:rsidRDefault="00F85466" w14:paraId="1C9A6509" w14:textId="77777777">
      <w:pPr>
        <w:pStyle w:val="Main"/>
        <w:rPr>
          <w:rFonts w:ascii="Book Antiqua" w:hAnsi="Book Antiqua"/>
          <w:sz w:val="50"/>
          <w:szCs w:val="50"/>
        </w:rPr>
      </w:pPr>
    </w:p>
    <w:p w:rsidR="00F85466" w:rsidP="00554B20" w:rsidRDefault="00F85466" w14:paraId="5442FE20" w14:textId="77777777">
      <w:pPr>
        <w:pStyle w:val="Main"/>
        <w:rPr>
          <w:rFonts w:ascii="Book Antiqua" w:hAnsi="Book Antiqua"/>
          <w:sz w:val="50"/>
          <w:szCs w:val="50"/>
        </w:rPr>
      </w:pPr>
    </w:p>
    <w:p w:rsidR="00F85466" w:rsidP="00554B20" w:rsidRDefault="00F85466" w14:paraId="2DE8D421" w14:textId="77777777">
      <w:pPr>
        <w:pStyle w:val="Main"/>
        <w:rPr>
          <w:rFonts w:ascii="Book Antiqua" w:hAnsi="Book Antiqua"/>
          <w:sz w:val="50"/>
          <w:szCs w:val="50"/>
        </w:rPr>
      </w:pPr>
    </w:p>
    <w:p w:rsidR="00F85466" w:rsidP="00554B20" w:rsidRDefault="00F85466" w14:paraId="2FF8569F" w14:textId="77777777">
      <w:pPr>
        <w:pStyle w:val="Main"/>
        <w:rPr>
          <w:rFonts w:ascii="Book Antiqua" w:hAnsi="Book Antiqua"/>
          <w:sz w:val="50"/>
          <w:szCs w:val="50"/>
        </w:rPr>
      </w:pPr>
    </w:p>
    <w:p w:rsidR="00554B20" w:rsidP="00554B20" w:rsidRDefault="00554B20" w14:paraId="77822A83" w14:textId="581EC855">
      <w:pPr>
        <w:pStyle w:val="Main"/>
        <w:rPr>
          <w:rFonts w:ascii="Book Antiqua" w:hAnsi="Book Antiqua"/>
          <w:sz w:val="50"/>
          <w:szCs w:val="50"/>
        </w:rPr>
      </w:pPr>
      <w:r w:rsidRPr="00F85246">
        <w:rPr>
          <w:rFonts w:ascii="Book Antiqua" w:hAnsi="Book Antiqua"/>
          <w:sz w:val="50"/>
          <w:szCs w:val="50"/>
        </w:rPr>
        <w:t xml:space="preserve">Appendix </w:t>
      </w:r>
      <w:r w:rsidR="00DD422D">
        <w:rPr>
          <w:rFonts w:ascii="Book Antiqua" w:hAnsi="Book Antiqua"/>
          <w:sz w:val="50"/>
          <w:szCs w:val="50"/>
        </w:rPr>
        <w:t>J</w:t>
      </w:r>
      <w:r w:rsidRPr="00F85246">
        <w:rPr>
          <w:rFonts w:ascii="Book Antiqua" w:hAnsi="Book Antiqua"/>
          <w:sz w:val="50"/>
          <w:szCs w:val="50"/>
        </w:rPr>
        <w:t xml:space="preserve"> </w:t>
      </w:r>
    </w:p>
    <w:p w:rsidRPr="00D2090C" w:rsidR="00554B20" w:rsidP="00554B20" w:rsidRDefault="00554B20" w14:paraId="57A5D422" w14:textId="77777777"/>
    <w:p w:rsidR="00554B20" w:rsidP="00554B20" w:rsidRDefault="00554B20" w14:paraId="0FC7EF9A" w14:textId="68E7F95A">
      <w:pPr>
        <w:spacing w:line="240" w:lineRule="auto"/>
        <w:jc w:val="center"/>
        <w:rPr>
          <w:rFonts w:cs="Arial"/>
          <w:b/>
          <w:bCs/>
          <w:sz w:val="50"/>
          <w:szCs w:val="50"/>
        </w:rPr>
      </w:pPr>
      <w:r w:rsidRPr="00D2090C">
        <w:rPr>
          <w:rFonts w:cs="Arial"/>
          <w:b/>
          <w:bCs/>
          <w:sz w:val="50"/>
          <w:szCs w:val="50"/>
        </w:rPr>
        <w:t xml:space="preserve">Liberty </w:t>
      </w:r>
      <w:r w:rsidR="00DD422D">
        <w:rPr>
          <w:rFonts w:cs="Arial"/>
          <w:b/>
          <w:bCs/>
          <w:sz w:val="50"/>
          <w:szCs w:val="50"/>
        </w:rPr>
        <w:t>Park</w:t>
      </w:r>
      <w:r w:rsidRPr="00D2090C">
        <w:rPr>
          <w:rFonts w:cs="Arial"/>
          <w:b/>
          <w:bCs/>
          <w:sz w:val="50"/>
          <w:szCs w:val="50"/>
        </w:rPr>
        <w:t xml:space="preserve"> </w:t>
      </w:r>
      <w:r w:rsidR="00DD422D">
        <w:rPr>
          <w:rFonts w:cs="Arial"/>
          <w:b/>
          <w:bCs/>
          <w:sz w:val="50"/>
          <w:szCs w:val="50"/>
        </w:rPr>
        <w:t>Approved Balancing and Memorandum Accounts</w:t>
      </w:r>
    </w:p>
    <w:p w:rsidR="00F85466" w:rsidRDefault="00F85466" w14:paraId="7B975110" w14:textId="770DBBC9">
      <w:pPr>
        <w:spacing w:after="160" w:line="259" w:lineRule="auto"/>
        <w:ind w:firstLine="0"/>
        <w:rPr>
          <w:b/>
          <w:bCs/>
        </w:rPr>
        <w:sectPr w:rsidR="00F85466" w:rsidSect="00C618BF">
          <w:footerReference w:type="default" r:id="rId41"/>
          <w:pgSz w:w="12240" w:h="15840"/>
          <w:pgMar w:top="1728" w:right="1440" w:bottom="1440" w:left="1440" w:header="720" w:footer="720" w:gutter="0"/>
          <w:pgNumType w:fmt="numberInDash" w:start="1"/>
          <w:cols w:space="720"/>
          <w:docGrid w:linePitch="360"/>
        </w:sectPr>
      </w:pPr>
    </w:p>
    <w:p w:rsidR="00F85466" w:rsidP="00554B20" w:rsidRDefault="00F85466" w14:paraId="24BA8481" w14:textId="77777777">
      <w:pPr>
        <w:pStyle w:val="Main"/>
        <w:rPr>
          <w:rFonts w:ascii="Book Antiqua" w:hAnsi="Book Antiqua"/>
          <w:sz w:val="50"/>
          <w:szCs w:val="50"/>
        </w:rPr>
      </w:pPr>
    </w:p>
    <w:p w:rsidR="00F85466" w:rsidP="00554B20" w:rsidRDefault="00F85466" w14:paraId="413094F8" w14:textId="77777777">
      <w:pPr>
        <w:pStyle w:val="Main"/>
        <w:rPr>
          <w:rFonts w:ascii="Book Antiqua" w:hAnsi="Book Antiqua"/>
          <w:sz w:val="50"/>
          <w:szCs w:val="50"/>
        </w:rPr>
      </w:pPr>
    </w:p>
    <w:p w:rsidR="00F85466" w:rsidP="00554B20" w:rsidRDefault="00F85466" w14:paraId="625E002C" w14:textId="77777777">
      <w:pPr>
        <w:pStyle w:val="Main"/>
        <w:rPr>
          <w:rFonts w:ascii="Book Antiqua" w:hAnsi="Book Antiqua"/>
          <w:sz w:val="50"/>
          <w:szCs w:val="50"/>
        </w:rPr>
      </w:pPr>
    </w:p>
    <w:p w:rsidR="00F85466" w:rsidP="00554B20" w:rsidRDefault="00F85466" w14:paraId="7B230005" w14:textId="77777777">
      <w:pPr>
        <w:pStyle w:val="Main"/>
        <w:rPr>
          <w:rFonts w:ascii="Book Antiqua" w:hAnsi="Book Antiqua"/>
          <w:sz w:val="50"/>
          <w:szCs w:val="50"/>
        </w:rPr>
      </w:pPr>
    </w:p>
    <w:p w:rsidR="00F85466" w:rsidP="00554B20" w:rsidRDefault="00F85466" w14:paraId="7F6ECCE7" w14:textId="77777777">
      <w:pPr>
        <w:pStyle w:val="Main"/>
        <w:rPr>
          <w:rFonts w:ascii="Book Antiqua" w:hAnsi="Book Antiqua"/>
          <w:sz w:val="50"/>
          <w:szCs w:val="50"/>
        </w:rPr>
      </w:pPr>
    </w:p>
    <w:p w:rsidR="00F85466" w:rsidP="00554B20" w:rsidRDefault="00F85466" w14:paraId="1D29950A" w14:textId="77777777">
      <w:pPr>
        <w:pStyle w:val="Main"/>
        <w:rPr>
          <w:rFonts w:ascii="Book Antiqua" w:hAnsi="Book Antiqua"/>
          <w:sz w:val="50"/>
          <w:szCs w:val="50"/>
        </w:rPr>
      </w:pPr>
    </w:p>
    <w:p w:rsidR="00554B20" w:rsidP="00554B20" w:rsidRDefault="00554B20" w14:paraId="6CB37715" w14:textId="58B7C5BC">
      <w:pPr>
        <w:pStyle w:val="Main"/>
        <w:rPr>
          <w:rFonts w:ascii="Book Antiqua" w:hAnsi="Book Antiqua"/>
          <w:sz w:val="50"/>
          <w:szCs w:val="50"/>
        </w:rPr>
      </w:pPr>
      <w:r w:rsidRPr="00F85246">
        <w:rPr>
          <w:rFonts w:ascii="Book Antiqua" w:hAnsi="Book Antiqua"/>
          <w:sz w:val="50"/>
          <w:szCs w:val="50"/>
        </w:rPr>
        <w:t xml:space="preserve">Appendix </w:t>
      </w:r>
      <w:r w:rsidR="008E0C29">
        <w:rPr>
          <w:rFonts w:ascii="Book Antiqua" w:hAnsi="Book Antiqua"/>
          <w:sz w:val="50"/>
          <w:szCs w:val="50"/>
        </w:rPr>
        <w:t>K</w:t>
      </w:r>
      <w:r w:rsidRPr="00F85246">
        <w:rPr>
          <w:rFonts w:ascii="Book Antiqua" w:hAnsi="Book Antiqua"/>
          <w:sz w:val="50"/>
          <w:szCs w:val="50"/>
        </w:rPr>
        <w:t xml:space="preserve"> </w:t>
      </w:r>
    </w:p>
    <w:p w:rsidRPr="00D2090C" w:rsidR="00554B20" w:rsidP="00554B20" w:rsidRDefault="00554B20" w14:paraId="3BEC433C" w14:textId="77777777"/>
    <w:p w:rsidR="00554B20" w:rsidP="00554B20" w:rsidRDefault="00554B20" w14:paraId="71DC3022" w14:textId="099DAAF6">
      <w:pPr>
        <w:spacing w:line="240" w:lineRule="auto"/>
        <w:jc w:val="center"/>
        <w:rPr>
          <w:rFonts w:cs="Arial"/>
          <w:b/>
          <w:bCs/>
          <w:sz w:val="50"/>
          <w:szCs w:val="50"/>
        </w:rPr>
      </w:pPr>
      <w:r w:rsidRPr="00D2090C">
        <w:rPr>
          <w:rFonts w:cs="Arial"/>
          <w:b/>
          <w:bCs/>
          <w:sz w:val="50"/>
          <w:szCs w:val="50"/>
        </w:rPr>
        <w:t xml:space="preserve">Liberty </w:t>
      </w:r>
      <w:r w:rsidR="008E0C29">
        <w:rPr>
          <w:rFonts w:cs="Arial"/>
          <w:b/>
          <w:bCs/>
          <w:sz w:val="50"/>
          <w:szCs w:val="50"/>
        </w:rPr>
        <w:t>General Office/Downey Revenue Requirement</w:t>
      </w:r>
    </w:p>
    <w:p w:rsidR="00F85466" w:rsidRDefault="00F85466" w14:paraId="13119678" w14:textId="24C625E1">
      <w:pPr>
        <w:spacing w:after="160" w:line="259" w:lineRule="auto"/>
        <w:ind w:firstLine="0"/>
        <w:rPr>
          <w:b/>
          <w:bCs/>
        </w:rPr>
        <w:sectPr w:rsidR="00F85466" w:rsidSect="00C618BF">
          <w:pgSz w:w="12240" w:h="15840"/>
          <w:pgMar w:top="1728" w:right="1440" w:bottom="1440" w:left="1440" w:header="720" w:footer="720" w:gutter="0"/>
          <w:pgNumType w:fmt="numberInDash" w:start="1"/>
          <w:cols w:space="720"/>
          <w:docGrid w:linePitch="360"/>
        </w:sectPr>
      </w:pPr>
    </w:p>
    <w:p w:rsidR="00D4602D" w:rsidRDefault="00D4602D" w14:paraId="6240C7D1" w14:textId="651FE142">
      <w:pPr>
        <w:spacing w:after="160" w:line="259" w:lineRule="auto"/>
        <w:ind w:firstLine="0"/>
        <w:rPr>
          <w:b/>
          <w:bCs/>
        </w:rPr>
      </w:pPr>
    </w:p>
    <w:tbl>
      <w:tblPr>
        <w:tblW w:w="7681" w:type="dxa"/>
        <w:tblLook w:val="04A0" w:firstRow="1" w:lastRow="0" w:firstColumn="1" w:lastColumn="0" w:noHBand="0" w:noVBand="1"/>
      </w:tblPr>
      <w:tblGrid>
        <w:gridCol w:w="1031"/>
        <w:gridCol w:w="2870"/>
        <w:gridCol w:w="1827"/>
        <w:gridCol w:w="1953"/>
      </w:tblGrid>
      <w:tr w:rsidR="007C3A15" w:rsidTr="003B4BA5" w14:paraId="2DE15696"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23D964B4" w14:textId="77777777">
            <w:pPr>
              <w:jc w:val="center"/>
              <w:rPr>
                <w:b/>
                <w:bCs/>
                <w:color w:val="000000"/>
                <w:u w:val="single"/>
              </w:rPr>
            </w:pPr>
          </w:p>
        </w:tc>
        <w:tc>
          <w:tcPr>
            <w:tcW w:w="2870" w:type="dxa"/>
            <w:tcBorders>
              <w:top w:val="nil"/>
              <w:left w:val="nil"/>
              <w:bottom w:val="nil"/>
              <w:right w:val="nil"/>
            </w:tcBorders>
            <w:shd w:val="clear" w:color="auto" w:fill="auto"/>
            <w:noWrap/>
            <w:vAlign w:val="bottom"/>
            <w:hideMark/>
          </w:tcPr>
          <w:p w:rsidR="007C3A15" w:rsidP="00EC4620" w:rsidRDefault="007C3A15" w14:paraId="65F90A4E"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1E0D4607" w14:textId="77777777">
            <w:pPr>
              <w:rPr>
                <w:sz w:val="20"/>
                <w:szCs w:val="20"/>
              </w:rPr>
            </w:pPr>
          </w:p>
        </w:tc>
        <w:tc>
          <w:tcPr>
            <w:tcW w:w="1953" w:type="dxa"/>
            <w:tcBorders>
              <w:top w:val="nil"/>
              <w:left w:val="nil"/>
              <w:bottom w:val="nil"/>
              <w:right w:val="nil"/>
            </w:tcBorders>
            <w:shd w:val="clear" w:color="auto" w:fill="auto"/>
            <w:noWrap/>
            <w:vAlign w:val="bottom"/>
            <w:hideMark/>
          </w:tcPr>
          <w:p w:rsidR="007C3A15" w:rsidP="00EC4620" w:rsidRDefault="007C3A15" w14:paraId="1B41297D" w14:textId="77777777">
            <w:pPr>
              <w:rPr>
                <w:sz w:val="20"/>
                <w:szCs w:val="20"/>
              </w:rPr>
            </w:pPr>
          </w:p>
        </w:tc>
      </w:tr>
      <w:tr w:rsidR="007C3A15" w:rsidTr="003B4BA5" w14:paraId="02D6AEFA"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38C3787B" w14:textId="77777777">
            <w:pPr>
              <w:rPr>
                <w:sz w:val="20"/>
                <w:szCs w:val="20"/>
              </w:rPr>
            </w:pPr>
          </w:p>
        </w:tc>
        <w:tc>
          <w:tcPr>
            <w:tcW w:w="2870" w:type="dxa"/>
            <w:tcBorders>
              <w:top w:val="nil"/>
              <w:left w:val="nil"/>
              <w:bottom w:val="nil"/>
              <w:right w:val="nil"/>
            </w:tcBorders>
            <w:shd w:val="clear" w:color="auto" w:fill="auto"/>
            <w:noWrap/>
            <w:vAlign w:val="bottom"/>
            <w:hideMark/>
          </w:tcPr>
          <w:p w:rsidR="007C3A15" w:rsidP="00EC4620" w:rsidRDefault="007C3A15" w14:paraId="3DF1E52B"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03F17E56" w14:textId="4B963B7E">
            <w:pPr>
              <w:jc w:val="right"/>
              <w:rPr>
                <w:rFonts w:ascii="Calibri" w:hAnsi="Calibri" w:cs="Calibri"/>
                <w:b/>
                <w:bCs/>
                <w:color w:val="000000"/>
                <w:sz w:val="22"/>
              </w:rPr>
            </w:pPr>
            <w:r>
              <w:rPr>
                <w:rFonts w:ascii="Calibri" w:hAnsi="Calibri" w:cs="Calibri"/>
                <w:b/>
                <w:bCs/>
                <w:color w:val="000000"/>
                <w:sz w:val="22"/>
              </w:rPr>
              <w:t>2018</w:t>
            </w:r>
          </w:p>
        </w:tc>
        <w:tc>
          <w:tcPr>
            <w:tcW w:w="1953" w:type="dxa"/>
            <w:tcBorders>
              <w:top w:val="nil"/>
              <w:left w:val="nil"/>
              <w:bottom w:val="nil"/>
              <w:right w:val="nil"/>
            </w:tcBorders>
            <w:shd w:val="clear" w:color="auto" w:fill="auto"/>
            <w:noWrap/>
            <w:vAlign w:val="bottom"/>
            <w:hideMark/>
          </w:tcPr>
          <w:p w:rsidR="007C3A15" w:rsidP="00EC4620" w:rsidRDefault="007C3A15" w14:paraId="263CBACA" w14:textId="5F9762AE">
            <w:pPr>
              <w:jc w:val="right"/>
              <w:rPr>
                <w:rFonts w:ascii="Calibri" w:hAnsi="Calibri" w:cs="Calibri"/>
                <w:b/>
                <w:bCs/>
                <w:color w:val="000000"/>
                <w:sz w:val="22"/>
              </w:rPr>
            </w:pPr>
            <w:r>
              <w:rPr>
                <w:rFonts w:ascii="Calibri" w:hAnsi="Calibri" w:cs="Calibri"/>
                <w:b/>
                <w:bCs/>
                <w:color w:val="000000"/>
                <w:sz w:val="22"/>
              </w:rPr>
              <w:t>2019-CY</w:t>
            </w:r>
          </w:p>
        </w:tc>
      </w:tr>
      <w:tr w:rsidR="007C3A15" w:rsidTr="003B4BA5" w14:paraId="0486EE2A"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01036D43" w14:textId="77777777">
            <w:pPr>
              <w:jc w:val="right"/>
              <w:rPr>
                <w:rFonts w:ascii="Calibri" w:hAnsi="Calibri" w:cs="Calibri"/>
                <w:b/>
                <w:bCs/>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7B835EE8"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3B4BA5" w:rsidRDefault="007C3A15" w14:paraId="79DCEAA0" w14:textId="2415B33F">
            <w:pPr>
              <w:rPr>
                <w:rFonts w:ascii="Calibri" w:hAnsi="Calibri" w:cs="Calibri"/>
                <w:b/>
                <w:bCs/>
                <w:color w:val="000000"/>
                <w:sz w:val="22"/>
              </w:rPr>
            </w:pPr>
          </w:p>
        </w:tc>
        <w:tc>
          <w:tcPr>
            <w:tcW w:w="1953" w:type="dxa"/>
            <w:tcBorders>
              <w:top w:val="nil"/>
              <w:left w:val="nil"/>
              <w:bottom w:val="nil"/>
              <w:right w:val="nil"/>
            </w:tcBorders>
            <w:shd w:val="clear" w:color="auto" w:fill="auto"/>
            <w:noWrap/>
            <w:vAlign w:val="bottom"/>
            <w:hideMark/>
          </w:tcPr>
          <w:p w:rsidR="007C3A15" w:rsidP="003B4BA5" w:rsidRDefault="007C3A15" w14:paraId="4FDA4B48" w14:textId="01E63601">
            <w:pPr>
              <w:rPr>
                <w:rFonts w:ascii="Calibri" w:hAnsi="Calibri" w:cs="Calibri"/>
                <w:b/>
                <w:bCs/>
                <w:color w:val="000000"/>
                <w:sz w:val="22"/>
              </w:rPr>
            </w:pPr>
            <w:r>
              <w:rPr>
                <w:rFonts w:ascii="Calibri" w:hAnsi="Calibri" w:cs="Calibri"/>
                <w:b/>
                <w:bCs/>
                <w:color w:val="000000"/>
                <w:sz w:val="22"/>
              </w:rPr>
              <w:t>APPROVED</w:t>
            </w:r>
          </w:p>
        </w:tc>
      </w:tr>
      <w:tr w:rsidR="007C3A15" w:rsidTr="003B4BA5" w14:paraId="6943A40D"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476B6F0A" w14:textId="77777777">
            <w:pPr>
              <w:jc w:val="right"/>
              <w:rPr>
                <w:rFonts w:ascii="Calibri" w:hAnsi="Calibri" w:cs="Calibri"/>
                <w:b/>
                <w:bCs/>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7F8FABCB"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45BE90CB" w14:textId="77777777">
            <w:pPr>
              <w:rPr>
                <w:sz w:val="20"/>
                <w:szCs w:val="20"/>
              </w:rPr>
            </w:pPr>
          </w:p>
        </w:tc>
        <w:tc>
          <w:tcPr>
            <w:tcW w:w="1953" w:type="dxa"/>
            <w:tcBorders>
              <w:top w:val="nil"/>
              <w:left w:val="nil"/>
              <w:bottom w:val="nil"/>
              <w:right w:val="nil"/>
            </w:tcBorders>
            <w:shd w:val="clear" w:color="auto" w:fill="auto"/>
            <w:noWrap/>
            <w:vAlign w:val="bottom"/>
            <w:hideMark/>
          </w:tcPr>
          <w:p w:rsidR="007C3A15" w:rsidP="00EC4620" w:rsidRDefault="007C3A15" w14:paraId="48C93002" w14:textId="77777777">
            <w:pPr>
              <w:rPr>
                <w:sz w:val="20"/>
                <w:szCs w:val="20"/>
              </w:rPr>
            </w:pPr>
          </w:p>
        </w:tc>
      </w:tr>
      <w:tr w:rsidR="007C3A15" w:rsidTr="003B4BA5" w14:paraId="1244DBD8" w14:textId="77777777">
        <w:trPr>
          <w:trHeight w:val="300"/>
        </w:trPr>
        <w:tc>
          <w:tcPr>
            <w:tcW w:w="3901" w:type="dxa"/>
            <w:gridSpan w:val="2"/>
            <w:tcBorders>
              <w:top w:val="nil"/>
              <w:left w:val="nil"/>
              <w:bottom w:val="nil"/>
              <w:right w:val="nil"/>
            </w:tcBorders>
            <w:shd w:val="clear" w:color="auto" w:fill="auto"/>
            <w:noWrap/>
            <w:vAlign w:val="bottom"/>
            <w:hideMark/>
          </w:tcPr>
          <w:p w:rsidR="007C3A15" w:rsidP="00EC4620" w:rsidRDefault="007C3A15" w14:paraId="3B635A36" w14:textId="77777777">
            <w:pPr>
              <w:rPr>
                <w:rFonts w:ascii="Calibri" w:hAnsi="Calibri" w:cs="Calibri"/>
                <w:color w:val="000000"/>
                <w:sz w:val="22"/>
              </w:rPr>
            </w:pPr>
            <w:r>
              <w:rPr>
                <w:rFonts w:ascii="Calibri" w:hAnsi="Calibri" w:cs="Calibri"/>
                <w:color w:val="000000"/>
                <w:sz w:val="22"/>
              </w:rPr>
              <w:t>OPERATIONS &amp; MAINTENANCE</w:t>
            </w:r>
          </w:p>
        </w:tc>
        <w:tc>
          <w:tcPr>
            <w:tcW w:w="1827" w:type="dxa"/>
            <w:tcBorders>
              <w:top w:val="nil"/>
              <w:left w:val="nil"/>
              <w:bottom w:val="nil"/>
              <w:right w:val="nil"/>
            </w:tcBorders>
            <w:shd w:val="clear" w:color="auto" w:fill="auto"/>
            <w:noWrap/>
            <w:vAlign w:val="bottom"/>
            <w:hideMark/>
          </w:tcPr>
          <w:p w:rsidR="007C3A15" w:rsidP="00EC4620" w:rsidRDefault="007C3A15" w14:paraId="6D88AE43" w14:textId="77777777">
            <w:pPr>
              <w:rPr>
                <w:rFonts w:ascii="Calibri" w:hAnsi="Calibri" w:cs="Calibri"/>
                <w:color w:val="000000"/>
                <w:sz w:val="22"/>
              </w:rPr>
            </w:pPr>
          </w:p>
        </w:tc>
        <w:tc>
          <w:tcPr>
            <w:tcW w:w="1953" w:type="dxa"/>
            <w:tcBorders>
              <w:top w:val="nil"/>
              <w:left w:val="nil"/>
              <w:bottom w:val="nil"/>
              <w:right w:val="nil"/>
            </w:tcBorders>
            <w:shd w:val="clear" w:color="auto" w:fill="auto"/>
            <w:noWrap/>
            <w:vAlign w:val="bottom"/>
            <w:hideMark/>
          </w:tcPr>
          <w:p w:rsidR="007C3A15" w:rsidP="00EC4620" w:rsidRDefault="007C3A15" w14:paraId="16674167" w14:textId="77777777">
            <w:pPr>
              <w:rPr>
                <w:sz w:val="20"/>
                <w:szCs w:val="20"/>
              </w:rPr>
            </w:pPr>
          </w:p>
        </w:tc>
      </w:tr>
      <w:tr w:rsidR="007C3A15" w:rsidTr="003B4BA5" w14:paraId="68519ABC"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1B643940"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6EF503D8" w14:textId="77777777">
            <w:pPr>
              <w:rPr>
                <w:rFonts w:ascii="Calibri" w:hAnsi="Calibri" w:cs="Calibri"/>
                <w:color w:val="000000"/>
                <w:sz w:val="22"/>
              </w:rPr>
            </w:pPr>
            <w:r>
              <w:rPr>
                <w:rFonts w:ascii="Calibri" w:hAnsi="Calibri" w:cs="Calibri"/>
                <w:color w:val="000000"/>
                <w:sz w:val="22"/>
              </w:rPr>
              <w:t>OPERATIONS-OTHER</w:t>
            </w:r>
          </w:p>
        </w:tc>
        <w:tc>
          <w:tcPr>
            <w:tcW w:w="1827" w:type="dxa"/>
            <w:tcBorders>
              <w:top w:val="nil"/>
              <w:left w:val="nil"/>
              <w:bottom w:val="nil"/>
              <w:right w:val="nil"/>
            </w:tcBorders>
            <w:shd w:val="clear" w:color="auto" w:fill="auto"/>
            <w:noWrap/>
            <w:vAlign w:val="bottom"/>
            <w:hideMark/>
          </w:tcPr>
          <w:p w:rsidR="007C3A15" w:rsidP="00EC4620" w:rsidRDefault="007C3A15" w14:paraId="48A16D21" w14:textId="0E02D98E">
            <w:pPr>
              <w:jc w:val="right"/>
              <w:rPr>
                <w:rFonts w:ascii="Calibri" w:hAnsi="Calibri" w:cs="Calibri"/>
                <w:color w:val="000000"/>
                <w:sz w:val="22"/>
              </w:rPr>
            </w:pPr>
            <w:r>
              <w:rPr>
                <w:rFonts w:ascii="Calibri" w:hAnsi="Calibri" w:cs="Calibri"/>
                <w:color w:val="000000"/>
                <w:sz w:val="22"/>
              </w:rPr>
              <w:t xml:space="preserve">0 </w:t>
            </w:r>
          </w:p>
        </w:tc>
        <w:tc>
          <w:tcPr>
            <w:tcW w:w="1953" w:type="dxa"/>
            <w:tcBorders>
              <w:top w:val="nil"/>
              <w:left w:val="nil"/>
              <w:bottom w:val="nil"/>
              <w:right w:val="nil"/>
            </w:tcBorders>
            <w:shd w:val="clear" w:color="auto" w:fill="auto"/>
            <w:noWrap/>
            <w:vAlign w:val="bottom"/>
            <w:hideMark/>
          </w:tcPr>
          <w:p w:rsidR="007C3A15" w:rsidP="00EC4620" w:rsidRDefault="007C3A15" w14:paraId="1C75A542" w14:textId="3DA5A061">
            <w:pPr>
              <w:jc w:val="right"/>
              <w:rPr>
                <w:rFonts w:ascii="Calibri" w:hAnsi="Calibri" w:cs="Calibri"/>
                <w:color w:val="000000"/>
                <w:sz w:val="22"/>
              </w:rPr>
            </w:pPr>
            <w:r>
              <w:rPr>
                <w:rFonts w:ascii="Calibri" w:hAnsi="Calibri" w:cs="Calibri"/>
                <w:color w:val="000000"/>
                <w:sz w:val="22"/>
              </w:rPr>
              <w:t xml:space="preserve">0 </w:t>
            </w:r>
          </w:p>
        </w:tc>
      </w:tr>
      <w:tr w:rsidR="00556739" w:rsidTr="003B4BA5" w14:paraId="07DDEB13" w14:textId="77777777">
        <w:trPr>
          <w:trHeight w:val="300"/>
        </w:trPr>
        <w:tc>
          <w:tcPr>
            <w:tcW w:w="1031" w:type="dxa"/>
            <w:tcBorders>
              <w:top w:val="nil"/>
              <w:left w:val="nil"/>
              <w:bottom w:val="nil"/>
              <w:right w:val="nil"/>
            </w:tcBorders>
            <w:shd w:val="clear" w:color="auto" w:fill="auto"/>
            <w:noWrap/>
            <w:vAlign w:val="bottom"/>
            <w:hideMark/>
          </w:tcPr>
          <w:p w:rsidR="00556739" w:rsidP="00556739" w:rsidRDefault="00556739" w14:paraId="424FEEBF"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556739" w:rsidP="00556739" w:rsidRDefault="00556739" w14:paraId="0F86F214" w14:textId="77777777">
            <w:pPr>
              <w:rPr>
                <w:rFonts w:ascii="Calibri" w:hAnsi="Calibri" w:cs="Calibri"/>
                <w:color w:val="000000"/>
                <w:sz w:val="22"/>
              </w:rPr>
            </w:pPr>
            <w:r>
              <w:rPr>
                <w:rFonts w:ascii="Calibri" w:hAnsi="Calibri" w:cs="Calibri"/>
                <w:color w:val="000000"/>
                <w:sz w:val="22"/>
              </w:rPr>
              <w:t xml:space="preserve">CUSTOMERS-PAYROLL </w:t>
            </w:r>
          </w:p>
        </w:tc>
        <w:tc>
          <w:tcPr>
            <w:tcW w:w="1827" w:type="dxa"/>
            <w:tcBorders>
              <w:top w:val="nil"/>
              <w:left w:val="nil"/>
              <w:bottom w:val="nil"/>
              <w:right w:val="nil"/>
            </w:tcBorders>
            <w:shd w:val="clear" w:color="auto" w:fill="auto"/>
            <w:noWrap/>
            <w:vAlign w:val="bottom"/>
            <w:hideMark/>
          </w:tcPr>
          <w:p w:rsidR="00556739" w:rsidP="00556739" w:rsidRDefault="00556739" w14:paraId="470190D4" w14:textId="60FCEFE5">
            <w:pPr>
              <w:jc w:val="right"/>
              <w:rPr>
                <w:rFonts w:ascii="Calibri" w:hAnsi="Calibri" w:cs="Calibri"/>
                <w:color w:val="000000"/>
                <w:sz w:val="22"/>
              </w:rPr>
            </w:pPr>
            <w:r>
              <w:rPr>
                <w:rFonts w:ascii="Calibri" w:hAnsi="Calibri" w:cs="Calibri"/>
                <w:color w:val="000000"/>
                <w:sz w:val="22"/>
              </w:rPr>
              <w:t xml:space="preserve">3,371 </w:t>
            </w:r>
          </w:p>
        </w:tc>
        <w:tc>
          <w:tcPr>
            <w:tcW w:w="1953" w:type="dxa"/>
            <w:tcBorders>
              <w:top w:val="nil"/>
              <w:left w:val="nil"/>
              <w:bottom w:val="nil"/>
              <w:right w:val="nil"/>
            </w:tcBorders>
            <w:shd w:val="clear" w:color="auto" w:fill="auto"/>
            <w:noWrap/>
            <w:vAlign w:val="bottom"/>
            <w:hideMark/>
          </w:tcPr>
          <w:p w:rsidR="00556739" w:rsidP="00556739" w:rsidRDefault="00556739" w14:paraId="70D71F6F" w14:textId="33745E5A">
            <w:pPr>
              <w:jc w:val="right"/>
              <w:rPr>
                <w:rFonts w:ascii="Calibri" w:hAnsi="Calibri" w:cs="Calibri"/>
                <w:color w:val="000000"/>
                <w:sz w:val="22"/>
              </w:rPr>
            </w:pPr>
            <w:r>
              <w:rPr>
                <w:rFonts w:ascii="Calibri" w:hAnsi="Calibri" w:cs="Calibri"/>
                <w:color w:val="000000"/>
                <w:sz w:val="22"/>
              </w:rPr>
              <w:t xml:space="preserve">0 </w:t>
            </w:r>
          </w:p>
        </w:tc>
      </w:tr>
      <w:tr w:rsidR="00556739" w:rsidTr="003B4BA5" w14:paraId="6A84F0C3" w14:textId="77777777">
        <w:trPr>
          <w:trHeight w:val="300"/>
        </w:trPr>
        <w:tc>
          <w:tcPr>
            <w:tcW w:w="1031" w:type="dxa"/>
            <w:tcBorders>
              <w:top w:val="nil"/>
              <w:left w:val="nil"/>
              <w:bottom w:val="nil"/>
              <w:right w:val="nil"/>
            </w:tcBorders>
            <w:shd w:val="clear" w:color="auto" w:fill="auto"/>
            <w:noWrap/>
            <w:vAlign w:val="bottom"/>
            <w:hideMark/>
          </w:tcPr>
          <w:p w:rsidR="00556739" w:rsidP="00556739" w:rsidRDefault="00556739" w14:paraId="678FF438"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556739" w:rsidP="00556739" w:rsidRDefault="00556739" w14:paraId="1898EAA7" w14:textId="77777777">
            <w:pPr>
              <w:rPr>
                <w:rFonts w:ascii="Calibri" w:hAnsi="Calibri" w:cs="Calibri"/>
                <w:color w:val="000000"/>
                <w:sz w:val="22"/>
              </w:rPr>
            </w:pPr>
            <w:r>
              <w:rPr>
                <w:rFonts w:ascii="Calibri" w:hAnsi="Calibri" w:cs="Calibri"/>
                <w:color w:val="000000"/>
                <w:sz w:val="22"/>
              </w:rPr>
              <w:t>CUSTOMERS-OTHER</w:t>
            </w:r>
          </w:p>
        </w:tc>
        <w:tc>
          <w:tcPr>
            <w:tcW w:w="1827" w:type="dxa"/>
            <w:tcBorders>
              <w:top w:val="nil"/>
              <w:left w:val="nil"/>
              <w:bottom w:val="nil"/>
              <w:right w:val="nil"/>
            </w:tcBorders>
            <w:shd w:val="clear" w:color="auto" w:fill="auto"/>
            <w:noWrap/>
            <w:vAlign w:val="bottom"/>
            <w:hideMark/>
          </w:tcPr>
          <w:p w:rsidR="00556739" w:rsidP="00556739" w:rsidRDefault="00556739" w14:paraId="3D6EC822" w14:textId="49EA971A">
            <w:pPr>
              <w:jc w:val="right"/>
              <w:rPr>
                <w:rFonts w:ascii="Calibri" w:hAnsi="Calibri" w:cs="Calibri"/>
                <w:color w:val="000000"/>
                <w:sz w:val="22"/>
              </w:rPr>
            </w:pPr>
            <w:r>
              <w:rPr>
                <w:rFonts w:ascii="Calibri" w:hAnsi="Calibri" w:cs="Calibri"/>
                <w:color w:val="000000"/>
                <w:sz w:val="22"/>
              </w:rPr>
              <w:t xml:space="preserve">100 </w:t>
            </w:r>
          </w:p>
        </w:tc>
        <w:tc>
          <w:tcPr>
            <w:tcW w:w="1953" w:type="dxa"/>
            <w:tcBorders>
              <w:top w:val="nil"/>
              <w:left w:val="nil"/>
              <w:bottom w:val="nil"/>
              <w:right w:val="nil"/>
            </w:tcBorders>
            <w:shd w:val="clear" w:color="auto" w:fill="auto"/>
            <w:noWrap/>
            <w:vAlign w:val="bottom"/>
            <w:hideMark/>
          </w:tcPr>
          <w:p w:rsidR="00556739" w:rsidP="00556739" w:rsidRDefault="00556739" w14:paraId="574AC56E" w14:textId="5191646A">
            <w:pPr>
              <w:jc w:val="right"/>
              <w:rPr>
                <w:rFonts w:ascii="Calibri" w:hAnsi="Calibri" w:cs="Calibri"/>
                <w:color w:val="000000"/>
                <w:sz w:val="22"/>
              </w:rPr>
            </w:pPr>
            <w:r>
              <w:rPr>
                <w:rFonts w:ascii="Calibri" w:hAnsi="Calibri" w:cs="Calibri"/>
                <w:color w:val="000000"/>
                <w:sz w:val="22"/>
              </w:rPr>
              <w:t xml:space="preserve">54 </w:t>
            </w:r>
          </w:p>
        </w:tc>
      </w:tr>
      <w:tr w:rsidR="002B608D" w:rsidTr="003B4BA5" w14:paraId="4E4CFE36" w14:textId="77777777">
        <w:trPr>
          <w:trHeight w:val="300"/>
        </w:trPr>
        <w:tc>
          <w:tcPr>
            <w:tcW w:w="1031" w:type="dxa"/>
            <w:tcBorders>
              <w:top w:val="nil"/>
              <w:left w:val="nil"/>
              <w:bottom w:val="nil"/>
              <w:right w:val="nil"/>
            </w:tcBorders>
            <w:shd w:val="clear" w:color="auto" w:fill="auto"/>
            <w:noWrap/>
            <w:vAlign w:val="bottom"/>
            <w:hideMark/>
          </w:tcPr>
          <w:p w:rsidR="002B608D" w:rsidP="002B608D" w:rsidRDefault="002B608D" w14:paraId="54B815DD"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2B608D" w:rsidP="002B608D" w:rsidRDefault="002B608D" w14:paraId="352BB05A" w14:textId="77777777">
            <w:pPr>
              <w:rPr>
                <w:rFonts w:ascii="Calibri" w:hAnsi="Calibri" w:cs="Calibri"/>
                <w:color w:val="000000"/>
                <w:sz w:val="22"/>
              </w:rPr>
            </w:pPr>
            <w:r>
              <w:rPr>
                <w:rFonts w:ascii="Calibri" w:hAnsi="Calibri" w:cs="Calibri"/>
                <w:color w:val="000000"/>
                <w:sz w:val="22"/>
              </w:rPr>
              <w:t>PAYROLL-MAINTENANCE</w:t>
            </w:r>
          </w:p>
        </w:tc>
        <w:tc>
          <w:tcPr>
            <w:tcW w:w="1827" w:type="dxa"/>
            <w:tcBorders>
              <w:top w:val="nil"/>
              <w:left w:val="nil"/>
              <w:bottom w:val="nil"/>
              <w:right w:val="nil"/>
            </w:tcBorders>
            <w:shd w:val="clear" w:color="auto" w:fill="auto"/>
            <w:noWrap/>
            <w:vAlign w:val="bottom"/>
            <w:hideMark/>
          </w:tcPr>
          <w:p w:rsidR="002B608D" w:rsidP="002B608D" w:rsidRDefault="002B608D" w14:paraId="68194A34" w14:textId="7A4C550E">
            <w:pPr>
              <w:jc w:val="right"/>
              <w:rPr>
                <w:rFonts w:ascii="Calibri" w:hAnsi="Calibri" w:cs="Calibri"/>
                <w:color w:val="000000"/>
                <w:sz w:val="22"/>
              </w:rPr>
            </w:pPr>
            <w:r>
              <w:rPr>
                <w:rFonts w:ascii="Calibri" w:hAnsi="Calibri" w:cs="Calibri"/>
                <w:color w:val="000000"/>
                <w:sz w:val="22"/>
              </w:rPr>
              <w:t xml:space="preserve">13,367 </w:t>
            </w:r>
          </w:p>
        </w:tc>
        <w:tc>
          <w:tcPr>
            <w:tcW w:w="1953" w:type="dxa"/>
            <w:tcBorders>
              <w:top w:val="nil"/>
              <w:left w:val="nil"/>
              <w:bottom w:val="nil"/>
              <w:right w:val="nil"/>
            </w:tcBorders>
            <w:shd w:val="clear" w:color="auto" w:fill="auto"/>
            <w:noWrap/>
            <w:vAlign w:val="bottom"/>
            <w:hideMark/>
          </w:tcPr>
          <w:p w:rsidR="002B608D" w:rsidP="002B608D" w:rsidRDefault="002B608D" w14:paraId="23715816" w14:textId="79A912AA">
            <w:pPr>
              <w:jc w:val="right"/>
              <w:rPr>
                <w:rFonts w:ascii="Calibri" w:hAnsi="Calibri" w:cs="Calibri"/>
                <w:color w:val="000000"/>
                <w:sz w:val="22"/>
              </w:rPr>
            </w:pPr>
            <w:r>
              <w:rPr>
                <w:rFonts w:ascii="Calibri" w:hAnsi="Calibri" w:cs="Calibri"/>
                <w:color w:val="000000"/>
                <w:sz w:val="22"/>
              </w:rPr>
              <w:t xml:space="preserve">36,856 </w:t>
            </w:r>
          </w:p>
        </w:tc>
      </w:tr>
      <w:tr w:rsidR="002B608D" w:rsidTr="003B4BA5" w14:paraId="54589111" w14:textId="77777777">
        <w:trPr>
          <w:trHeight w:val="300"/>
        </w:trPr>
        <w:tc>
          <w:tcPr>
            <w:tcW w:w="1031" w:type="dxa"/>
            <w:tcBorders>
              <w:top w:val="nil"/>
              <w:left w:val="nil"/>
              <w:bottom w:val="nil"/>
              <w:right w:val="nil"/>
            </w:tcBorders>
            <w:shd w:val="clear" w:color="auto" w:fill="auto"/>
            <w:noWrap/>
            <w:vAlign w:val="bottom"/>
            <w:hideMark/>
          </w:tcPr>
          <w:p w:rsidR="002B608D" w:rsidP="002B608D" w:rsidRDefault="002B608D" w14:paraId="7AC13C9F"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2B608D" w:rsidP="002B608D" w:rsidRDefault="002B608D" w14:paraId="623FAC40" w14:textId="77777777">
            <w:pPr>
              <w:rPr>
                <w:rFonts w:ascii="Calibri" w:hAnsi="Calibri" w:cs="Calibri"/>
                <w:color w:val="000000"/>
                <w:sz w:val="22"/>
              </w:rPr>
            </w:pPr>
            <w:r>
              <w:rPr>
                <w:rFonts w:ascii="Calibri" w:hAnsi="Calibri" w:cs="Calibri"/>
                <w:color w:val="000000"/>
                <w:sz w:val="22"/>
              </w:rPr>
              <w:t>MAINTENANCE-OTHER</w:t>
            </w:r>
          </w:p>
        </w:tc>
        <w:tc>
          <w:tcPr>
            <w:tcW w:w="1827" w:type="dxa"/>
            <w:tcBorders>
              <w:top w:val="nil"/>
              <w:left w:val="nil"/>
              <w:bottom w:val="nil"/>
              <w:right w:val="nil"/>
            </w:tcBorders>
            <w:shd w:val="clear" w:color="auto" w:fill="auto"/>
            <w:noWrap/>
            <w:vAlign w:val="bottom"/>
            <w:hideMark/>
          </w:tcPr>
          <w:p w:rsidR="002B608D" w:rsidP="002B608D" w:rsidRDefault="002B608D" w14:paraId="3FC00345" w14:textId="70EC0B90">
            <w:pPr>
              <w:jc w:val="right"/>
              <w:rPr>
                <w:rFonts w:ascii="Calibri" w:hAnsi="Calibri" w:cs="Calibri"/>
                <w:color w:val="000000"/>
                <w:sz w:val="22"/>
              </w:rPr>
            </w:pPr>
            <w:r>
              <w:rPr>
                <w:rFonts w:ascii="Calibri" w:hAnsi="Calibri" w:cs="Calibri"/>
                <w:color w:val="000000"/>
                <w:sz w:val="22"/>
              </w:rPr>
              <w:t xml:space="preserve">385,045 </w:t>
            </w:r>
          </w:p>
        </w:tc>
        <w:tc>
          <w:tcPr>
            <w:tcW w:w="1953" w:type="dxa"/>
            <w:tcBorders>
              <w:top w:val="nil"/>
              <w:left w:val="nil"/>
              <w:bottom w:val="nil"/>
              <w:right w:val="nil"/>
            </w:tcBorders>
            <w:shd w:val="clear" w:color="auto" w:fill="auto"/>
            <w:noWrap/>
            <w:vAlign w:val="bottom"/>
            <w:hideMark/>
          </w:tcPr>
          <w:p w:rsidR="002B608D" w:rsidP="002B608D" w:rsidRDefault="002B608D" w14:paraId="6E231E91" w14:textId="37A3C8BD">
            <w:pPr>
              <w:jc w:val="right"/>
              <w:rPr>
                <w:rFonts w:ascii="Calibri" w:hAnsi="Calibri" w:cs="Calibri"/>
                <w:color w:val="000000"/>
                <w:sz w:val="22"/>
              </w:rPr>
            </w:pPr>
            <w:r>
              <w:rPr>
                <w:rFonts w:ascii="Calibri" w:hAnsi="Calibri" w:cs="Calibri"/>
                <w:color w:val="000000"/>
                <w:sz w:val="22"/>
              </w:rPr>
              <w:t xml:space="preserve">423,154 </w:t>
            </w:r>
          </w:p>
        </w:tc>
      </w:tr>
      <w:tr w:rsidR="007C3A15" w:rsidTr="003B4BA5" w14:paraId="59FC2DA0"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64C224B2"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0706B39C" w14:textId="77777777">
            <w:pPr>
              <w:rPr>
                <w:rFonts w:ascii="Calibri" w:hAnsi="Calibri" w:cs="Calibri"/>
                <w:color w:val="000000"/>
                <w:sz w:val="22"/>
              </w:rPr>
            </w:pPr>
            <w:r>
              <w:rPr>
                <w:rFonts w:ascii="Calibri" w:hAnsi="Calibri" w:cs="Calibri"/>
                <w:color w:val="000000"/>
                <w:sz w:val="22"/>
              </w:rPr>
              <w:t>DEPRECIATION-CLEARINGS</w:t>
            </w:r>
          </w:p>
        </w:tc>
        <w:tc>
          <w:tcPr>
            <w:tcW w:w="1827" w:type="dxa"/>
            <w:tcBorders>
              <w:top w:val="nil"/>
              <w:left w:val="nil"/>
              <w:bottom w:val="nil"/>
              <w:right w:val="nil"/>
            </w:tcBorders>
            <w:shd w:val="clear" w:color="auto" w:fill="auto"/>
            <w:noWrap/>
            <w:vAlign w:val="bottom"/>
            <w:hideMark/>
          </w:tcPr>
          <w:p w:rsidR="007C3A15" w:rsidP="00EC4620" w:rsidRDefault="007C3A15" w14:paraId="27250D36" w14:textId="77777777">
            <w:pPr>
              <w:jc w:val="right"/>
              <w:rPr>
                <w:rFonts w:ascii="Calibri" w:hAnsi="Calibri" w:cs="Calibri"/>
                <w:color w:val="000000"/>
                <w:sz w:val="22"/>
              </w:rPr>
            </w:pPr>
            <w:r>
              <w:rPr>
                <w:rFonts w:ascii="Calibri" w:hAnsi="Calibri" w:cs="Calibri"/>
                <w:color w:val="000000"/>
                <w:sz w:val="22"/>
              </w:rPr>
              <w:t xml:space="preserve">39 </w:t>
            </w:r>
          </w:p>
        </w:tc>
        <w:tc>
          <w:tcPr>
            <w:tcW w:w="1953" w:type="dxa"/>
            <w:tcBorders>
              <w:top w:val="nil"/>
              <w:left w:val="nil"/>
              <w:bottom w:val="nil"/>
              <w:right w:val="nil"/>
            </w:tcBorders>
            <w:shd w:val="clear" w:color="auto" w:fill="auto"/>
            <w:noWrap/>
            <w:vAlign w:val="bottom"/>
            <w:hideMark/>
          </w:tcPr>
          <w:p w:rsidR="007C3A15" w:rsidP="00EC4620" w:rsidRDefault="007C3A15" w14:paraId="5732FC0C" w14:textId="77777777">
            <w:pPr>
              <w:jc w:val="right"/>
              <w:rPr>
                <w:rFonts w:ascii="Calibri" w:hAnsi="Calibri" w:cs="Calibri"/>
                <w:color w:val="000000"/>
                <w:sz w:val="22"/>
              </w:rPr>
            </w:pPr>
            <w:r>
              <w:rPr>
                <w:rFonts w:ascii="Calibri" w:hAnsi="Calibri" w:cs="Calibri"/>
                <w:color w:val="000000"/>
                <w:sz w:val="22"/>
              </w:rPr>
              <w:t xml:space="preserve">39 </w:t>
            </w:r>
          </w:p>
        </w:tc>
      </w:tr>
      <w:tr w:rsidR="007C3A15" w:rsidTr="003B4BA5" w14:paraId="42CA95CE"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3A6F4817"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5A2D6296" w14:textId="77777777">
            <w:pPr>
              <w:rPr>
                <w:rFonts w:ascii="Calibri" w:hAnsi="Calibri" w:cs="Calibri"/>
                <w:color w:val="000000"/>
                <w:sz w:val="22"/>
              </w:rPr>
            </w:pPr>
            <w:r>
              <w:rPr>
                <w:rFonts w:ascii="Calibri" w:hAnsi="Calibri" w:cs="Calibri"/>
                <w:color w:val="000000"/>
                <w:sz w:val="22"/>
              </w:rPr>
              <w:t>CLEARINGS-OTHER</w:t>
            </w:r>
          </w:p>
        </w:tc>
        <w:tc>
          <w:tcPr>
            <w:tcW w:w="1827" w:type="dxa"/>
            <w:tcBorders>
              <w:top w:val="nil"/>
              <w:left w:val="nil"/>
              <w:bottom w:val="nil"/>
              <w:right w:val="nil"/>
            </w:tcBorders>
            <w:shd w:val="clear" w:color="auto" w:fill="auto"/>
            <w:noWrap/>
            <w:vAlign w:val="bottom"/>
            <w:hideMark/>
          </w:tcPr>
          <w:p w:rsidR="007C3A15" w:rsidP="00EC4620" w:rsidRDefault="007C3A15" w14:paraId="1A2BF23B" w14:textId="77777777">
            <w:pPr>
              <w:jc w:val="right"/>
              <w:rPr>
                <w:rFonts w:ascii="Calibri" w:hAnsi="Calibri" w:cs="Calibri"/>
                <w:color w:val="000000"/>
                <w:sz w:val="22"/>
              </w:rPr>
            </w:pPr>
            <w:r>
              <w:rPr>
                <w:rFonts w:ascii="Calibri" w:hAnsi="Calibri" w:cs="Calibri"/>
                <w:color w:val="000000"/>
                <w:sz w:val="22"/>
              </w:rPr>
              <w:t xml:space="preserve">18,850 </w:t>
            </w:r>
          </w:p>
        </w:tc>
        <w:tc>
          <w:tcPr>
            <w:tcW w:w="1953" w:type="dxa"/>
            <w:tcBorders>
              <w:top w:val="nil"/>
              <w:left w:val="nil"/>
              <w:bottom w:val="nil"/>
              <w:right w:val="nil"/>
            </w:tcBorders>
            <w:shd w:val="clear" w:color="auto" w:fill="auto"/>
            <w:noWrap/>
            <w:vAlign w:val="bottom"/>
            <w:hideMark/>
          </w:tcPr>
          <w:p w:rsidR="007C3A15" w:rsidP="00EC4620" w:rsidRDefault="007C3A15" w14:paraId="31FFF0EE" w14:textId="77777777">
            <w:pPr>
              <w:jc w:val="right"/>
              <w:rPr>
                <w:rFonts w:ascii="Calibri" w:hAnsi="Calibri" w:cs="Calibri"/>
                <w:color w:val="000000"/>
                <w:sz w:val="22"/>
              </w:rPr>
            </w:pPr>
            <w:r>
              <w:rPr>
                <w:rFonts w:ascii="Calibri" w:hAnsi="Calibri" w:cs="Calibri"/>
                <w:color w:val="000000"/>
                <w:sz w:val="22"/>
              </w:rPr>
              <w:t xml:space="preserve">18,850 </w:t>
            </w:r>
          </w:p>
        </w:tc>
      </w:tr>
      <w:tr w:rsidR="007C3A15" w:rsidTr="003B4BA5" w14:paraId="44BF150C"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70E1D447"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22999CD5"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7A2266BA" w14:textId="77777777">
            <w:pPr>
              <w:rPr>
                <w:sz w:val="20"/>
                <w:szCs w:val="20"/>
              </w:rPr>
            </w:pPr>
          </w:p>
        </w:tc>
        <w:tc>
          <w:tcPr>
            <w:tcW w:w="1953" w:type="dxa"/>
            <w:tcBorders>
              <w:top w:val="nil"/>
              <w:left w:val="nil"/>
              <w:bottom w:val="nil"/>
              <w:right w:val="nil"/>
            </w:tcBorders>
            <w:shd w:val="clear" w:color="auto" w:fill="auto"/>
            <w:noWrap/>
            <w:vAlign w:val="bottom"/>
            <w:hideMark/>
          </w:tcPr>
          <w:p w:rsidR="007C3A15" w:rsidP="00EC4620" w:rsidRDefault="007C3A15" w14:paraId="6ABBE14C" w14:textId="77777777">
            <w:pPr>
              <w:rPr>
                <w:sz w:val="20"/>
                <w:szCs w:val="20"/>
              </w:rPr>
            </w:pPr>
          </w:p>
        </w:tc>
      </w:tr>
      <w:tr w:rsidR="007C3A15" w:rsidTr="003B4BA5" w14:paraId="7D7C644E"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71975189" w14:textId="77777777">
            <w:pPr>
              <w:rPr>
                <w:sz w:val="20"/>
                <w:szCs w:val="20"/>
              </w:rPr>
            </w:pPr>
          </w:p>
        </w:tc>
        <w:tc>
          <w:tcPr>
            <w:tcW w:w="2870" w:type="dxa"/>
            <w:tcBorders>
              <w:top w:val="nil"/>
              <w:left w:val="nil"/>
              <w:bottom w:val="nil"/>
              <w:right w:val="nil"/>
            </w:tcBorders>
            <w:shd w:val="clear" w:color="auto" w:fill="auto"/>
            <w:noWrap/>
            <w:vAlign w:val="bottom"/>
            <w:hideMark/>
          </w:tcPr>
          <w:p w:rsidR="007C3A15" w:rsidP="00EC4620" w:rsidRDefault="007C3A15" w14:paraId="551FEF5A" w14:textId="77777777">
            <w:pPr>
              <w:rPr>
                <w:rFonts w:ascii="Calibri" w:hAnsi="Calibri" w:cs="Calibri"/>
                <w:color w:val="000000"/>
                <w:sz w:val="22"/>
              </w:rPr>
            </w:pPr>
            <w:r>
              <w:rPr>
                <w:rFonts w:ascii="Calibri" w:hAnsi="Calibri" w:cs="Calibri"/>
                <w:color w:val="000000"/>
                <w:sz w:val="22"/>
              </w:rPr>
              <w:t>SUB-TOTAL O &amp; M</w:t>
            </w:r>
          </w:p>
        </w:tc>
        <w:tc>
          <w:tcPr>
            <w:tcW w:w="1827" w:type="dxa"/>
            <w:tcBorders>
              <w:top w:val="nil"/>
              <w:left w:val="nil"/>
              <w:bottom w:val="nil"/>
              <w:right w:val="nil"/>
            </w:tcBorders>
            <w:shd w:val="clear" w:color="auto" w:fill="auto"/>
            <w:noWrap/>
            <w:vAlign w:val="bottom"/>
            <w:hideMark/>
          </w:tcPr>
          <w:p w:rsidR="007C3A15" w:rsidP="00EC4620" w:rsidRDefault="007C3A15" w14:paraId="452E2FD4" w14:textId="77777777">
            <w:pPr>
              <w:jc w:val="right"/>
              <w:rPr>
                <w:rFonts w:ascii="Calibri" w:hAnsi="Calibri" w:cs="Calibri"/>
                <w:color w:val="000000"/>
                <w:sz w:val="22"/>
              </w:rPr>
            </w:pPr>
            <w:r>
              <w:rPr>
                <w:rFonts w:ascii="Calibri" w:hAnsi="Calibri" w:cs="Calibri"/>
                <w:color w:val="000000"/>
                <w:sz w:val="22"/>
              </w:rPr>
              <w:t xml:space="preserve">84,509 </w:t>
            </w:r>
          </w:p>
        </w:tc>
        <w:tc>
          <w:tcPr>
            <w:tcW w:w="1953" w:type="dxa"/>
            <w:tcBorders>
              <w:top w:val="nil"/>
              <w:left w:val="nil"/>
              <w:bottom w:val="nil"/>
              <w:right w:val="nil"/>
            </w:tcBorders>
            <w:shd w:val="clear" w:color="auto" w:fill="auto"/>
            <w:noWrap/>
            <w:vAlign w:val="bottom"/>
            <w:hideMark/>
          </w:tcPr>
          <w:p w:rsidR="007C3A15" w:rsidP="00EC4620" w:rsidRDefault="007C3A15" w14:paraId="150F0D42" w14:textId="77777777">
            <w:pPr>
              <w:jc w:val="right"/>
              <w:rPr>
                <w:rFonts w:ascii="Calibri" w:hAnsi="Calibri" w:cs="Calibri"/>
                <w:color w:val="000000"/>
                <w:sz w:val="22"/>
              </w:rPr>
            </w:pPr>
            <w:r>
              <w:rPr>
                <w:rFonts w:ascii="Calibri" w:hAnsi="Calibri" w:cs="Calibri"/>
                <w:color w:val="000000"/>
                <w:sz w:val="22"/>
              </w:rPr>
              <w:t xml:space="preserve">85,034 </w:t>
            </w:r>
          </w:p>
        </w:tc>
      </w:tr>
      <w:tr w:rsidR="007C3A15" w:rsidTr="003B4BA5" w14:paraId="19B4E3E0"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2821018B"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1544F90E"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12135379" w14:textId="77777777">
            <w:pPr>
              <w:rPr>
                <w:sz w:val="20"/>
                <w:szCs w:val="20"/>
              </w:rPr>
            </w:pPr>
          </w:p>
        </w:tc>
        <w:tc>
          <w:tcPr>
            <w:tcW w:w="1953" w:type="dxa"/>
            <w:tcBorders>
              <w:top w:val="nil"/>
              <w:left w:val="nil"/>
              <w:bottom w:val="nil"/>
              <w:right w:val="nil"/>
            </w:tcBorders>
            <w:shd w:val="clear" w:color="auto" w:fill="auto"/>
            <w:noWrap/>
            <w:vAlign w:val="bottom"/>
            <w:hideMark/>
          </w:tcPr>
          <w:p w:rsidR="007C3A15" w:rsidP="00EC4620" w:rsidRDefault="007C3A15" w14:paraId="6C8732CD" w14:textId="77777777">
            <w:pPr>
              <w:rPr>
                <w:sz w:val="20"/>
                <w:szCs w:val="20"/>
              </w:rPr>
            </w:pPr>
          </w:p>
        </w:tc>
      </w:tr>
      <w:tr w:rsidR="007C3A15" w:rsidTr="003B4BA5" w14:paraId="0BE6C0E9" w14:textId="77777777">
        <w:trPr>
          <w:trHeight w:val="300"/>
        </w:trPr>
        <w:tc>
          <w:tcPr>
            <w:tcW w:w="3901" w:type="dxa"/>
            <w:gridSpan w:val="2"/>
            <w:tcBorders>
              <w:top w:val="nil"/>
              <w:left w:val="nil"/>
              <w:bottom w:val="nil"/>
              <w:right w:val="nil"/>
            </w:tcBorders>
            <w:shd w:val="clear" w:color="auto" w:fill="auto"/>
            <w:noWrap/>
            <w:vAlign w:val="bottom"/>
            <w:hideMark/>
          </w:tcPr>
          <w:p w:rsidR="007C3A15" w:rsidP="00EC4620" w:rsidRDefault="007C3A15" w14:paraId="4B96D686" w14:textId="77777777">
            <w:pPr>
              <w:rPr>
                <w:rFonts w:ascii="Calibri" w:hAnsi="Calibri" w:cs="Calibri"/>
                <w:color w:val="000000"/>
                <w:sz w:val="22"/>
              </w:rPr>
            </w:pPr>
            <w:r>
              <w:rPr>
                <w:rFonts w:ascii="Calibri" w:hAnsi="Calibri" w:cs="Calibri"/>
                <w:color w:val="000000"/>
                <w:sz w:val="22"/>
              </w:rPr>
              <w:t>ADMINISTRATIVE &amp; GENERAL</w:t>
            </w:r>
          </w:p>
        </w:tc>
        <w:tc>
          <w:tcPr>
            <w:tcW w:w="1827" w:type="dxa"/>
            <w:tcBorders>
              <w:top w:val="nil"/>
              <w:left w:val="nil"/>
              <w:bottom w:val="nil"/>
              <w:right w:val="nil"/>
            </w:tcBorders>
            <w:shd w:val="clear" w:color="auto" w:fill="auto"/>
            <w:noWrap/>
            <w:vAlign w:val="bottom"/>
            <w:hideMark/>
          </w:tcPr>
          <w:p w:rsidR="007C3A15" w:rsidP="00EC4620" w:rsidRDefault="007C3A15" w14:paraId="74B0BDD3" w14:textId="77777777">
            <w:pPr>
              <w:rPr>
                <w:rFonts w:ascii="Calibri" w:hAnsi="Calibri" w:cs="Calibri"/>
                <w:color w:val="000000"/>
                <w:sz w:val="22"/>
              </w:rPr>
            </w:pPr>
          </w:p>
        </w:tc>
        <w:tc>
          <w:tcPr>
            <w:tcW w:w="1953" w:type="dxa"/>
            <w:tcBorders>
              <w:top w:val="nil"/>
              <w:left w:val="nil"/>
              <w:bottom w:val="nil"/>
              <w:right w:val="nil"/>
            </w:tcBorders>
            <w:shd w:val="clear" w:color="auto" w:fill="auto"/>
            <w:noWrap/>
            <w:vAlign w:val="bottom"/>
            <w:hideMark/>
          </w:tcPr>
          <w:p w:rsidR="007C3A15" w:rsidP="00EC4620" w:rsidRDefault="007C3A15" w14:paraId="35AEBF1E" w14:textId="77777777">
            <w:pPr>
              <w:rPr>
                <w:sz w:val="20"/>
                <w:szCs w:val="20"/>
              </w:rPr>
            </w:pPr>
          </w:p>
        </w:tc>
      </w:tr>
      <w:tr w:rsidR="007C3A15" w:rsidTr="003B4BA5" w14:paraId="232030A9"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2E836A69" w14:textId="77777777">
            <w:pPr>
              <w:rPr>
                <w:sz w:val="20"/>
                <w:szCs w:val="20"/>
              </w:rPr>
            </w:pPr>
          </w:p>
        </w:tc>
        <w:tc>
          <w:tcPr>
            <w:tcW w:w="2870" w:type="dxa"/>
            <w:tcBorders>
              <w:top w:val="nil"/>
              <w:left w:val="nil"/>
              <w:bottom w:val="nil"/>
              <w:right w:val="nil"/>
            </w:tcBorders>
            <w:shd w:val="clear" w:color="auto" w:fill="auto"/>
            <w:noWrap/>
            <w:vAlign w:val="bottom"/>
            <w:hideMark/>
          </w:tcPr>
          <w:p w:rsidR="007C3A15" w:rsidP="00EC4620" w:rsidRDefault="007C3A15" w14:paraId="029607BA" w14:textId="77777777">
            <w:pPr>
              <w:rPr>
                <w:rFonts w:ascii="Calibri" w:hAnsi="Calibri" w:cs="Calibri"/>
                <w:color w:val="000000"/>
                <w:sz w:val="22"/>
              </w:rPr>
            </w:pPr>
            <w:r>
              <w:rPr>
                <w:rFonts w:ascii="Calibri" w:hAnsi="Calibri" w:cs="Calibri"/>
                <w:color w:val="000000"/>
                <w:sz w:val="22"/>
              </w:rPr>
              <w:t>A &amp; G PAYROLL</w:t>
            </w:r>
          </w:p>
        </w:tc>
        <w:tc>
          <w:tcPr>
            <w:tcW w:w="1827" w:type="dxa"/>
            <w:tcBorders>
              <w:top w:val="nil"/>
              <w:left w:val="nil"/>
              <w:bottom w:val="nil"/>
              <w:right w:val="nil"/>
            </w:tcBorders>
            <w:shd w:val="clear" w:color="auto" w:fill="auto"/>
            <w:noWrap/>
            <w:vAlign w:val="bottom"/>
            <w:hideMark/>
          </w:tcPr>
          <w:p w:rsidR="007C3A15" w:rsidP="00EC4620" w:rsidRDefault="007C3A15" w14:paraId="50B32C48" w14:textId="77777777">
            <w:pPr>
              <w:jc w:val="right"/>
              <w:rPr>
                <w:rFonts w:ascii="Calibri" w:hAnsi="Calibri" w:cs="Calibri"/>
                <w:color w:val="000000"/>
                <w:sz w:val="22"/>
              </w:rPr>
            </w:pPr>
            <w:r>
              <w:rPr>
                <w:rFonts w:ascii="Calibri" w:hAnsi="Calibri" w:cs="Calibri"/>
                <w:color w:val="000000"/>
                <w:sz w:val="22"/>
              </w:rPr>
              <w:t xml:space="preserve">1,154 </w:t>
            </w:r>
          </w:p>
        </w:tc>
        <w:tc>
          <w:tcPr>
            <w:tcW w:w="1953" w:type="dxa"/>
            <w:tcBorders>
              <w:top w:val="nil"/>
              <w:left w:val="nil"/>
              <w:bottom w:val="nil"/>
              <w:right w:val="nil"/>
            </w:tcBorders>
            <w:shd w:val="clear" w:color="auto" w:fill="auto"/>
            <w:noWrap/>
            <w:vAlign w:val="bottom"/>
            <w:hideMark/>
          </w:tcPr>
          <w:p w:rsidR="007C3A15" w:rsidP="00EC4620" w:rsidRDefault="007C3A15" w14:paraId="6EDCAE86" w14:textId="77777777">
            <w:pPr>
              <w:jc w:val="right"/>
              <w:rPr>
                <w:rFonts w:ascii="Calibri" w:hAnsi="Calibri" w:cs="Calibri"/>
                <w:color w:val="000000"/>
                <w:sz w:val="22"/>
              </w:rPr>
            </w:pPr>
            <w:r>
              <w:rPr>
                <w:rFonts w:ascii="Calibri" w:hAnsi="Calibri" w:cs="Calibri"/>
                <w:color w:val="000000"/>
                <w:sz w:val="22"/>
              </w:rPr>
              <w:t xml:space="preserve">1,154 </w:t>
            </w:r>
          </w:p>
        </w:tc>
      </w:tr>
      <w:tr w:rsidR="007C3A15" w:rsidTr="003B4BA5" w14:paraId="584944E7"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24F77F1D"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45D44C75" w14:textId="77777777">
            <w:pPr>
              <w:rPr>
                <w:rFonts w:ascii="Calibri" w:hAnsi="Calibri" w:cs="Calibri"/>
                <w:color w:val="000000"/>
                <w:sz w:val="22"/>
              </w:rPr>
            </w:pPr>
            <w:r>
              <w:rPr>
                <w:rFonts w:ascii="Calibri" w:hAnsi="Calibri" w:cs="Calibri"/>
                <w:color w:val="000000"/>
                <w:sz w:val="22"/>
              </w:rPr>
              <w:t>EMPLOYEE BENEFITS</w:t>
            </w:r>
          </w:p>
        </w:tc>
        <w:tc>
          <w:tcPr>
            <w:tcW w:w="1827" w:type="dxa"/>
            <w:tcBorders>
              <w:top w:val="nil"/>
              <w:left w:val="nil"/>
              <w:bottom w:val="nil"/>
              <w:right w:val="nil"/>
            </w:tcBorders>
            <w:shd w:val="clear" w:color="auto" w:fill="auto"/>
            <w:noWrap/>
            <w:vAlign w:val="bottom"/>
            <w:hideMark/>
          </w:tcPr>
          <w:p w:rsidR="007C3A15" w:rsidP="00EC4620" w:rsidRDefault="007C3A15" w14:paraId="7C8604EF" w14:textId="77777777">
            <w:pPr>
              <w:jc w:val="right"/>
              <w:rPr>
                <w:rFonts w:ascii="Calibri" w:hAnsi="Calibri" w:cs="Calibri"/>
                <w:color w:val="000000"/>
                <w:sz w:val="22"/>
              </w:rPr>
            </w:pPr>
            <w:r>
              <w:rPr>
                <w:rFonts w:ascii="Calibri" w:hAnsi="Calibri" w:cs="Calibri"/>
                <w:color w:val="000000"/>
                <w:sz w:val="22"/>
              </w:rPr>
              <w:t xml:space="preserve">21,638 </w:t>
            </w:r>
          </w:p>
        </w:tc>
        <w:tc>
          <w:tcPr>
            <w:tcW w:w="1953" w:type="dxa"/>
            <w:tcBorders>
              <w:top w:val="nil"/>
              <w:left w:val="nil"/>
              <w:bottom w:val="nil"/>
              <w:right w:val="nil"/>
            </w:tcBorders>
            <w:shd w:val="clear" w:color="auto" w:fill="auto"/>
            <w:noWrap/>
            <w:vAlign w:val="bottom"/>
            <w:hideMark/>
          </w:tcPr>
          <w:p w:rsidR="007C3A15" w:rsidP="00EC4620" w:rsidRDefault="007C3A15" w14:paraId="6BAC9E7E" w14:textId="77777777">
            <w:pPr>
              <w:jc w:val="right"/>
              <w:rPr>
                <w:rFonts w:ascii="Calibri" w:hAnsi="Calibri" w:cs="Calibri"/>
                <w:color w:val="000000"/>
                <w:sz w:val="22"/>
              </w:rPr>
            </w:pPr>
            <w:r>
              <w:rPr>
                <w:rFonts w:ascii="Calibri" w:hAnsi="Calibri" w:cs="Calibri"/>
                <w:color w:val="000000"/>
                <w:sz w:val="22"/>
              </w:rPr>
              <w:t xml:space="preserve">21,638 </w:t>
            </w:r>
          </w:p>
        </w:tc>
      </w:tr>
      <w:tr w:rsidR="007C3A15" w:rsidTr="003B4BA5" w14:paraId="4CD1EF24"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0DE538F3"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2DC66C63" w14:textId="77777777">
            <w:pPr>
              <w:rPr>
                <w:rFonts w:ascii="Calibri" w:hAnsi="Calibri" w:cs="Calibri"/>
                <w:color w:val="000000"/>
                <w:sz w:val="22"/>
              </w:rPr>
            </w:pPr>
            <w:r>
              <w:rPr>
                <w:rFonts w:ascii="Calibri" w:hAnsi="Calibri" w:cs="Calibri"/>
                <w:color w:val="000000"/>
                <w:sz w:val="22"/>
              </w:rPr>
              <w:t>INSURANCE</w:t>
            </w:r>
          </w:p>
        </w:tc>
        <w:tc>
          <w:tcPr>
            <w:tcW w:w="1827" w:type="dxa"/>
            <w:tcBorders>
              <w:top w:val="nil"/>
              <w:left w:val="nil"/>
              <w:bottom w:val="nil"/>
              <w:right w:val="nil"/>
            </w:tcBorders>
            <w:shd w:val="clear" w:color="auto" w:fill="auto"/>
            <w:noWrap/>
            <w:vAlign w:val="bottom"/>
            <w:hideMark/>
          </w:tcPr>
          <w:p w:rsidR="007C3A15" w:rsidP="00EC4620" w:rsidRDefault="007C3A15" w14:paraId="3038EEF4" w14:textId="77777777">
            <w:pPr>
              <w:jc w:val="right"/>
              <w:rPr>
                <w:rFonts w:ascii="Calibri" w:hAnsi="Calibri" w:cs="Calibri"/>
                <w:color w:val="000000"/>
                <w:sz w:val="22"/>
              </w:rPr>
            </w:pPr>
            <w:r>
              <w:rPr>
                <w:rFonts w:ascii="Calibri" w:hAnsi="Calibri" w:cs="Calibri"/>
                <w:color w:val="000000"/>
                <w:sz w:val="22"/>
              </w:rPr>
              <w:t xml:space="preserve">1,664 </w:t>
            </w:r>
          </w:p>
        </w:tc>
        <w:tc>
          <w:tcPr>
            <w:tcW w:w="1953" w:type="dxa"/>
            <w:tcBorders>
              <w:top w:val="nil"/>
              <w:left w:val="nil"/>
              <w:bottom w:val="nil"/>
              <w:right w:val="nil"/>
            </w:tcBorders>
            <w:shd w:val="clear" w:color="auto" w:fill="auto"/>
            <w:noWrap/>
            <w:vAlign w:val="bottom"/>
            <w:hideMark/>
          </w:tcPr>
          <w:p w:rsidR="007C3A15" w:rsidP="00EC4620" w:rsidRDefault="007C3A15" w14:paraId="44DC2706" w14:textId="77777777">
            <w:pPr>
              <w:jc w:val="right"/>
              <w:rPr>
                <w:rFonts w:ascii="Calibri" w:hAnsi="Calibri" w:cs="Calibri"/>
                <w:color w:val="000000"/>
                <w:sz w:val="22"/>
              </w:rPr>
            </w:pPr>
            <w:r>
              <w:rPr>
                <w:rFonts w:ascii="Calibri" w:hAnsi="Calibri" w:cs="Calibri"/>
                <w:color w:val="000000"/>
                <w:sz w:val="22"/>
              </w:rPr>
              <w:t xml:space="preserve">1,664 </w:t>
            </w:r>
          </w:p>
        </w:tc>
      </w:tr>
      <w:tr w:rsidR="007C3A15" w:rsidTr="003B4BA5" w14:paraId="425B13F8"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2CD00960"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440484C9" w14:textId="77777777">
            <w:pPr>
              <w:rPr>
                <w:rFonts w:ascii="Calibri" w:hAnsi="Calibri" w:cs="Calibri"/>
                <w:color w:val="000000"/>
                <w:sz w:val="22"/>
              </w:rPr>
            </w:pPr>
            <w:r>
              <w:rPr>
                <w:rFonts w:ascii="Calibri" w:hAnsi="Calibri" w:cs="Calibri"/>
                <w:color w:val="000000"/>
                <w:sz w:val="22"/>
              </w:rPr>
              <w:t>REG. COMM. EXPENSE</w:t>
            </w:r>
          </w:p>
        </w:tc>
        <w:tc>
          <w:tcPr>
            <w:tcW w:w="1827" w:type="dxa"/>
            <w:tcBorders>
              <w:top w:val="nil"/>
              <w:left w:val="nil"/>
              <w:bottom w:val="nil"/>
              <w:right w:val="nil"/>
            </w:tcBorders>
            <w:shd w:val="clear" w:color="auto" w:fill="auto"/>
            <w:noWrap/>
            <w:vAlign w:val="bottom"/>
            <w:hideMark/>
          </w:tcPr>
          <w:p w:rsidR="007C3A15" w:rsidP="00EC4620" w:rsidRDefault="007C3A15" w14:paraId="7C66F5D9" w14:textId="77777777">
            <w:pPr>
              <w:jc w:val="right"/>
              <w:rPr>
                <w:rFonts w:ascii="Calibri" w:hAnsi="Calibri" w:cs="Calibri"/>
                <w:color w:val="000000"/>
                <w:sz w:val="22"/>
              </w:rPr>
            </w:pPr>
            <w:r>
              <w:rPr>
                <w:rFonts w:ascii="Calibri" w:hAnsi="Calibri" w:cs="Calibri"/>
                <w:color w:val="000000"/>
                <w:sz w:val="22"/>
              </w:rPr>
              <w:t xml:space="preserve">1,736 </w:t>
            </w:r>
          </w:p>
        </w:tc>
        <w:tc>
          <w:tcPr>
            <w:tcW w:w="1953" w:type="dxa"/>
            <w:tcBorders>
              <w:top w:val="nil"/>
              <w:left w:val="nil"/>
              <w:bottom w:val="nil"/>
              <w:right w:val="nil"/>
            </w:tcBorders>
            <w:shd w:val="clear" w:color="auto" w:fill="auto"/>
            <w:noWrap/>
            <w:vAlign w:val="bottom"/>
            <w:hideMark/>
          </w:tcPr>
          <w:p w:rsidR="007C3A15" w:rsidP="00EC4620" w:rsidRDefault="007C3A15" w14:paraId="34A894A3" w14:textId="77777777">
            <w:pPr>
              <w:jc w:val="right"/>
              <w:rPr>
                <w:rFonts w:ascii="Calibri" w:hAnsi="Calibri" w:cs="Calibri"/>
                <w:color w:val="000000"/>
                <w:sz w:val="22"/>
              </w:rPr>
            </w:pPr>
            <w:r>
              <w:rPr>
                <w:rFonts w:ascii="Calibri" w:hAnsi="Calibri" w:cs="Calibri"/>
                <w:color w:val="000000"/>
                <w:sz w:val="22"/>
              </w:rPr>
              <w:t xml:space="preserve">1,736 </w:t>
            </w:r>
          </w:p>
        </w:tc>
      </w:tr>
      <w:tr w:rsidR="007C3A15" w:rsidTr="003B4BA5" w14:paraId="2AE438E3"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3B19FA5E"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6EA6C9DA" w14:textId="77777777">
            <w:pPr>
              <w:rPr>
                <w:rFonts w:ascii="Calibri" w:hAnsi="Calibri" w:cs="Calibri"/>
                <w:color w:val="000000"/>
                <w:sz w:val="22"/>
              </w:rPr>
            </w:pPr>
            <w:r>
              <w:rPr>
                <w:rFonts w:ascii="Calibri" w:hAnsi="Calibri" w:cs="Calibri"/>
                <w:color w:val="000000"/>
                <w:sz w:val="22"/>
              </w:rPr>
              <w:t>FRANCHISE REQUIREMENTS</w:t>
            </w:r>
          </w:p>
        </w:tc>
        <w:tc>
          <w:tcPr>
            <w:tcW w:w="1827" w:type="dxa"/>
            <w:tcBorders>
              <w:top w:val="nil"/>
              <w:left w:val="nil"/>
              <w:bottom w:val="nil"/>
              <w:right w:val="nil"/>
            </w:tcBorders>
            <w:shd w:val="clear" w:color="auto" w:fill="auto"/>
            <w:noWrap/>
            <w:vAlign w:val="bottom"/>
            <w:hideMark/>
          </w:tcPr>
          <w:p w:rsidR="007C3A15" w:rsidP="00EC4620" w:rsidRDefault="007C3A15" w14:paraId="0F9AAB02" w14:textId="77777777">
            <w:pPr>
              <w:jc w:val="right"/>
              <w:rPr>
                <w:rFonts w:ascii="Calibri" w:hAnsi="Calibri" w:cs="Calibri"/>
                <w:color w:val="000000"/>
                <w:sz w:val="22"/>
              </w:rPr>
            </w:pPr>
            <w:r>
              <w:rPr>
                <w:rFonts w:ascii="Calibri" w:hAnsi="Calibri" w:cs="Calibri"/>
                <w:color w:val="000000"/>
                <w:sz w:val="22"/>
              </w:rPr>
              <w:t xml:space="preserve">2,705 </w:t>
            </w:r>
          </w:p>
        </w:tc>
        <w:tc>
          <w:tcPr>
            <w:tcW w:w="1953" w:type="dxa"/>
            <w:tcBorders>
              <w:top w:val="nil"/>
              <w:left w:val="nil"/>
              <w:bottom w:val="nil"/>
              <w:right w:val="nil"/>
            </w:tcBorders>
            <w:shd w:val="clear" w:color="auto" w:fill="auto"/>
            <w:noWrap/>
            <w:vAlign w:val="bottom"/>
            <w:hideMark/>
          </w:tcPr>
          <w:p w:rsidR="007C3A15" w:rsidP="00EC4620" w:rsidRDefault="007C3A15" w14:paraId="60D372B3" w14:textId="77777777">
            <w:pPr>
              <w:jc w:val="right"/>
              <w:rPr>
                <w:rFonts w:ascii="Calibri" w:hAnsi="Calibri" w:cs="Calibri"/>
                <w:color w:val="000000"/>
                <w:sz w:val="22"/>
              </w:rPr>
            </w:pPr>
            <w:r>
              <w:rPr>
                <w:rFonts w:ascii="Calibri" w:hAnsi="Calibri" w:cs="Calibri"/>
                <w:color w:val="000000"/>
                <w:sz w:val="22"/>
              </w:rPr>
              <w:t xml:space="preserve">4,501 </w:t>
            </w:r>
          </w:p>
        </w:tc>
      </w:tr>
      <w:tr w:rsidR="007C3A15" w:rsidTr="003B4BA5" w14:paraId="3ED349EB"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1067199C"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5E4E318A" w14:textId="77777777">
            <w:pPr>
              <w:rPr>
                <w:rFonts w:ascii="Calibri" w:hAnsi="Calibri" w:cs="Calibri"/>
                <w:color w:val="000000"/>
                <w:sz w:val="22"/>
              </w:rPr>
            </w:pPr>
            <w:r>
              <w:rPr>
                <w:rFonts w:ascii="Calibri" w:hAnsi="Calibri" w:cs="Calibri"/>
                <w:color w:val="000000"/>
                <w:sz w:val="22"/>
              </w:rPr>
              <w:t>OUTSIDE SERVICES</w:t>
            </w:r>
          </w:p>
        </w:tc>
        <w:tc>
          <w:tcPr>
            <w:tcW w:w="1827" w:type="dxa"/>
            <w:tcBorders>
              <w:top w:val="nil"/>
              <w:left w:val="nil"/>
              <w:bottom w:val="nil"/>
              <w:right w:val="nil"/>
            </w:tcBorders>
            <w:shd w:val="clear" w:color="auto" w:fill="auto"/>
            <w:noWrap/>
            <w:vAlign w:val="bottom"/>
            <w:hideMark/>
          </w:tcPr>
          <w:p w:rsidR="007C3A15" w:rsidP="00EC4620" w:rsidRDefault="007C3A15" w14:paraId="78CF59FD" w14:textId="77777777">
            <w:pPr>
              <w:jc w:val="right"/>
              <w:rPr>
                <w:rFonts w:ascii="Calibri" w:hAnsi="Calibri" w:cs="Calibri"/>
                <w:color w:val="000000"/>
                <w:sz w:val="22"/>
              </w:rPr>
            </w:pPr>
            <w:r>
              <w:rPr>
                <w:rFonts w:ascii="Calibri" w:hAnsi="Calibri" w:cs="Calibri"/>
                <w:color w:val="000000"/>
                <w:sz w:val="22"/>
              </w:rPr>
              <w:t xml:space="preserve">0 </w:t>
            </w:r>
          </w:p>
        </w:tc>
        <w:tc>
          <w:tcPr>
            <w:tcW w:w="1953" w:type="dxa"/>
            <w:tcBorders>
              <w:top w:val="nil"/>
              <w:left w:val="nil"/>
              <w:bottom w:val="nil"/>
              <w:right w:val="nil"/>
            </w:tcBorders>
            <w:shd w:val="clear" w:color="auto" w:fill="auto"/>
            <w:noWrap/>
            <w:vAlign w:val="bottom"/>
            <w:hideMark/>
          </w:tcPr>
          <w:p w:rsidR="007C3A15" w:rsidP="00EC4620" w:rsidRDefault="007C3A15" w14:paraId="618ED020" w14:textId="77777777">
            <w:pPr>
              <w:jc w:val="right"/>
              <w:rPr>
                <w:rFonts w:ascii="Calibri" w:hAnsi="Calibri" w:cs="Calibri"/>
                <w:color w:val="000000"/>
                <w:sz w:val="22"/>
              </w:rPr>
            </w:pPr>
            <w:r>
              <w:rPr>
                <w:rFonts w:ascii="Calibri" w:hAnsi="Calibri" w:cs="Calibri"/>
                <w:color w:val="000000"/>
                <w:sz w:val="22"/>
              </w:rPr>
              <w:t xml:space="preserve">0 </w:t>
            </w:r>
          </w:p>
        </w:tc>
      </w:tr>
      <w:tr w:rsidR="007C3A15" w:rsidTr="003B4BA5" w14:paraId="45D7DB09"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4AC7A499"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68024E75" w14:textId="77777777">
            <w:pPr>
              <w:rPr>
                <w:rFonts w:ascii="Calibri" w:hAnsi="Calibri" w:cs="Calibri"/>
                <w:color w:val="000000"/>
                <w:sz w:val="22"/>
              </w:rPr>
            </w:pPr>
            <w:r>
              <w:rPr>
                <w:rFonts w:ascii="Calibri" w:hAnsi="Calibri" w:cs="Calibri"/>
                <w:color w:val="000000"/>
                <w:sz w:val="22"/>
              </w:rPr>
              <w:t>RENTS</w:t>
            </w:r>
          </w:p>
        </w:tc>
        <w:tc>
          <w:tcPr>
            <w:tcW w:w="1827" w:type="dxa"/>
            <w:tcBorders>
              <w:top w:val="nil"/>
              <w:left w:val="nil"/>
              <w:bottom w:val="nil"/>
              <w:right w:val="nil"/>
            </w:tcBorders>
            <w:shd w:val="clear" w:color="auto" w:fill="auto"/>
            <w:noWrap/>
            <w:vAlign w:val="bottom"/>
            <w:hideMark/>
          </w:tcPr>
          <w:p w:rsidR="007C3A15" w:rsidP="00EC4620" w:rsidRDefault="007C3A15" w14:paraId="3B88C648" w14:textId="77777777">
            <w:pPr>
              <w:jc w:val="right"/>
              <w:rPr>
                <w:rFonts w:ascii="Calibri" w:hAnsi="Calibri" w:cs="Calibri"/>
                <w:color w:val="000000"/>
                <w:sz w:val="22"/>
              </w:rPr>
            </w:pPr>
            <w:r>
              <w:rPr>
                <w:rFonts w:ascii="Calibri" w:hAnsi="Calibri" w:cs="Calibri"/>
                <w:color w:val="000000"/>
                <w:sz w:val="22"/>
              </w:rPr>
              <w:t xml:space="preserve">11,215 </w:t>
            </w:r>
          </w:p>
        </w:tc>
        <w:tc>
          <w:tcPr>
            <w:tcW w:w="1953" w:type="dxa"/>
            <w:tcBorders>
              <w:top w:val="nil"/>
              <w:left w:val="nil"/>
              <w:bottom w:val="nil"/>
              <w:right w:val="nil"/>
            </w:tcBorders>
            <w:shd w:val="clear" w:color="auto" w:fill="auto"/>
            <w:noWrap/>
            <w:vAlign w:val="bottom"/>
            <w:hideMark/>
          </w:tcPr>
          <w:p w:rsidR="007C3A15" w:rsidP="00EC4620" w:rsidRDefault="007C3A15" w14:paraId="651731A1" w14:textId="77777777">
            <w:pPr>
              <w:jc w:val="right"/>
              <w:rPr>
                <w:rFonts w:ascii="Calibri" w:hAnsi="Calibri" w:cs="Calibri"/>
                <w:color w:val="000000"/>
                <w:sz w:val="22"/>
              </w:rPr>
            </w:pPr>
            <w:r>
              <w:rPr>
                <w:rFonts w:ascii="Calibri" w:hAnsi="Calibri" w:cs="Calibri"/>
                <w:color w:val="000000"/>
                <w:sz w:val="22"/>
              </w:rPr>
              <w:t xml:space="preserve">11,215 </w:t>
            </w:r>
          </w:p>
        </w:tc>
      </w:tr>
      <w:tr w:rsidR="007C3A15" w:rsidTr="003B4BA5" w14:paraId="40CF2812"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04FAB12E"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206BDB13" w14:textId="77777777">
            <w:pPr>
              <w:rPr>
                <w:rFonts w:ascii="Calibri" w:hAnsi="Calibri" w:cs="Calibri"/>
                <w:color w:val="000000"/>
                <w:sz w:val="22"/>
              </w:rPr>
            </w:pPr>
            <w:r>
              <w:rPr>
                <w:rFonts w:ascii="Calibri" w:hAnsi="Calibri" w:cs="Calibri"/>
                <w:color w:val="000000"/>
                <w:sz w:val="22"/>
              </w:rPr>
              <w:t>A &amp; G - OTHER</w:t>
            </w:r>
          </w:p>
        </w:tc>
        <w:tc>
          <w:tcPr>
            <w:tcW w:w="1827" w:type="dxa"/>
            <w:tcBorders>
              <w:top w:val="nil"/>
              <w:left w:val="nil"/>
              <w:bottom w:val="nil"/>
              <w:right w:val="nil"/>
            </w:tcBorders>
            <w:shd w:val="clear" w:color="auto" w:fill="auto"/>
            <w:noWrap/>
            <w:vAlign w:val="bottom"/>
            <w:hideMark/>
          </w:tcPr>
          <w:p w:rsidR="007C3A15" w:rsidP="00EC4620" w:rsidRDefault="007C3A15" w14:paraId="64C02591" w14:textId="77777777">
            <w:pPr>
              <w:jc w:val="right"/>
              <w:rPr>
                <w:rFonts w:ascii="Calibri" w:hAnsi="Calibri" w:cs="Calibri"/>
                <w:color w:val="000000"/>
                <w:sz w:val="22"/>
              </w:rPr>
            </w:pPr>
            <w:r>
              <w:rPr>
                <w:rFonts w:ascii="Calibri" w:hAnsi="Calibri" w:cs="Calibri"/>
                <w:color w:val="000000"/>
                <w:sz w:val="22"/>
              </w:rPr>
              <w:t xml:space="preserve">1,425 </w:t>
            </w:r>
          </w:p>
        </w:tc>
        <w:tc>
          <w:tcPr>
            <w:tcW w:w="1953" w:type="dxa"/>
            <w:tcBorders>
              <w:top w:val="nil"/>
              <w:left w:val="nil"/>
              <w:bottom w:val="nil"/>
              <w:right w:val="nil"/>
            </w:tcBorders>
            <w:shd w:val="clear" w:color="auto" w:fill="auto"/>
            <w:noWrap/>
            <w:vAlign w:val="bottom"/>
            <w:hideMark/>
          </w:tcPr>
          <w:p w:rsidR="007C3A15" w:rsidP="00EC4620" w:rsidRDefault="007C3A15" w14:paraId="2CA7EA2A" w14:textId="77777777">
            <w:pPr>
              <w:jc w:val="right"/>
              <w:rPr>
                <w:rFonts w:ascii="Calibri" w:hAnsi="Calibri" w:cs="Calibri"/>
                <w:color w:val="000000"/>
                <w:sz w:val="22"/>
              </w:rPr>
            </w:pPr>
            <w:r>
              <w:rPr>
                <w:rFonts w:ascii="Calibri" w:hAnsi="Calibri" w:cs="Calibri"/>
                <w:color w:val="000000"/>
                <w:sz w:val="22"/>
              </w:rPr>
              <w:t xml:space="preserve">1,425 </w:t>
            </w:r>
          </w:p>
        </w:tc>
      </w:tr>
      <w:tr w:rsidR="007C3A15" w:rsidTr="003B4BA5" w14:paraId="4BDCF74F"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66411A12"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6A921514" w14:textId="77777777">
            <w:pPr>
              <w:rPr>
                <w:rFonts w:ascii="Calibri" w:hAnsi="Calibri" w:cs="Calibri"/>
                <w:color w:val="000000"/>
                <w:sz w:val="22"/>
              </w:rPr>
            </w:pPr>
            <w:r>
              <w:rPr>
                <w:rFonts w:ascii="Calibri" w:hAnsi="Calibri" w:cs="Calibri"/>
                <w:color w:val="000000"/>
                <w:sz w:val="22"/>
              </w:rPr>
              <w:t>A &amp; G TRANSFERRED CREDIT</w:t>
            </w:r>
          </w:p>
        </w:tc>
        <w:tc>
          <w:tcPr>
            <w:tcW w:w="1827" w:type="dxa"/>
            <w:tcBorders>
              <w:top w:val="nil"/>
              <w:left w:val="nil"/>
              <w:bottom w:val="nil"/>
              <w:right w:val="nil"/>
            </w:tcBorders>
            <w:shd w:val="clear" w:color="auto" w:fill="auto"/>
            <w:noWrap/>
            <w:vAlign w:val="bottom"/>
            <w:hideMark/>
          </w:tcPr>
          <w:p w:rsidR="007C3A15" w:rsidP="00EC4620" w:rsidRDefault="007C3A15" w14:paraId="013F99BB" w14:textId="77777777">
            <w:pPr>
              <w:jc w:val="right"/>
              <w:rPr>
                <w:rFonts w:ascii="Calibri" w:hAnsi="Calibri" w:cs="Calibri"/>
                <w:color w:val="000000"/>
                <w:sz w:val="22"/>
              </w:rPr>
            </w:pPr>
            <w:r>
              <w:rPr>
                <w:rFonts w:ascii="Calibri" w:hAnsi="Calibri" w:cs="Calibri"/>
                <w:color w:val="000000"/>
                <w:sz w:val="22"/>
              </w:rPr>
              <w:t>(15,810)</w:t>
            </w:r>
          </w:p>
        </w:tc>
        <w:tc>
          <w:tcPr>
            <w:tcW w:w="1953" w:type="dxa"/>
            <w:tcBorders>
              <w:top w:val="nil"/>
              <w:left w:val="nil"/>
              <w:bottom w:val="nil"/>
              <w:right w:val="nil"/>
            </w:tcBorders>
            <w:shd w:val="clear" w:color="auto" w:fill="auto"/>
            <w:noWrap/>
            <w:vAlign w:val="bottom"/>
            <w:hideMark/>
          </w:tcPr>
          <w:p w:rsidR="007C3A15" w:rsidP="00EC4620" w:rsidRDefault="007C3A15" w14:paraId="1708E8F0" w14:textId="77777777">
            <w:pPr>
              <w:jc w:val="right"/>
              <w:rPr>
                <w:rFonts w:ascii="Calibri" w:hAnsi="Calibri" w:cs="Calibri"/>
                <w:color w:val="000000"/>
                <w:sz w:val="22"/>
              </w:rPr>
            </w:pPr>
            <w:r>
              <w:rPr>
                <w:rFonts w:ascii="Calibri" w:hAnsi="Calibri" w:cs="Calibri"/>
                <w:color w:val="000000"/>
                <w:sz w:val="22"/>
              </w:rPr>
              <w:t>(15,810)</w:t>
            </w:r>
          </w:p>
        </w:tc>
      </w:tr>
      <w:tr w:rsidR="007C3A15" w:rsidTr="003B4BA5" w14:paraId="7635B4A0" w14:textId="77777777">
        <w:trPr>
          <w:trHeight w:val="345"/>
        </w:trPr>
        <w:tc>
          <w:tcPr>
            <w:tcW w:w="1031" w:type="dxa"/>
            <w:tcBorders>
              <w:top w:val="nil"/>
              <w:left w:val="nil"/>
              <w:bottom w:val="nil"/>
              <w:right w:val="nil"/>
            </w:tcBorders>
            <w:shd w:val="clear" w:color="auto" w:fill="auto"/>
            <w:noWrap/>
            <w:vAlign w:val="bottom"/>
            <w:hideMark/>
          </w:tcPr>
          <w:p w:rsidR="007C3A15" w:rsidP="00EC4620" w:rsidRDefault="007C3A15" w14:paraId="77086D69" w14:textId="77777777">
            <w:pPr>
              <w:jc w:val="right"/>
              <w:rPr>
                <w:rFonts w:ascii="Calibri" w:hAnsi="Calibri" w:cs="Calibri"/>
                <w:color w:val="000000"/>
                <w:sz w:val="22"/>
              </w:rPr>
            </w:pPr>
            <w:r>
              <w:rPr>
                <w:rFonts w:ascii="Calibri" w:hAnsi="Calibri" w:cs="Calibri"/>
                <w:color w:val="000000"/>
                <w:sz w:val="22"/>
                <w:vertAlign w:val="superscript"/>
              </w:rPr>
              <w:t>1</w:t>
            </w:r>
          </w:p>
        </w:tc>
        <w:tc>
          <w:tcPr>
            <w:tcW w:w="2870" w:type="dxa"/>
            <w:tcBorders>
              <w:top w:val="nil"/>
              <w:left w:val="nil"/>
              <w:bottom w:val="nil"/>
              <w:right w:val="nil"/>
            </w:tcBorders>
            <w:shd w:val="clear" w:color="auto" w:fill="auto"/>
            <w:noWrap/>
            <w:vAlign w:val="bottom"/>
            <w:hideMark/>
          </w:tcPr>
          <w:p w:rsidR="007C3A15" w:rsidP="00EC4620" w:rsidRDefault="007C3A15" w14:paraId="195A3B93" w14:textId="77777777">
            <w:pPr>
              <w:rPr>
                <w:rFonts w:ascii="Calibri" w:hAnsi="Calibri" w:cs="Calibri"/>
                <w:color w:val="000000"/>
                <w:sz w:val="22"/>
              </w:rPr>
            </w:pPr>
            <w:r>
              <w:rPr>
                <w:rFonts w:ascii="Calibri" w:hAnsi="Calibri" w:cs="Calibri"/>
                <w:color w:val="000000"/>
                <w:sz w:val="22"/>
              </w:rPr>
              <w:t>ALLOCATIONS</w:t>
            </w:r>
          </w:p>
        </w:tc>
        <w:tc>
          <w:tcPr>
            <w:tcW w:w="1827" w:type="dxa"/>
            <w:tcBorders>
              <w:top w:val="nil"/>
              <w:left w:val="nil"/>
              <w:bottom w:val="nil"/>
              <w:right w:val="nil"/>
            </w:tcBorders>
            <w:shd w:val="clear" w:color="auto" w:fill="auto"/>
            <w:noWrap/>
            <w:vAlign w:val="bottom"/>
            <w:hideMark/>
          </w:tcPr>
          <w:p w:rsidR="007C3A15" w:rsidP="00EC4620" w:rsidRDefault="007C3A15" w14:paraId="35AC3591" w14:textId="77777777">
            <w:pPr>
              <w:jc w:val="right"/>
              <w:rPr>
                <w:rFonts w:ascii="Calibri" w:hAnsi="Calibri" w:cs="Calibri"/>
                <w:color w:val="000000"/>
                <w:sz w:val="22"/>
              </w:rPr>
            </w:pPr>
            <w:r>
              <w:rPr>
                <w:rFonts w:ascii="Calibri" w:hAnsi="Calibri" w:cs="Calibri"/>
                <w:color w:val="000000"/>
                <w:sz w:val="22"/>
              </w:rPr>
              <w:t xml:space="preserve">71,410 </w:t>
            </w:r>
          </w:p>
        </w:tc>
        <w:tc>
          <w:tcPr>
            <w:tcW w:w="1953" w:type="dxa"/>
            <w:tcBorders>
              <w:top w:val="nil"/>
              <w:left w:val="nil"/>
              <w:bottom w:val="nil"/>
              <w:right w:val="nil"/>
            </w:tcBorders>
            <w:shd w:val="clear" w:color="auto" w:fill="auto"/>
            <w:noWrap/>
            <w:vAlign w:val="bottom"/>
            <w:hideMark/>
          </w:tcPr>
          <w:p w:rsidR="007C3A15" w:rsidP="00EC4620" w:rsidRDefault="007C3A15" w14:paraId="6BB4127A" w14:textId="77777777">
            <w:pPr>
              <w:jc w:val="right"/>
              <w:rPr>
                <w:rFonts w:ascii="Calibri" w:hAnsi="Calibri" w:cs="Calibri"/>
                <w:color w:val="000000"/>
                <w:sz w:val="22"/>
              </w:rPr>
            </w:pPr>
            <w:r>
              <w:rPr>
                <w:rFonts w:ascii="Calibri" w:hAnsi="Calibri" w:cs="Calibri"/>
                <w:color w:val="000000"/>
                <w:sz w:val="22"/>
              </w:rPr>
              <w:t xml:space="preserve">71,410 </w:t>
            </w:r>
          </w:p>
        </w:tc>
      </w:tr>
      <w:tr w:rsidR="007C3A15" w:rsidTr="003B4BA5" w14:paraId="4B08D112"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055F43F5"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32BEBBC9"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5A36E72F" w14:textId="77777777">
            <w:pPr>
              <w:rPr>
                <w:sz w:val="20"/>
                <w:szCs w:val="20"/>
              </w:rPr>
            </w:pPr>
          </w:p>
        </w:tc>
        <w:tc>
          <w:tcPr>
            <w:tcW w:w="1953" w:type="dxa"/>
            <w:tcBorders>
              <w:top w:val="nil"/>
              <w:left w:val="nil"/>
              <w:bottom w:val="nil"/>
              <w:right w:val="nil"/>
            </w:tcBorders>
            <w:shd w:val="clear" w:color="auto" w:fill="auto"/>
            <w:noWrap/>
            <w:vAlign w:val="bottom"/>
            <w:hideMark/>
          </w:tcPr>
          <w:p w:rsidR="007C3A15" w:rsidP="00EC4620" w:rsidRDefault="007C3A15" w14:paraId="1CC84B98" w14:textId="77777777">
            <w:pPr>
              <w:rPr>
                <w:sz w:val="20"/>
                <w:szCs w:val="20"/>
              </w:rPr>
            </w:pPr>
          </w:p>
        </w:tc>
      </w:tr>
      <w:tr w:rsidR="007C3A15" w:rsidTr="003B4BA5" w14:paraId="6951FAD1"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2C498AFD" w14:textId="77777777">
            <w:pPr>
              <w:rPr>
                <w:sz w:val="20"/>
                <w:szCs w:val="20"/>
              </w:rPr>
            </w:pPr>
          </w:p>
        </w:tc>
        <w:tc>
          <w:tcPr>
            <w:tcW w:w="2870" w:type="dxa"/>
            <w:tcBorders>
              <w:top w:val="nil"/>
              <w:left w:val="nil"/>
              <w:bottom w:val="nil"/>
              <w:right w:val="nil"/>
            </w:tcBorders>
            <w:shd w:val="clear" w:color="auto" w:fill="auto"/>
            <w:noWrap/>
            <w:vAlign w:val="bottom"/>
            <w:hideMark/>
          </w:tcPr>
          <w:p w:rsidR="007C3A15" w:rsidP="00EC4620" w:rsidRDefault="007C3A15" w14:paraId="1C65D185"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0923AB58" w14:textId="77777777">
            <w:pPr>
              <w:rPr>
                <w:sz w:val="20"/>
                <w:szCs w:val="20"/>
              </w:rPr>
            </w:pPr>
          </w:p>
        </w:tc>
        <w:tc>
          <w:tcPr>
            <w:tcW w:w="1953" w:type="dxa"/>
            <w:tcBorders>
              <w:top w:val="nil"/>
              <w:left w:val="nil"/>
              <w:bottom w:val="nil"/>
              <w:right w:val="nil"/>
            </w:tcBorders>
            <w:shd w:val="clear" w:color="auto" w:fill="auto"/>
            <w:noWrap/>
            <w:vAlign w:val="bottom"/>
            <w:hideMark/>
          </w:tcPr>
          <w:p w:rsidR="007C3A15" w:rsidP="00EC4620" w:rsidRDefault="007C3A15" w14:paraId="626C219A" w14:textId="77777777">
            <w:pPr>
              <w:rPr>
                <w:sz w:val="20"/>
                <w:szCs w:val="20"/>
              </w:rPr>
            </w:pPr>
          </w:p>
        </w:tc>
      </w:tr>
      <w:tr w:rsidR="007C3A15" w:rsidTr="003B4BA5" w14:paraId="0D5BE6EF"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09101705" w14:textId="77777777">
            <w:pPr>
              <w:rPr>
                <w:sz w:val="20"/>
                <w:szCs w:val="20"/>
              </w:rPr>
            </w:pPr>
          </w:p>
        </w:tc>
        <w:tc>
          <w:tcPr>
            <w:tcW w:w="2870" w:type="dxa"/>
            <w:tcBorders>
              <w:top w:val="nil"/>
              <w:left w:val="nil"/>
              <w:bottom w:val="nil"/>
              <w:right w:val="nil"/>
            </w:tcBorders>
            <w:shd w:val="clear" w:color="auto" w:fill="auto"/>
            <w:noWrap/>
            <w:vAlign w:val="bottom"/>
            <w:hideMark/>
          </w:tcPr>
          <w:p w:rsidR="007C3A15" w:rsidP="00EC4620" w:rsidRDefault="007C3A15" w14:paraId="494FCE4B" w14:textId="77777777">
            <w:pPr>
              <w:rPr>
                <w:rFonts w:ascii="Calibri" w:hAnsi="Calibri" w:cs="Calibri"/>
                <w:color w:val="000000"/>
                <w:sz w:val="22"/>
              </w:rPr>
            </w:pPr>
            <w:r>
              <w:rPr>
                <w:rFonts w:ascii="Calibri" w:hAnsi="Calibri" w:cs="Calibri"/>
                <w:color w:val="000000"/>
                <w:sz w:val="22"/>
              </w:rPr>
              <w:t>SUB-TOTAL A &amp; G</w:t>
            </w:r>
          </w:p>
        </w:tc>
        <w:tc>
          <w:tcPr>
            <w:tcW w:w="1827" w:type="dxa"/>
            <w:tcBorders>
              <w:top w:val="nil"/>
              <w:left w:val="nil"/>
              <w:bottom w:val="nil"/>
              <w:right w:val="nil"/>
            </w:tcBorders>
            <w:shd w:val="clear" w:color="auto" w:fill="auto"/>
            <w:noWrap/>
            <w:vAlign w:val="bottom"/>
            <w:hideMark/>
          </w:tcPr>
          <w:p w:rsidR="007C3A15" w:rsidP="00EC4620" w:rsidRDefault="007C3A15" w14:paraId="15A9E4EC" w14:textId="77777777">
            <w:pPr>
              <w:jc w:val="right"/>
              <w:rPr>
                <w:rFonts w:ascii="Calibri" w:hAnsi="Calibri" w:cs="Calibri"/>
                <w:color w:val="000000"/>
                <w:sz w:val="22"/>
              </w:rPr>
            </w:pPr>
            <w:r>
              <w:rPr>
                <w:rFonts w:ascii="Calibri" w:hAnsi="Calibri" w:cs="Calibri"/>
                <w:color w:val="000000"/>
                <w:sz w:val="22"/>
              </w:rPr>
              <w:t xml:space="preserve">97,136 </w:t>
            </w:r>
          </w:p>
        </w:tc>
        <w:tc>
          <w:tcPr>
            <w:tcW w:w="1953" w:type="dxa"/>
            <w:tcBorders>
              <w:top w:val="nil"/>
              <w:left w:val="nil"/>
              <w:bottom w:val="nil"/>
              <w:right w:val="nil"/>
            </w:tcBorders>
            <w:shd w:val="clear" w:color="auto" w:fill="auto"/>
            <w:noWrap/>
            <w:vAlign w:val="bottom"/>
            <w:hideMark/>
          </w:tcPr>
          <w:p w:rsidR="007C3A15" w:rsidP="00EC4620" w:rsidRDefault="007C3A15" w14:paraId="29B7DB11" w14:textId="77777777">
            <w:pPr>
              <w:jc w:val="right"/>
              <w:rPr>
                <w:rFonts w:ascii="Calibri" w:hAnsi="Calibri" w:cs="Calibri"/>
                <w:color w:val="000000"/>
                <w:sz w:val="22"/>
              </w:rPr>
            </w:pPr>
            <w:r>
              <w:rPr>
                <w:rFonts w:ascii="Calibri" w:hAnsi="Calibri" w:cs="Calibri"/>
                <w:color w:val="000000"/>
                <w:sz w:val="22"/>
              </w:rPr>
              <w:t xml:space="preserve">98,933 </w:t>
            </w:r>
          </w:p>
        </w:tc>
      </w:tr>
      <w:tr w:rsidR="007C3A15" w:rsidTr="003B4BA5" w14:paraId="48B81899"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19B70471"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1D321D92"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26A53E8F" w14:textId="77777777">
            <w:pPr>
              <w:rPr>
                <w:sz w:val="20"/>
                <w:szCs w:val="20"/>
              </w:rPr>
            </w:pPr>
          </w:p>
        </w:tc>
        <w:tc>
          <w:tcPr>
            <w:tcW w:w="1953" w:type="dxa"/>
            <w:tcBorders>
              <w:top w:val="nil"/>
              <w:left w:val="nil"/>
              <w:bottom w:val="nil"/>
              <w:right w:val="nil"/>
            </w:tcBorders>
            <w:shd w:val="clear" w:color="auto" w:fill="auto"/>
            <w:noWrap/>
            <w:vAlign w:val="bottom"/>
            <w:hideMark/>
          </w:tcPr>
          <w:p w:rsidR="007C3A15" w:rsidP="00EC4620" w:rsidRDefault="007C3A15" w14:paraId="250B974D" w14:textId="77777777">
            <w:pPr>
              <w:rPr>
                <w:sz w:val="20"/>
                <w:szCs w:val="20"/>
              </w:rPr>
            </w:pPr>
          </w:p>
        </w:tc>
      </w:tr>
      <w:tr w:rsidR="007C3A15" w:rsidTr="003B4BA5" w14:paraId="43B59148" w14:textId="77777777">
        <w:trPr>
          <w:trHeight w:val="300"/>
        </w:trPr>
        <w:tc>
          <w:tcPr>
            <w:tcW w:w="3901" w:type="dxa"/>
            <w:gridSpan w:val="2"/>
            <w:tcBorders>
              <w:top w:val="nil"/>
              <w:left w:val="nil"/>
              <w:bottom w:val="nil"/>
              <w:right w:val="nil"/>
            </w:tcBorders>
            <w:shd w:val="clear" w:color="auto" w:fill="auto"/>
            <w:noWrap/>
            <w:vAlign w:val="bottom"/>
            <w:hideMark/>
          </w:tcPr>
          <w:p w:rsidR="007C3A15" w:rsidP="00EC4620" w:rsidRDefault="007C3A15" w14:paraId="59948530" w14:textId="77777777">
            <w:pPr>
              <w:rPr>
                <w:rFonts w:ascii="Calibri" w:hAnsi="Calibri" w:cs="Calibri"/>
                <w:color w:val="000000"/>
                <w:sz w:val="22"/>
              </w:rPr>
            </w:pPr>
            <w:r>
              <w:rPr>
                <w:rFonts w:ascii="Calibri" w:hAnsi="Calibri" w:cs="Calibri"/>
                <w:color w:val="000000"/>
                <w:sz w:val="22"/>
              </w:rPr>
              <w:t>OTHER TAXES</w:t>
            </w:r>
          </w:p>
        </w:tc>
        <w:tc>
          <w:tcPr>
            <w:tcW w:w="1827" w:type="dxa"/>
            <w:tcBorders>
              <w:top w:val="nil"/>
              <w:left w:val="nil"/>
              <w:bottom w:val="nil"/>
              <w:right w:val="nil"/>
            </w:tcBorders>
            <w:shd w:val="clear" w:color="auto" w:fill="auto"/>
            <w:noWrap/>
            <w:vAlign w:val="bottom"/>
            <w:hideMark/>
          </w:tcPr>
          <w:p w:rsidR="007C3A15" w:rsidP="00EC4620" w:rsidRDefault="007C3A15" w14:paraId="31C679F3" w14:textId="77777777">
            <w:pPr>
              <w:rPr>
                <w:rFonts w:ascii="Calibri" w:hAnsi="Calibri" w:cs="Calibri"/>
                <w:color w:val="000000"/>
                <w:sz w:val="22"/>
              </w:rPr>
            </w:pPr>
          </w:p>
        </w:tc>
        <w:tc>
          <w:tcPr>
            <w:tcW w:w="1953" w:type="dxa"/>
            <w:tcBorders>
              <w:top w:val="nil"/>
              <w:left w:val="nil"/>
              <w:bottom w:val="nil"/>
              <w:right w:val="nil"/>
            </w:tcBorders>
            <w:shd w:val="clear" w:color="auto" w:fill="auto"/>
            <w:noWrap/>
            <w:vAlign w:val="bottom"/>
            <w:hideMark/>
          </w:tcPr>
          <w:p w:rsidR="007C3A15" w:rsidP="00EC4620" w:rsidRDefault="007C3A15" w14:paraId="2D983853" w14:textId="77777777">
            <w:pPr>
              <w:rPr>
                <w:sz w:val="20"/>
                <w:szCs w:val="20"/>
              </w:rPr>
            </w:pPr>
          </w:p>
        </w:tc>
      </w:tr>
      <w:tr w:rsidR="007C3A15" w:rsidTr="003B4BA5" w14:paraId="3610D79B" w14:textId="77777777">
        <w:trPr>
          <w:trHeight w:val="345"/>
        </w:trPr>
        <w:tc>
          <w:tcPr>
            <w:tcW w:w="1031" w:type="dxa"/>
            <w:tcBorders>
              <w:top w:val="nil"/>
              <w:left w:val="nil"/>
              <w:bottom w:val="nil"/>
              <w:right w:val="nil"/>
            </w:tcBorders>
            <w:shd w:val="clear" w:color="auto" w:fill="auto"/>
            <w:noWrap/>
            <w:vAlign w:val="bottom"/>
            <w:hideMark/>
          </w:tcPr>
          <w:p w:rsidR="007C3A15" w:rsidP="00EC4620" w:rsidRDefault="007C3A15" w14:paraId="27935BC9" w14:textId="77777777">
            <w:pPr>
              <w:jc w:val="right"/>
              <w:rPr>
                <w:rFonts w:ascii="Calibri" w:hAnsi="Calibri" w:cs="Calibri"/>
                <w:color w:val="000000"/>
                <w:sz w:val="22"/>
              </w:rPr>
            </w:pPr>
            <w:r>
              <w:rPr>
                <w:rFonts w:ascii="Calibri" w:hAnsi="Calibri" w:cs="Calibri"/>
                <w:color w:val="000000"/>
                <w:sz w:val="22"/>
                <w:vertAlign w:val="superscript"/>
              </w:rPr>
              <w:t>1</w:t>
            </w:r>
          </w:p>
        </w:tc>
        <w:tc>
          <w:tcPr>
            <w:tcW w:w="2870" w:type="dxa"/>
            <w:tcBorders>
              <w:top w:val="nil"/>
              <w:left w:val="nil"/>
              <w:bottom w:val="nil"/>
              <w:right w:val="nil"/>
            </w:tcBorders>
            <w:shd w:val="clear" w:color="auto" w:fill="auto"/>
            <w:noWrap/>
            <w:vAlign w:val="bottom"/>
            <w:hideMark/>
          </w:tcPr>
          <w:p w:rsidR="007C3A15" w:rsidP="00EC4620" w:rsidRDefault="007C3A15" w14:paraId="5B3505AF" w14:textId="77777777">
            <w:pPr>
              <w:rPr>
                <w:rFonts w:ascii="Calibri" w:hAnsi="Calibri" w:cs="Calibri"/>
                <w:color w:val="000000"/>
                <w:sz w:val="22"/>
              </w:rPr>
            </w:pPr>
            <w:r>
              <w:rPr>
                <w:rFonts w:ascii="Calibri" w:hAnsi="Calibri" w:cs="Calibri"/>
                <w:color w:val="000000"/>
                <w:sz w:val="22"/>
              </w:rPr>
              <w:t>PROPERTY TAXES</w:t>
            </w:r>
          </w:p>
        </w:tc>
        <w:tc>
          <w:tcPr>
            <w:tcW w:w="1827" w:type="dxa"/>
            <w:tcBorders>
              <w:top w:val="nil"/>
              <w:left w:val="nil"/>
              <w:bottom w:val="nil"/>
              <w:right w:val="nil"/>
            </w:tcBorders>
            <w:shd w:val="clear" w:color="auto" w:fill="auto"/>
            <w:noWrap/>
            <w:vAlign w:val="bottom"/>
            <w:hideMark/>
          </w:tcPr>
          <w:p w:rsidR="007C3A15" w:rsidP="00EC4620" w:rsidRDefault="007C3A15" w14:paraId="1C27F859" w14:textId="77777777">
            <w:pPr>
              <w:jc w:val="right"/>
              <w:rPr>
                <w:rFonts w:ascii="Calibri" w:hAnsi="Calibri" w:cs="Calibri"/>
                <w:color w:val="000000"/>
                <w:sz w:val="22"/>
              </w:rPr>
            </w:pPr>
            <w:r>
              <w:rPr>
                <w:rFonts w:ascii="Calibri" w:hAnsi="Calibri" w:cs="Calibri"/>
                <w:color w:val="000000"/>
                <w:sz w:val="22"/>
              </w:rPr>
              <w:t xml:space="preserve">22,024 </w:t>
            </w:r>
          </w:p>
        </w:tc>
        <w:tc>
          <w:tcPr>
            <w:tcW w:w="1953" w:type="dxa"/>
            <w:tcBorders>
              <w:top w:val="nil"/>
              <w:left w:val="nil"/>
              <w:bottom w:val="nil"/>
              <w:right w:val="nil"/>
            </w:tcBorders>
            <w:shd w:val="clear" w:color="auto" w:fill="auto"/>
            <w:noWrap/>
            <w:vAlign w:val="bottom"/>
            <w:hideMark/>
          </w:tcPr>
          <w:p w:rsidR="007C3A15" w:rsidP="00EC4620" w:rsidRDefault="007C3A15" w14:paraId="77092D04" w14:textId="77777777">
            <w:pPr>
              <w:jc w:val="right"/>
              <w:rPr>
                <w:rFonts w:ascii="Calibri" w:hAnsi="Calibri" w:cs="Calibri"/>
                <w:color w:val="000000"/>
                <w:sz w:val="22"/>
              </w:rPr>
            </w:pPr>
            <w:r>
              <w:rPr>
                <w:rFonts w:ascii="Calibri" w:hAnsi="Calibri" w:cs="Calibri"/>
                <w:color w:val="000000"/>
                <w:sz w:val="22"/>
              </w:rPr>
              <w:t xml:space="preserve">22,024 </w:t>
            </w:r>
          </w:p>
        </w:tc>
      </w:tr>
      <w:tr w:rsidR="007C3A15" w:rsidTr="003B4BA5" w14:paraId="2A74C8B5" w14:textId="77777777">
        <w:trPr>
          <w:trHeight w:val="345"/>
        </w:trPr>
        <w:tc>
          <w:tcPr>
            <w:tcW w:w="1031" w:type="dxa"/>
            <w:tcBorders>
              <w:top w:val="nil"/>
              <w:left w:val="nil"/>
              <w:bottom w:val="nil"/>
              <w:right w:val="nil"/>
            </w:tcBorders>
            <w:shd w:val="clear" w:color="auto" w:fill="auto"/>
            <w:noWrap/>
            <w:vAlign w:val="bottom"/>
            <w:hideMark/>
          </w:tcPr>
          <w:p w:rsidR="007C3A15" w:rsidP="00EC4620" w:rsidRDefault="007C3A15" w14:paraId="3F2C378A" w14:textId="77777777">
            <w:pPr>
              <w:jc w:val="right"/>
              <w:rPr>
                <w:rFonts w:ascii="Calibri" w:hAnsi="Calibri" w:cs="Calibri"/>
                <w:color w:val="000000"/>
                <w:sz w:val="22"/>
              </w:rPr>
            </w:pPr>
            <w:r>
              <w:rPr>
                <w:rFonts w:ascii="Calibri" w:hAnsi="Calibri" w:cs="Calibri"/>
                <w:color w:val="000000"/>
                <w:sz w:val="22"/>
                <w:vertAlign w:val="superscript"/>
              </w:rPr>
              <w:t>1</w:t>
            </w:r>
          </w:p>
        </w:tc>
        <w:tc>
          <w:tcPr>
            <w:tcW w:w="2870" w:type="dxa"/>
            <w:tcBorders>
              <w:top w:val="nil"/>
              <w:left w:val="nil"/>
              <w:bottom w:val="nil"/>
              <w:right w:val="nil"/>
            </w:tcBorders>
            <w:shd w:val="clear" w:color="auto" w:fill="auto"/>
            <w:noWrap/>
            <w:vAlign w:val="bottom"/>
            <w:hideMark/>
          </w:tcPr>
          <w:p w:rsidR="007C3A15" w:rsidP="00EC4620" w:rsidRDefault="007C3A15" w14:paraId="1E5B87FF" w14:textId="77777777">
            <w:pPr>
              <w:rPr>
                <w:rFonts w:ascii="Calibri" w:hAnsi="Calibri" w:cs="Calibri"/>
                <w:color w:val="000000"/>
                <w:sz w:val="22"/>
              </w:rPr>
            </w:pPr>
            <w:r>
              <w:rPr>
                <w:rFonts w:ascii="Calibri" w:hAnsi="Calibri" w:cs="Calibri"/>
                <w:color w:val="000000"/>
                <w:sz w:val="22"/>
              </w:rPr>
              <w:t>PAYROLL TAXES</w:t>
            </w:r>
          </w:p>
        </w:tc>
        <w:tc>
          <w:tcPr>
            <w:tcW w:w="1827" w:type="dxa"/>
            <w:tcBorders>
              <w:top w:val="nil"/>
              <w:left w:val="nil"/>
              <w:bottom w:val="nil"/>
              <w:right w:val="nil"/>
            </w:tcBorders>
            <w:shd w:val="clear" w:color="auto" w:fill="auto"/>
            <w:noWrap/>
            <w:vAlign w:val="bottom"/>
            <w:hideMark/>
          </w:tcPr>
          <w:p w:rsidR="007C3A15" w:rsidP="00EC4620" w:rsidRDefault="007C3A15" w14:paraId="387CF377" w14:textId="77777777">
            <w:pPr>
              <w:jc w:val="right"/>
              <w:rPr>
                <w:rFonts w:ascii="Calibri" w:hAnsi="Calibri" w:cs="Calibri"/>
                <w:color w:val="000000"/>
                <w:sz w:val="22"/>
              </w:rPr>
            </w:pPr>
            <w:r>
              <w:rPr>
                <w:rFonts w:ascii="Calibri" w:hAnsi="Calibri" w:cs="Calibri"/>
                <w:color w:val="000000"/>
                <w:sz w:val="22"/>
              </w:rPr>
              <w:t xml:space="preserve">3,672 </w:t>
            </w:r>
          </w:p>
        </w:tc>
        <w:tc>
          <w:tcPr>
            <w:tcW w:w="1953" w:type="dxa"/>
            <w:tcBorders>
              <w:top w:val="nil"/>
              <w:left w:val="nil"/>
              <w:bottom w:val="nil"/>
              <w:right w:val="nil"/>
            </w:tcBorders>
            <w:shd w:val="clear" w:color="auto" w:fill="auto"/>
            <w:noWrap/>
            <w:vAlign w:val="bottom"/>
            <w:hideMark/>
          </w:tcPr>
          <w:p w:rsidR="007C3A15" w:rsidP="00EC4620" w:rsidRDefault="007C3A15" w14:paraId="687D500C" w14:textId="77777777">
            <w:pPr>
              <w:jc w:val="right"/>
              <w:rPr>
                <w:rFonts w:ascii="Calibri" w:hAnsi="Calibri" w:cs="Calibri"/>
                <w:color w:val="000000"/>
                <w:sz w:val="22"/>
              </w:rPr>
            </w:pPr>
            <w:r>
              <w:rPr>
                <w:rFonts w:ascii="Calibri" w:hAnsi="Calibri" w:cs="Calibri"/>
                <w:color w:val="000000"/>
                <w:sz w:val="22"/>
              </w:rPr>
              <w:t xml:space="preserve">3,672 </w:t>
            </w:r>
          </w:p>
        </w:tc>
      </w:tr>
      <w:tr w:rsidR="007C3A15" w:rsidTr="003B4BA5" w14:paraId="32C6A961" w14:textId="77777777">
        <w:trPr>
          <w:trHeight w:val="345"/>
        </w:trPr>
        <w:tc>
          <w:tcPr>
            <w:tcW w:w="1031" w:type="dxa"/>
            <w:tcBorders>
              <w:top w:val="nil"/>
              <w:left w:val="nil"/>
              <w:bottom w:val="nil"/>
              <w:right w:val="nil"/>
            </w:tcBorders>
            <w:shd w:val="clear" w:color="auto" w:fill="auto"/>
            <w:noWrap/>
            <w:vAlign w:val="bottom"/>
            <w:hideMark/>
          </w:tcPr>
          <w:p w:rsidR="007C3A15" w:rsidP="00EC4620" w:rsidRDefault="007C3A15" w14:paraId="5D449441"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2AF86CEA" w14:textId="77777777">
            <w:pPr>
              <w:rPr>
                <w:rFonts w:ascii="Calibri" w:hAnsi="Calibri" w:cs="Calibri"/>
                <w:color w:val="000000"/>
                <w:sz w:val="22"/>
              </w:rPr>
            </w:pPr>
            <w:r>
              <w:rPr>
                <w:rFonts w:ascii="Calibri" w:hAnsi="Calibri" w:cs="Calibri"/>
                <w:color w:val="000000"/>
                <w:sz w:val="22"/>
              </w:rPr>
              <w:t>TAXES-OTHER</w:t>
            </w:r>
          </w:p>
        </w:tc>
        <w:tc>
          <w:tcPr>
            <w:tcW w:w="1827" w:type="dxa"/>
            <w:tcBorders>
              <w:top w:val="nil"/>
              <w:left w:val="nil"/>
              <w:bottom w:val="nil"/>
              <w:right w:val="nil"/>
            </w:tcBorders>
            <w:shd w:val="clear" w:color="auto" w:fill="auto"/>
            <w:noWrap/>
            <w:vAlign w:val="bottom"/>
            <w:hideMark/>
          </w:tcPr>
          <w:p w:rsidR="007C3A15" w:rsidP="00EC4620" w:rsidRDefault="007C3A15" w14:paraId="177704AF" w14:textId="77777777">
            <w:pPr>
              <w:jc w:val="right"/>
              <w:rPr>
                <w:rFonts w:ascii="Calibri" w:hAnsi="Calibri" w:cs="Calibri"/>
                <w:color w:val="000000"/>
                <w:sz w:val="22"/>
              </w:rPr>
            </w:pPr>
            <w:r>
              <w:rPr>
                <w:rFonts w:ascii="Calibri" w:hAnsi="Calibri" w:cs="Calibri"/>
                <w:color w:val="000000"/>
                <w:sz w:val="22"/>
              </w:rPr>
              <w:t xml:space="preserve">1,794 </w:t>
            </w:r>
          </w:p>
        </w:tc>
        <w:tc>
          <w:tcPr>
            <w:tcW w:w="1953" w:type="dxa"/>
            <w:tcBorders>
              <w:top w:val="nil"/>
              <w:left w:val="nil"/>
              <w:bottom w:val="nil"/>
              <w:right w:val="nil"/>
            </w:tcBorders>
            <w:shd w:val="clear" w:color="auto" w:fill="auto"/>
            <w:noWrap/>
            <w:vAlign w:val="bottom"/>
            <w:hideMark/>
          </w:tcPr>
          <w:p w:rsidR="007C3A15" w:rsidP="00EC4620" w:rsidRDefault="007C3A15" w14:paraId="058AA41D" w14:textId="77777777">
            <w:pPr>
              <w:jc w:val="right"/>
              <w:rPr>
                <w:rFonts w:ascii="Calibri" w:hAnsi="Calibri" w:cs="Calibri"/>
                <w:color w:val="000000"/>
                <w:sz w:val="22"/>
              </w:rPr>
            </w:pPr>
            <w:r>
              <w:rPr>
                <w:rFonts w:ascii="Calibri" w:hAnsi="Calibri" w:cs="Calibri"/>
                <w:color w:val="000000"/>
                <w:sz w:val="22"/>
              </w:rPr>
              <w:t xml:space="preserve">1,794 </w:t>
            </w:r>
          </w:p>
        </w:tc>
      </w:tr>
      <w:tr w:rsidR="007C3A15" w:rsidTr="003B4BA5" w14:paraId="21EBEBD9"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0A5CB499"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21891A90"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23CCDD02" w14:textId="77777777">
            <w:pPr>
              <w:rPr>
                <w:sz w:val="20"/>
                <w:szCs w:val="20"/>
              </w:rPr>
            </w:pPr>
          </w:p>
        </w:tc>
        <w:tc>
          <w:tcPr>
            <w:tcW w:w="1953" w:type="dxa"/>
            <w:tcBorders>
              <w:top w:val="nil"/>
              <w:left w:val="nil"/>
              <w:bottom w:val="nil"/>
              <w:right w:val="nil"/>
            </w:tcBorders>
            <w:shd w:val="clear" w:color="auto" w:fill="auto"/>
            <w:noWrap/>
            <w:vAlign w:val="bottom"/>
            <w:hideMark/>
          </w:tcPr>
          <w:p w:rsidR="007C3A15" w:rsidP="00EC4620" w:rsidRDefault="007C3A15" w14:paraId="1BB8F717" w14:textId="77777777">
            <w:pPr>
              <w:rPr>
                <w:sz w:val="20"/>
                <w:szCs w:val="20"/>
              </w:rPr>
            </w:pPr>
          </w:p>
        </w:tc>
      </w:tr>
      <w:tr w:rsidR="007C3A15" w:rsidTr="003B4BA5" w14:paraId="5A22237E"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72C3AA09" w14:textId="77777777">
            <w:pPr>
              <w:rPr>
                <w:sz w:val="20"/>
                <w:szCs w:val="20"/>
              </w:rPr>
            </w:pPr>
          </w:p>
        </w:tc>
        <w:tc>
          <w:tcPr>
            <w:tcW w:w="2870" w:type="dxa"/>
            <w:tcBorders>
              <w:top w:val="nil"/>
              <w:left w:val="nil"/>
              <w:bottom w:val="nil"/>
              <w:right w:val="nil"/>
            </w:tcBorders>
            <w:shd w:val="clear" w:color="auto" w:fill="auto"/>
            <w:noWrap/>
            <w:vAlign w:val="bottom"/>
            <w:hideMark/>
          </w:tcPr>
          <w:p w:rsidR="007C3A15" w:rsidP="00EC4620" w:rsidRDefault="007C3A15" w14:paraId="575F230A" w14:textId="77777777">
            <w:pPr>
              <w:rPr>
                <w:rFonts w:ascii="Calibri" w:hAnsi="Calibri" w:cs="Calibri"/>
                <w:color w:val="000000"/>
                <w:sz w:val="22"/>
              </w:rPr>
            </w:pPr>
            <w:r>
              <w:rPr>
                <w:rFonts w:ascii="Calibri" w:hAnsi="Calibri" w:cs="Calibri"/>
                <w:color w:val="000000"/>
                <w:sz w:val="22"/>
              </w:rPr>
              <w:t>SUB-TOTAL OTHER TAXES</w:t>
            </w:r>
          </w:p>
        </w:tc>
        <w:tc>
          <w:tcPr>
            <w:tcW w:w="1827" w:type="dxa"/>
            <w:tcBorders>
              <w:top w:val="nil"/>
              <w:left w:val="nil"/>
              <w:bottom w:val="nil"/>
              <w:right w:val="nil"/>
            </w:tcBorders>
            <w:shd w:val="clear" w:color="auto" w:fill="auto"/>
            <w:noWrap/>
            <w:vAlign w:val="bottom"/>
            <w:hideMark/>
          </w:tcPr>
          <w:p w:rsidR="007C3A15" w:rsidP="00EC4620" w:rsidRDefault="007C3A15" w14:paraId="77D01590" w14:textId="77777777">
            <w:pPr>
              <w:jc w:val="right"/>
              <w:rPr>
                <w:rFonts w:ascii="Calibri" w:hAnsi="Calibri" w:cs="Calibri"/>
                <w:color w:val="000000"/>
                <w:sz w:val="22"/>
              </w:rPr>
            </w:pPr>
            <w:r>
              <w:rPr>
                <w:rFonts w:ascii="Calibri" w:hAnsi="Calibri" w:cs="Calibri"/>
                <w:color w:val="000000"/>
                <w:sz w:val="22"/>
              </w:rPr>
              <w:t xml:space="preserve">27,490 </w:t>
            </w:r>
          </w:p>
        </w:tc>
        <w:tc>
          <w:tcPr>
            <w:tcW w:w="1953" w:type="dxa"/>
            <w:tcBorders>
              <w:top w:val="nil"/>
              <w:left w:val="nil"/>
              <w:bottom w:val="nil"/>
              <w:right w:val="nil"/>
            </w:tcBorders>
            <w:shd w:val="clear" w:color="auto" w:fill="auto"/>
            <w:noWrap/>
            <w:vAlign w:val="bottom"/>
            <w:hideMark/>
          </w:tcPr>
          <w:p w:rsidR="007C3A15" w:rsidP="00EC4620" w:rsidRDefault="007C3A15" w14:paraId="7655F197" w14:textId="77777777">
            <w:pPr>
              <w:jc w:val="right"/>
              <w:rPr>
                <w:rFonts w:ascii="Calibri" w:hAnsi="Calibri" w:cs="Calibri"/>
                <w:color w:val="000000"/>
                <w:sz w:val="22"/>
              </w:rPr>
            </w:pPr>
            <w:r>
              <w:rPr>
                <w:rFonts w:ascii="Calibri" w:hAnsi="Calibri" w:cs="Calibri"/>
                <w:color w:val="000000"/>
                <w:sz w:val="22"/>
              </w:rPr>
              <w:t xml:space="preserve">27,490 </w:t>
            </w:r>
          </w:p>
        </w:tc>
      </w:tr>
      <w:tr w:rsidR="007C3A15" w:rsidTr="003B4BA5" w14:paraId="66BF7EBD"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6AB87981"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421A36CF"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02B58117" w14:textId="77777777">
            <w:pPr>
              <w:rPr>
                <w:sz w:val="20"/>
                <w:szCs w:val="20"/>
              </w:rPr>
            </w:pPr>
          </w:p>
        </w:tc>
        <w:tc>
          <w:tcPr>
            <w:tcW w:w="1953" w:type="dxa"/>
            <w:tcBorders>
              <w:top w:val="nil"/>
              <w:left w:val="nil"/>
              <w:bottom w:val="nil"/>
              <w:right w:val="nil"/>
            </w:tcBorders>
            <w:shd w:val="clear" w:color="auto" w:fill="auto"/>
            <w:noWrap/>
            <w:vAlign w:val="bottom"/>
            <w:hideMark/>
          </w:tcPr>
          <w:p w:rsidR="007C3A15" w:rsidP="00EC4620" w:rsidRDefault="007C3A15" w14:paraId="32F471D3" w14:textId="77777777">
            <w:pPr>
              <w:rPr>
                <w:sz w:val="20"/>
                <w:szCs w:val="20"/>
              </w:rPr>
            </w:pPr>
          </w:p>
        </w:tc>
      </w:tr>
      <w:tr w:rsidR="007C3A15" w:rsidTr="003B4BA5" w14:paraId="2B227FAE" w14:textId="77777777">
        <w:trPr>
          <w:trHeight w:val="345"/>
        </w:trPr>
        <w:tc>
          <w:tcPr>
            <w:tcW w:w="1031" w:type="dxa"/>
            <w:tcBorders>
              <w:top w:val="nil"/>
              <w:left w:val="nil"/>
              <w:bottom w:val="nil"/>
              <w:right w:val="nil"/>
            </w:tcBorders>
            <w:shd w:val="clear" w:color="auto" w:fill="auto"/>
            <w:noWrap/>
            <w:vAlign w:val="bottom"/>
            <w:hideMark/>
          </w:tcPr>
          <w:p w:rsidR="007C3A15" w:rsidP="00EC4620" w:rsidRDefault="007C3A15" w14:paraId="5B6DF41C" w14:textId="77777777">
            <w:pPr>
              <w:jc w:val="right"/>
              <w:rPr>
                <w:rFonts w:ascii="Calibri" w:hAnsi="Calibri" w:cs="Calibri"/>
                <w:color w:val="000000"/>
                <w:sz w:val="22"/>
              </w:rPr>
            </w:pPr>
            <w:r>
              <w:rPr>
                <w:rFonts w:ascii="Calibri" w:hAnsi="Calibri" w:cs="Calibri"/>
                <w:color w:val="000000"/>
                <w:sz w:val="22"/>
                <w:vertAlign w:val="superscript"/>
              </w:rPr>
              <w:t>1</w:t>
            </w:r>
          </w:p>
        </w:tc>
        <w:tc>
          <w:tcPr>
            <w:tcW w:w="2870" w:type="dxa"/>
            <w:tcBorders>
              <w:top w:val="nil"/>
              <w:left w:val="nil"/>
              <w:bottom w:val="nil"/>
              <w:right w:val="nil"/>
            </w:tcBorders>
            <w:shd w:val="clear" w:color="auto" w:fill="auto"/>
            <w:noWrap/>
            <w:vAlign w:val="bottom"/>
            <w:hideMark/>
          </w:tcPr>
          <w:p w:rsidR="007C3A15" w:rsidP="00EC4620" w:rsidRDefault="007C3A15" w14:paraId="243AB76E" w14:textId="77777777">
            <w:pPr>
              <w:rPr>
                <w:rFonts w:ascii="Calibri" w:hAnsi="Calibri" w:cs="Calibri"/>
                <w:color w:val="000000"/>
                <w:sz w:val="22"/>
              </w:rPr>
            </w:pPr>
            <w:r>
              <w:rPr>
                <w:rFonts w:ascii="Calibri" w:hAnsi="Calibri" w:cs="Calibri"/>
                <w:color w:val="000000"/>
                <w:sz w:val="22"/>
              </w:rPr>
              <w:t>DEPRECIATION</w:t>
            </w:r>
          </w:p>
        </w:tc>
        <w:tc>
          <w:tcPr>
            <w:tcW w:w="1827" w:type="dxa"/>
            <w:tcBorders>
              <w:top w:val="nil"/>
              <w:left w:val="nil"/>
              <w:bottom w:val="nil"/>
              <w:right w:val="nil"/>
            </w:tcBorders>
            <w:shd w:val="clear" w:color="auto" w:fill="auto"/>
            <w:noWrap/>
            <w:vAlign w:val="bottom"/>
            <w:hideMark/>
          </w:tcPr>
          <w:p w:rsidR="007C3A15" w:rsidP="00EC4620" w:rsidRDefault="007C3A15" w14:paraId="7B9BC7F5" w14:textId="77777777">
            <w:pPr>
              <w:jc w:val="right"/>
              <w:rPr>
                <w:rFonts w:ascii="Calibri" w:hAnsi="Calibri" w:cs="Calibri"/>
                <w:color w:val="000000"/>
                <w:sz w:val="22"/>
              </w:rPr>
            </w:pPr>
            <w:r>
              <w:rPr>
                <w:rFonts w:ascii="Calibri" w:hAnsi="Calibri" w:cs="Calibri"/>
                <w:color w:val="000000"/>
                <w:sz w:val="22"/>
              </w:rPr>
              <w:t xml:space="preserve">64,912 </w:t>
            </w:r>
          </w:p>
        </w:tc>
        <w:tc>
          <w:tcPr>
            <w:tcW w:w="1953" w:type="dxa"/>
            <w:tcBorders>
              <w:top w:val="nil"/>
              <w:left w:val="nil"/>
              <w:bottom w:val="nil"/>
              <w:right w:val="nil"/>
            </w:tcBorders>
            <w:shd w:val="clear" w:color="auto" w:fill="auto"/>
            <w:noWrap/>
            <w:vAlign w:val="bottom"/>
            <w:hideMark/>
          </w:tcPr>
          <w:p w:rsidR="007C3A15" w:rsidP="00EC4620" w:rsidRDefault="007C3A15" w14:paraId="61D107BB" w14:textId="77777777">
            <w:pPr>
              <w:jc w:val="right"/>
              <w:rPr>
                <w:rFonts w:ascii="Calibri" w:hAnsi="Calibri" w:cs="Calibri"/>
                <w:color w:val="000000"/>
                <w:sz w:val="22"/>
              </w:rPr>
            </w:pPr>
            <w:r>
              <w:rPr>
                <w:rFonts w:ascii="Calibri" w:hAnsi="Calibri" w:cs="Calibri"/>
                <w:color w:val="000000"/>
                <w:sz w:val="22"/>
              </w:rPr>
              <w:t xml:space="preserve">64,912 </w:t>
            </w:r>
          </w:p>
        </w:tc>
      </w:tr>
      <w:tr w:rsidR="007C3A15" w:rsidTr="003B4BA5" w14:paraId="3D71806B"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6588FB85"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5325F7D4" w14:textId="77777777">
            <w:pPr>
              <w:rPr>
                <w:rFonts w:ascii="Calibri" w:hAnsi="Calibri" w:cs="Calibri"/>
                <w:color w:val="000000"/>
                <w:sz w:val="22"/>
              </w:rPr>
            </w:pPr>
            <w:r>
              <w:rPr>
                <w:rFonts w:ascii="Calibri" w:hAnsi="Calibri" w:cs="Calibri"/>
                <w:color w:val="000000"/>
                <w:sz w:val="22"/>
              </w:rPr>
              <w:t>CA INCOME TAXES</w:t>
            </w:r>
          </w:p>
        </w:tc>
        <w:tc>
          <w:tcPr>
            <w:tcW w:w="1827" w:type="dxa"/>
            <w:tcBorders>
              <w:top w:val="nil"/>
              <w:left w:val="nil"/>
              <w:bottom w:val="nil"/>
              <w:right w:val="nil"/>
            </w:tcBorders>
            <w:shd w:val="clear" w:color="auto" w:fill="auto"/>
            <w:noWrap/>
            <w:vAlign w:val="bottom"/>
            <w:hideMark/>
          </w:tcPr>
          <w:p w:rsidR="007C3A15" w:rsidP="00EC4620" w:rsidRDefault="007C3A15" w14:paraId="72A16A09" w14:textId="77777777">
            <w:pPr>
              <w:jc w:val="right"/>
              <w:rPr>
                <w:rFonts w:ascii="Calibri" w:hAnsi="Calibri" w:cs="Calibri"/>
                <w:color w:val="000000"/>
                <w:sz w:val="22"/>
              </w:rPr>
            </w:pPr>
            <w:r>
              <w:rPr>
                <w:rFonts w:ascii="Calibri" w:hAnsi="Calibri" w:cs="Calibri"/>
                <w:color w:val="000000"/>
                <w:sz w:val="22"/>
              </w:rPr>
              <w:t>(1,941)</w:t>
            </w:r>
          </w:p>
        </w:tc>
        <w:tc>
          <w:tcPr>
            <w:tcW w:w="1953" w:type="dxa"/>
            <w:tcBorders>
              <w:top w:val="nil"/>
              <w:left w:val="nil"/>
              <w:bottom w:val="nil"/>
              <w:right w:val="nil"/>
            </w:tcBorders>
            <w:shd w:val="clear" w:color="auto" w:fill="auto"/>
            <w:noWrap/>
            <w:vAlign w:val="bottom"/>
            <w:hideMark/>
          </w:tcPr>
          <w:p w:rsidR="007C3A15" w:rsidP="00EC4620" w:rsidRDefault="007C3A15" w14:paraId="52A9215B" w14:textId="77777777">
            <w:pPr>
              <w:jc w:val="right"/>
              <w:rPr>
                <w:rFonts w:ascii="Calibri" w:hAnsi="Calibri" w:cs="Calibri"/>
                <w:color w:val="000000"/>
                <w:sz w:val="22"/>
              </w:rPr>
            </w:pPr>
            <w:r>
              <w:rPr>
                <w:rFonts w:ascii="Calibri" w:hAnsi="Calibri" w:cs="Calibri"/>
                <w:color w:val="000000"/>
                <w:sz w:val="22"/>
              </w:rPr>
              <w:t xml:space="preserve">14,400 </w:t>
            </w:r>
          </w:p>
        </w:tc>
      </w:tr>
      <w:tr w:rsidR="007C3A15" w:rsidTr="003B4BA5" w14:paraId="4F7E1D38"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465852FA"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45740CF3" w14:textId="77777777">
            <w:pPr>
              <w:rPr>
                <w:rFonts w:ascii="Calibri" w:hAnsi="Calibri" w:cs="Calibri"/>
                <w:color w:val="000000"/>
                <w:sz w:val="22"/>
              </w:rPr>
            </w:pPr>
            <w:r>
              <w:rPr>
                <w:rFonts w:ascii="Calibri" w:hAnsi="Calibri" w:cs="Calibri"/>
                <w:color w:val="000000"/>
                <w:sz w:val="22"/>
              </w:rPr>
              <w:t>FEDERAL INCOME TAXES</w:t>
            </w:r>
          </w:p>
        </w:tc>
        <w:tc>
          <w:tcPr>
            <w:tcW w:w="1827" w:type="dxa"/>
            <w:tcBorders>
              <w:top w:val="nil"/>
              <w:left w:val="nil"/>
              <w:bottom w:val="nil"/>
              <w:right w:val="nil"/>
            </w:tcBorders>
            <w:shd w:val="clear" w:color="auto" w:fill="auto"/>
            <w:noWrap/>
            <w:vAlign w:val="bottom"/>
            <w:hideMark/>
          </w:tcPr>
          <w:p w:rsidR="007C3A15" w:rsidP="00EC4620" w:rsidRDefault="007C3A15" w14:paraId="10218EBC" w14:textId="77777777">
            <w:pPr>
              <w:jc w:val="right"/>
              <w:rPr>
                <w:rFonts w:ascii="Calibri" w:hAnsi="Calibri" w:cs="Calibri"/>
                <w:color w:val="000000"/>
                <w:sz w:val="22"/>
              </w:rPr>
            </w:pPr>
            <w:r>
              <w:rPr>
                <w:rFonts w:ascii="Calibri" w:hAnsi="Calibri" w:cs="Calibri"/>
                <w:color w:val="000000"/>
                <w:sz w:val="22"/>
              </w:rPr>
              <w:t>(10,460)</w:t>
            </w:r>
          </w:p>
        </w:tc>
        <w:tc>
          <w:tcPr>
            <w:tcW w:w="1953" w:type="dxa"/>
            <w:tcBorders>
              <w:top w:val="nil"/>
              <w:left w:val="nil"/>
              <w:bottom w:val="nil"/>
              <w:right w:val="nil"/>
            </w:tcBorders>
            <w:shd w:val="clear" w:color="auto" w:fill="auto"/>
            <w:noWrap/>
            <w:vAlign w:val="bottom"/>
            <w:hideMark/>
          </w:tcPr>
          <w:p w:rsidR="007C3A15" w:rsidP="00EC4620" w:rsidRDefault="007C3A15" w14:paraId="700373CB" w14:textId="77777777">
            <w:pPr>
              <w:jc w:val="right"/>
              <w:rPr>
                <w:rFonts w:ascii="Calibri" w:hAnsi="Calibri" w:cs="Calibri"/>
                <w:color w:val="000000"/>
                <w:sz w:val="22"/>
              </w:rPr>
            </w:pPr>
            <w:r>
              <w:rPr>
                <w:rFonts w:ascii="Calibri" w:hAnsi="Calibri" w:cs="Calibri"/>
                <w:color w:val="000000"/>
                <w:sz w:val="22"/>
              </w:rPr>
              <w:t xml:space="preserve">28,358 </w:t>
            </w:r>
          </w:p>
        </w:tc>
      </w:tr>
      <w:tr w:rsidR="007C3A15" w:rsidTr="003B4BA5" w14:paraId="6FAF082A"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3433CB88"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4213E03F"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0F8EA170" w14:textId="77777777">
            <w:pPr>
              <w:rPr>
                <w:sz w:val="20"/>
                <w:szCs w:val="20"/>
              </w:rPr>
            </w:pPr>
          </w:p>
        </w:tc>
        <w:tc>
          <w:tcPr>
            <w:tcW w:w="1953" w:type="dxa"/>
            <w:tcBorders>
              <w:top w:val="nil"/>
              <w:left w:val="nil"/>
              <w:bottom w:val="nil"/>
              <w:right w:val="nil"/>
            </w:tcBorders>
            <w:shd w:val="clear" w:color="auto" w:fill="auto"/>
            <w:noWrap/>
            <w:vAlign w:val="bottom"/>
            <w:hideMark/>
          </w:tcPr>
          <w:p w:rsidR="007C3A15" w:rsidP="00EC4620" w:rsidRDefault="007C3A15" w14:paraId="798EA078" w14:textId="77777777">
            <w:pPr>
              <w:rPr>
                <w:sz w:val="20"/>
                <w:szCs w:val="20"/>
              </w:rPr>
            </w:pPr>
          </w:p>
        </w:tc>
      </w:tr>
      <w:tr w:rsidR="007C3A15" w:rsidTr="003B4BA5" w14:paraId="7CCF2EF2" w14:textId="77777777">
        <w:trPr>
          <w:trHeight w:val="300"/>
        </w:trPr>
        <w:tc>
          <w:tcPr>
            <w:tcW w:w="3901" w:type="dxa"/>
            <w:gridSpan w:val="2"/>
            <w:tcBorders>
              <w:top w:val="nil"/>
              <w:left w:val="nil"/>
              <w:bottom w:val="nil"/>
              <w:right w:val="nil"/>
            </w:tcBorders>
            <w:shd w:val="clear" w:color="auto" w:fill="auto"/>
            <w:noWrap/>
            <w:vAlign w:val="bottom"/>
            <w:hideMark/>
          </w:tcPr>
          <w:p w:rsidR="007C3A15" w:rsidP="00EC4620" w:rsidRDefault="007C3A15" w14:paraId="28D914BE" w14:textId="77777777">
            <w:pPr>
              <w:rPr>
                <w:rFonts w:ascii="Calibri" w:hAnsi="Calibri" w:cs="Calibri"/>
                <w:color w:val="000000"/>
                <w:sz w:val="22"/>
              </w:rPr>
            </w:pPr>
            <w:r>
              <w:rPr>
                <w:rFonts w:ascii="Calibri" w:hAnsi="Calibri" w:cs="Calibri"/>
                <w:color w:val="000000"/>
                <w:sz w:val="22"/>
              </w:rPr>
              <w:t>TOTAL EXPENSE</w:t>
            </w:r>
          </w:p>
        </w:tc>
        <w:tc>
          <w:tcPr>
            <w:tcW w:w="1827" w:type="dxa"/>
            <w:tcBorders>
              <w:top w:val="nil"/>
              <w:left w:val="nil"/>
              <w:bottom w:val="nil"/>
              <w:right w:val="nil"/>
            </w:tcBorders>
            <w:shd w:val="clear" w:color="auto" w:fill="auto"/>
            <w:noWrap/>
            <w:vAlign w:val="bottom"/>
            <w:hideMark/>
          </w:tcPr>
          <w:p w:rsidR="007C3A15" w:rsidP="00EC4620" w:rsidRDefault="007C3A15" w14:paraId="2AFD7CA4" w14:textId="77777777">
            <w:pPr>
              <w:jc w:val="right"/>
              <w:rPr>
                <w:rFonts w:ascii="Calibri" w:hAnsi="Calibri" w:cs="Calibri"/>
                <w:color w:val="000000"/>
                <w:sz w:val="22"/>
              </w:rPr>
            </w:pPr>
            <w:r>
              <w:rPr>
                <w:rFonts w:ascii="Calibri" w:hAnsi="Calibri" w:cs="Calibri"/>
                <w:color w:val="000000"/>
                <w:sz w:val="22"/>
              </w:rPr>
              <w:t xml:space="preserve">261,646 </w:t>
            </w:r>
          </w:p>
        </w:tc>
        <w:tc>
          <w:tcPr>
            <w:tcW w:w="1953" w:type="dxa"/>
            <w:tcBorders>
              <w:top w:val="nil"/>
              <w:left w:val="nil"/>
              <w:bottom w:val="nil"/>
              <w:right w:val="nil"/>
            </w:tcBorders>
            <w:shd w:val="clear" w:color="auto" w:fill="auto"/>
            <w:noWrap/>
            <w:vAlign w:val="bottom"/>
            <w:hideMark/>
          </w:tcPr>
          <w:p w:rsidR="007C3A15" w:rsidP="00EC4620" w:rsidRDefault="007C3A15" w14:paraId="6AEF63A9" w14:textId="77777777">
            <w:pPr>
              <w:jc w:val="right"/>
              <w:rPr>
                <w:rFonts w:ascii="Calibri" w:hAnsi="Calibri" w:cs="Calibri"/>
                <w:color w:val="000000"/>
                <w:sz w:val="22"/>
              </w:rPr>
            </w:pPr>
            <w:r>
              <w:rPr>
                <w:rFonts w:ascii="Calibri" w:hAnsi="Calibri" w:cs="Calibri"/>
                <w:color w:val="000000"/>
                <w:sz w:val="22"/>
              </w:rPr>
              <w:t xml:space="preserve">319,125 </w:t>
            </w:r>
          </w:p>
        </w:tc>
      </w:tr>
      <w:tr w:rsidR="007C3A15" w:rsidTr="003B4BA5" w14:paraId="24B1E53F"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3348F120"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1057322B"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7C2C516B" w14:textId="77777777">
            <w:pPr>
              <w:rPr>
                <w:sz w:val="20"/>
                <w:szCs w:val="20"/>
              </w:rPr>
            </w:pPr>
          </w:p>
        </w:tc>
        <w:tc>
          <w:tcPr>
            <w:tcW w:w="1953" w:type="dxa"/>
            <w:tcBorders>
              <w:top w:val="nil"/>
              <w:left w:val="nil"/>
              <w:bottom w:val="nil"/>
              <w:right w:val="nil"/>
            </w:tcBorders>
            <w:shd w:val="clear" w:color="auto" w:fill="auto"/>
            <w:noWrap/>
            <w:vAlign w:val="bottom"/>
            <w:hideMark/>
          </w:tcPr>
          <w:p w:rsidR="007C3A15" w:rsidP="00EC4620" w:rsidRDefault="007C3A15" w14:paraId="6631EF30" w14:textId="77777777">
            <w:pPr>
              <w:rPr>
                <w:sz w:val="20"/>
                <w:szCs w:val="20"/>
              </w:rPr>
            </w:pPr>
          </w:p>
        </w:tc>
      </w:tr>
      <w:tr w:rsidR="007C3A15" w:rsidTr="003B4BA5" w14:paraId="22552E07" w14:textId="77777777">
        <w:trPr>
          <w:trHeight w:val="300"/>
        </w:trPr>
        <w:tc>
          <w:tcPr>
            <w:tcW w:w="1031" w:type="dxa"/>
            <w:tcBorders>
              <w:top w:val="nil"/>
              <w:left w:val="nil"/>
              <w:bottom w:val="nil"/>
              <w:right w:val="nil"/>
            </w:tcBorders>
            <w:shd w:val="clear" w:color="auto" w:fill="auto"/>
            <w:noWrap/>
            <w:vAlign w:val="bottom"/>
            <w:hideMark/>
          </w:tcPr>
          <w:p w:rsidR="007C3A15" w:rsidP="00EC4620" w:rsidRDefault="007C3A15" w14:paraId="73448A0E" w14:textId="77777777">
            <w:pPr>
              <w:jc w:val="right"/>
              <w:rPr>
                <w:rFonts w:ascii="Calibri" w:hAnsi="Calibri" w:cs="Calibri"/>
                <w:color w:val="000000"/>
                <w:sz w:val="22"/>
              </w:rPr>
            </w:pPr>
          </w:p>
        </w:tc>
        <w:tc>
          <w:tcPr>
            <w:tcW w:w="2870" w:type="dxa"/>
            <w:tcBorders>
              <w:top w:val="nil"/>
              <w:left w:val="nil"/>
              <w:bottom w:val="nil"/>
              <w:right w:val="nil"/>
            </w:tcBorders>
            <w:shd w:val="clear" w:color="auto" w:fill="auto"/>
            <w:noWrap/>
            <w:vAlign w:val="bottom"/>
            <w:hideMark/>
          </w:tcPr>
          <w:p w:rsidR="007C3A15" w:rsidP="00EC4620" w:rsidRDefault="007C3A15" w14:paraId="27713EE3" w14:textId="77777777">
            <w:pPr>
              <w:rPr>
                <w:sz w:val="20"/>
                <w:szCs w:val="20"/>
              </w:rPr>
            </w:pPr>
          </w:p>
        </w:tc>
        <w:tc>
          <w:tcPr>
            <w:tcW w:w="1827" w:type="dxa"/>
            <w:tcBorders>
              <w:top w:val="nil"/>
              <w:left w:val="nil"/>
              <w:bottom w:val="nil"/>
              <w:right w:val="nil"/>
            </w:tcBorders>
            <w:shd w:val="clear" w:color="auto" w:fill="auto"/>
            <w:noWrap/>
            <w:vAlign w:val="bottom"/>
            <w:hideMark/>
          </w:tcPr>
          <w:p w:rsidR="007C3A15" w:rsidP="00EC4620" w:rsidRDefault="007C3A15" w14:paraId="3E86516C" w14:textId="77777777">
            <w:pPr>
              <w:rPr>
                <w:sz w:val="20"/>
                <w:szCs w:val="20"/>
              </w:rPr>
            </w:pPr>
          </w:p>
        </w:tc>
        <w:tc>
          <w:tcPr>
            <w:tcW w:w="1953" w:type="dxa"/>
            <w:tcBorders>
              <w:top w:val="nil"/>
              <w:left w:val="nil"/>
              <w:bottom w:val="nil"/>
              <w:right w:val="nil"/>
            </w:tcBorders>
            <w:shd w:val="clear" w:color="auto" w:fill="auto"/>
            <w:noWrap/>
            <w:vAlign w:val="bottom"/>
            <w:hideMark/>
          </w:tcPr>
          <w:p w:rsidR="007C3A15" w:rsidP="00EC4620" w:rsidRDefault="007C3A15" w14:paraId="7448A7AB" w14:textId="77777777">
            <w:pPr>
              <w:rPr>
                <w:sz w:val="20"/>
                <w:szCs w:val="20"/>
              </w:rPr>
            </w:pPr>
          </w:p>
        </w:tc>
      </w:tr>
      <w:tr w:rsidR="007C3A15" w:rsidTr="003B4BA5" w14:paraId="148B0CF1" w14:textId="77777777">
        <w:trPr>
          <w:gridAfter w:val="3"/>
          <w:wAfter w:w="6650" w:type="dxa"/>
          <w:trHeight w:val="375"/>
        </w:trPr>
        <w:tc>
          <w:tcPr>
            <w:tcW w:w="1031" w:type="dxa"/>
            <w:tcBorders>
              <w:top w:val="nil"/>
              <w:left w:val="nil"/>
              <w:bottom w:val="nil"/>
              <w:right w:val="nil"/>
            </w:tcBorders>
            <w:shd w:val="clear" w:color="auto" w:fill="auto"/>
            <w:noWrap/>
            <w:vAlign w:val="bottom"/>
            <w:hideMark/>
          </w:tcPr>
          <w:p w:rsidR="007C3A15" w:rsidP="00EC4620" w:rsidRDefault="007C3A15" w14:paraId="38D39364" w14:textId="77777777">
            <w:pPr>
              <w:jc w:val="right"/>
              <w:rPr>
                <w:rFonts w:ascii="Arial" w:hAnsi="Arial" w:cs="Arial"/>
                <w:sz w:val="24"/>
                <w:szCs w:val="24"/>
              </w:rPr>
            </w:pPr>
            <w:r>
              <w:rPr>
                <w:rFonts w:ascii="Arial" w:hAnsi="Arial" w:cs="Arial"/>
                <w:vertAlign w:val="superscript"/>
              </w:rPr>
              <w:t>1</w:t>
            </w:r>
          </w:p>
        </w:tc>
      </w:tr>
      <w:tr w:rsidR="007C3A15" w:rsidTr="003B4BA5" w14:paraId="1CC856F6" w14:textId="77777777">
        <w:trPr>
          <w:gridAfter w:val="3"/>
          <w:wAfter w:w="6650" w:type="dxa"/>
          <w:trHeight w:val="300"/>
        </w:trPr>
        <w:tc>
          <w:tcPr>
            <w:tcW w:w="1031" w:type="dxa"/>
            <w:tcBorders>
              <w:top w:val="nil"/>
              <w:left w:val="nil"/>
              <w:bottom w:val="nil"/>
              <w:right w:val="nil"/>
            </w:tcBorders>
            <w:shd w:val="clear" w:color="auto" w:fill="auto"/>
            <w:noWrap/>
            <w:vAlign w:val="bottom"/>
            <w:hideMark/>
          </w:tcPr>
          <w:p w:rsidR="007C3A15" w:rsidP="00EC4620" w:rsidRDefault="007C3A15" w14:paraId="357C412F" w14:textId="77777777">
            <w:pPr>
              <w:rPr>
                <w:rFonts w:ascii="Arial" w:hAnsi="Arial" w:cs="Arial"/>
                <w:sz w:val="20"/>
                <w:szCs w:val="20"/>
              </w:rPr>
            </w:pPr>
          </w:p>
        </w:tc>
      </w:tr>
    </w:tbl>
    <w:p w:rsidR="00554B20" w:rsidP="000B12B9" w:rsidRDefault="000D4308" w14:paraId="0C0BD60A" w14:textId="4CBCDB6E">
      <w:pPr>
        <w:ind w:firstLine="0"/>
        <w:jc w:val="center"/>
        <w:rPr>
          <w:b/>
          <w:bCs/>
        </w:rPr>
      </w:pPr>
      <w:r>
        <w:rPr>
          <w:b/>
          <w:bCs/>
        </w:rPr>
        <w:t xml:space="preserve"> </w:t>
      </w:r>
      <w:r w:rsidR="00D4602D">
        <w:rPr>
          <w:b/>
          <w:bCs/>
        </w:rPr>
        <w:t>(END OF APPENDIX K)</w:t>
      </w:r>
    </w:p>
    <w:p w:rsidR="00F85466" w:rsidRDefault="00F85466" w14:paraId="142EE2EF" w14:textId="65C49947">
      <w:pPr>
        <w:spacing w:after="160" w:line="259" w:lineRule="auto"/>
        <w:ind w:firstLine="0"/>
        <w:rPr>
          <w:b/>
          <w:bCs/>
        </w:rPr>
        <w:sectPr w:rsidR="00F85466" w:rsidSect="00C618BF">
          <w:footerReference w:type="default" r:id="rId42"/>
          <w:pgSz w:w="12240" w:h="15840"/>
          <w:pgMar w:top="1728" w:right="1440" w:bottom="1440" w:left="1440" w:header="720" w:footer="720" w:gutter="0"/>
          <w:pgNumType w:fmt="numberInDash" w:start="1"/>
          <w:cols w:space="720"/>
          <w:docGrid w:linePitch="360"/>
        </w:sectPr>
      </w:pPr>
    </w:p>
    <w:p w:rsidR="00554B20" w:rsidRDefault="00554B20" w14:paraId="25F7FB3B" w14:textId="5B3826A1">
      <w:pPr>
        <w:spacing w:after="160" w:line="259" w:lineRule="auto"/>
        <w:ind w:firstLine="0"/>
        <w:rPr>
          <w:b/>
          <w:bCs/>
        </w:rPr>
      </w:pPr>
    </w:p>
    <w:p w:rsidR="00F85466" w:rsidP="00554B20" w:rsidRDefault="00F85466" w14:paraId="2618F9A9" w14:textId="77777777">
      <w:pPr>
        <w:pStyle w:val="Main"/>
        <w:rPr>
          <w:rFonts w:ascii="Book Antiqua" w:hAnsi="Book Antiqua"/>
          <w:sz w:val="50"/>
          <w:szCs w:val="50"/>
        </w:rPr>
      </w:pPr>
    </w:p>
    <w:p w:rsidR="00F85466" w:rsidP="00554B20" w:rsidRDefault="00F85466" w14:paraId="3D9228D7" w14:textId="77777777">
      <w:pPr>
        <w:pStyle w:val="Main"/>
        <w:rPr>
          <w:rFonts w:ascii="Book Antiqua" w:hAnsi="Book Antiqua"/>
          <w:sz w:val="50"/>
          <w:szCs w:val="50"/>
        </w:rPr>
      </w:pPr>
    </w:p>
    <w:p w:rsidR="00F85466" w:rsidP="00554B20" w:rsidRDefault="00F85466" w14:paraId="4037C36B" w14:textId="77777777">
      <w:pPr>
        <w:pStyle w:val="Main"/>
        <w:rPr>
          <w:rFonts w:ascii="Book Antiqua" w:hAnsi="Book Antiqua"/>
          <w:sz w:val="50"/>
          <w:szCs w:val="50"/>
        </w:rPr>
      </w:pPr>
    </w:p>
    <w:p w:rsidR="00F85466" w:rsidP="00554B20" w:rsidRDefault="00F85466" w14:paraId="4FB82665" w14:textId="77777777">
      <w:pPr>
        <w:pStyle w:val="Main"/>
        <w:rPr>
          <w:rFonts w:ascii="Book Antiqua" w:hAnsi="Book Antiqua"/>
          <w:sz w:val="50"/>
          <w:szCs w:val="50"/>
        </w:rPr>
      </w:pPr>
    </w:p>
    <w:p w:rsidR="00F85466" w:rsidP="00554B20" w:rsidRDefault="00F85466" w14:paraId="02D30403" w14:textId="77777777">
      <w:pPr>
        <w:pStyle w:val="Main"/>
        <w:rPr>
          <w:rFonts w:ascii="Book Antiqua" w:hAnsi="Book Antiqua"/>
          <w:sz w:val="50"/>
          <w:szCs w:val="50"/>
        </w:rPr>
      </w:pPr>
    </w:p>
    <w:p w:rsidR="00554B20" w:rsidP="00554B20" w:rsidRDefault="00554B20" w14:paraId="7DEA560C" w14:textId="66A5D46B">
      <w:pPr>
        <w:pStyle w:val="Main"/>
        <w:rPr>
          <w:rFonts w:ascii="Book Antiqua" w:hAnsi="Book Antiqua"/>
          <w:sz w:val="50"/>
          <w:szCs w:val="50"/>
        </w:rPr>
      </w:pPr>
      <w:r w:rsidRPr="00F85246">
        <w:rPr>
          <w:rFonts w:ascii="Book Antiqua" w:hAnsi="Book Antiqua"/>
          <w:sz w:val="50"/>
          <w:szCs w:val="50"/>
        </w:rPr>
        <w:t xml:space="preserve">Appendix </w:t>
      </w:r>
      <w:r w:rsidR="00D92E3E">
        <w:rPr>
          <w:rFonts w:ascii="Book Antiqua" w:hAnsi="Book Antiqua"/>
          <w:sz w:val="50"/>
          <w:szCs w:val="50"/>
        </w:rPr>
        <w:t>L</w:t>
      </w:r>
      <w:r w:rsidRPr="00F85246">
        <w:rPr>
          <w:rFonts w:ascii="Book Antiqua" w:hAnsi="Book Antiqua"/>
          <w:sz w:val="50"/>
          <w:szCs w:val="50"/>
        </w:rPr>
        <w:t xml:space="preserve"> </w:t>
      </w:r>
    </w:p>
    <w:p w:rsidRPr="00D2090C" w:rsidR="00554B20" w:rsidP="00554B20" w:rsidRDefault="00554B20" w14:paraId="21F4155B" w14:textId="77777777"/>
    <w:p w:rsidR="00554B20" w:rsidP="00554B20" w:rsidRDefault="00554B20" w14:paraId="2BE3F570" w14:textId="2F683C6A">
      <w:pPr>
        <w:spacing w:line="240" w:lineRule="auto"/>
        <w:jc w:val="center"/>
        <w:rPr>
          <w:rFonts w:cs="Arial"/>
          <w:b/>
          <w:bCs/>
          <w:sz w:val="50"/>
          <w:szCs w:val="50"/>
        </w:rPr>
      </w:pPr>
      <w:r w:rsidRPr="00D2090C">
        <w:rPr>
          <w:rFonts w:cs="Arial"/>
          <w:b/>
          <w:bCs/>
          <w:sz w:val="50"/>
          <w:szCs w:val="50"/>
        </w:rPr>
        <w:t xml:space="preserve">Liberty </w:t>
      </w:r>
      <w:r>
        <w:rPr>
          <w:rFonts w:cs="Arial"/>
          <w:b/>
          <w:bCs/>
          <w:sz w:val="50"/>
          <w:szCs w:val="50"/>
        </w:rPr>
        <w:t>Corporate Allocations</w:t>
      </w:r>
    </w:p>
    <w:p w:rsidR="00F85466" w:rsidRDefault="00F85466" w14:paraId="5F15CB06" w14:textId="621A8383">
      <w:pPr>
        <w:spacing w:after="160" w:line="259" w:lineRule="auto"/>
        <w:ind w:firstLine="0"/>
        <w:rPr>
          <w:rFonts w:cs="Arial"/>
          <w:b/>
          <w:bCs/>
          <w:sz w:val="50"/>
          <w:szCs w:val="50"/>
        </w:rPr>
        <w:sectPr w:rsidR="00F85466" w:rsidSect="00C618BF">
          <w:footerReference w:type="default" r:id="rId43"/>
          <w:pgSz w:w="12240" w:h="15840"/>
          <w:pgMar w:top="1728" w:right="1440" w:bottom="1440" w:left="1440" w:header="720" w:footer="720" w:gutter="0"/>
          <w:pgNumType w:fmt="numberInDash" w:start="1"/>
          <w:cols w:space="720"/>
          <w:docGrid w:linePitch="360"/>
        </w:sectPr>
      </w:pPr>
    </w:p>
    <w:p w:rsidRPr="00591725" w:rsidR="008D55F6" w:rsidP="008D55F6" w:rsidRDefault="008D55F6" w14:paraId="78A211B5" w14:textId="77777777">
      <w:pPr>
        <w:pStyle w:val="Standard"/>
        <w:keepNext/>
        <w:keepLines/>
        <w:jc w:val="center"/>
        <w:rPr>
          <w:b/>
          <w:bCs/>
        </w:rPr>
      </w:pPr>
      <w:r w:rsidRPr="00591725">
        <w:rPr>
          <w:b/>
          <w:bCs/>
        </w:rPr>
        <w:lastRenderedPageBreak/>
        <w:t xml:space="preserve">Table </w:t>
      </w:r>
      <w:r>
        <w:rPr>
          <w:b/>
          <w:bCs/>
        </w:rPr>
        <w:t>7</w:t>
      </w:r>
    </w:p>
    <w:p w:rsidR="008D55F6" w:rsidP="008D55F6" w:rsidRDefault="008D55F6" w14:paraId="7C8E40AA" w14:textId="77777777">
      <w:pPr>
        <w:pStyle w:val="Standard"/>
        <w:keepNext/>
        <w:keepLines/>
        <w:jc w:val="center"/>
      </w:pPr>
      <w:r>
        <w:t>General Office/Downey Allocations to Western Region Utilities</w:t>
      </w:r>
    </w:p>
    <w:tbl>
      <w:tblPr>
        <w:tblW w:w="3230" w:type="dxa"/>
        <w:jc w:val="center"/>
        <w:tblLook w:val="04A0" w:firstRow="1" w:lastRow="0" w:firstColumn="1" w:lastColumn="0" w:noHBand="0" w:noVBand="1"/>
      </w:tblPr>
      <w:tblGrid>
        <w:gridCol w:w="1002"/>
        <w:gridCol w:w="1142"/>
        <w:gridCol w:w="1341"/>
      </w:tblGrid>
      <w:tr w:rsidRPr="002D2B1A" w:rsidR="008D55F6" w:rsidTr="009379DE" w14:paraId="2C690CF8" w14:textId="77777777">
        <w:trPr>
          <w:trHeight w:val="300"/>
          <w:jc w:val="center"/>
        </w:trPr>
        <w:tc>
          <w:tcPr>
            <w:tcW w:w="960" w:type="dxa"/>
            <w:tcBorders>
              <w:top w:val="nil"/>
              <w:left w:val="nil"/>
              <w:bottom w:val="single" w:color="auto" w:sz="4" w:space="0"/>
              <w:right w:val="nil"/>
            </w:tcBorders>
            <w:shd w:val="clear" w:color="auto" w:fill="auto"/>
            <w:noWrap/>
            <w:vAlign w:val="bottom"/>
            <w:hideMark/>
          </w:tcPr>
          <w:p w:rsidRPr="002D2B1A" w:rsidR="008D55F6" w:rsidP="009379DE" w:rsidRDefault="008D55F6" w14:paraId="7853B9F5" w14:textId="77777777">
            <w:pPr>
              <w:spacing w:line="240" w:lineRule="auto"/>
              <w:ind w:firstLine="0"/>
              <w:rPr>
                <w:rFonts w:eastAsia="Times New Roman" w:cs="Times New Roman"/>
                <w:sz w:val="20"/>
                <w:szCs w:val="24"/>
              </w:rPr>
            </w:pPr>
          </w:p>
        </w:tc>
        <w:tc>
          <w:tcPr>
            <w:tcW w:w="2270" w:type="dxa"/>
            <w:gridSpan w:val="2"/>
            <w:tcBorders>
              <w:top w:val="nil"/>
              <w:left w:val="nil"/>
              <w:bottom w:val="single" w:color="auto" w:sz="4" w:space="0"/>
              <w:right w:val="nil"/>
            </w:tcBorders>
            <w:shd w:val="clear" w:color="auto" w:fill="auto"/>
            <w:noWrap/>
            <w:vAlign w:val="bottom"/>
            <w:hideMark/>
          </w:tcPr>
          <w:p w:rsidRPr="002D2B1A" w:rsidR="008D55F6" w:rsidP="009379DE" w:rsidRDefault="008D55F6" w14:paraId="3F11E41D" w14:textId="77777777">
            <w:pPr>
              <w:spacing w:line="240" w:lineRule="auto"/>
              <w:ind w:firstLine="0"/>
              <w:rPr>
                <w:rFonts w:eastAsia="Times New Roman" w:cs="Calibri"/>
                <w:color w:val="000000"/>
                <w:sz w:val="22"/>
              </w:rPr>
            </w:pPr>
            <w:r w:rsidRPr="002D2B1A">
              <w:rPr>
                <w:rFonts w:eastAsia="Times New Roman" w:cs="Calibri"/>
                <w:color w:val="000000"/>
                <w:sz w:val="22"/>
              </w:rPr>
              <w:t>WEST REGION</w:t>
            </w:r>
          </w:p>
        </w:tc>
      </w:tr>
      <w:tr w:rsidRPr="002D2B1A" w:rsidR="008D55F6" w:rsidTr="009379DE" w14:paraId="66ED2B8B"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5523572A" w14:textId="77777777">
            <w:pPr>
              <w:spacing w:line="240" w:lineRule="auto"/>
              <w:ind w:firstLine="0"/>
              <w:rPr>
                <w:rFonts w:eastAsia="Times New Roman" w:cs="Calibri"/>
                <w:color w:val="000000"/>
                <w:sz w:val="22"/>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47D3D4A1" w14:textId="77777777">
            <w:pPr>
              <w:spacing w:line="240" w:lineRule="auto"/>
              <w:ind w:firstLine="0"/>
              <w:rPr>
                <w:rFonts w:eastAsia="Times New Roman" w:cs="Calibri"/>
                <w:color w:val="000000"/>
                <w:sz w:val="22"/>
              </w:rPr>
            </w:pPr>
            <w:r w:rsidRPr="002D2B1A">
              <w:rPr>
                <w:rFonts w:eastAsia="Times New Roman" w:cs="Calibri"/>
                <w:color w:val="000000"/>
                <w:sz w:val="22"/>
              </w:rPr>
              <w:t>Proposed</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2490ED52" w14:textId="77777777">
            <w:pPr>
              <w:spacing w:line="240" w:lineRule="auto"/>
              <w:ind w:firstLine="0"/>
              <w:rPr>
                <w:rFonts w:eastAsia="Times New Roman" w:cs="Calibri"/>
                <w:color w:val="000000"/>
                <w:sz w:val="22"/>
              </w:rPr>
            </w:pPr>
            <w:r w:rsidRPr="002D2B1A">
              <w:rPr>
                <w:rFonts w:eastAsia="Times New Roman" w:cs="Calibri"/>
                <w:color w:val="000000"/>
                <w:sz w:val="22"/>
              </w:rPr>
              <w:t>Authorized</w:t>
            </w:r>
          </w:p>
        </w:tc>
      </w:tr>
      <w:tr w:rsidRPr="002D2B1A" w:rsidR="008D55F6" w:rsidTr="009379DE" w14:paraId="30C7C502"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33AC5BA6" w14:textId="77777777">
            <w:pPr>
              <w:spacing w:line="240" w:lineRule="auto"/>
              <w:ind w:firstLine="0"/>
              <w:rPr>
                <w:rFonts w:eastAsia="Times New Roman" w:cs="Calibri"/>
                <w:color w:val="000000"/>
                <w:sz w:val="22"/>
              </w:rPr>
            </w:pPr>
            <w:proofErr w:type="spellStart"/>
            <w:r w:rsidRPr="002D2B1A">
              <w:rPr>
                <w:rFonts w:eastAsia="Times New Roman" w:cs="Calibri"/>
                <w:color w:val="000000"/>
                <w:sz w:val="22"/>
              </w:rPr>
              <w:t>Calpeco</w:t>
            </w:r>
            <w:proofErr w:type="spellEnd"/>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7644B536"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28.70 percent</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44E8C484"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28.60 percent</w:t>
            </w:r>
          </w:p>
        </w:tc>
      </w:tr>
      <w:tr w:rsidRPr="002D2B1A" w:rsidR="008D55F6" w:rsidTr="009379DE" w14:paraId="34A4F3A5"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7ADDBB62" w14:textId="77777777">
            <w:pPr>
              <w:spacing w:line="240" w:lineRule="auto"/>
              <w:ind w:firstLine="0"/>
              <w:rPr>
                <w:rFonts w:eastAsia="Times New Roman" w:cs="Calibri"/>
                <w:color w:val="000000"/>
                <w:sz w:val="22"/>
              </w:rPr>
            </w:pPr>
            <w:r w:rsidRPr="002D2B1A">
              <w:rPr>
                <w:rFonts w:eastAsia="Times New Roman" w:cs="Calibri"/>
                <w:color w:val="000000"/>
                <w:sz w:val="22"/>
              </w:rPr>
              <w:t>CB</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276AA0C1"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19.85 percent</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40A5D338"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19.00 percent</w:t>
            </w:r>
          </w:p>
        </w:tc>
      </w:tr>
      <w:tr w:rsidRPr="002D2B1A" w:rsidR="008D55F6" w:rsidTr="009379DE" w14:paraId="17CBB15D"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3723D4C9" w14:textId="77777777">
            <w:pPr>
              <w:spacing w:line="240" w:lineRule="auto"/>
              <w:ind w:firstLine="0"/>
              <w:rPr>
                <w:rFonts w:eastAsia="Times New Roman" w:cs="Calibri"/>
                <w:color w:val="000000"/>
                <w:sz w:val="22"/>
              </w:rPr>
            </w:pPr>
            <w:r w:rsidRPr="002D2B1A">
              <w:rPr>
                <w:rFonts w:eastAsia="Times New Roman" w:cs="Calibri"/>
                <w:color w:val="000000"/>
                <w:sz w:val="22"/>
              </w:rPr>
              <w:t>AVR-Dom</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74A706AC"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14.93 percent</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46B7E4A7"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14.23 percent</w:t>
            </w:r>
          </w:p>
        </w:tc>
      </w:tr>
      <w:tr w:rsidRPr="002D2B1A" w:rsidR="008D55F6" w:rsidTr="009379DE" w14:paraId="6E228533"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7C5FF654" w14:textId="77777777">
            <w:pPr>
              <w:spacing w:line="240" w:lineRule="auto"/>
              <w:ind w:firstLine="0"/>
              <w:rPr>
                <w:rFonts w:eastAsia="Times New Roman" w:cs="Calibri"/>
                <w:color w:val="000000"/>
                <w:sz w:val="22"/>
              </w:rPr>
            </w:pPr>
            <w:r w:rsidRPr="002D2B1A">
              <w:rPr>
                <w:rFonts w:eastAsia="Times New Roman" w:cs="Calibri"/>
                <w:color w:val="000000"/>
                <w:sz w:val="22"/>
              </w:rPr>
              <w:t>AVR-IRR</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0879E18A"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0.08 percent</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46CE29B3"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0.06 percent</w:t>
            </w:r>
          </w:p>
        </w:tc>
      </w:tr>
      <w:tr w:rsidRPr="002D2B1A" w:rsidR="008D55F6" w:rsidTr="009379DE" w14:paraId="7C15F378"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3D5CF92D" w14:textId="77777777">
            <w:pPr>
              <w:spacing w:line="240" w:lineRule="auto"/>
              <w:ind w:firstLine="0"/>
              <w:rPr>
                <w:rFonts w:eastAsia="Times New Roman" w:cs="Calibri"/>
                <w:color w:val="000000"/>
                <w:sz w:val="22"/>
              </w:rPr>
            </w:pPr>
            <w:r w:rsidRPr="002D2B1A">
              <w:rPr>
                <w:rFonts w:eastAsia="Times New Roman" w:cs="Calibri"/>
                <w:color w:val="000000"/>
                <w:sz w:val="22"/>
              </w:rPr>
              <w:t>AVR-</w:t>
            </w:r>
            <w:proofErr w:type="spellStart"/>
            <w:r w:rsidRPr="002D2B1A">
              <w:rPr>
                <w:rFonts w:eastAsia="Times New Roman" w:cs="Calibri"/>
                <w:color w:val="000000"/>
                <w:sz w:val="22"/>
              </w:rPr>
              <w:t>Yer</w:t>
            </w:r>
            <w:proofErr w:type="spellEnd"/>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32D012BC"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0.21 percent</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736B7289"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0.20 percent</w:t>
            </w:r>
          </w:p>
        </w:tc>
      </w:tr>
      <w:tr w:rsidRPr="002D2B1A" w:rsidR="008D55F6" w:rsidTr="009379DE" w14:paraId="4C607767"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712A2C9D" w14:textId="77777777">
            <w:pPr>
              <w:spacing w:line="240" w:lineRule="auto"/>
              <w:ind w:firstLine="0"/>
              <w:rPr>
                <w:rFonts w:eastAsia="Times New Roman" w:cs="Calibri"/>
                <w:color w:val="000000"/>
                <w:sz w:val="22"/>
              </w:rPr>
            </w:pPr>
            <w:r w:rsidRPr="002D2B1A">
              <w:rPr>
                <w:rFonts w:eastAsia="Times New Roman" w:cs="Calibri"/>
                <w:color w:val="000000"/>
                <w:sz w:val="22"/>
              </w:rPr>
              <w:t>Lib Water</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79FE8422"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36.23 percent</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34200B5B"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37.90 percent</w:t>
            </w:r>
          </w:p>
        </w:tc>
      </w:tr>
      <w:tr w:rsidRPr="002D2B1A" w:rsidR="008D55F6" w:rsidTr="009379DE" w14:paraId="3F008555" w14:textId="77777777">
        <w:trPr>
          <w:trHeight w:val="300"/>
          <w:jc w:val="center"/>
        </w:trPr>
        <w:tc>
          <w:tcPr>
            <w:tcW w:w="960" w:type="dxa"/>
            <w:tcBorders>
              <w:top w:val="single" w:color="auto" w:sz="4" w:space="0"/>
              <w:left w:val="nil"/>
              <w:bottom w:val="nil"/>
              <w:right w:val="nil"/>
            </w:tcBorders>
            <w:shd w:val="clear" w:color="auto" w:fill="auto"/>
            <w:noWrap/>
            <w:vAlign w:val="bottom"/>
          </w:tcPr>
          <w:p w:rsidRPr="002D2B1A" w:rsidR="008D55F6" w:rsidP="009379DE" w:rsidRDefault="008D55F6" w14:paraId="2BD17FFD" w14:textId="77777777">
            <w:pPr>
              <w:spacing w:line="240" w:lineRule="auto"/>
              <w:ind w:firstLine="0"/>
              <w:rPr>
                <w:rFonts w:eastAsia="Times New Roman" w:cs="Calibri"/>
                <w:color w:val="000000"/>
                <w:sz w:val="22"/>
              </w:rPr>
            </w:pPr>
          </w:p>
        </w:tc>
        <w:tc>
          <w:tcPr>
            <w:tcW w:w="1066" w:type="dxa"/>
            <w:tcBorders>
              <w:top w:val="single" w:color="auto" w:sz="4" w:space="0"/>
              <w:left w:val="nil"/>
              <w:bottom w:val="nil"/>
              <w:right w:val="nil"/>
            </w:tcBorders>
            <w:shd w:val="clear" w:color="auto" w:fill="auto"/>
            <w:noWrap/>
            <w:vAlign w:val="bottom"/>
          </w:tcPr>
          <w:p w:rsidRPr="002D2B1A" w:rsidR="008D55F6" w:rsidP="009379DE" w:rsidRDefault="008D55F6" w14:paraId="1F27D106" w14:textId="77777777">
            <w:pPr>
              <w:spacing w:line="240" w:lineRule="auto"/>
              <w:ind w:firstLine="0"/>
              <w:jc w:val="right"/>
              <w:rPr>
                <w:rFonts w:eastAsia="Times New Roman" w:cs="Calibri"/>
                <w:color w:val="000000"/>
                <w:sz w:val="22"/>
              </w:rPr>
            </w:pPr>
          </w:p>
        </w:tc>
        <w:tc>
          <w:tcPr>
            <w:tcW w:w="1204" w:type="dxa"/>
            <w:tcBorders>
              <w:top w:val="single" w:color="auto" w:sz="4" w:space="0"/>
              <w:left w:val="nil"/>
              <w:bottom w:val="nil"/>
              <w:right w:val="nil"/>
            </w:tcBorders>
            <w:shd w:val="clear" w:color="auto" w:fill="auto"/>
            <w:noWrap/>
            <w:vAlign w:val="bottom"/>
          </w:tcPr>
          <w:p w:rsidRPr="002D2B1A" w:rsidR="008D55F6" w:rsidP="009379DE" w:rsidRDefault="008D55F6" w14:paraId="558A8AED" w14:textId="77777777">
            <w:pPr>
              <w:spacing w:line="240" w:lineRule="auto"/>
              <w:ind w:firstLine="0"/>
              <w:jc w:val="right"/>
              <w:rPr>
                <w:rFonts w:eastAsia="Times New Roman" w:cs="Calibri"/>
                <w:color w:val="000000"/>
                <w:sz w:val="22"/>
              </w:rPr>
            </w:pPr>
          </w:p>
        </w:tc>
      </w:tr>
    </w:tbl>
    <w:p w:rsidRPr="002D2B1A" w:rsidR="008D55F6" w:rsidP="008D55F6" w:rsidRDefault="008D55F6" w14:paraId="1207E28D" w14:textId="77777777">
      <w:pPr>
        <w:pStyle w:val="Standard"/>
        <w:rPr>
          <w:sz w:val="10"/>
          <w:szCs w:val="10"/>
        </w:rPr>
      </w:pPr>
    </w:p>
    <w:p w:rsidRPr="00591725" w:rsidR="008D55F6" w:rsidP="008D55F6" w:rsidRDefault="008D55F6" w14:paraId="1569C9E4" w14:textId="77777777">
      <w:pPr>
        <w:pStyle w:val="Standard"/>
        <w:jc w:val="center"/>
        <w:rPr>
          <w:b/>
          <w:bCs/>
        </w:rPr>
      </w:pPr>
      <w:r w:rsidRPr="00591725">
        <w:rPr>
          <w:b/>
          <w:bCs/>
        </w:rPr>
        <w:t xml:space="preserve">Table </w:t>
      </w:r>
      <w:r>
        <w:rPr>
          <w:b/>
          <w:bCs/>
        </w:rPr>
        <w:t>8</w:t>
      </w:r>
    </w:p>
    <w:p w:rsidR="008D55F6" w:rsidP="008D55F6" w:rsidRDefault="008D55F6" w14:paraId="1672E435" w14:textId="77777777">
      <w:pPr>
        <w:pStyle w:val="Standard"/>
        <w:jc w:val="center"/>
      </w:pPr>
      <w:r>
        <w:t>General Office/Downey Allocations to California Utilities</w:t>
      </w:r>
    </w:p>
    <w:tbl>
      <w:tblPr>
        <w:tblW w:w="2880" w:type="dxa"/>
        <w:jc w:val="center"/>
        <w:tblLook w:val="04A0" w:firstRow="1" w:lastRow="0" w:firstColumn="1" w:lastColumn="0" w:noHBand="0" w:noVBand="1"/>
      </w:tblPr>
      <w:tblGrid>
        <w:gridCol w:w="1002"/>
        <w:gridCol w:w="1142"/>
        <w:gridCol w:w="1341"/>
      </w:tblGrid>
      <w:tr w:rsidRPr="002D2B1A" w:rsidR="008D55F6" w:rsidTr="009379DE" w14:paraId="30DE5E8F" w14:textId="77777777">
        <w:trPr>
          <w:trHeight w:val="300"/>
          <w:jc w:val="center"/>
        </w:trPr>
        <w:tc>
          <w:tcPr>
            <w:tcW w:w="960" w:type="dxa"/>
            <w:tcBorders>
              <w:top w:val="nil"/>
              <w:left w:val="nil"/>
              <w:bottom w:val="single" w:color="auto" w:sz="4" w:space="0"/>
              <w:right w:val="nil"/>
            </w:tcBorders>
            <w:shd w:val="clear" w:color="auto" w:fill="auto"/>
            <w:noWrap/>
            <w:vAlign w:val="bottom"/>
            <w:hideMark/>
          </w:tcPr>
          <w:p w:rsidRPr="002D2B1A" w:rsidR="008D55F6" w:rsidP="009379DE" w:rsidRDefault="008D55F6" w14:paraId="50A97775" w14:textId="77777777">
            <w:pPr>
              <w:spacing w:line="240" w:lineRule="auto"/>
              <w:ind w:firstLine="0"/>
              <w:rPr>
                <w:rFonts w:eastAsia="Times New Roman" w:cs="Times New Roman"/>
                <w:sz w:val="20"/>
                <w:szCs w:val="24"/>
              </w:rPr>
            </w:pPr>
          </w:p>
        </w:tc>
        <w:tc>
          <w:tcPr>
            <w:tcW w:w="1920" w:type="dxa"/>
            <w:gridSpan w:val="2"/>
            <w:tcBorders>
              <w:top w:val="nil"/>
              <w:left w:val="nil"/>
              <w:bottom w:val="single" w:color="auto" w:sz="4" w:space="0"/>
              <w:right w:val="nil"/>
            </w:tcBorders>
            <w:shd w:val="clear" w:color="auto" w:fill="auto"/>
            <w:noWrap/>
            <w:vAlign w:val="bottom"/>
            <w:hideMark/>
          </w:tcPr>
          <w:p w:rsidRPr="002D2B1A" w:rsidR="008D55F6" w:rsidP="009379DE" w:rsidRDefault="008D55F6" w14:paraId="105891CF" w14:textId="77777777">
            <w:pPr>
              <w:spacing w:line="240" w:lineRule="auto"/>
              <w:ind w:firstLine="0"/>
              <w:rPr>
                <w:rFonts w:eastAsia="Times New Roman" w:cs="Calibri"/>
                <w:color w:val="000000"/>
                <w:sz w:val="22"/>
              </w:rPr>
            </w:pPr>
            <w:r w:rsidRPr="002D2B1A">
              <w:rPr>
                <w:rFonts w:eastAsia="Times New Roman" w:cs="Calibri"/>
                <w:color w:val="000000"/>
                <w:sz w:val="22"/>
              </w:rPr>
              <w:t>CA OPERATIONS</w:t>
            </w:r>
          </w:p>
        </w:tc>
      </w:tr>
      <w:tr w:rsidRPr="002D2B1A" w:rsidR="008D55F6" w:rsidTr="009379DE" w14:paraId="4F3DFFE2"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5DDE5BCE" w14:textId="77777777">
            <w:pPr>
              <w:spacing w:line="240" w:lineRule="auto"/>
              <w:ind w:firstLine="0"/>
              <w:rPr>
                <w:rFonts w:eastAsia="Times New Roman" w:cs="Calibri"/>
                <w:color w:val="000000"/>
                <w:sz w:val="22"/>
              </w:rPr>
            </w:pP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3674CF18" w14:textId="77777777">
            <w:pPr>
              <w:spacing w:line="240" w:lineRule="auto"/>
              <w:ind w:firstLine="0"/>
              <w:rPr>
                <w:rFonts w:eastAsia="Times New Roman" w:cs="Calibri"/>
                <w:color w:val="000000"/>
                <w:sz w:val="22"/>
              </w:rPr>
            </w:pPr>
            <w:r w:rsidRPr="002D2B1A">
              <w:rPr>
                <w:rFonts w:eastAsia="Times New Roman" w:cs="Calibri"/>
                <w:color w:val="000000"/>
                <w:sz w:val="22"/>
              </w:rPr>
              <w:t>Proposed</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3A399CB8" w14:textId="77777777">
            <w:pPr>
              <w:spacing w:line="240" w:lineRule="auto"/>
              <w:ind w:firstLine="0"/>
              <w:rPr>
                <w:rFonts w:eastAsia="Times New Roman" w:cs="Calibri"/>
                <w:color w:val="000000"/>
                <w:sz w:val="22"/>
              </w:rPr>
            </w:pPr>
            <w:r w:rsidRPr="002D2B1A">
              <w:rPr>
                <w:rFonts w:eastAsia="Times New Roman" w:cs="Calibri"/>
                <w:color w:val="000000"/>
                <w:sz w:val="22"/>
              </w:rPr>
              <w:t>Authorized</w:t>
            </w:r>
          </w:p>
        </w:tc>
      </w:tr>
      <w:tr w:rsidRPr="002D2B1A" w:rsidR="008D55F6" w:rsidTr="009379DE" w14:paraId="115E676F"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188E4E0E" w14:textId="77777777">
            <w:pPr>
              <w:spacing w:line="240" w:lineRule="auto"/>
              <w:ind w:firstLine="0"/>
              <w:rPr>
                <w:rFonts w:eastAsia="Times New Roman" w:cs="Calibri"/>
                <w:color w:val="000000"/>
                <w:sz w:val="22"/>
              </w:rPr>
            </w:pPr>
            <w:proofErr w:type="spellStart"/>
            <w:r w:rsidRPr="002D2B1A">
              <w:rPr>
                <w:rFonts w:eastAsia="Times New Roman" w:cs="Calibri"/>
                <w:color w:val="000000"/>
                <w:sz w:val="22"/>
              </w:rPr>
              <w:t>Calpeco</w:t>
            </w:r>
            <w:proofErr w:type="spellEnd"/>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26553778"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45.91 percent</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2E3DBBE7"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46.90 percent</w:t>
            </w:r>
          </w:p>
        </w:tc>
      </w:tr>
      <w:tr w:rsidRPr="002D2B1A" w:rsidR="008D55F6" w:rsidTr="009379DE" w14:paraId="6EAB9324"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6DB2D0FB" w14:textId="77777777">
            <w:pPr>
              <w:spacing w:line="240" w:lineRule="auto"/>
              <w:ind w:firstLine="0"/>
              <w:rPr>
                <w:rFonts w:eastAsia="Times New Roman" w:cs="Calibri"/>
                <w:color w:val="000000"/>
                <w:sz w:val="22"/>
              </w:rPr>
            </w:pPr>
            <w:r w:rsidRPr="002D2B1A">
              <w:rPr>
                <w:rFonts w:eastAsia="Times New Roman" w:cs="Calibri"/>
                <w:color w:val="000000"/>
                <w:sz w:val="22"/>
              </w:rPr>
              <w:t>CB</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00082E37"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30.57 percent</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54E19F5D"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30.09 percent</w:t>
            </w:r>
          </w:p>
        </w:tc>
      </w:tr>
      <w:tr w:rsidRPr="002D2B1A" w:rsidR="008D55F6" w:rsidTr="009379DE" w14:paraId="6B271D38"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4738CA2F" w14:textId="77777777">
            <w:pPr>
              <w:spacing w:line="240" w:lineRule="auto"/>
              <w:ind w:firstLine="0"/>
              <w:rPr>
                <w:rFonts w:eastAsia="Times New Roman" w:cs="Calibri"/>
                <w:color w:val="000000"/>
                <w:sz w:val="22"/>
              </w:rPr>
            </w:pPr>
            <w:r w:rsidRPr="002D2B1A">
              <w:rPr>
                <w:rFonts w:eastAsia="Times New Roman" w:cs="Calibri"/>
                <w:color w:val="000000"/>
                <w:sz w:val="22"/>
              </w:rPr>
              <w:t>AVR-Dom</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68B13B86"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23.09 percent</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72456456"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22.59 percent</w:t>
            </w:r>
          </w:p>
        </w:tc>
      </w:tr>
      <w:tr w:rsidRPr="002D2B1A" w:rsidR="008D55F6" w:rsidTr="009379DE" w14:paraId="1B93B7B7"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5698CF6D" w14:textId="77777777">
            <w:pPr>
              <w:spacing w:line="240" w:lineRule="auto"/>
              <w:ind w:firstLine="0"/>
              <w:rPr>
                <w:rFonts w:eastAsia="Times New Roman" w:cs="Calibri"/>
                <w:color w:val="000000"/>
                <w:sz w:val="22"/>
              </w:rPr>
            </w:pPr>
            <w:r w:rsidRPr="002D2B1A">
              <w:rPr>
                <w:rFonts w:eastAsia="Times New Roman" w:cs="Calibri"/>
                <w:color w:val="000000"/>
                <w:sz w:val="22"/>
              </w:rPr>
              <w:t>AVR-IRR</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3F5A5998"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0.11 percent</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082C03A0"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0.09 percent</w:t>
            </w:r>
          </w:p>
        </w:tc>
      </w:tr>
      <w:tr w:rsidRPr="002D2B1A" w:rsidR="008D55F6" w:rsidTr="009379DE" w14:paraId="744112F4" w14:textId="77777777">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0CFBAFDD" w14:textId="77777777">
            <w:pPr>
              <w:spacing w:line="240" w:lineRule="auto"/>
              <w:ind w:firstLine="0"/>
              <w:rPr>
                <w:rFonts w:eastAsia="Times New Roman" w:cs="Calibri"/>
                <w:color w:val="000000"/>
                <w:sz w:val="22"/>
              </w:rPr>
            </w:pPr>
            <w:r w:rsidRPr="002D2B1A">
              <w:rPr>
                <w:rFonts w:eastAsia="Times New Roman" w:cs="Calibri"/>
                <w:color w:val="000000"/>
                <w:sz w:val="22"/>
              </w:rPr>
              <w:t>AVR-</w:t>
            </w:r>
            <w:proofErr w:type="spellStart"/>
            <w:r w:rsidRPr="002D2B1A">
              <w:rPr>
                <w:rFonts w:eastAsia="Times New Roman" w:cs="Calibri"/>
                <w:color w:val="000000"/>
                <w:sz w:val="22"/>
              </w:rPr>
              <w:t>Yer</w:t>
            </w:r>
            <w:proofErr w:type="spellEnd"/>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2E967698"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0.32 percent</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D2B1A" w:rsidR="008D55F6" w:rsidP="009379DE" w:rsidRDefault="008D55F6" w14:paraId="5D507FBB" w14:textId="77777777">
            <w:pPr>
              <w:spacing w:line="240" w:lineRule="auto"/>
              <w:ind w:firstLine="0"/>
              <w:jc w:val="right"/>
              <w:rPr>
                <w:rFonts w:eastAsia="Times New Roman" w:cs="Calibri"/>
                <w:color w:val="000000"/>
                <w:sz w:val="22"/>
              </w:rPr>
            </w:pPr>
            <w:r w:rsidRPr="002D2B1A">
              <w:rPr>
                <w:rFonts w:eastAsia="Times New Roman" w:cs="Calibri"/>
                <w:color w:val="000000"/>
                <w:sz w:val="22"/>
              </w:rPr>
              <w:t>0.32 percent</w:t>
            </w:r>
          </w:p>
        </w:tc>
      </w:tr>
    </w:tbl>
    <w:p w:rsidRPr="005B6644" w:rsidR="008D55F6" w:rsidP="008D55F6" w:rsidRDefault="008D55F6" w14:paraId="7F811BAA" w14:textId="77777777">
      <w:pPr>
        <w:pStyle w:val="Standard"/>
      </w:pPr>
    </w:p>
    <w:p w:rsidR="005D0FD2" w:rsidP="00554B20" w:rsidRDefault="005D0FD2" w14:paraId="607E15A5" w14:textId="00DE8668">
      <w:pPr>
        <w:spacing w:line="240" w:lineRule="auto"/>
        <w:jc w:val="center"/>
        <w:rPr>
          <w:rFonts w:cs="Arial"/>
          <w:b/>
          <w:bCs/>
          <w:sz w:val="50"/>
          <w:szCs w:val="50"/>
        </w:rPr>
      </w:pPr>
      <w:r>
        <w:rPr>
          <w:b/>
          <w:bCs/>
        </w:rPr>
        <w:t>(END OF APPENDIX L)</w:t>
      </w:r>
    </w:p>
    <w:p w:rsidRPr="00714CF2" w:rsidR="00714CF2" w:rsidP="009C5C3D" w:rsidRDefault="00714CF2" w14:paraId="32F10E98" w14:textId="3C884FA2">
      <w:pPr>
        <w:pStyle w:val="Dummy"/>
      </w:pPr>
    </w:p>
    <w:sectPr w:rsidRPr="00714CF2" w:rsidR="00714CF2" w:rsidSect="00C618BF">
      <w:pgSz w:w="12240" w:h="15840"/>
      <w:pgMar w:top="1728"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012E2" w14:textId="77777777" w:rsidR="009379DE" w:rsidRDefault="009379DE" w:rsidP="0098138E">
      <w:pPr>
        <w:spacing w:line="240" w:lineRule="auto"/>
      </w:pPr>
      <w:r>
        <w:separator/>
      </w:r>
    </w:p>
  </w:endnote>
  <w:endnote w:type="continuationSeparator" w:id="0">
    <w:p w14:paraId="75DA3C71" w14:textId="77777777" w:rsidR="009379DE" w:rsidRDefault="009379DE"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9C2EB" w14:textId="20555A01" w:rsidR="009379DE" w:rsidRDefault="00614D4E" w:rsidP="007E0FEE">
    <w:pPr>
      <w:tabs>
        <w:tab w:val="center" w:pos="4680"/>
      </w:tabs>
      <w:ind w:firstLine="0"/>
      <w:rPr>
        <w:noProof/>
      </w:rPr>
    </w:pPr>
    <w:sdt>
      <w:sdtPr>
        <w:id w:val="1699200121"/>
        <w:docPartObj>
          <w:docPartGallery w:val="Page Numbers (Bottom of Page)"/>
          <w:docPartUnique/>
        </w:docPartObj>
      </w:sdtPr>
      <w:sdtEndPr>
        <w:rPr>
          <w:noProof/>
        </w:rPr>
      </w:sdtEndPr>
      <w:sdtContent>
        <w:r w:rsidRPr="00614D4E">
          <w:rPr>
            <w:rFonts w:ascii="Arial" w:hAnsi="Arial" w:cs="Arial"/>
            <w:sz w:val="16"/>
            <w:szCs w:val="16"/>
          </w:rPr>
          <w:t>346776747</w:t>
        </w:r>
        <w:r w:rsidR="009379DE">
          <w:rPr>
            <w:rFonts w:ascii="Arial" w:hAnsi="Arial" w:cs="Arial"/>
            <w:sz w:val="16"/>
            <w:szCs w:val="16"/>
          </w:rPr>
          <w:tab/>
        </w:r>
        <w:r w:rsidR="009379DE">
          <w:t xml:space="preserve">- </w:t>
        </w:r>
        <w:r w:rsidR="009379DE">
          <w:fldChar w:fldCharType="begin"/>
        </w:r>
        <w:r w:rsidR="009379DE">
          <w:instrText xml:space="preserve"> PAGE   \* MERGEFORMAT </w:instrText>
        </w:r>
        <w:r w:rsidR="009379DE">
          <w:fldChar w:fldCharType="separate"/>
        </w:r>
        <w:r w:rsidR="009379DE">
          <w:rPr>
            <w:noProof/>
          </w:rPr>
          <w:t>2</w:t>
        </w:r>
        <w:r w:rsidR="009379DE">
          <w:rPr>
            <w:noProof/>
          </w:rPr>
          <w:fldChar w:fldCharType="end"/>
        </w:r>
      </w:sdtContent>
    </w:sdt>
    <w:r w:rsidR="009379DE">
      <w:rPr>
        <w:noProof/>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48FEB" w14:textId="599BD684" w:rsidR="00D15283" w:rsidRDefault="00D15283">
    <w:pPr>
      <w:pStyle w:val="Footer"/>
      <w:jc w:val="center"/>
    </w:pPr>
  </w:p>
  <w:p w14:paraId="6A820076" w14:textId="77777777" w:rsidR="00D15283" w:rsidRDefault="00D15283" w:rsidP="000B12B9">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5A0FD" w14:textId="18AA6A4C" w:rsidR="00D15283" w:rsidRDefault="00D15283">
    <w:pPr>
      <w:pStyle w:val="Footer"/>
      <w:jc w:val="center"/>
    </w:pPr>
  </w:p>
  <w:p w14:paraId="170DE241" w14:textId="77777777" w:rsidR="00D15283" w:rsidRDefault="00D15283" w:rsidP="000B12B9">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B7522" w14:textId="5A8B7DD7" w:rsidR="00D15283" w:rsidRDefault="00D15283">
    <w:pPr>
      <w:pStyle w:val="Footer"/>
      <w:jc w:val="center"/>
    </w:pPr>
  </w:p>
  <w:p w14:paraId="75496540" w14:textId="77777777" w:rsidR="00D15283" w:rsidRDefault="00D15283" w:rsidP="000B12B9">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967378"/>
      <w:docPartObj>
        <w:docPartGallery w:val="Page Numbers (Bottom of Page)"/>
        <w:docPartUnique/>
      </w:docPartObj>
    </w:sdtPr>
    <w:sdtEndPr>
      <w:rPr>
        <w:noProof/>
      </w:rPr>
    </w:sdtEndPr>
    <w:sdtContent>
      <w:p w14:paraId="7C459E70" w14:textId="3AD1B4A5" w:rsidR="00D15283" w:rsidRDefault="00D152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E187E" w14:textId="77777777" w:rsidR="00D15283" w:rsidRDefault="00D15283" w:rsidP="000B12B9">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95A4E" w14:textId="1BBFA480" w:rsidR="00D15283" w:rsidRDefault="00D15283">
    <w:pPr>
      <w:pStyle w:val="Footer"/>
      <w:jc w:val="center"/>
    </w:pPr>
  </w:p>
  <w:p w14:paraId="74BA43AA" w14:textId="77777777" w:rsidR="00D15283" w:rsidRDefault="00D15283" w:rsidP="000B12B9">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570238"/>
      <w:docPartObj>
        <w:docPartGallery w:val="Page Numbers (Bottom of Page)"/>
        <w:docPartUnique/>
      </w:docPartObj>
    </w:sdtPr>
    <w:sdtEndPr>
      <w:rPr>
        <w:noProof/>
      </w:rPr>
    </w:sdtEndPr>
    <w:sdtContent>
      <w:p w14:paraId="1572A80A" w14:textId="60A86988" w:rsidR="00D15283" w:rsidRDefault="00D152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08D8D1" w14:textId="77777777" w:rsidR="00D15283" w:rsidRDefault="00D15283" w:rsidP="000B12B9">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ACD5E" w14:textId="40E9D4E8" w:rsidR="00F85466" w:rsidRDefault="00F85466">
    <w:pPr>
      <w:pStyle w:val="Footer"/>
      <w:jc w:val="center"/>
    </w:pPr>
  </w:p>
  <w:p w14:paraId="52A5580E" w14:textId="77777777" w:rsidR="00F85466" w:rsidRDefault="00F85466" w:rsidP="000B12B9">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824141"/>
      <w:docPartObj>
        <w:docPartGallery w:val="Page Numbers (Bottom of Page)"/>
        <w:docPartUnique/>
      </w:docPartObj>
    </w:sdtPr>
    <w:sdtEndPr>
      <w:rPr>
        <w:noProof/>
      </w:rPr>
    </w:sdtEndPr>
    <w:sdtContent>
      <w:p w14:paraId="2267360C" w14:textId="77777777" w:rsidR="00F85466" w:rsidRDefault="00F854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913489" w14:textId="77777777" w:rsidR="00F85466" w:rsidRDefault="00F85466" w:rsidP="000B12B9">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1CEA5" w14:textId="3E73B291" w:rsidR="00F85466" w:rsidRDefault="00F85466">
    <w:pPr>
      <w:pStyle w:val="Footer"/>
      <w:jc w:val="center"/>
    </w:pPr>
  </w:p>
  <w:p w14:paraId="66417FF5" w14:textId="77777777" w:rsidR="00F85466" w:rsidRDefault="00F85466" w:rsidP="000B12B9">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BD2D1" w14:textId="77777777" w:rsidR="00F85466" w:rsidRDefault="00F85466">
    <w:pPr>
      <w:pStyle w:val="Footer"/>
      <w:jc w:val="center"/>
    </w:pPr>
  </w:p>
  <w:p w14:paraId="62835BFD" w14:textId="77777777" w:rsidR="00F85466" w:rsidRDefault="00F85466" w:rsidP="000B12B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809DB" w14:textId="77777777" w:rsidR="009379DE" w:rsidRDefault="009379DE" w:rsidP="007E0FEE">
    <w:pPr>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535425"/>
      <w:docPartObj>
        <w:docPartGallery w:val="Page Numbers (Bottom of Page)"/>
        <w:docPartUnique/>
      </w:docPartObj>
    </w:sdtPr>
    <w:sdtEndPr>
      <w:rPr>
        <w:noProof/>
      </w:rPr>
    </w:sdtEndPr>
    <w:sdtContent>
      <w:p w14:paraId="67649FE5" w14:textId="16C7FA1F" w:rsidR="00F85466" w:rsidRDefault="00F854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E08B74" w14:textId="77777777" w:rsidR="00F85466" w:rsidRDefault="00F85466" w:rsidP="000B12B9">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6DF33" w14:textId="7349D047" w:rsidR="00F85466" w:rsidRDefault="00F85466">
    <w:pPr>
      <w:pStyle w:val="Footer"/>
      <w:jc w:val="center"/>
    </w:pPr>
  </w:p>
  <w:p w14:paraId="7E7D96DE" w14:textId="77777777" w:rsidR="00F85466" w:rsidRDefault="00F85466" w:rsidP="000B12B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12B42" w14:textId="77777777" w:rsidR="009379DE" w:rsidRDefault="009379DE" w:rsidP="007E0FEE">
    <w:pPr>
      <w:ind w:firstLine="0"/>
      <w:jc w:val="center"/>
    </w:pPr>
    <w:r>
      <w:t>-</w:t>
    </w:r>
    <w:sdt>
      <w:sdtPr>
        <w:id w:val="-103404340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8C7A" w14:textId="672550FE" w:rsidR="009379DE" w:rsidRDefault="009379DE" w:rsidP="007E0FEE">
    <w:pPr>
      <w:ind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8277769"/>
      <w:docPartObj>
        <w:docPartGallery w:val="Page Numbers (Bottom of Page)"/>
        <w:docPartUnique/>
      </w:docPartObj>
    </w:sdtPr>
    <w:sdtEndPr>
      <w:rPr>
        <w:noProof/>
      </w:rPr>
    </w:sdtEndPr>
    <w:sdtContent>
      <w:p w14:paraId="5A5B0CE4" w14:textId="41167E45" w:rsidR="009379DE" w:rsidRDefault="009379DE" w:rsidP="00F852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43F22" w14:textId="77777777" w:rsidR="009379DE" w:rsidRDefault="009379DE" w:rsidP="007E0FEE">
    <w:pPr>
      <w:ind w:firstLine="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5954910"/>
      <w:docPartObj>
        <w:docPartGallery w:val="Page Numbers (Bottom of Page)"/>
        <w:docPartUnique/>
      </w:docPartObj>
    </w:sdtPr>
    <w:sdtEndPr>
      <w:rPr>
        <w:noProof/>
      </w:rPr>
    </w:sdtEndPr>
    <w:sdtContent>
      <w:p w14:paraId="1729BA24" w14:textId="307ACDFA" w:rsidR="009379DE" w:rsidRDefault="009379DE" w:rsidP="00C618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9F5BC" w14:textId="16B6F19D" w:rsidR="009379DE" w:rsidRDefault="009379DE" w:rsidP="00C618BF">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5423889"/>
      <w:docPartObj>
        <w:docPartGallery w:val="Page Numbers (Bottom of Page)"/>
        <w:docPartUnique/>
      </w:docPartObj>
    </w:sdtPr>
    <w:sdtEndPr>
      <w:rPr>
        <w:noProof/>
      </w:rPr>
    </w:sdtEndPr>
    <w:sdtContent>
      <w:p w14:paraId="1732C127" w14:textId="634FEBC7" w:rsidR="009379DE" w:rsidRDefault="009379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6BD5A" w14:textId="5A34D477" w:rsidR="009379DE" w:rsidRDefault="009379DE" w:rsidP="000B12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83BA1" w14:textId="77777777" w:rsidR="009379DE" w:rsidRDefault="009379DE" w:rsidP="00DF58E7">
      <w:pPr>
        <w:spacing w:line="240" w:lineRule="auto"/>
        <w:ind w:firstLine="0"/>
      </w:pPr>
      <w:r>
        <w:separator/>
      </w:r>
    </w:p>
  </w:footnote>
  <w:footnote w:type="continuationSeparator" w:id="0">
    <w:p w14:paraId="43D06BFF" w14:textId="77777777" w:rsidR="009379DE" w:rsidRDefault="009379DE" w:rsidP="00DF58E7">
      <w:pPr>
        <w:spacing w:line="240" w:lineRule="auto"/>
        <w:ind w:firstLine="0"/>
      </w:pPr>
      <w:r>
        <w:continuationSeparator/>
      </w:r>
    </w:p>
  </w:footnote>
  <w:footnote w:type="continuationNotice" w:id="1">
    <w:p w14:paraId="02759B18" w14:textId="77777777" w:rsidR="009379DE" w:rsidRPr="00DF58E7" w:rsidRDefault="009379DE" w:rsidP="00DF58E7">
      <w:pPr>
        <w:spacing w:line="240" w:lineRule="auto"/>
        <w:ind w:firstLine="0"/>
        <w:jc w:val="right"/>
        <w:rPr>
          <w:i/>
          <w:sz w:val="22"/>
        </w:rPr>
      </w:pPr>
    </w:p>
  </w:footnote>
  <w:footnote w:id="2">
    <w:p w14:paraId="167485EC" w14:textId="14F6C83C" w:rsidR="009379DE" w:rsidRDefault="009379DE" w:rsidP="004505A7">
      <w:pPr>
        <w:pStyle w:val="FootnoteText"/>
      </w:pPr>
      <w:r>
        <w:rPr>
          <w:rStyle w:val="FootnoteReference"/>
        </w:rPr>
        <w:footnoteRef/>
      </w:r>
      <w:r>
        <w:t xml:space="preserve">  The Public Advocates Office had been known as the Office of Ratepayer Advocates until 2019.</w:t>
      </w:r>
    </w:p>
  </w:footnote>
  <w:footnote w:id="3">
    <w:p w14:paraId="46E906DF" w14:textId="20111728" w:rsidR="009379DE" w:rsidRDefault="009379DE" w:rsidP="00900461">
      <w:pPr>
        <w:pStyle w:val="FootnoteText"/>
      </w:pPr>
      <w:r>
        <w:rPr>
          <w:rStyle w:val="FootnoteReference"/>
        </w:rPr>
        <w:footnoteRef/>
      </w:r>
      <w:r>
        <w:t xml:space="preserve">  Commission Resolution W-4998.</w:t>
      </w:r>
    </w:p>
  </w:footnote>
  <w:footnote w:id="4">
    <w:p w14:paraId="0466A9BB" w14:textId="4AB21DDE" w:rsidR="009379DE" w:rsidRDefault="009379DE">
      <w:pPr>
        <w:pStyle w:val="FootnoteText"/>
      </w:pPr>
      <w:r>
        <w:rPr>
          <w:rStyle w:val="FootnoteReference"/>
        </w:rPr>
        <w:footnoteRef/>
      </w:r>
      <w:r>
        <w:t xml:space="preserve">  Advice Letter (AL) </w:t>
      </w:r>
      <w:r w:rsidRPr="002E54F9">
        <w:t>2</w:t>
      </w:r>
      <w:r>
        <w:t>02-W</w:t>
      </w:r>
      <w:r w:rsidRPr="002E54F9">
        <w:t xml:space="preserve"> (Liberty Apple Valley</w:t>
      </w:r>
      <w:r>
        <w:t>).</w:t>
      </w:r>
    </w:p>
  </w:footnote>
  <w:footnote w:id="5">
    <w:p w14:paraId="04911AC3" w14:textId="33CDC88E" w:rsidR="009379DE" w:rsidRDefault="009379DE">
      <w:pPr>
        <w:pStyle w:val="FootnoteText"/>
      </w:pPr>
      <w:r>
        <w:rPr>
          <w:rStyle w:val="FootnoteReference"/>
        </w:rPr>
        <w:footnoteRef/>
      </w:r>
      <w:r>
        <w:t xml:space="preserve">  Liberty Utilities’ corporate structure is addressed in Section 4.2 herein. </w:t>
      </w:r>
    </w:p>
  </w:footnote>
  <w:footnote w:id="6">
    <w:p w14:paraId="6A13F0E1" w14:textId="7893C5C0" w:rsidR="009379DE" w:rsidRDefault="009379DE">
      <w:pPr>
        <w:pStyle w:val="FootnoteText"/>
      </w:pPr>
      <w:r>
        <w:rPr>
          <w:rStyle w:val="FootnoteReference"/>
        </w:rPr>
        <w:footnoteRef/>
      </w:r>
      <w:r>
        <w:t xml:space="preserve">  D.18-12-002. See also </w:t>
      </w:r>
      <w:bookmarkStart w:id="12" w:name="_Hlk39564414"/>
      <w:r>
        <w:t xml:space="preserve">AL </w:t>
      </w:r>
      <w:r w:rsidRPr="002E54F9">
        <w:t>236</w:t>
      </w:r>
      <w:r>
        <w:t>-W</w:t>
      </w:r>
      <w:r w:rsidRPr="002E54F9">
        <w:t xml:space="preserve"> (Liberty Apple Valley</w:t>
      </w:r>
      <w:r>
        <w:t xml:space="preserve">) </w:t>
      </w:r>
      <w:bookmarkEnd w:id="12"/>
      <w:r>
        <w:t xml:space="preserve">and AL </w:t>
      </w:r>
      <w:r w:rsidRPr="002E54F9">
        <w:t>293</w:t>
      </w:r>
      <w:r>
        <w:t>-W</w:t>
      </w:r>
      <w:r w:rsidRPr="002E54F9">
        <w:t xml:space="preserve"> (Liberty Park)</w:t>
      </w:r>
      <w:r>
        <w:t xml:space="preserve"> implementing the cost of capital.</w:t>
      </w:r>
    </w:p>
  </w:footnote>
  <w:footnote w:id="7">
    <w:p w14:paraId="46AE3389" w14:textId="3583018C" w:rsidR="009379DE" w:rsidRDefault="009379DE" w:rsidP="00ED68E9">
      <w:pPr>
        <w:pStyle w:val="FootnoteText"/>
      </w:pPr>
      <w:r>
        <w:rPr>
          <w:rStyle w:val="FootnoteReference"/>
        </w:rPr>
        <w:footnoteRef/>
      </w:r>
      <w:r>
        <w:t xml:space="preserve">  Exhibits (Exhs.) Joint-01, Liberty Apple Valley Summary of Resolved Issues, and Joint-02, Liberty Park Water Summary of Resolved Issues.</w:t>
      </w:r>
    </w:p>
  </w:footnote>
  <w:footnote w:id="8">
    <w:p w14:paraId="3C99B46B" w14:textId="1D5B3941" w:rsidR="009379DE" w:rsidRDefault="009379DE" w:rsidP="00C51B4A">
      <w:pPr>
        <w:pStyle w:val="FootnoteText"/>
      </w:pPr>
      <w:r>
        <w:rPr>
          <w:rStyle w:val="FootnoteReference"/>
        </w:rPr>
        <w:footnoteRef/>
      </w:r>
      <w:r>
        <w:t xml:space="preserve">  </w:t>
      </w:r>
      <w:r w:rsidRPr="00875020">
        <w:rPr>
          <w:i/>
          <w:iCs/>
        </w:rPr>
        <w:t>See</w:t>
      </w:r>
      <w:r>
        <w:t xml:space="preserve"> Section 6.1 herein.</w:t>
      </w:r>
    </w:p>
  </w:footnote>
  <w:footnote w:id="9">
    <w:p w14:paraId="7F941450" w14:textId="4FB02BDC" w:rsidR="009379DE" w:rsidRDefault="009379DE" w:rsidP="00C949E0">
      <w:pPr>
        <w:pStyle w:val="FootnoteText"/>
      </w:pPr>
      <w:r>
        <w:rPr>
          <w:rStyle w:val="FootnoteReference"/>
        </w:rPr>
        <w:footnoteRef/>
      </w:r>
      <w:r>
        <w:t xml:space="preserve">  Reply Brief of Liberty Utilities (Apple Valley Ranchos Water) Corp. (U 346 W) and Liberty Utilities (Park Water) Corp. (U 314 W) (Liberty Reply Brief) at 1.</w:t>
      </w:r>
    </w:p>
  </w:footnote>
  <w:footnote w:id="10">
    <w:p w14:paraId="3C4FB11C" w14:textId="348F6812" w:rsidR="009379DE" w:rsidRDefault="009379DE">
      <w:pPr>
        <w:pStyle w:val="FootnoteText"/>
      </w:pPr>
      <w:r>
        <w:rPr>
          <w:rStyle w:val="FootnoteReference"/>
        </w:rPr>
        <w:footnoteRef/>
      </w:r>
      <w:r>
        <w:t xml:space="preserve">  </w:t>
      </w:r>
      <w:r w:rsidRPr="00875020">
        <w:rPr>
          <w:i/>
          <w:iCs/>
        </w:rPr>
        <w:t>See</w:t>
      </w:r>
      <w:r>
        <w:t xml:space="preserve"> Ordering Paragraphs (OP) </w:t>
      </w:r>
      <w:r w:rsidRPr="00875020">
        <w:t>3, 4</w:t>
      </w:r>
      <w:r>
        <w:t xml:space="preserve"> and Appendices </w:t>
      </w:r>
      <w:r w:rsidRPr="00875020">
        <w:t>D</w:t>
      </w:r>
      <w:r>
        <w:t xml:space="preserve"> and </w:t>
      </w:r>
      <w:r w:rsidRPr="00875020">
        <w:t>I</w:t>
      </w:r>
      <w:r>
        <w:t xml:space="preserve"> herein.</w:t>
      </w:r>
    </w:p>
  </w:footnote>
  <w:footnote w:id="11">
    <w:p w14:paraId="10FD504C" w14:textId="3E51E3CA" w:rsidR="009379DE" w:rsidRDefault="009379DE" w:rsidP="002E54F9">
      <w:pPr>
        <w:pStyle w:val="Standard"/>
        <w:spacing w:line="240" w:lineRule="auto"/>
        <w:ind w:firstLine="0"/>
      </w:pPr>
      <w:r>
        <w:rPr>
          <w:rStyle w:val="FootnoteReference"/>
        </w:rPr>
        <w:footnoteRef/>
      </w:r>
      <w:r>
        <w:t xml:space="preserve">  </w:t>
      </w:r>
      <w:r w:rsidRPr="0021588B">
        <w:rPr>
          <w:sz w:val="22"/>
          <w:szCs w:val="20"/>
        </w:rPr>
        <w:t>The approved revenue takes into consideration the newly approved cost of capital, revised sales forecasts, and ALs 230-W (Liberty Apple Valley)</w:t>
      </w:r>
      <w:r>
        <w:rPr>
          <w:sz w:val="22"/>
          <w:szCs w:val="20"/>
        </w:rPr>
        <w:t xml:space="preserve">, AL </w:t>
      </w:r>
      <w:r w:rsidRPr="0021588B">
        <w:rPr>
          <w:sz w:val="22"/>
          <w:szCs w:val="20"/>
        </w:rPr>
        <w:t xml:space="preserve">284-W </w:t>
      </w:r>
      <w:r>
        <w:rPr>
          <w:sz w:val="22"/>
          <w:szCs w:val="20"/>
        </w:rPr>
        <w:t xml:space="preserve">(Liberty Apple Valley) </w:t>
      </w:r>
      <w:r w:rsidRPr="0021588B">
        <w:rPr>
          <w:sz w:val="22"/>
          <w:szCs w:val="20"/>
        </w:rPr>
        <w:t xml:space="preserve">and </w:t>
      </w:r>
      <w:r>
        <w:rPr>
          <w:sz w:val="22"/>
          <w:szCs w:val="20"/>
        </w:rPr>
        <w:t xml:space="preserve">AL </w:t>
      </w:r>
      <w:r w:rsidRPr="0021588B">
        <w:rPr>
          <w:sz w:val="22"/>
          <w:szCs w:val="20"/>
        </w:rPr>
        <w:t>285-W (Liberty Park).</w:t>
      </w:r>
      <w:r>
        <w:t xml:space="preserve"> </w:t>
      </w:r>
    </w:p>
  </w:footnote>
  <w:footnote w:id="12">
    <w:p w14:paraId="27E0062B" w14:textId="669C83DD" w:rsidR="009379DE" w:rsidRDefault="009379DE">
      <w:pPr>
        <w:pStyle w:val="FootnoteText"/>
      </w:pPr>
      <w:r>
        <w:rPr>
          <w:rStyle w:val="FootnoteReference"/>
        </w:rPr>
        <w:footnoteRef/>
      </w:r>
      <w:r>
        <w:t xml:space="preserve">  Exh. LIB-23, Rebuttal Testimony of Edward Jackson at 7:24-27.</w:t>
      </w:r>
    </w:p>
  </w:footnote>
  <w:footnote w:id="13">
    <w:p w14:paraId="09B14475" w14:textId="657E1EC5" w:rsidR="009379DE" w:rsidRDefault="009379DE">
      <w:pPr>
        <w:pStyle w:val="FootnoteText"/>
      </w:pPr>
      <w:r>
        <w:rPr>
          <w:rStyle w:val="FootnoteReference"/>
        </w:rPr>
        <w:footnoteRef/>
      </w:r>
      <w:r>
        <w:t xml:space="preserve">  The Sales Reconciliation Mechanism allows an annual update to sales forecasts rather than reliance on the sales forecasts adopted for a GRC cycle, in an to attempt to incorporate actual sales data as it occurs during the GRC cycle.</w:t>
      </w:r>
    </w:p>
  </w:footnote>
  <w:footnote w:id="14">
    <w:p w14:paraId="2869A699" w14:textId="3F68E19D" w:rsidR="009379DE" w:rsidRDefault="009379DE">
      <w:pPr>
        <w:pStyle w:val="FootnoteText"/>
      </w:pPr>
      <w:r>
        <w:rPr>
          <w:rStyle w:val="FootnoteReference"/>
        </w:rPr>
        <w:footnoteRef/>
      </w:r>
      <w:r>
        <w:t xml:space="preserve">  AL 282-W (Liberty Park). This amount includes residual WRAM balances from prior years.</w:t>
      </w:r>
    </w:p>
  </w:footnote>
  <w:footnote w:id="15">
    <w:p w14:paraId="3454E6C3" w14:textId="35A41209" w:rsidR="009379DE" w:rsidRDefault="009379DE">
      <w:pPr>
        <w:pStyle w:val="FootnoteText"/>
      </w:pPr>
      <w:r>
        <w:rPr>
          <w:rStyle w:val="FootnoteReference"/>
        </w:rPr>
        <w:footnoteRef/>
      </w:r>
      <w:r>
        <w:t xml:space="preserve">  AL 289-W (Liberty Park).</w:t>
      </w:r>
    </w:p>
  </w:footnote>
  <w:footnote w:id="16">
    <w:p w14:paraId="6864D4B9" w14:textId="7254C07A" w:rsidR="009379DE" w:rsidRDefault="009379DE" w:rsidP="0002609C">
      <w:pPr>
        <w:pStyle w:val="FootnoteText"/>
      </w:pPr>
      <w:r>
        <w:rPr>
          <w:rStyle w:val="FootnoteReference"/>
        </w:rPr>
        <w:footnoteRef/>
      </w:r>
      <w:r>
        <w:t xml:space="preserve">  AL 228-W (Liberty Apple Valley).</w:t>
      </w:r>
    </w:p>
  </w:footnote>
  <w:footnote w:id="17">
    <w:p w14:paraId="7520B38E" w14:textId="18D29F88" w:rsidR="009379DE" w:rsidRDefault="009379DE">
      <w:pPr>
        <w:pStyle w:val="FootnoteText"/>
      </w:pPr>
      <w:r>
        <w:rPr>
          <w:rStyle w:val="FootnoteReference"/>
        </w:rPr>
        <w:footnoteRef/>
      </w:r>
      <w:r>
        <w:t xml:space="preserve">  AL 234-W (Liberty Apple Valley).</w:t>
      </w:r>
    </w:p>
  </w:footnote>
  <w:footnote w:id="18">
    <w:p w14:paraId="4B9DA242" w14:textId="633EE332" w:rsidR="009379DE" w:rsidRDefault="009379DE" w:rsidP="0047317F">
      <w:pPr>
        <w:pStyle w:val="FootnoteText"/>
      </w:pPr>
      <w:r>
        <w:rPr>
          <w:rStyle w:val="FootnoteReference"/>
        </w:rPr>
        <w:footnoteRef/>
      </w:r>
      <w:r>
        <w:t xml:space="preserve">  Executive Order B-29-15 required a 25 percent reduction on water use statewide with variations for individual utilities and systems. Pursuant to the Executive Order, the Commission issued Resolution W-5041 directing Liberty Apple Valley, then known as Apple Valley Ranchos, to reduce water production from 2013 levels by 28 percent in each month November 2015 and February 15, 2016.</w:t>
      </w:r>
    </w:p>
  </w:footnote>
  <w:footnote w:id="19">
    <w:p w14:paraId="7E895162" w14:textId="7E9ED73E" w:rsidR="009379DE" w:rsidRDefault="009379DE">
      <w:pPr>
        <w:pStyle w:val="FootnoteText"/>
      </w:pPr>
      <w:r>
        <w:rPr>
          <w:rStyle w:val="FootnoteReference"/>
        </w:rPr>
        <w:footnoteRef/>
      </w:r>
      <w:r>
        <w:t xml:space="preserve">  Attachment A of D.15-11-030.</w:t>
      </w:r>
    </w:p>
  </w:footnote>
  <w:footnote w:id="20">
    <w:p w14:paraId="25E7391F" w14:textId="5423D567" w:rsidR="009379DE" w:rsidRDefault="009379DE">
      <w:pPr>
        <w:pStyle w:val="FootnoteText"/>
      </w:pPr>
      <w:r>
        <w:rPr>
          <w:rStyle w:val="FootnoteReference"/>
        </w:rPr>
        <w:footnoteRef/>
      </w:r>
      <w:r>
        <w:t xml:space="preserve">  OP 4 of D.12-04-048 required water utilities to conduct a more “vigorous review” of the WRAM/MCBA and various options and alternatives to the WRAM/MCBA. Liberty did not present options to the WRAM/MCBA in these applications. </w:t>
      </w:r>
    </w:p>
  </w:footnote>
  <w:footnote w:id="21">
    <w:p w14:paraId="40250447" w14:textId="7DBEA383" w:rsidR="009379DE" w:rsidRDefault="009379DE">
      <w:pPr>
        <w:pStyle w:val="FootnoteText"/>
      </w:pPr>
      <w:r>
        <w:rPr>
          <w:rStyle w:val="FootnoteReference"/>
        </w:rPr>
        <w:footnoteRef/>
      </w:r>
      <w:r>
        <w:t xml:space="preserve">  Exhs. LIB-2, AVR Application Exhibit B-Revenue Requirement Report at 165 and LIB-10, Park Application Exhibit B-Revenue Requirement Report at 147.</w:t>
      </w:r>
    </w:p>
  </w:footnote>
  <w:footnote w:id="22">
    <w:p w14:paraId="3A4A2ABD" w14:textId="1593C34A" w:rsidR="009379DE" w:rsidRDefault="009379DE" w:rsidP="00597349">
      <w:pPr>
        <w:pStyle w:val="FootnoteText"/>
      </w:pPr>
      <w:r>
        <w:rPr>
          <w:rStyle w:val="FootnoteReference"/>
        </w:rPr>
        <w:footnoteRef/>
      </w:r>
      <w:r>
        <w:t xml:space="preserve">  D.16-12-026 at 6.</w:t>
      </w:r>
    </w:p>
  </w:footnote>
  <w:footnote w:id="23">
    <w:p w14:paraId="0FC229E1" w14:textId="700729CC" w:rsidR="009379DE" w:rsidRDefault="009379DE" w:rsidP="002C7A4C">
      <w:pPr>
        <w:pStyle w:val="FootnoteText"/>
      </w:pPr>
      <w:r>
        <w:rPr>
          <w:rStyle w:val="FootnoteReference"/>
        </w:rPr>
        <w:footnoteRef/>
      </w:r>
      <w:r>
        <w:t xml:space="preserve">  D.14-08-011 (Cal Water GRC) at 20.</w:t>
      </w:r>
    </w:p>
  </w:footnote>
  <w:footnote w:id="24">
    <w:p w14:paraId="1E532109" w14:textId="5DDB6BD9" w:rsidR="009379DE" w:rsidRDefault="009379DE">
      <w:pPr>
        <w:pStyle w:val="FootnoteText"/>
      </w:pPr>
      <w:r>
        <w:rPr>
          <w:rStyle w:val="FootnoteReference"/>
        </w:rPr>
        <w:footnoteRef/>
      </w:r>
      <w:r>
        <w:t xml:space="preserve">  D.16-12-067 at 17.</w:t>
      </w:r>
    </w:p>
  </w:footnote>
  <w:footnote w:id="25">
    <w:p w14:paraId="5B1B619F" w14:textId="45C53DAC" w:rsidR="009379DE" w:rsidRDefault="009379DE">
      <w:pPr>
        <w:pStyle w:val="FootnoteText"/>
      </w:pPr>
      <w:r>
        <w:rPr>
          <w:rStyle w:val="FootnoteReference"/>
        </w:rPr>
        <w:footnoteRef/>
      </w:r>
      <w:r>
        <w:t xml:space="preserve">  OP 4 of D.16-12-026.</w:t>
      </w:r>
    </w:p>
  </w:footnote>
  <w:footnote w:id="26">
    <w:p w14:paraId="76157F61" w14:textId="4480F427" w:rsidR="009379DE" w:rsidRDefault="009379DE">
      <w:pPr>
        <w:pStyle w:val="FootnoteText"/>
      </w:pPr>
      <w:r>
        <w:rPr>
          <w:rStyle w:val="FootnoteReference"/>
        </w:rPr>
        <w:footnoteRef/>
      </w:r>
      <w:r>
        <w:t xml:space="preserve"> The requested CARW surcharge of $2.01 per month is adjusted by the change in the TY 2019 adopted revenue requirement of -1.64% for a surcharge of $1.98 per month.</w:t>
      </w:r>
    </w:p>
  </w:footnote>
  <w:footnote w:id="27">
    <w:p w14:paraId="39EE37C1" w14:textId="76E6DCEE" w:rsidR="009379DE" w:rsidRDefault="009379DE">
      <w:pPr>
        <w:pStyle w:val="FootnoteText"/>
      </w:pPr>
      <w:r>
        <w:rPr>
          <w:rStyle w:val="FootnoteReference"/>
        </w:rPr>
        <w:footnoteRef/>
      </w:r>
      <w:r>
        <w:t xml:space="preserve">  Exh. LIB-4, AVR Application Exhibit D-Urban Water Management Plan at 4-10, in which “lower income” is defined by the California Health and Safety Code 50079.5 as persons and families whose income does not exceed the qualifying limits for lower income families as amended from time to time pursuant to Section 8 of the United States Housing Act of 1937. </w:t>
      </w:r>
    </w:p>
  </w:footnote>
  <w:footnote w:id="28">
    <w:p w14:paraId="346F21CB" w14:textId="0779850F" w:rsidR="009379DE" w:rsidRDefault="009379DE">
      <w:pPr>
        <w:pStyle w:val="FootnoteText"/>
      </w:pPr>
      <w:r>
        <w:rPr>
          <w:rStyle w:val="FootnoteReference"/>
        </w:rPr>
        <w:footnoteRef/>
      </w:r>
      <w:r>
        <w:t xml:space="preserve">  Exh. LIB-12, Park Application Exhibit D-Urban Water Management Plan, Table 4-6 at 22.</w:t>
      </w:r>
    </w:p>
  </w:footnote>
  <w:footnote w:id="29">
    <w:p w14:paraId="54FB6EC3" w14:textId="5BF24E1D" w:rsidR="009379DE" w:rsidRDefault="009379DE">
      <w:pPr>
        <w:pStyle w:val="FootnoteText"/>
      </w:pPr>
      <w:r>
        <w:rPr>
          <w:rStyle w:val="FootnoteReference"/>
        </w:rPr>
        <w:footnoteRef/>
      </w:r>
      <w:r>
        <w:t xml:space="preserve">  Exh. Cal Adv-33, ORA Report on the Results of Operations-Liberty Utilities Park Water Company Public at 3-7.</w:t>
      </w:r>
    </w:p>
  </w:footnote>
  <w:footnote w:id="30">
    <w:p w14:paraId="2F143C54" w14:textId="515B785E" w:rsidR="009379DE" w:rsidRDefault="009379DE">
      <w:pPr>
        <w:pStyle w:val="FootnoteText"/>
      </w:pPr>
      <w:r>
        <w:rPr>
          <w:rStyle w:val="FootnoteReference"/>
        </w:rPr>
        <w:footnoteRef/>
      </w:r>
      <w:r>
        <w:t xml:space="preserve">  The Commission’s Resolution W-4976 of February 27, 2014 granted the authority to establish the Water Conservation Memorandum Account to track incremental expense incurred by Liberty Park for activities associated with Rule 14.1 voluntary conservation, Schedule 14.1 mandatory rationing, and other activities associated with the Governor’s Drought Emergency Declaration of January 17 2014 and Executive Order of April 25, 2014.  Liberty Park requests continuation of this account as additional Executive Orders are underway.</w:t>
      </w:r>
    </w:p>
  </w:footnote>
  <w:footnote w:id="31">
    <w:p w14:paraId="16284023" w14:textId="52DED4E6" w:rsidR="009379DE" w:rsidRDefault="009379DE" w:rsidP="00D6420E">
      <w:pPr>
        <w:pStyle w:val="FootnoteText"/>
      </w:pPr>
      <w:r>
        <w:rPr>
          <w:rStyle w:val="FootnoteReference"/>
        </w:rPr>
        <w:footnoteRef/>
      </w:r>
      <w:r>
        <w:t xml:space="preserve">  Exh. LIB-6, AVR Application Exhibit F-Minimum Data Requirements at tab H “Service Quality,” Response to Question 2.</w:t>
      </w:r>
    </w:p>
  </w:footnote>
  <w:footnote w:id="32">
    <w:p w14:paraId="009B5BC9" w14:textId="499A601C" w:rsidR="009379DE" w:rsidRDefault="009379DE" w:rsidP="00FF103B">
      <w:pPr>
        <w:pStyle w:val="FootnoteText"/>
      </w:pPr>
      <w:r>
        <w:rPr>
          <w:rStyle w:val="FootnoteReference"/>
        </w:rPr>
        <w:footnoteRef/>
      </w:r>
      <w:r>
        <w:t xml:space="preserve">  Exh. LIB-23, Rebuttal Testimony of Edward Jackson at 16 -17.</w:t>
      </w:r>
    </w:p>
  </w:footnote>
  <w:footnote w:id="33">
    <w:p w14:paraId="29CAF238" w14:textId="6490D9EF" w:rsidR="009379DE" w:rsidRDefault="009379DE">
      <w:pPr>
        <w:pStyle w:val="FootnoteText"/>
      </w:pPr>
      <w:r>
        <w:rPr>
          <w:rStyle w:val="FootnoteReference"/>
        </w:rPr>
        <w:footnoteRef/>
      </w:r>
      <w:r>
        <w:t xml:space="preserve">  November 7, 2018 Reporter’s Transcript of Evidentiary Hearing (RT) Vol. 4 442:14-16.</w:t>
      </w:r>
    </w:p>
  </w:footnote>
  <w:footnote w:id="34">
    <w:p w14:paraId="3B65439F" w14:textId="14579377" w:rsidR="009379DE" w:rsidRDefault="009379DE">
      <w:pPr>
        <w:pStyle w:val="FootnoteText"/>
      </w:pPr>
      <w:r>
        <w:rPr>
          <w:rStyle w:val="FootnoteReference"/>
        </w:rPr>
        <w:footnoteRef/>
      </w:r>
      <w:r>
        <w:t xml:space="preserve">  Appendix E of D.16-01-009.</w:t>
      </w:r>
    </w:p>
  </w:footnote>
  <w:footnote w:id="35">
    <w:p w14:paraId="0506227E" w14:textId="7EC0EEE1" w:rsidR="009379DE" w:rsidRDefault="009379DE">
      <w:pPr>
        <w:pStyle w:val="FootnoteText"/>
      </w:pPr>
      <w:r>
        <w:rPr>
          <w:rStyle w:val="FootnoteReference"/>
        </w:rPr>
        <w:footnoteRef/>
      </w:r>
      <w:r>
        <w:t xml:space="preserve">  Attachment H of D.15-11-030.</w:t>
      </w:r>
    </w:p>
  </w:footnote>
  <w:footnote w:id="36">
    <w:p w14:paraId="751718B5" w14:textId="2AC6FD73" w:rsidR="009379DE" w:rsidRDefault="009379DE">
      <w:pPr>
        <w:pStyle w:val="FootnoteText"/>
      </w:pPr>
      <w:r>
        <w:rPr>
          <w:rStyle w:val="FootnoteReference"/>
        </w:rPr>
        <w:footnoteRef/>
      </w:r>
      <w:r>
        <w:t xml:space="preserve">  Allocations are discussed in the subsections below.  The 2017 effective allocations of 39 percent, 36 percent, and 25 percent are the result of designating shared costs to one of these groups:  1) all utilities in the western U.S., 2) all California utilities, or 3) all California water utilities.  Discrete allocations are made for each group, and when the amounts are summed, it results in effective allocations of 39/36/25. See Appendix L for calculations.</w:t>
      </w:r>
    </w:p>
  </w:footnote>
  <w:footnote w:id="37">
    <w:p w14:paraId="0B0FF755" w14:textId="5A6C584C" w:rsidR="009379DE" w:rsidRDefault="009379DE">
      <w:pPr>
        <w:pStyle w:val="FootnoteText"/>
      </w:pPr>
      <w:r>
        <w:rPr>
          <w:rStyle w:val="FootnoteReference"/>
        </w:rPr>
        <w:footnoteRef/>
      </w:r>
      <w:r>
        <w:t xml:space="preserve"> </w:t>
      </w:r>
      <w:bookmarkStart w:id="33" w:name="_Hlk39499867"/>
      <w:r>
        <w:t>Exh. LIB-17, Rebuttal Testimony of Christopher G. Alario at 14.</w:t>
      </w:r>
    </w:p>
    <w:bookmarkEnd w:id="33"/>
  </w:footnote>
  <w:footnote w:id="38">
    <w:p w14:paraId="41C44080" w14:textId="06AE8EB2" w:rsidR="009379DE" w:rsidRDefault="009379DE">
      <w:pPr>
        <w:pStyle w:val="FootnoteText"/>
      </w:pPr>
      <w:r>
        <w:rPr>
          <w:rStyle w:val="FootnoteReference"/>
        </w:rPr>
        <w:footnoteRef/>
      </w:r>
      <w:r>
        <w:t xml:space="preserve"> Exh. LIB-29, Rebuttal Testimony of Tiffany Thong at 2, 5.</w:t>
      </w:r>
    </w:p>
  </w:footnote>
  <w:footnote w:id="39">
    <w:p w14:paraId="5272BACE" w14:textId="098445C9" w:rsidR="009379DE" w:rsidRDefault="009379DE" w:rsidP="005B6644">
      <w:pPr>
        <w:pStyle w:val="FootnoteText"/>
      </w:pPr>
      <w:r>
        <w:rPr>
          <w:rStyle w:val="FootnoteReference"/>
        </w:rPr>
        <w:footnoteRef/>
      </w:r>
      <w:r>
        <w:t xml:space="preserve">  General Office total costs less allocated Head Office costs for the Summary of Earnings 2019.  However, Exh. Cal Adv-33, ORA Report on the Results of Operations-Liberty Park Public at 12</w:t>
      </w:r>
      <w:r>
        <w:noBreakHyphen/>
        <w:t xml:space="preserve">16, footnote 123 shows the amount less head office as $8.571.0.  </w:t>
      </w:r>
      <w:r w:rsidRPr="003B4BA5">
        <w:t>?</w:t>
      </w:r>
    </w:p>
  </w:footnote>
  <w:footnote w:id="40">
    <w:p w14:paraId="2832860B" w14:textId="60E0A684" w:rsidR="009379DE" w:rsidRDefault="009379DE">
      <w:pPr>
        <w:pStyle w:val="FootnoteText"/>
      </w:pPr>
      <w:r>
        <w:rPr>
          <w:rStyle w:val="FootnoteReference"/>
        </w:rPr>
        <w:footnoteRef/>
      </w:r>
      <w:r>
        <w:t xml:space="preserve">  Liberty discusses the use of the two-year average in Exhs. LIB-3, AVR Application Exhibit C-General Office Report and LIB-11, Park Application Exhibit C-General Office Report at 39, in the section entitled “Head Office Allocations-Oakville, Canada.”</w:t>
      </w:r>
    </w:p>
  </w:footnote>
  <w:footnote w:id="41">
    <w:p w14:paraId="1D78A15B" w14:textId="6A22D2D3" w:rsidR="009379DE" w:rsidRDefault="009379DE">
      <w:pPr>
        <w:pStyle w:val="FootnoteText"/>
      </w:pPr>
      <w:r>
        <w:rPr>
          <w:rStyle w:val="FootnoteReference"/>
        </w:rPr>
        <w:footnoteRef/>
      </w:r>
      <w:r>
        <w:t xml:space="preserve">  Exh. Cal Adv-33C, ORA Report on the Results of Operations-Liberty Park Confidential at 12</w:t>
      </w:r>
      <w:r>
        <w:noBreakHyphen/>
        <w:t>6.</w:t>
      </w:r>
    </w:p>
  </w:footnote>
  <w:footnote w:id="42">
    <w:p w14:paraId="75B7349A" w14:textId="6A56CD93" w:rsidR="009379DE" w:rsidRDefault="009379DE">
      <w:pPr>
        <w:pStyle w:val="FootnoteText"/>
      </w:pPr>
      <w:r>
        <w:rPr>
          <w:rStyle w:val="FootnoteReference"/>
        </w:rPr>
        <w:footnoteRef/>
      </w:r>
      <w:r>
        <w:t xml:space="preserve">  Exh. Cal Adv-33C, ORA Report on the Results of Operations-Liberty Park Confidential at 12</w:t>
      </w:r>
      <w:r>
        <w:noBreakHyphen/>
        <w:t>6.</w:t>
      </w:r>
    </w:p>
  </w:footnote>
  <w:footnote w:id="43">
    <w:p w14:paraId="175B1FCB" w14:textId="2594E559" w:rsidR="009379DE" w:rsidRDefault="009379DE">
      <w:pPr>
        <w:pStyle w:val="FootnoteText"/>
      </w:pPr>
      <w:r>
        <w:rPr>
          <w:rStyle w:val="FootnoteReference"/>
        </w:rPr>
        <w:footnoteRef/>
      </w:r>
      <w:r>
        <w:t xml:space="preserve">  Exh. Cal Adv-33C, ORA Report on the Results of Operations-Liberty Park Confidential at. 12</w:t>
      </w:r>
      <w:r>
        <w:noBreakHyphen/>
        <w:t>8.</w:t>
      </w:r>
    </w:p>
  </w:footnote>
  <w:footnote w:id="44">
    <w:p w14:paraId="1C756DA5" w14:textId="3275F242" w:rsidR="009379DE" w:rsidRDefault="009379DE">
      <w:pPr>
        <w:pStyle w:val="FootnoteText"/>
      </w:pPr>
      <w:r>
        <w:rPr>
          <w:rStyle w:val="FootnoteReference"/>
        </w:rPr>
        <w:footnoteRef/>
      </w:r>
      <w:r>
        <w:t xml:space="preserve"> Liberty requests $97,740 in indirect allocable costs from the LUSC business unit titled LABS</w:t>
      </w:r>
      <w:r>
        <w:noBreakHyphen/>
        <w:t>US, and $2,328 from another poorly identified LUSC business unit titled Liberty Corp.</w:t>
      </w:r>
      <w:r>
        <w:noBreakHyphen/>
        <w:t>US.</w:t>
      </w:r>
    </w:p>
  </w:footnote>
  <w:footnote w:id="45">
    <w:p w14:paraId="2C6ED105" w14:textId="1F671800" w:rsidR="009379DE" w:rsidRDefault="009379DE">
      <w:pPr>
        <w:pStyle w:val="FootnoteText"/>
      </w:pPr>
      <w:r>
        <w:rPr>
          <w:rStyle w:val="FootnoteReference"/>
        </w:rPr>
        <w:footnoteRef/>
      </w:r>
      <w:r>
        <w:t xml:space="preserve"> Opening Brief of the Public Advocates Office (Confidential), (Public Advocates Office Opening Brief) at 32.</w:t>
      </w:r>
    </w:p>
  </w:footnote>
  <w:footnote w:id="46">
    <w:p w14:paraId="0148BA27" w14:textId="0891842E" w:rsidR="009379DE" w:rsidRDefault="009379DE">
      <w:pPr>
        <w:pStyle w:val="FootnoteText"/>
      </w:pPr>
      <w:r>
        <w:rPr>
          <w:rStyle w:val="FootnoteReference"/>
        </w:rPr>
        <w:footnoteRef/>
      </w:r>
      <w:r>
        <w:t xml:space="preserve"> RT Vol. 3, 282:10-13.</w:t>
      </w:r>
    </w:p>
  </w:footnote>
  <w:footnote w:id="47">
    <w:p w14:paraId="60929DD1" w14:textId="56196DD4" w:rsidR="009379DE" w:rsidRDefault="009379DE">
      <w:pPr>
        <w:pStyle w:val="FootnoteText"/>
      </w:pPr>
      <w:r>
        <w:rPr>
          <w:rStyle w:val="FootnoteReference"/>
        </w:rPr>
        <w:footnoteRef/>
      </w:r>
      <w:r>
        <w:t xml:space="preserve"> Exhs. LIB-3, AVR Application Exhibit C-General Office Report, LIB-11, Park Application Exhibit D-Urban Water Management Plan.</w:t>
      </w:r>
    </w:p>
  </w:footnote>
  <w:footnote w:id="48">
    <w:p w14:paraId="726BC507" w14:textId="65959674" w:rsidR="009379DE" w:rsidRDefault="009379DE">
      <w:pPr>
        <w:pStyle w:val="FootnoteText"/>
      </w:pPr>
      <w:r>
        <w:rPr>
          <w:rStyle w:val="FootnoteReference"/>
        </w:rPr>
        <w:footnoteRef/>
      </w:r>
      <w:r>
        <w:t xml:space="preserve">  Tables 2-1 through 2-6 of Exhs. LIB-3, AVR Application Exhibit C-General Office Report, LIB</w:t>
      </w:r>
      <w:r>
        <w:noBreakHyphen/>
        <w:t>11, Park Application Exhibit D-Urban Water Management Plan.</w:t>
      </w:r>
    </w:p>
  </w:footnote>
  <w:footnote w:id="49">
    <w:p w14:paraId="2281CBE5" w14:textId="05F717CD" w:rsidR="009379DE" w:rsidRDefault="009379DE" w:rsidP="00D81177">
      <w:pPr>
        <w:pStyle w:val="FootnoteText"/>
      </w:pPr>
      <w:r>
        <w:rPr>
          <w:rStyle w:val="FootnoteReference"/>
        </w:rPr>
        <w:footnoteRef/>
      </w:r>
      <w:r>
        <w:t xml:space="preserve">  Exh. Cal Adv-14, DR Response AMX-01 at 2.</w:t>
      </w:r>
    </w:p>
  </w:footnote>
  <w:footnote w:id="50">
    <w:p w14:paraId="5D05AB62" w14:textId="7358C72C" w:rsidR="009379DE" w:rsidRDefault="009379DE">
      <w:pPr>
        <w:pStyle w:val="FootnoteText"/>
      </w:pPr>
      <w:r>
        <w:rPr>
          <w:rStyle w:val="FootnoteReference"/>
        </w:rPr>
        <w:footnoteRef/>
      </w:r>
      <w:r>
        <w:t xml:space="preserve">  Standard Practice Manual U-6-W was last revised December 2003.</w:t>
      </w:r>
    </w:p>
  </w:footnote>
  <w:footnote w:id="51">
    <w:p w14:paraId="16B9A61A" w14:textId="2FDDC990" w:rsidR="009379DE" w:rsidRPr="000959E4" w:rsidRDefault="009379DE">
      <w:pPr>
        <w:pStyle w:val="FootnoteText"/>
        <w:rPr>
          <w:i/>
          <w:iCs/>
        </w:rPr>
      </w:pPr>
      <w:r>
        <w:rPr>
          <w:rStyle w:val="FootnoteReference"/>
        </w:rPr>
        <w:footnoteRef/>
      </w:r>
      <w:r>
        <w:t xml:space="preserve">  Exh. Cal Adv-15</w:t>
      </w:r>
      <w:r>
        <w:rPr>
          <w:i/>
          <w:iCs/>
        </w:rPr>
        <w:t xml:space="preserve">, </w:t>
      </w:r>
      <w:r>
        <w:t>July 26, 1956 Memo Re Allocation of Administrative and General Expenses and Common Utility Plant at</w:t>
      </w:r>
      <w:r w:rsidRPr="002E54F9">
        <w:t xml:space="preserve"> 1.</w:t>
      </w:r>
    </w:p>
  </w:footnote>
  <w:footnote w:id="52">
    <w:p w14:paraId="7F55803F" w14:textId="4F583506" w:rsidR="009379DE" w:rsidRDefault="009379DE" w:rsidP="00C64872">
      <w:pPr>
        <w:pStyle w:val="FootnoteText"/>
      </w:pPr>
      <w:r>
        <w:rPr>
          <w:rStyle w:val="FootnoteReference"/>
        </w:rPr>
        <w:footnoteRef/>
      </w:r>
      <w:r>
        <w:t xml:space="preserve">  Exh. LIB-17, Rebuttal Testimony of Christopher G. Alario at 17.</w:t>
      </w:r>
    </w:p>
  </w:footnote>
  <w:footnote w:id="53">
    <w:p w14:paraId="783341C6" w14:textId="1B6A482F" w:rsidR="009379DE" w:rsidRDefault="009379DE">
      <w:pPr>
        <w:pStyle w:val="FootnoteText"/>
      </w:pPr>
      <w:r>
        <w:rPr>
          <w:rStyle w:val="FootnoteReference"/>
        </w:rPr>
        <w:footnoteRef/>
      </w:r>
      <w:r>
        <w:t xml:space="preserve">  November 7, 2018 RT Vol. 4 336:12-28. </w:t>
      </w:r>
    </w:p>
  </w:footnote>
  <w:footnote w:id="54">
    <w:p w14:paraId="7A5EF743" w14:textId="575FF29D" w:rsidR="009379DE" w:rsidRDefault="009379DE">
      <w:pPr>
        <w:pStyle w:val="FootnoteText"/>
      </w:pPr>
      <w:r>
        <w:rPr>
          <w:rStyle w:val="FootnoteReference"/>
        </w:rPr>
        <w:footnoteRef/>
      </w:r>
      <w:r>
        <w:t xml:space="preserve">  Exh. Cal Adv-25C, DR Resp AMX-03 and Tower Survey Excerpt Confidential.</w:t>
      </w:r>
    </w:p>
  </w:footnote>
  <w:footnote w:id="55">
    <w:p w14:paraId="1F1FCE91" w14:textId="16EB4C13" w:rsidR="009379DE" w:rsidRDefault="009379DE">
      <w:pPr>
        <w:pStyle w:val="FootnoteText"/>
      </w:pPr>
      <w:r>
        <w:rPr>
          <w:rStyle w:val="FootnoteReference"/>
        </w:rPr>
        <w:footnoteRef/>
      </w:r>
      <w:r>
        <w:t xml:space="preserve">  Liberty Opening Brief at 8.</w:t>
      </w:r>
    </w:p>
  </w:footnote>
  <w:footnote w:id="56">
    <w:p w14:paraId="4C0BED10" w14:textId="6604B88B" w:rsidR="009379DE" w:rsidRDefault="009379DE">
      <w:pPr>
        <w:pStyle w:val="FootnoteText"/>
      </w:pPr>
      <w:r>
        <w:rPr>
          <w:rStyle w:val="FootnoteReference"/>
        </w:rPr>
        <w:footnoteRef/>
      </w:r>
      <w:r>
        <w:t xml:space="preserve">  Exhibit A of D.16-01-009 at 25 and 76.</w:t>
      </w:r>
    </w:p>
  </w:footnote>
  <w:footnote w:id="57">
    <w:p w14:paraId="79B53FD7" w14:textId="30E8F090" w:rsidR="009379DE" w:rsidRDefault="009379DE" w:rsidP="005C4A27">
      <w:pPr>
        <w:pStyle w:val="FootnoteText"/>
      </w:pPr>
      <w:r>
        <w:rPr>
          <w:rStyle w:val="FootnoteReference"/>
        </w:rPr>
        <w:footnoteRef/>
      </w:r>
      <w:r>
        <w:t xml:space="preserve">  D.15-11-030 at 24-25.</w:t>
      </w:r>
    </w:p>
  </w:footnote>
  <w:footnote w:id="58">
    <w:p w14:paraId="673FB548" w14:textId="7235F675" w:rsidR="009379DE" w:rsidRDefault="009379DE" w:rsidP="003916F7">
      <w:pPr>
        <w:pStyle w:val="FootnoteText"/>
      </w:pPr>
      <w:r>
        <w:rPr>
          <w:rStyle w:val="FootnoteReference"/>
        </w:rPr>
        <w:footnoteRef/>
      </w:r>
      <w:r>
        <w:t xml:space="preserve">  Exhibit A of D.16-01-009 at 25 and Liberty Park Balancing Account report as of December 31, 2018.</w:t>
      </w:r>
    </w:p>
  </w:footnote>
  <w:footnote w:id="59">
    <w:p w14:paraId="3BADA3C5" w14:textId="018480C9" w:rsidR="009379DE" w:rsidRDefault="009379DE">
      <w:pPr>
        <w:pStyle w:val="FootnoteText"/>
      </w:pPr>
      <w:r>
        <w:rPr>
          <w:rStyle w:val="FootnoteReference"/>
        </w:rPr>
        <w:footnoteRef/>
      </w:r>
      <w:r>
        <w:t xml:space="preserve">  Appendix 2 of Liberty Opening Brief.</w:t>
      </w:r>
    </w:p>
  </w:footnote>
  <w:footnote w:id="60">
    <w:p w14:paraId="7AA906AD" w14:textId="534D54E4" w:rsidR="009379DE" w:rsidRDefault="009379DE">
      <w:pPr>
        <w:pStyle w:val="FootnoteText"/>
      </w:pPr>
      <w:r>
        <w:rPr>
          <w:rStyle w:val="FootnoteReference"/>
        </w:rPr>
        <w:footnoteRef/>
      </w:r>
      <w:r>
        <w:t xml:space="preserve">  LIB-21, Rebuttal Testimony of Julie A. Hammeras at 19, Cal Adv-33, ORA Report on the Results of Operations-Liberty Park Public at 13-33, Cal Adv-32, ORA Report on the Results of Operations-Liberty Apple Valley Public at 13-23. Liberty Apple Valley’s application requests continuation of its 2014 Water Conservation Memorandum account.</w:t>
      </w:r>
    </w:p>
  </w:footnote>
  <w:footnote w:id="61">
    <w:p w14:paraId="2AD10B0B" w14:textId="1051CA62" w:rsidR="009379DE" w:rsidRDefault="009379DE" w:rsidP="006A7BDD">
      <w:pPr>
        <w:pStyle w:val="FootnoteText"/>
      </w:pPr>
      <w:r>
        <w:rPr>
          <w:rStyle w:val="FootnoteReference"/>
        </w:rPr>
        <w:footnoteRef/>
      </w:r>
      <w:r>
        <w:t xml:space="preserve">  The criteria are found Standard Practice Manual U-27-W, at 6, citing to D.08-03-020 and D.94</w:t>
      </w:r>
      <w:r>
        <w:noBreakHyphen/>
        <w:t>06-033.</w:t>
      </w:r>
    </w:p>
  </w:footnote>
  <w:footnote w:id="62">
    <w:p w14:paraId="7BFD2191" w14:textId="32D41ED7" w:rsidR="009379DE" w:rsidRDefault="009379DE">
      <w:pPr>
        <w:pStyle w:val="FootnoteText"/>
      </w:pPr>
      <w:r>
        <w:rPr>
          <w:rStyle w:val="FootnoteReference"/>
        </w:rPr>
        <w:footnoteRef/>
      </w:r>
      <w:r>
        <w:t xml:space="preserve">  Although the Standard Practice Manual references memorandum accounts, it is equally applicable to balancing accounts because balancing accounts are held to an even higher standard.</w:t>
      </w:r>
    </w:p>
  </w:footnote>
  <w:footnote w:id="63">
    <w:p w14:paraId="690109CD" w14:textId="6CE9C066" w:rsidR="009379DE" w:rsidRDefault="009379DE">
      <w:pPr>
        <w:pStyle w:val="FootnoteText"/>
      </w:pPr>
      <w:r>
        <w:rPr>
          <w:rStyle w:val="FootnoteReference"/>
        </w:rPr>
        <w:footnoteRef/>
      </w:r>
      <w:r>
        <w:t xml:space="preserve">  Liberty Apple Valley’s rate base components are 59 percent of its TY revenue requirement, and Liberty Park’s rate base components are 46 percent.</w:t>
      </w:r>
    </w:p>
  </w:footnote>
  <w:footnote w:id="64">
    <w:p w14:paraId="2C8D1BDD" w14:textId="335C0124" w:rsidR="009379DE" w:rsidRDefault="009379DE">
      <w:pPr>
        <w:pStyle w:val="FootnoteText"/>
      </w:pPr>
      <w:r>
        <w:rPr>
          <w:rStyle w:val="FootnoteReference"/>
        </w:rPr>
        <w:footnoteRef/>
      </w:r>
      <w:r>
        <w:t xml:space="preserve">  Liberty’s revised analysis not only included ratepayer impacts but also reflected a lower vendor quote negotiated during the course of the proceeding, reducing expenses by $6 million for Liberty Apple Valley and by $3.1 million for Liberty Park.  Liberty’s revised analysis also shows that, from a company perspective, AMI would cost the companies $835,000 less and $1.6 less than AMR.</w:t>
      </w:r>
    </w:p>
  </w:footnote>
  <w:footnote w:id="65">
    <w:p w14:paraId="3B2898F5" w14:textId="149158F4" w:rsidR="009379DE" w:rsidRDefault="009379DE">
      <w:pPr>
        <w:pStyle w:val="FootnoteText"/>
      </w:pPr>
      <w:r>
        <w:rPr>
          <w:rStyle w:val="FootnoteReference"/>
        </w:rPr>
        <w:footnoteRef/>
      </w:r>
      <w:r>
        <w:t xml:space="preserve">  OP’s 7 and 9 of D.16-12-026.</w:t>
      </w:r>
    </w:p>
  </w:footnote>
  <w:footnote w:id="66">
    <w:p w14:paraId="38DDE46A" w14:textId="18E92814" w:rsidR="009379DE" w:rsidRDefault="009379DE" w:rsidP="00154EB5">
      <w:pPr>
        <w:pStyle w:val="FootnoteText"/>
      </w:pPr>
      <w:r>
        <w:rPr>
          <w:rStyle w:val="FootnoteReference"/>
        </w:rPr>
        <w:footnoteRef/>
      </w:r>
      <w:r>
        <w:t xml:space="preserve">  The Public Advocates Office differs with Liberty’s AMI savings estimates of $3,095,482 (Liberty Apple Valley) and $3,265,358 (Liberty Park) by only $332,788.</w:t>
      </w:r>
    </w:p>
  </w:footnote>
  <w:footnote w:id="67">
    <w:p w14:paraId="521D07AE" w14:textId="43B33E7D" w:rsidR="009379DE" w:rsidRDefault="009379DE" w:rsidP="001E27C2">
      <w:pPr>
        <w:pStyle w:val="FootnoteText"/>
      </w:pPr>
      <w:r>
        <w:rPr>
          <w:rStyle w:val="FootnoteReference"/>
        </w:rPr>
        <w:footnoteRef/>
      </w:r>
      <w:r>
        <w:t xml:space="preserve">  </w:t>
      </w:r>
      <w:bookmarkStart w:id="49" w:name="_Hlk46081962"/>
      <w:r>
        <w:t xml:space="preserve">D.16-12-026 </w:t>
      </w:r>
      <w:bookmarkEnd w:id="49"/>
      <w:r>
        <w:t>at 65.</w:t>
      </w:r>
    </w:p>
  </w:footnote>
  <w:footnote w:id="68">
    <w:p w14:paraId="43DD74D8" w14:textId="492877FA" w:rsidR="009379DE" w:rsidRDefault="009379DE">
      <w:pPr>
        <w:pStyle w:val="FootnoteText"/>
      </w:pPr>
      <w:r>
        <w:rPr>
          <w:rStyle w:val="FootnoteReference"/>
        </w:rPr>
        <w:footnoteRef/>
      </w:r>
      <w:r>
        <w:t xml:space="preserve">  If AMI were approved, the need to maintain AMR meters would be phased out as new meters were installed.</w:t>
      </w:r>
    </w:p>
  </w:footnote>
  <w:footnote w:id="69">
    <w:p w14:paraId="60689B2F" w14:textId="23E644DD" w:rsidR="009379DE" w:rsidRDefault="009379DE">
      <w:pPr>
        <w:pStyle w:val="FootnoteText"/>
      </w:pPr>
      <w:r>
        <w:rPr>
          <w:rStyle w:val="FootnoteReference"/>
        </w:rPr>
        <w:footnoteRef/>
      </w:r>
      <w:r>
        <w:t xml:space="preserve">  Exhs. Cal Adv-32, ORA Report on the Results of Operations-Liberty Apple Valley Public at 7</w:t>
      </w:r>
      <w:r>
        <w:noBreakHyphen/>
        <w:t>7, 7-9, LIB-2, AVR Application Exhibit B-Revenue Requirement Report at 98.</w:t>
      </w:r>
    </w:p>
  </w:footnote>
  <w:footnote w:id="70">
    <w:p w14:paraId="20393F57" w14:textId="75F3FFD0" w:rsidR="009379DE" w:rsidRDefault="009379DE">
      <w:pPr>
        <w:pStyle w:val="FootnoteText"/>
      </w:pPr>
      <w:r>
        <w:rPr>
          <w:rStyle w:val="FootnoteReference"/>
        </w:rPr>
        <w:footnoteRef/>
      </w:r>
      <w:r>
        <w:t xml:space="preserve">  Exhs. Cal Adv-33, ORA Report on the Results of Operations-Liberty Park Public at 8-7, 8-9, LIB-10, Park Application Exhibit B-Revenue Requirement Report at 76 and 88.</w:t>
      </w:r>
    </w:p>
  </w:footnote>
  <w:footnote w:id="71">
    <w:p w14:paraId="4CEB8F18" w14:textId="25C3AE41" w:rsidR="009379DE" w:rsidRDefault="009379DE">
      <w:pPr>
        <w:pStyle w:val="FootnoteText"/>
      </w:pPr>
      <w:r>
        <w:rPr>
          <w:rStyle w:val="FootnoteReference"/>
        </w:rPr>
        <w:footnoteRef/>
      </w:r>
      <w:r>
        <w:t xml:space="preserve">  Exh. LIB-10, Park Application Exhibit B-Revenue Requirements Report at 98-101.</w:t>
      </w:r>
    </w:p>
  </w:footnote>
  <w:footnote w:id="72">
    <w:p w14:paraId="2981A5AD" w14:textId="5F00AA16" w:rsidR="009379DE" w:rsidRDefault="009379DE">
      <w:pPr>
        <w:pStyle w:val="FootnoteText"/>
      </w:pPr>
      <w:r>
        <w:rPr>
          <w:rStyle w:val="FootnoteReference"/>
        </w:rPr>
        <w:footnoteRef/>
      </w:r>
      <w:r>
        <w:t xml:space="preserve">  November 7, 2018 RT Vol 4. at 323 21:25.</w:t>
      </w:r>
    </w:p>
  </w:footnote>
  <w:footnote w:id="73">
    <w:p w14:paraId="1C02ED57" w14:textId="1724F35E" w:rsidR="009379DE" w:rsidRDefault="009379DE">
      <w:pPr>
        <w:pStyle w:val="FootnoteText"/>
      </w:pPr>
      <w:r>
        <w:rPr>
          <w:rStyle w:val="FootnoteReference"/>
        </w:rPr>
        <w:footnoteRef/>
      </w:r>
      <w:r>
        <w:t xml:space="preserve">  Exh. LIB-25, Rebuttal Testimony of Gregory J. Miles at 5.</w:t>
      </w:r>
    </w:p>
  </w:footnote>
  <w:footnote w:id="74">
    <w:p w14:paraId="58F48716" w14:textId="557238F7" w:rsidR="009379DE" w:rsidRDefault="009379DE">
      <w:pPr>
        <w:pStyle w:val="FootnoteText"/>
      </w:pPr>
      <w:r>
        <w:rPr>
          <w:rStyle w:val="FootnoteReference"/>
        </w:rPr>
        <w:footnoteRef/>
      </w:r>
      <w:r>
        <w:t xml:space="preserve">  By year, the vehicles that qualify for replacement because they are either older than ten years or have mileage greater than 120,000 miles, are two units in 2018 (#11-1, #11-2), one unit in 2019 (#08-2), zero units in 2020, and two units in 2021 (#06-1, #14-4).</w:t>
      </w:r>
    </w:p>
  </w:footnote>
  <w:footnote w:id="75">
    <w:p w14:paraId="3BF7F029" w14:textId="0476DEB0" w:rsidR="009379DE" w:rsidRDefault="009379DE">
      <w:pPr>
        <w:pStyle w:val="FootnoteText"/>
      </w:pPr>
      <w:r>
        <w:rPr>
          <w:rStyle w:val="FootnoteReference"/>
        </w:rPr>
        <w:footnoteRef/>
      </w:r>
      <w:r>
        <w:t xml:space="preserve">  Appendix A of D.18-12-002 at 10.</w:t>
      </w:r>
    </w:p>
  </w:footnote>
  <w:footnote w:id="76">
    <w:p w14:paraId="5CB198EC" w14:textId="5F49BA50" w:rsidR="009379DE" w:rsidRDefault="009379DE" w:rsidP="007F7F8F">
      <w:pPr>
        <w:pStyle w:val="FootnoteText"/>
      </w:pPr>
      <w:r>
        <w:rPr>
          <w:rStyle w:val="FootnoteReference"/>
        </w:rPr>
        <w:footnoteRef/>
      </w:r>
      <w:r>
        <w:t xml:space="preserve">  </w:t>
      </w:r>
      <w:r w:rsidRPr="001A514F">
        <w:rPr>
          <w:i/>
          <w:iCs/>
        </w:rPr>
        <w:t>See</w:t>
      </w:r>
      <w:r>
        <w:t xml:space="preserve"> Section 10 herein to find the rate impact associated with the reduced rate of return implemented July 1, 2019.</w:t>
      </w:r>
    </w:p>
  </w:footnote>
  <w:footnote w:id="77">
    <w:p w14:paraId="32D4DE55" w14:textId="44E6C9AC" w:rsidR="009379DE" w:rsidRDefault="009379DE">
      <w:pPr>
        <w:pStyle w:val="FootnoteText"/>
      </w:pPr>
      <w:r>
        <w:rPr>
          <w:rStyle w:val="FootnoteReference"/>
        </w:rPr>
        <w:footnoteRef/>
      </w:r>
      <w:r>
        <w:t xml:space="preserve">  Exhs. Cal Adv-32, ORA Report on the Results of Operations-Liberty Apple Valley Public at 11-6 through 11-9, Cal Adv-33, </w:t>
      </w:r>
      <w:bookmarkStart w:id="66" w:name="_Hlk45185796"/>
      <w:r>
        <w:t>ORA Report on the Results of Operations-Liberty Park Public</w:t>
      </w:r>
      <w:bookmarkEnd w:id="66"/>
      <w:r>
        <w:t xml:space="preserve"> at 12-16 through 12-20.</w:t>
      </w:r>
    </w:p>
  </w:footnote>
  <w:footnote w:id="78">
    <w:p w14:paraId="3C12BC08" w14:textId="2FC0C9B8" w:rsidR="009379DE" w:rsidRDefault="009379DE">
      <w:pPr>
        <w:pStyle w:val="FootnoteText"/>
      </w:pPr>
      <w:r>
        <w:rPr>
          <w:rStyle w:val="FootnoteReference"/>
        </w:rPr>
        <w:footnoteRef/>
      </w:r>
      <w:r>
        <w:t xml:space="preserve">  OP 2 of D. 89-11-058, referring to D. 89-11-058 at 15-16.</w:t>
      </w:r>
    </w:p>
  </w:footnote>
  <w:footnote w:id="79">
    <w:p w14:paraId="434F1966" w14:textId="1207743C" w:rsidR="009379DE" w:rsidRDefault="009379DE">
      <w:pPr>
        <w:pStyle w:val="FootnoteText"/>
      </w:pPr>
      <w:r>
        <w:rPr>
          <w:rStyle w:val="FootnoteReference"/>
        </w:rPr>
        <w:footnoteRef/>
      </w:r>
      <w:r>
        <w:t xml:space="preserve">  Exh. LIB-21, Rebuttal Testimony of Julie A Hammeras at 8.</w:t>
      </w:r>
    </w:p>
  </w:footnote>
  <w:footnote w:id="80">
    <w:p w14:paraId="01A2D925" w14:textId="77367925" w:rsidR="009379DE" w:rsidRDefault="009379DE" w:rsidP="00E37601">
      <w:pPr>
        <w:pStyle w:val="FootnoteText"/>
      </w:pPr>
      <w:r>
        <w:rPr>
          <w:rStyle w:val="FootnoteReference"/>
        </w:rPr>
        <w:footnoteRef/>
      </w:r>
      <w:r>
        <w:t xml:space="preserve">  Exh. Cal Adv-32, ORA Report on the Results of Operations-Liberty Apple Valley Public.</w:t>
      </w:r>
    </w:p>
  </w:footnote>
  <w:footnote w:id="81">
    <w:p w14:paraId="3642E54C" w14:textId="5DD67728" w:rsidR="009379DE" w:rsidRDefault="009379DE">
      <w:pPr>
        <w:pStyle w:val="FootnoteText"/>
      </w:pPr>
      <w:r>
        <w:rPr>
          <w:rStyle w:val="FootnoteReference"/>
        </w:rPr>
        <w:footnoteRef/>
      </w:r>
      <w:r>
        <w:t xml:space="preserve">  For its last recorded year of 2017, Liberty Park nonresidential customers accounted for 32 percent of water usage, and Liberty Apple Valley Domestic nonresidential customers accounted for 27 percent of water usage.</w:t>
      </w:r>
    </w:p>
  </w:footnote>
  <w:footnote w:id="82">
    <w:p w14:paraId="4ED5E93A" w14:textId="07A6310C" w:rsidR="009379DE" w:rsidRDefault="009379DE">
      <w:pPr>
        <w:pStyle w:val="FootnoteText"/>
      </w:pPr>
      <w:r>
        <w:rPr>
          <w:rStyle w:val="FootnoteReference"/>
        </w:rPr>
        <w:footnoteRef/>
      </w:r>
      <w:r>
        <w:t xml:space="preserve">  OPs 11-14 of D.16-12-026.</w:t>
      </w:r>
    </w:p>
  </w:footnote>
  <w:footnote w:id="83">
    <w:p w14:paraId="5327D09A" w14:textId="349AF7A0" w:rsidR="009379DE" w:rsidRDefault="009379DE">
      <w:pPr>
        <w:pStyle w:val="FootnoteText"/>
      </w:pPr>
      <w:r>
        <w:rPr>
          <w:rStyle w:val="FootnoteReference"/>
        </w:rPr>
        <w:footnoteRef/>
      </w:r>
      <w:r>
        <w:t xml:space="preserve">  Liberty separates residential usage by residential customers participating in the low-income discount program, which is used as a proxy for income.</w:t>
      </w:r>
    </w:p>
  </w:footnote>
  <w:footnote w:id="84">
    <w:p w14:paraId="18821933" w14:textId="73D0DD4F" w:rsidR="009379DE" w:rsidRDefault="009379DE">
      <w:pPr>
        <w:pStyle w:val="FootnoteText"/>
      </w:pPr>
      <w:r>
        <w:rPr>
          <w:rStyle w:val="FootnoteReference"/>
        </w:rPr>
        <w:footnoteRef/>
      </w:r>
      <w:r>
        <w:t xml:space="preserve">  In the regulatory world, amounts settled outside of the rate cases process are tracked, then amortized and paid via a surcharge or surcredit.</w:t>
      </w:r>
    </w:p>
  </w:footnote>
  <w:footnote w:id="85">
    <w:p w14:paraId="476D8F21" w14:textId="613A5DA3" w:rsidR="009379DE" w:rsidRDefault="009379DE">
      <w:pPr>
        <w:pStyle w:val="FootnoteText"/>
      </w:pPr>
      <w:r>
        <w:rPr>
          <w:rStyle w:val="FootnoteReference"/>
        </w:rPr>
        <w:footnoteRef/>
      </w:r>
      <w:r>
        <w:t xml:space="preserve">  Technically, the balance is removed by recording the balance as a regulated asset or liability.</w:t>
      </w:r>
    </w:p>
  </w:footnote>
  <w:footnote w:id="86">
    <w:p w14:paraId="4E2E70AF" w14:textId="17273080" w:rsidR="009379DE" w:rsidRDefault="009379DE">
      <w:pPr>
        <w:pStyle w:val="FootnoteText"/>
      </w:pPr>
      <w:r>
        <w:rPr>
          <w:rStyle w:val="FootnoteReference"/>
        </w:rPr>
        <w:footnoteRef/>
      </w:r>
      <w:r>
        <w:t xml:space="preserve">  Liberty Opening Brief at 40.</w:t>
      </w:r>
    </w:p>
  </w:footnote>
  <w:footnote w:id="87">
    <w:p w14:paraId="5BEFFF34" w14:textId="680310E7" w:rsidR="009379DE" w:rsidRDefault="009379DE">
      <w:pPr>
        <w:pStyle w:val="FootnoteText"/>
      </w:pPr>
      <w:r>
        <w:rPr>
          <w:rStyle w:val="FootnoteReference"/>
        </w:rPr>
        <w:footnoteRef/>
      </w:r>
      <w:r>
        <w:t xml:space="preserve">  AL 234-W (Liberty Apple Valley).</w:t>
      </w:r>
    </w:p>
  </w:footnote>
  <w:footnote w:id="88">
    <w:p w14:paraId="0DBBB2F9" w14:textId="14B9BF15" w:rsidR="009379DE" w:rsidRDefault="009379DE">
      <w:pPr>
        <w:pStyle w:val="FootnoteText"/>
      </w:pPr>
      <w:r>
        <w:rPr>
          <w:rStyle w:val="FootnoteReference"/>
        </w:rPr>
        <w:footnoteRef/>
      </w:r>
      <w:r>
        <w:t xml:space="preserve">  AL 289-W (Liberty Park).</w:t>
      </w:r>
    </w:p>
  </w:footnote>
  <w:footnote w:id="89">
    <w:p w14:paraId="02BEB3D6" w14:textId="34E44FA9" w:rsidR="009379DE" w:rsidRDefault="009379DE">
      <w:pPr>
        <w:pStyle w:val="FootnoteText"/>
      </w:pPr>
      <w:r>
        <w:rPr>
          <w:rStyle w:val="FootnoteReference"/>
        </w:rPr>
        <w:footnoteRef/>
      </w:r>
      <w:r>
        <w:t xml:space="preserve">  AL 290-W (Liberty Park). </w:t>
      </w:r>
    </w:p>
  </w:footnote>
  <w:footnote w:id="90">
    <w:p w14:paraId="2FE4CB87" w14:textId="35D0E7BA" w:rsidR="009379DE" w:rsidRDefault="009379DE">
      <w:pPr>
        <w:pStyle w:val="FootnoteText"/>
      </w:pPr>
      <w:r>
        <w:rPr>
          <w:rStyle w:val="FootnoteReference"/>
        </w:rPr>
        <w:footnoteRef/>
      </w:r>
      <w:r>
        <w:t xml:space="preserve">  AL 295-W (Liberty Park).</w:t>
      </w:r>
    </w:p>
  </w:footnote>
  <w:footnote w:id="91">
    <w:p w14:paraId="1DA829BA" w14:textId="72469DD0" w:rsidR="009379DE" w:rsidRDefault="009379DE">
      <w:pPr>
        <w:pStyle w:val="FootnoteText"/>
      </w:pPr>
      <w:r>
        <w:rPr>
          <w:rStyle w:val="FootnoteReference"/>
        </w:rPr>
        <w:footnoteRef/>
      </w:r>
      <w:r>
        <w:t xml:space="preserve">  Because the time has passed for filing the 2020 escalation Advice Letter, we set a new date for the 2020 escalation Advice Letter filing of 60 days following the issuance of the Final Decision.</w:t>
      </w:r>
    </w:p>
  </w:footnote>
  <w:footnote w:id="92">
    <w:p w14:paraId="73E580CA" w14:textId="0121BF46" w:rsidR="009379DE" w:rsidRDefault="009379DE">
      <w:pPr>
        <w:pStyle w:val="FootnoteText"/>
      </w:pPr>
      <w:r>
        <w:rPr>
          <w:rStyle w:val="FootnoteReference"/>
        </w:rPr>
        <w:footnoteRef/>
      </w:r>
      <w:r>
        <w:t xml:space="preserve">  Liberty filed its amended motion requesting permission to implement interim rates on March 6, 2019.  As required, the motion also requested a memorandum account to track any difference between interim rates and final adopted rates. The ALJ Ruling on March 19, 2019 approved the interim rates and the memorandum account. </w:t>
      </w:r>
      <w:r w:rsidRPr="00A17F4C">
        <w:t>AL 236</w:t>
      </w:r>
      <w:r>
        <w:t>-W</w:t>
      </w:r>
      <w:r w:rsidRPr="00A17F4C">
        <w:t xml:space="preserve"> </w:t>
      </w:r>
      <w:r>
        <w:t xml:space="preserve">(Liberty </w:t>
      </w:r>
      <w:r w:rsidRPr="00A17F4C">
        <w:t>Apple Valley</w:t>
      </w:r>
      <w:r>
        <w:t>) and</w:t>
      </w:r>
      <w:r w:rsidRPr="00A17F4C">
        <w:t xml:space="preserve"> AL 293</w:t>
      </w:r>
      <w:r>
        <w:t>-W (Liberty Park).</w:t>
      </w:r>
    </w:p>
  </w:footnote>
  <w:footnote w:id="93">
    <w:p w14:paraId="7C2FB775" w14:textId="3E2238EC" w:rsidR="009379DE" w:rsidRDefault="009379DE">
      <w:pPr>
        <w:pStyle w:val="FootnoteText"/>
      </w:pPr>
      <w:r>
        <w:rPr>
          <w:rStyle w:val="FootnoteReference"/>
        </w:rPr>
        <w:footnoteRef/>
      </w:r>
      <w:r>
        <w:t xml:space="preserve">  </w:t>
      </w:r>
      <w:r w:rsidRPr="004059DF">
        <w:rPr>
          <w:i/>
          <w:iCs/>
        </w:rPr>
        <w:t>See</w:t>
      </w:r>
      <w:r>
        <w:t xml:space="preserve"> Section 5.4 herein regarding the new cost-of-capital.</w:t>
      </w:r>
    </w:p>
  </w:footnote>
  <w:footnote w:id="94">
    <w:p w14:paraId="096E98AE" w14:textId="41EE9C03" w:rsidR="009379DE" w:rsidRDefault="009379DE">
      <w:pPr>
        <w:pStyle w:val="FootnoteText"/>
      </w:pPr>
      <w:r>
        <w:rPr>
          <w:rStyle w:val="FootnoteReference"/>
        </w:rPr>
        <w:footnoteRef/>
      </w:r>
      <w:r>
        <w:t xml:space="preserve">  AL 236-W (Liberty Apple Valley).</w:t>
      </w:r>
    </w:p>
  </w:footnote>
  <w:footnote w:id="95">
    <w:p w14:paraId="1411D271" w14:textId="79E3F69A" w:rsidR="009379DE" w:rsidRDefault="009379DE">
      <w:pPr>
        <w:pStyle w:val="FootnoteText"/>
      </w:pPr>
      <w:r>
        <w:rPr>
          <w:rStyle w:val="FootnoteReference"/>
        </w:rPr>
        <w:footnoteRef/>
      </w:r>
      <w:r>
        <w:t xml:space="preserve">  AL 293-W (Liberty Park).</w:t>
      </w:r>
    </w:p>
  </w:footnote>
  <w:footnote w:id="96">
    <w:p w14:paraId="09B53441" w14:textId="39787825" w:rsidR="009379DE" w:rsidRDefault="009379DE" w:rsidP="00F51F15">
      <w:pPr>
        <w:pStyle w:val="FootnoteText"/>
      </w:pPr>
      <w:r>
        <w:rPr>
          <w:rStyle w:val="FootnoteReference"/>
        </w:rPr>
        <w:footnoteRef/>
      </w:r>
      <w:r>
        <w:t xml:space="preserve">  D.07-05-062 at 18-20.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F0A0F" w14:textId="77777777" w:rsidR="009379DE" w:rsidRPr="00F92385" w:rsidRDefault="009379DE" w:rsidP="00F92385">
    <w:pPr>
      <w:pStyle w:val="Header"/>
      <w:ind w:firstLine="0"/>
      <w:rPr>
        <w:i/>
        <w:color w:val="FF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67649" w14:textId="1363F0D2" w:rsidR="009379DE" w:rsidRDefault="009379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9379DE" w:rsidRPr="00F85246" w14:paraId="12151911" w14:textId="77777777" w:rsidTr="00F85246">
      <w:tc>
        <w:tcPr>
          <w:tcW w:w="3120" w:type="dxa"/>
        </w:tcPr>
        <w:p w14:paraId="43D3DF99" w14:textId="77777777" w:rsidR="009379DE" w:rsidRPr="00F85246" w:rsidRDefault="009379DE" w:rsidP="00F85246">
          <w:pPr>
            <w:tabs>
              <w:tab w:val="center" w:pos="4680"/>
              <w:tab w:val="right" w:pos="9360"/>
            </w:tabs>
            <w:spacing w:line="240" w:lineRule="auto"/>
            <w:ind w:left="-115" w:firstLine="0"/>
            <w:rPr>
              <w:rFonts w:ascii="Calibri" w:eastAsia="Calibri" w:hAnsi="Calibri" w:cs="Times New Roman"/>
              <w:sz w:val="22"/>
            </w:rPr>
          </w:pPr>
        </w:p>
      </w:tc>
      <w:tc>
        <w:tcPr>
          <w:tcW w:w="3120" w:type="dxa"/>
        </w:tcPr>
        <w:p w14:paraId="5447670B" w14:textId="77777777" w:rsidR="009379DE" w:rsidRPr="00F85246" w:rsidRDefault="009379DE" w:rsidP="00F85246">
          <w:pPr>
            <w:spacing w:after="160" w:line="259" w:lineRule="auto"/>
            <w:ind w:firstLine="0"/>
            <w:jc w:val="center"/>
            <w:rPr>
              <w:rFonts w:ascii="Calibri" w:eastAsia="Calibri" w:hAnsi="Calibri" w:cs="Times New Roman"/>
              <w:sz w:val="22"/>
            </w:rPr>
          </w:pPr>
          <w:r w:rsidRPr="00F85246">
            <w:rPr>
              <w:rFonts w:ascii="Calibri" w:eastAsia="Calibri" w:hAnsi="Calibri" w:cs="Calibri"/>
              <w:b/>
              <w:bCs/>
              <w:sz w:val="22"/>
            </w:rPr>
            <w:t>Liberty Utilities (Apple Valley Ranchos) Corp</w:t>
          </w:r>
        </w:p>
        <w:p w14:paraId="5248FB2B" w14:textId="77777777" w:rsidR="009379DE" w:rsidRPr="00F85246" w:rsidRDefault="009379DE" w:rsidP="00F85246">
          <w:pPr>
            <w:tabs>
              <w:tab w:val="center" w:pos="4680"/>
              <w:tab w:val="right" w:pos="9360"/>
            </w:tabs>
            <w:spacing w:line="240" w:lineRule="auto"/>
            <w:ind w:firstLine="0"/>
            <w:jc w:val="center"/>
            <w:rPr>
              <w:rFonts w:ascii="Calibri" w:eastAsia="Calibri" w:hAnsi="Calibri" w:cs="Times New Roman"/>
              <w:sz w:val="22"/>
            </w:rPr>
          </w:pPr>
        </w:p>
      </w:tc>
      <w:tc>
        <w:tcPr>
          <w:tcW w:w="3120" w:type="dxa"/>
        </w:tcPr>
        <w:p w14:paraId="54D88938" w14:textId="77777777" w:rsidR="009379DE" w:rsidRPr="00F85246" w:rsidRDefault="009379DE" w:rsidP="00F85246">
          <w:pPr>
            <w:tabs>
              <w:tab w:val="center" w:pos="4680"/>
              <w:tab w:val="right" w:pos="9360"/>
            </w:tabs>
            <w:spacing w:line="240" w:lineRule="auto"/>
            <w:ind w:right="-115" w:firstLine="0"/>
            <w:jc w:val="right"/>
            <w:rPr>
              <w:rFonts w:ascii="Calibri" w:eastAsia="Calibri" w:hAnsi="Calibri" w:cs="Times New Roman"/>
              <w:sz w:val="22"/>
            </w:rPr>
          </w:pPr>
        </w:p>
      </w:tc>
    </w:tr>
  </w:tbl>
  <w:p w14:paraId="63383786" w14:textId="5F90748B" w:rsidR="009379DE" w:rsidRDefault="009379DE" w:rsidP="0092143B">
    <w:pPr>
      <w:pStyle w:val="Header"/>
      <w:ind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AEB1F" w14:textId="77777777" w:rsidR="009379DE" w:rsidRDefault="009379DE" w:rsidP="00C618BF">
    <w:pPr>
      <w:pStyle w:val="Header"/>
      <w:tabs>
        <w:tab w:val="clear" w:pos="4680"/>
      </w:tabs>
      <w:ind w:firstLine="0"/>
      <w:rPr>
        <w:b/>
      </w:rPr>
    </w:pPr>
    <w:r>
      <w:t>A.18-01-002 et al.  ALJ/KWZ/gp2</w:t>
    </w:r>
    <w:r>
      <w:tab/>
    </w:r>
    <w:r>
      <w:rPr>
        <w:b/>
      </w:rPr>
      <w:t>PROPOSED DECISION</w:t>
    </w:r>
  </w:p>
  <w:p w14:paraId="7308EF74" w14:textId="77777777" w:rsidR="009379DE" w:rsidRDefault="009379DE" w:rsidP="0092143B">
    <w:pPr>
      <w:pStyle w:val="Header"/>
      <w:ind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9379DE" w:rsidRPr="00C618BF" w14:paraId="1C0F6BB5" w14:textId="77777777" w:rsidTr="00D2090C">
      <w:tc>
        <w:tcPr>
          <w:tcW w:w="3120" w:type="dxa"/>
        </w:tcPr>
        <w:p w14:paraId="5E5D0C0D" w14:textId="77777777" w:rsidR="009379DE" w:rsidRPr="00C618BF" w:rsidRDefault="009379DE" w:rsidP="00C618BF">
          <w:pPr>
            <w:tabs>
              <w:tab w:val="center" w:pos="4680"/>
              <w:tab w:val="right" w:pos="9360"/>
            </w:tabs>
            <w:spacing w:line="240" w:lineRule="auto"/>
            <w:ind w:left="-115" w:firstLine="0"/>
            <w:rPr>
              <w:rFonts w:ascii="Calibri" w:eastAsia="Calibri" w:hAnsi="Calibri" w:cs="Times New Roman"/>
              <w:sz w:val="22"/>
            </w:rPr>
          </w:pPr>
        </w:p>
      </w:tc>
      <w:tc>
        <w:tcPr>
          <w:tcW w:w="3120" w:type="dxa"/>
        </w:tcPr>
        <w:p w14:paraId="5FE2C067" w14:textId="0CF340C5" w:rsidR="009379DE" w:rsidRPr="00C618BF" w:rsidRDefault="009379DE" w:rsidP="003B4BA5">
          <w:pPr>
            <w:spacing w:after="160" w:line="259" w:lineRule="auto"/>
            <w:ind w:firstLine="0"/>
            <w:jc w:val="center"/>
            <w:rPr>
              <w:rFonts w:ascii="Calibri" w:eastAsia="Calibri" w:hAnsi="Calibri" w:cs="Times New Roman"/>
              <w:sz w:val="22"/>
            </w:rPr>
          </w:pPr>
          <w:r w:rsidRPr="00C618BF">
            <w:rPr>
              <w:rFonts w:ascii="Calibri" w:eastAsia="Calibri" w:hAnsi="Calibri" w:cs="Calibri"/>
              <w:b/>
              <w:bCs/>
              <w:sz w:val="22"/>
            </w:rPr>
            <w:t>Liberty Utilities (Apple Valley Ranchos) Corp</w:t>
          </w:r>
        </w:p>
      </w:tc>
      <w:tc>
        <w:tcPr>
          <w:tcW w:w="3120" w:type="dxa"/>
        </w:tcPr>
        <w:p w14:paraId="18FC2475" w14:textId="77777777" w:rsidR="009379DE" w:rsidRPr="00C618BF" w:rsidRDefault="009379DE" w:rsidP="00C618BF">
          <w:pPr>
            <w:tabs>
              <w:tab w:val="center" w:pos="4680"/>
              <w:tab w:val="right" w:pos="9360"/>
            </w:tabs>
            <w:spacing w:line="240" w:lineRule="auto"/>
            <w:ind w:right="-115" w:firstLine="0"/>
            <w:jc w:val="right"/>
            <w:rPr>
              <w:rFonts w:ascii="Calibri" w:eastAsia="Calibri" w:hAnsi="Calibri" w:cs="Times New Roman"/>
              <w:sz w:val="22"/>
            </w:rPr>
          </w:pPr>
        </w:p>
      </w:tc>
    </w:tr>
  </w:tbl>
  <w:p w14:paraId="182712A3" w14:textId="2F9E1374" w:rsidR="009379DE" w:rsidRDefault="009379DE" w:rsidP="00C618BF">
    <w:pPr>
      <w:pStyle w:val="Header"/>
      <w:ind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F3121" w14:textId="77777777" w:rsidR="009379DE" w:rsidRDefault="009379DE" w:rsidP="00C618BF">
    <w:pPr>
      <w:pStyle w:val="Header"/>
      <w:tabs>
        <w:tab w:val="clear" w:pos="4680"/>
      </w:tabs>
      <w:ind w:firstLine="0"/>
      <w:rPr>
        <w:b/>
      </w:rPr>
    </w:pPr>
    <w:r>
      <w:t>A.18-01-002 et al.  ALJ/KWZ/gp2</w:t>
    </w:r>
    <w:r>
      <w:tab/>
    </w:r>
    <w:r>
      <w:rPr>
        <w:b/>
      </w:rPr>
      <w:t>PROPOSED DECISION</w:t>
    </w:r>
  </w:p>
  <w:p w14:paraId="52605F23" w14:textId="77777777" w:rsidR="009379DE" w:rsidRPr="00C618BF" w:rsidRDefault="009379DE" w:rsidP="00C618BF">
    <w:pPr>
      <w:pStyle w:val="Header"/>
      <w:ind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80497" w14:textId="77777777" w:rsidR="009379DE" w:rsidRDefault="009379DE" w:rsidP="000B12B9">
    <w:pPr>
      <w:pStyle w:val="Header"/>
      <w:tabs>
        <w:tab w:val="clear" w:pos="4680"/>
      </w:tabs>
      <w:ind w:firstLine="0"/>
      <w:rPr>
        <w:b/>
      </w:rPr>
    </w:pPr>
    <w:r>
      <w:t>A.18-01-002 et al.  ALJ/KWZ/gp2</w:t>
    </w:r>
    <w:r>
      <w:tab/>
    </w:r>
    <w:r>
      <w:rPr>
        <w:b/>
      </w:rPr>
      <w:t>PROPOSED DECISION</w:t>
    </w:r>
  </w:p>
  <w:p w14:paraId="0A41B5E8" w14:textId="77777777" w:rsidR="009379DE" w:rsidRPr="00C618BF" w:rsidRDefault="009379DE" w:rsidP="00C618BF">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2B6C6" w14:textId="6184A9DB" w:rsidR="009379DE" w:rsidRDefault="00937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24A7A" w14:textId="2B043693" w:rsidR="009379DE" w:rsidRDefault="009379DE" w:rsidP="00EE4315">
    <w:pPr>
      <w:pStyle w:val="Header"/>
      <w:tabs>
        <w:tab w:val="clear" w:pos="4680"/>
      </w:tabs>
      <w:ind w:firstLine="0"/>
      <w:rPr>
        <w:b/>
      </w:rPr>
    </w:pPr>
    <w:r>
      <w:t>A.18-01-002 et al.  ALJ/KWZ/gp2</w:t>
    </w:r>
    <w:r>
      <w:tab/>
    </w:r>
    <w:r>
      <w:rPr>
        <w:b/>
      </w:rPr>
      <w:t>PROPOSED DECISION</w:t>
    </w:r>
  </w:p>
  <w:p w14:paraId="06B6B53B" w14:textId="42F1C49F" w:rsidR="009379DE" w:rsidRPr="00B3087D" w:rsidRDefault="009379DE" w:rsidP="00B3087D">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55B84" w14:textId="276ED240" w:rsidR="009379DE" w:rsidRDefault="009379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F10D4" w14:textId="4153CC6A" w:rsidR="009379DE" w:rsidRDefault="009379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A6586" w14:textId="77777777" w:rsidR="009379DE" w:rsidRDefault="009379DE" w:rsidP="008B76A1">
    <w:pPr>
      <w:pStyle w:val="Header"/>
      <w:tabs>
        <w:tab w:val="clear" w:pos="4680"/>
      </w:tabs>
      <w:ind w:firstLine="0"/>
      <w:rPr>
        <w:b/>
      </w:rPr>
    </w:pPr>
    <w:r>
      <w:t>A.18-01-002 et al.  ALJ/KWZ/gp2</w:t>
    </w:r>
    <w:r>
      <w:tab/>
    </w:r>
    <w:r>
      <w:rPr>
        <w:b/>
      </w:rPr>
      <w:t>PROPOSED DECISION</w:t>
    </w:r>
  </w:p>
  <w:p w14:paraId="319850B2" w14:textId="46D5CE9B" w:rsidR="009379DE" w:rsidRDefault="009379DE" w:rsidP="008B76A1">
    <w:pPr>
      <w:pStyle w:val="Header"/>
      <w:ind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3A993" w14:textId="5B114A14" w:rsidR="009379DE" w:rsidRDefault="009379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0E57" w14:textId="7C1A59F7" w:rsidR="009379DE" w:rsidRDefault="009379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414EC" w14:textId="77777777" w:rsidR="009379DE" w:rsidRDefault="009379DE" w:rsidP="0092143B">
    <w:pPr>
      <w:pStyle w:val="Header"/>
      <w:tabs>
        <w:tab w:val="clear" w:pos="4680"/>
      </w:tabs>
      <w:ind w:firstLine="0"/>
      <w:rPr>
        <w:b/>
      </w:rPr>
    </w:pPr>
    <w:r>
      <w:t>A.18-01-002 et al.  ALJ/KWZ/gp2</w:t>
    </w:r>
    <w:r>
      <w:tab/>
    </w:r>
    <w:r>
      <w:rPr>
        <w:b/>
      </w:rPr>
      <w:t>PROPOSED DECISION</w:t>
    </w:r>
  </w:p>
  <w:p w14:paraId="485FD1CE" w14:textId="19FA42FB" w:rsidR="009379DE" w:rsidRDefault="009379DE" w:rsidP="0092143B">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DFC7E2B"/>
    <w:multiLevelType w:val="hybridMultilevel"/>
    <w:tmpl w:val="4DAE8046"/>
    <w:lvl w:ilvl="0" w:tplc="FDAEA188">
      <w:start w:val="1"/>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2242C9"/>
    <w:multiLevelType w:val="multilevel"/>
    <w:tmpl w:val="81169AF6"/>
    <w:numStyleLink w:val="Headings"/>
  </w:abstractNum>
  <w:abstractNum w:abstractNumId="5" w15:restartNumberingAfterBreak="0">
    <w:nsid w:val="29432033"/>
    <w:multiLevelType w:val="multilevel"/>
    <w:tmpl w:val="1C86B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1F6D42"/>
    <w:multiLevelType w:val="multilevel"/>
    <w:tmpl w:val="81169AF6"/>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36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230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324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4176" w:hanging="1296"/>
      </w:pPr>
      <w:rPr>
        <w:rFonts w:ascii="Arial" w:hAnsi="Arial" w:hint="default"/>
        <w:b/>
        <w:i w:val="0"/>
        <w:sz w:val="26"/>
      </w:rPr>
    </w:lvl>
    <w:lvl w:ilvl="5">
      <w:start w:val="1"/>
      <w:numFmt w:val="decimal"/>
      <w:pStyle w:val="Heading6"/>
      <w:lvlText w:val="%1.%2.%3.%4.%5.%6."/>
      <w:lvlJc w:val="left"/>
      <w:pPr>
        <w:tabs>
          <w:tab w:val="num" w:pos="3600"/>
        </w:tabs>
        <w:ind w:left="51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448970BE"/>
    <w:multiLevelType w:val="hybridMultilevel"/>
    <w:tmpl w:val="A8E6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61730"/>
    <w:multiLevelType w:val="hybridMultilevel"/>
    <w:tmpl w:val="82346D8A"/>
    <w:lvl w:ilvl="0" w:tplc="D444EEB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55FF0"/>
    <w:multiLevelType w:val="hybridMultilevel"/>
    <w:tmpl w:val="77F8C002"/>
    <w:lvl w:ilvl="0" w:tplc="D1E0380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F4D51F9"/>
    <w:multiLevelType w:val="hybridMultilevel"/>
    <w:tmpl w:val="1004D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2"/>
  </w:num>
  <w:num w:numId="5">
    <w:abstractNumId w:val="14"/>
  </w:num>
  <w:num w:numId="6">
    <w:abstractNumId w:val="6"/>
  </w:num>
  <w:num w:numId="7">
    <w:abstractNumId w:val="4"/>
  </w:num>
  <w:num w:numId="8">
    <w:abstractNumId w:val="13"/>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10"/>
  </w:num>
  <w:num w:numId="14">
    <w:abstractNumId w:val="9"/>
  </w:num>
  <w:num w:numId="15">
    <w:abstractNumId w:val="5"/>
  </w:num>
  <w:num w:numId="16">
    <w:abstractNumId w:val="3"/>
  </w:num>
  <w:num w:numId="1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3E"/>
    <w:rsid w:val="000003E9"/>
    <w:rsid w:val="000004A3"/>
    <w:rsid w:val="00000F6A"/>
    <w:rsid w:val="000013CE"/>
    <w:rsid w:val="00001CB1"/>
    <w:rsid w:val="000020FD"/>
    <w:rsid w:val="00002EE7"/>
    <w:rsid w:val="00002F25"/>
    <w:rsid w:val="00002FCA"/>
    <w:rsid w:val="000033E4"/>
    <w:rsid w:val="00003C2F"/>
    <w:rsid w:val="0000554A"/>
    <w:rsid w:val="00006221"/>
    <w:rsid w:val="00006845"/>
    <w:rsid w:val="00006868"/>
    <w:rsid w:val="00006F91"/>
    <w:rsid w:val="000102CB"/>
    <w:rsid w:val="00011224"/>
    <w:rsid w:val="00011A54"/>
    <w:rsid w:val="00012088"/>
    <w:rsid w:val="00015E12"/>
    <w:rsid w:val="000160D8"/>
    <w:rsid w:val="0002016D"/>
    <w:rsid w:val="000223D6"/>
    <w:rsid w:val="00022792"/>
    <w:rsid w:val="000236EE"/>
    <w:rsid w:val="0002420C"/>
    <w:rsid w:val="00024E2B"/>
    <w:rsid w:val="0002609C"/>
    <w:rsid w:val="000263A1"/>
    <w:rsid w:val="00026C5B"/>
    <w:rsid w:val="00030930"/>
    <w:rsid w:val="0003178F"/>
    <w:rsid w:val="00031911"/>
    <w:rsid w:val="00032E90"/>
    <w:rsid w:val="0003302F"/>
    <w:rsid w:val="000332F0"/>
    <w:rsid w:val="00034FD7"/>
    <w:rsid w:val="00035B10"/>
    <w:rsid w:val="00035F57"/>
    <w:rsid w:val="0003610E"/>
    <w:rsid w:val="000362C9"/>
    <w:rsid w:val="00036F64"/>
    <w:rsid w:val="000405F4"/>
    <w:rsid w:val="00041237"/>
    <w:rsid w:val="000416AD"/>
    <w:rsid w:val="00041CDA"/>
    <w:rsid w:val="000422E8"/>
    <w:rsid w:val="0004243B"/>
    <w:rsid w:val="000428D0"/>
    <w:rsid w:val="00043B09"/>
    <w:rsid w:val="00044900"/>
    <w:rsid w:val="00044C16"/>
    <w:rsid w:val="00046386"/>
    <w:rsid w:val="000469D8"/>
    <w:rsid w:val="00047A07"/>
    <w:rsid w:val="00047CA6"/>
    <w:rsid w:val="00050313"/>
    <w:rsid w:val="0005108B"/>
    <w:rsid w:val="00052989"/>
    <w:rsid w:val="0005399C"/>
    <w:rsid w:val="000539F7"/>
    <w:rsid w:val="00053F20"/>
    <w:rsid w:val="00054BDA"/>
    <w:rsid w:val="00055DD1"/>
    <w:rsid w:val="00055F41"/>
    <w:rsid w:val="00056E3A"/>
    <w:rsid w:val="00056F5A"/>
    <w:rsid w:val="00057663"/>
    <w:rsid w:val="00057D4E"/>
    <w:rsid w:val="000605A5"/>
    <w:rsid w:val="00062065"/>
    <w:rsid w:val="00062498"/>
    <w:rsid w:val="00062B61"/>
    <w:rsid w:val="00063705"/>
    <w:rsid w:val="0006387D"/>
    <w:rsid w:val="00063F73"/>
    <w:rsid w:val="00063F8B"/>
    <w:rsid w:val="00064D4C"/>
    <w:rsid w:val="00064DA3"/>
    <w:rsid w:val="00066DBE"/>
    <w:rsid w:val="00067332"/>
    <w:rsid w:val="000674E2"/>
    <w:rsid w:val="000679FE"/>
    <w:rsid w:val="00067D71"/>
    <w:rsid w:val="0007115A"/>
    <w:rsid w:val="000724B4"/>
    <w:rsid w:val="0007420D"/>
    <w:rsid w:val="0007487C"/>
    <w:rsid w:val="00076D39"/>
    <w:rsid w:val="000777F6"/>
    <w:rsid w:val="0008090E"/>
    <w:rsid w:val="00080F4C"/>
    <w:rsid w:val="00081296"/>
    <w:rsid w:val="00081909"/>
    <w:rsid w:val="00082F6B"/>
    <w:rsid w:val="00083CF8"/>
    <w:rsid w:val="0008557F"/>
    <w:rsid w:val="00086185"/>
    <w:rsid w:val="00087692"/>
    <w:rsid w:val="00091519"/>
    <w:rsid w:val="00092B26"/>
    <w:rsid w:val="00092B66"/>
    <w:rsid w:val="00093E22"/>
    <w:rsid w:val="00094D35"/>
    <w:rsid w:val="000958AE"/>
    <w:rsid w:val="000959E4"/>
    <w:rsid w:val="000963FF"/>
    <w:rsid w:val="00096B30"/>
    <w:rsid w:val="00096CC0"/>
    <w:rsid w:val="000973C8"/>
    <w:rsid w:val="000A034D"/>
    <w:rsid w:val="000A1372"/>
    <w:rsid w:val="000A17EC"/>
    <w:rsid w:val="000A2AA9"/>
    <w:rsid w:val="000A39C8"/>
    <w:rsid w:val="000A56F2"/>
    <w:rsid w:val="000A6E05"/>
    <w:rsid w:val="000B0A87"/>
    <w:rsid w:val="000B12B9"/>
    <w:rsid w:val="000B12FA"/>
    <w:rsid w:val="000B2E62"/>
    <w:rsid w:val="000B384E"/>
    <w:rsid w:val="000B3D98"/>
    <w:rsid w:val="000B4525"/>
    <w:rsid w:val="000B4BEE"/>
    <w:rsid w:val="000B4EAD"/>
    <w:rsid w:val="000B541D"/>
    <w:rsid w:val="000B5CA6"/>
    <w:rsid w:val="000B6564"/>
    <w:rsid w:val="000B687E"/>
    <w:rsid w:val="000B7149"/>
    <w:rsid w:val="000B722A"/>
    <w:rsid w:val="000B776F"/>
    <w:rsid w:val="000C00DD"/>
    <w:rsid w:val="000C08BF"/>
    <w:rsid w:val="000C1308"/>
    <w:rsid w:val="000C18DF"/>
    <w:rsid w:val="000C1986"/>
    <w:rsid w:val="000C3B9A"/>
    <w:rsid w:val="000C62B3"/>
    <w:rsid w:val="000C6367"/>
    <w:rsid w:val="000C720A"/>
    <w:rsid w:val="000C7CDC"/>
    <w:rsid w:val="000C7D7B"/>
    <w:rsid w:val="000D01FF"/>
    <w:rsid w:val="000D166E"/>
    <w:rsid w:val="000D1A98"/>
    <w:rsid w:val="000D1CFD"/>
    <w:rsid w:val="000D1D91"/>
    <w:rsid w:val="000D25A8"/>
    <w:rsid w:val="000D2B50"/>
    <w:rsid w:val="000D2CDF"/>
    <w:rsid w:val="000D2DF5"/>
    <w:rsid w:val="000D3250"/>
    <w:rsid w:val="000D36A3"/>
    <w:rsid w:val="000D3F04"/>
    <w:rsid w:val="000D4308"/>
    <w:rsid w:val="000D44B1"/>
    <w:rsid w:val="000D52EE"/>
    <w:rsid w:val="000D6210"/>
    <w:rsid w:val="000E01E7"/>
    <w:rsid w:val="000E050D"/>
    <w:rsid w:val="000E0C15"/>
    <w:rsid w:val="000E269B"/>
    <w:rsid w:val="000E2A65"/>
    <w:rsid w:val="000E2BA8"/>
    <w:rsid w:val="000E2BD9"/>
    <w:rsid w:val="000E38EF"/>
    <w:rsid w:val="000E4B60"/>
    <w:rsid w:val="000E4C53"/>
    <w:rsid w:val="000E56D5"/>
    <w:rsid w:val="000E77EF"/>
    <w:rsid w:val="000F032A"/>
    <w:rsid w:val="000F046E"/>
    <w:rsid w:val="000F0656"/>
    <w:rsid w:val="000F1206"/>
    <w:rsid w:val="000F185C"/>
    <w:rsid w:val="000F2522"/>
    <w:rsid w:val="000F25F0"/>
    <w:rsid w:val="000F290E"/>
    <w:rsid w:val="000F4485"/>
    <w:rsid w:val="000F464E"/>
    <w:rsid w:val="000F4FEF"/>
    <w:rsid w:val="000F5D4C"/>
    <w:rsid w:val="000F63DF"/>
    <w:rsid w:val="000F6582"/>
    <w:rsid w:val="000F6E3D"/>
    <w:rsid w:val="000F75DA"/>
    <w:rsid w:val="001032E6"/>
    <w:rsid w:val="00104898"/>
    <w:rsid w:val="00107935"/>
    <w:rsid w:val="00107C88"/>
    <w:rsid w:val="00110F40"/>
    <w:rsid w:val="00111C06"/>
    <w:rsid w:val="00114122"/>
    <w:rsid w:val="001159E0"/>
    <w:rsid w:val="00115BD3"/>
    <w:rsid w:val="00116A55"/>
    <w:rsid w:val="00117A45"/>
    <w:rsid w:val="00121089"/>
    <w:rsid w:val="0012169C"/>
    <w:rsid w:val="001221F9"/>
    <w:rsid w:val="0012262F"/>
    <w:rsid w:val="00123021"/>
    <w:rsid w:val="001230FD"/>
    <w:rsid w:val="00124E18"/>
    <w:rsid w:val="00125A16"/>
    <w:rsid w:val="0012603F"/>
    <w:rsid w:val="00126EC9"/>
    <w:rsid w:val="00126F55"/>
    <w:rsid w:val="00127175"/>
    <w:rsid w:val="001315E4"/>
    <w:rsid w:val="00134D1D"/>
    <w:rsid w:val="00135770"/>
    <w:rsid w:val="00136144"/>
    <w:rsid w:val="00136EB3"/>
    <w:rsid w:val="00137038"/>
    <w:rsid w:val="00140C29"/>
    <w:rsid w:val="00141957"/>
    <w:rsid w:val="00141FAD"/>
    <w:rsid w:val="00143A63"/>
    <w:rsid w:val="00145F34"/>
    <w:rsid w:val="001462C9"/>
    <w:rsid w:val="001469F1"/>
    <w:rsid w:val="00146E63"/>
    <w:rsid w:val="001519C8"/>
    <w:rsid w:val="00152571"/>
    <w:rsid w:val="001532BE"/>
    <w:rsid w:val="00154B0D"/>
    <w:rsid w:val="00154C82"/>
    <w:rsid w:val="00154EB5"/>
    <w:rsid w:val="001561BC"/>
    <w:rsid w:val="0015660B"/>
    <w:rsid w:val="00157002"/>
    <w:rsid w:val="00157666"/>
    <w:rsid w:val="00157702"/>
    <w:rsid w:val="00160B97"/>
    <w:rsid w:val="00163498"/>
    <w:rsid w:val="00163675"/>
    <w:rsid w:val="001655E1"/>
    <w:rsid w:val="00166025"/>
    <w:rsid w:val="00166C41"/>
    <w:rsid w:val="0016734B"/>
    <w:rsid w:val="00170E97"/>
    <w:rsid w:val="00171A04"/>
    <w:rsid w:val="00172861"/>
    <w:rsid w:val="0017293B"/>
    <w:rsid w:val="00172953"/>
    <w:rsid w:val="00172E1A"/>
    <w:rsid w:val="00173327"/>
    <w:rsid w:val="001739BC"/>
    <w:rsid w:val="001769B5"/>
    <w:rsid w:val="00181994"/>
    <w:rsid w:val="00184619"/>
    <w:rsid w:val="00184908"/>
    <w:rsid w:val="00184B5D"/>
    <w:rsid w:val="0018525C"/>
    <w:rsid w:val="00185396"/>
    <w:rsid w:val="00185417"/>
    <w:rsid w:val="001923C5"/>
    <w:rsid w:val="00192AA7"/>
    <w:rsid w:val="00192BED"/>
    <w:rsid w:val="00193254"/>
    <w:rsid w:val="0019385B"/>
    <w:rsid w:val="00193A74"/>
    <w:rsid w:val="00194FCC"/>
    <w:rsid w:val="00195640"/>
    <w:rsid w:val="0019596C"/>
    <w:rsid w:val="00195AAB"/>
    <w:rsid w:val="00196893"/>
    <w:rsid w:val="001A0B94"/>
    <w:rsid w:val="001A0EFF"/>
    <w:rsid w:val="001A19B9"/>
    <w:rsid w:val="001A1ABC"/>
    <w:rsid w:val="001A2101"/>
    <w:rsid w:val="001A21F6"/>
    <w:rsid w:val="001A26A9"/>
    <w:rsid w:val="001A306E"/>
    <w:rsid w:val="001A3BB9"/>
    <w:rsid w:val="001A4A5D"/>
    <w:rsid w:val="001A4D54"/>
    <w:rsid w:val="001A514F"/>
    <w:rsid w:val="001A6787"/>
    <w:rsid w:val="001A6C1D"/>
    <w:rsid w:val="001A6EDD"/>
    <w:rsid w:val="001A77DF"/>
    <w:rsid w:val="001A7DD9"/>
    <w:rsid w:val="001B08F7"/>
    <w:rsid w:val="001B0BEF"/>
    <w:rsid w:val="001B0F85"/>
    <w:rsid w:val="001B112F"/>
    <w:rsid w:val="001B17D4"/>
    <w:rsid w:val="001B1B41"/>
    <w:rsid w:val="001B39FF"/>
    <w:rsid w:val="001B42F5"/>
    <w:rsid w:val="001B486C"/>
    <w:rsid w:val="001B56B5"/>
    <w:rsid w:val="001B5E07"/>
    <w:rsid w:val="001B616C"/>
    <w:rsid w:val="001B61DF"/>
    <w:rsid w:val="001B74A0"/>
    <w:rsid w:val="001C2E99"/>
    <w:rsid w:val="001C3232"/>
    <w:rsid w:val="001C363F"/>
    <w:rsid w:val="001C4A22"/>
    <w:rsid w:val="001C5257"/>
    <w:rsid w:val="001C71C0"/>
    <w:rsid w:val="001D0D0A"/>
    <w:rsid w:val="001D1310"/>
    <w:rsid w:val="001D1864"/>
    <w:rsid w:val="001D5882"/>
    <w:rsid w:val="001D6BFB"/>
    <w:rsid w:val="001D6D4F"/>
    <w:rsid w:val="001D7301"/>
    <w:rsid w:val="001D7497"/>
    <w:rsid w:val="001E0F4A"/>
    <w:rsid w:val="001E2603"/>
    <w:rsid w:val="001E27C2"/>
    <w:rsid w:val="001E2A62"/>
    <w:rsid w:val="001E3B38"/>
    <w:rsid w:val="001E444F"/>
    <w:rsid w:val="001E553F"/>
    <w:rsid w:val="001E62A9"/>
    <w:rsid w:val="001E6576"/>
    <w:rsid w:val="001E69A2"/>
    <w:rsid w:val="001E6BE5"/>
    <w:rsid w:val="001E6EFA"/>
    <w:rsid w:val="001E766B"/>
    <w:rsid w:val="001E7FD2"/>
    <w:rsid w:val="001F0BA9"/>
    <w:rsid w:val="001F1F46"/>
    <w:rsid w:val="001F2819"/>
    <w:rsid w:val="001F3989"/>
    <w:rsid w:val="001F3C7D"/>
    <w:rsid w:val="001F6993"/>
    <w:rsid w:val="001F6D20"/>
    <w:rsid w:val="001F72D0"/>
    <w:rsid w:val="001F7E46"/>
    <w:rsid w:val="002004FD"/>
    <w:rsid w:val="00200F9C"/>
    <w:rsid w:val="0020230C"/>
    <w:rsid w:val="0020325F"/>
    <w:rsid w:val="0020405C"/>
    <w:rsid w:val="002043EC"/>
    <w:rsid w:val="002044F2"/>
    <w:rsid w:val="00205C06"/>
    <w:rsid w:val="0020627C"/>
    <w:rsid w:val="00207F2F"/>
    <w:rsid w:val="00210BB0"/>
    <w:rsid w:val="0021106A"/>
    <w:rsid w:val="00211260"/>
    <w:rsid w:val="002112FE"/>
    <w:rsid w:val="00211B9C"/>
    <w:rsid w:val="00212382"/>
    <w:rsid w:val="00212664"/>
    <w:rsid w:val="0021490B"/>
    <w:rsid w:val="0021588B"/>
    <w:rsid w:val="00215B8D"/>
    <w:rsid w:val="002160A9"/>
    <w:rsid w:val="00216975"/>
    <w:rsid w:val="00217A30"/>
    <w:rsid w:val="00217B56"/>
    <w:rsid w:val="00220800"/>
    <w:rsid w:val="002209E1"/>
    <w:rsid w:val="00221300"/>
    <w:rsid w:val="0022155A"/>
    <w:rsid w:val="00223913"/>
    <w:rsid w:val="00223A7C"/>
    <w:rsid w:val="00223AE2"/>
    <w:rsid w:val="002242CA"/>
    <w:rsid w:val="00224EE7"/>
    <w:rsid w:val="002277F0"/>
    <w:rsid w:val="00230B6F"/>
    <w:rsid w:val="0023112E"/>
    <w:rsid w:val="00232BFF"/>
    <w:rsid w:val="002334BD"/>
    <w:rsid w:val="002340F1"/>
    <w:rsid w:val="0023545E"/>
    <w:rsid w:val="00235D77"/>
    <w:rsid w:val="00236827"/>
    <w:rsid w:val="002368E4"/>
    <w:rsid w:val="002374F3"/>
    <w:rsid w:val="0023753D"/>
    <w:rsid w:val="002376C4"/>
    <w:rsid w:val="002378B0"/>
    <w:rsid w:val="002400EB"/>
    <w:rsid w:val="00240C10"/>
    <w:rsid w:val="002410A7"/>
    <w:rsid w:val="0024123E"/>
    <w:rsid w:val="0024194B"/>
    <w:rsid w:val="00243AF9"/>
    <w:rsid w:val="00243DC0"/>
    <w:rsid w:val="00245BF7"/>
    <w:rsid w:val="00247088"/>
    <w:rsid w:val="002473C6"/>
    <w:rsid w:val="00247477"/>
    <w:rsid w:val="002478B6"/>
    <w:rsid w:val="0025213E"/>
    <w:rsid w:val="00253F94"/>
    <w:rsid w:val="00254F5A"/>
    <w:rsid w:val="0025558C"/>
    <w:rsid w:val="00255697"/>
    <w:rsid w:val="00255AE1"/>
    <w:rsid w:val="00255EED"/>
    <w:rsid w:val="0025610A"/>
    <w:rsid w:val="00257D01"/>
    <w:rsid w:val="00257EA7"/>
    <w:rsid w:val="002609CB"/>
    <w:rsid w:val="002610F8"/>
    <w:rsid w:val="0026262A"/>
    <w:rsid w:val="00262968"/>
    <w:rsid w:val="00262B5C"/>
    <w:rsid w:val="00262CEC"/>
    <w:rsid w:val="002637C3"/>
    <w:rsid w:val="0026472E"/>
    <w:rsid w:val="00264D80"/>
    <w:rsid w:val="0026501E"/>
    <w:rsid w:val="00267D45"/>
    <w:rsid w:val="00270066"/>
    <w:rsid w:val="00270440"/>
    <w:rsid w:val="0027207C"/>
    <w:rsid w:val="00274B4D"/>
    <w:rsid w:val="00275B25"/>
    <w:rsid w:val="00275FBC"/>
    <w:rsid w:val="002770E5"/>
    <w:rsid w:val="00277BB2"/>
    <w:rsid w:val="002805D1"/>
    <w:rsid w:val="00281176"/>
    <w:rsid w:val="00281D5D"/>
    <w:rsid w:val="002822A4"/>
    <w:rsid w:val="00283D81"/>
    <w:rsid w:val="00284699"/>
    <w:rsid w:val="0028513B"/>
    <w:rsid w:val="002851B4"/>
    <w:rsid w:val="00286613"/>
    <w:rsid w:val="00286CA4"/>
    <w:rsid w:val="00287EC7"/>
    <w:rsid w:val="00290F6D"/>
    <w:rsid w:val="00291D7A"/>
    <w:rsid w:val="0029240F"/>
    <w:rsid w:val="00292693"/>
    <w:rsid w:val="002931EF"/>
    <w:rsid w:val="00293DEE"/>
    <w:rsid w:val="00293E90"/>
    <w:rsid w:val="002948CB"/>
    <w:rsid w:val="00294B9C"/>
    <w:rsid w:val="00294DA8"/>
    <w:rsid w:val="00294F13"/>
    <w:rsid w:val="002954FB"/>
    <w:rsid w:val="002A0215"/>
    <w:rsid w:val="002A0B5D"/>
    <w:rsid w:val="002A265E"/>
    <w:rsid w:val="002A46FF"/>
    <w:rsid w:val="002A5032"/>
    <w:rsid w:val="002A567F"/>
    <w:rsid w:val="002A599C"/>
    <w:rsid w:val="002A6468"/>
    <w:rsid w:val="002A6D46"/>
    <w:rsid w:val="002B0DC8"/>
    <w:rsid w:val="002B4434"/>
    <w:rsid w:val="002B4D7D"/>
    <w:rsid w:val="002B5439"/>
    <w:rsid w:val="002B5FDD"/>
    <w:rsid w:val="002B608D"/>
    <w:rsid w:val="002B6714"/>
    <w:rsid w:val="002B6866"/>
    <w:rsid w:val="002B6A42"/>
    <w:rsid w:val="002B73D9"/>
    <w:rsid w:val="002C19A4"/>
    <w:rsid w:val="002C2180"/>
    <w:rsid w:val="002C3050"/>
    <w:rsid w:val="002C4A6A"/>
    <w:rsid w:val="002C4B12"/>
    <w:rsid w:val="002C535F"/>
    <w:rsid w:val="002C603A"/>
    <w:rsid w:val="002C611B"/>
    <w:rsid w:val="002C665E"/>
    <w:rsid w:val="002C7280"/>
    <w:rsid w:val="002C75F8"/>
    <w:rsid w:val="002C7A4C"/>
    <w:rsid w:val="002C7B54"/>
    <w:rsid w:val="002C7EC8"/>
    <w:rsid w:val="002C7FE9"/>
    <w:rsid w:val="002D2B1A"/>
    <w:rsid w:val="002D4DC0"/>
    <w:rsid w:val="002D4EFD"/>
    <w:rsid w:val="002D4FCC"/>
    <w:rsid w:val="002D540A"/>
    <w:rsid w:val="002D612F"/>
    <w:rsid w:val="002D6608"/>
    <w:rsid w:val="002D6688"/>
    <w:rsid w:val="002D7A15"/>
    <w:rsid w:val="002E3F8F"/>
    <w:rsid w:val="002E4B9F"/>
    <w:rsid w:val="002E4BE7"/>
    <w:rsid w:val="002E4D55"/>
    <w:rsid w:val="002E54F9"/>
    <w:rsid w:val="002E584F"/>
    <w:rsid w:val="002E5D27"/>
    <w:rsid w:val="002E5DE1"/>
    <w:rsid w:val="002E7729"/>
    <w:rsid w:val="002F0B0E"/>
    <w:rsid w:val="002F1B07"/>
    <w:rsid w:val="002F2886"/>
    <w:rsid w:val="002F30A0"/>
    <w:rsid w:val="002F37F3"/>
    <w:rsid w:val="002F3EDA"/>
    <w:rsid w:val="002F3F52"/>
    <w:rsid w:val="002F42A3"/>
    <w:rsid w:val="002F4863"/>
    <w:rsid w:val="002F59BD"/>
    <w:rsid w:val="002F6162"/>
    <w:rsid w:val="002F6224"/>
    <w:rsid w:val="002F6254"/>
    <w:rsid w:val="002F6329"/>
    <w:rsid w:val="002F677C"/>
    <w:rsid w:val="002F6AD5"/>
    <w:rsid w:val="002F7707"/>
    <w:rsid w:val="002F7EB7"/>
    <w:rsid w:val="0030086D"/>
    <w:rsid w:val="0030109B"/>
    <w:rsid w:val="00301641"/>
    <w:rsid w:val="00301C47"/>
    <w:rsid w:val="00302E9B"/>
    <w:rsid w:val="00302F18"/>
    <w:rsid w:val="00303446"/>
    <w:rsid w:val="00303633"/>
    <w:rsid w:val="00305523"/>
    <w:rsid w:val="0030598F"/>
    <w:rsid w:val="00305D1D"/>
    <w:rsid w:val="00306C07"/>
    <w:rsid w:val="00306FE1"/>
    <w:rsid w:val="00307234"/>
    <w:rsid w:val="0031116B"/>
    <w:rsid w:val="00312011"/>
    <w:rsid w:val="0031294F"/>
    <w:rsid w:val="00316071"/>
    <w:rsid w:val="003163EC"/>
    <w:rsid w:val="0031650C"/>
    <w:rsid w:val="00316625"/>
    <w:rsid w:val="00317AD5"/>
    <w:rsid w:val="003200E5"/>
    <w:rsid w:val="003205DB"/>
    <w:rsid w:val="003206AB"/>
    <w:rsid w:val="0032091D"/>
    <w:rsid w:val="00320969"/>
    <w:rsid w:val="00320BAE"/>
    <w:rsid w:val="0032117D"/>
    <w:rsid w:val="00321A10"/>
    <w:rsid w:val="00321D01"/>
    <w:rsid w:val="00321D3D"/>
    <w:rsid w:val="00322241"/>
    <w:rsid w:val="003223B6"/>
    <w:rsid w:val="00322B02"/>
    <w:rsid w:val="00324312"/>
    <w:rsid w:val="00324445"/>
    <w:rsid w:val="00325025"/>
    <w:rsid w:val="003270FD"/>
    <w:rsid w:val="00330A33"/>
    <w:rsid w:val="003345EC"/>
    <w:rsid w:val="00334DF0"/>
    <w:rsid w:val="003350BC"/>
    <w:rsid w:val="00335277"/>
    <w:rsid w:val="003359FF"/>
    <w:rsid w:val="00335B50"/>
    <w:rsid w:val="00337A3E"/>
    <w:rsid w:val="00340640"/>
    <w:rsid w:val="00340E86"/>
    <w:rsid w:val="003418ED"/>
    <w:rsid w:val="00343716"/>
    <w:rsid w:val="00343E5C"/>
    <w:rsid w:val="00344E8C"/>
    <w:rsid w:val="0034693F"/>
    <w:rsid w:val="0034741C"/>
    <w:rsid w:val="00347C81"/>
    <w:rsid w:val="00350C6C"/>
    <w:rsid w:val="00351E8C"/>
    <w:rsid w:val="00352349"/>
    <w:rsid w:val="00352A75"/>
    <w:rsid w:val="003538F8"/>
    <w:rsid w:val="00354A97"/>
    <w:rsid w:val="00354CDC"/>
    <w:rsid w:val="00355700"/>
    <w:rsid w:val="00356563"/>
    <w:rsid w:val="003578AD"/>
    <w:rsid w:val="003579DD"/>
    <w:rsid w:val="0036017B"/>
    <w:rsid w:val="00361D83"/>
    <w:rsid w:val="00362755"/>
    <w:rsid w:val="00363228"/>
    <w:rsid w:val="00364895"/>
    <w:rsid w:val="0036613F"/>
    <w:rsid w:val="003668EE"/>
    <w:rsid w:val="0036690A"/>
    <w:rsid w:val="0036774A"/>
    <w:rsid w:val="00367C0C"/>
    <w:rsid w:val="00371017"/>
    <w:rsid w:val="00372731"/>
    <w:rsid w:val="003732B9"/>
    <w:rsid w:val="0037387E"/>
    <w:rsid w:val="00373B7D"/>
    <w:rsid w:val="00373B93"/>
    <w:rsid w:val="00375FBE"/>
    <w:rsid w:val="00377FF1"/>
    <w:rsid w:val="0038050F"/>
    <w:rsid w:val="00381BD1"/>
    <w:rsid w:val="003829FA"/>
    <w:rsid w:val="003830C5"/>
    <w:rsid w:val="00383947"/>
    <w:rsid w:val="00383CF7"/>
    <w:rsid w:val="00386B8D"/>
    <w:rsid w:val="00387288"/>
    <w:rsid w:val="0039122B"/>
    <w:rsid w:val="003916F7"/>
    <w:rsid w:val="00395BC8"/>
    <w:rsid w:val="003A0750"/>
    <w:rsid w:val="003A0E64"/>
    <w:rsid w:val="003A35F7"/>
    <w:rsid w:val="003A379E"/>
    <w:rsid w:val="003A38F0"/>
    <w:rsid w:val="003A563A"/>
    <w:rsid w:val="003A641B"/>
    <w:rsid w:val="003A6F38"/>
    <w:rsid w:val="003A715D"/>
    <w:rsid w:val="003A75D9"/>
    <w:rsid w:val="003A78AE"/>
    <w:rsid w:val="003A7DEF"/>
    <w:rsid w:val="003B0BF7"/>
    <w:rsid w:val="003B1098"/>
    <w:rsid w:val="003B1F46"/>
    <w:rsid w:val="003B24B2"/>
    <w:rsid w:val="003B2707"/>
    <w:rsid w:val="003B4BA5"/>
    <w:rsid w:val="003B7467"/>
    <w:rsid w:val="003C0429"/>
    <w:rsid w:val="003C0A18"/>
    <w:rsid w:val="003C13D4"/>
    <w:rsid w:val="003C2431"/>
    <w:rsid w:val="003C33DF"/>
    <w:rsid w:val="003C4856"/>
    <w:rsid w:val="003C4A09"/>
    <w:rsid w:val="003C4A2A"/>
    <w:rsid w:val="003C4AAF"/>
    <w:rsid w:val="003C507D"/>
    <w:rsid w:val="003C5889"/>
    <w:rsid w:val="003C67C0"/>
    <w:rsid w:val="003C67D4"/>
    <w:rsid w:val="003C68E7"/>
    <w:rsid w:val="003C6BAA"/>
    <w:rsid w:val="003C6DB1"/>
    <w:rsid w:val="003C6E3F"/>
    <w:rsid w:val="003C76E9"/>
    <w:rsid w:val="003D0611"/>
    <w:rsid w:val="003D1553"/>
    <w:rsid w:val="003D1D85"/>
    <w:rsid w:val="003D3273"/>
    <w:rsid w:val="003D4345"/>
    <w:rsid w:val="003D434D"/>
    <w:rsid w:val="003D53CF"/>
    <w:rsid w:val="003D5DE4"/>
    <w:rsid w:val="003D66B1"/>
    <w:rsid w:val="003D74BC"/>
    <w:rsid w:val="003E0581"/>
    <w:rsid w:val="003E2191"/>
    <w:rsid w:val="003E2990"/>
    <w:rsid w:val="003E31AA"/>
    <w:rsid w:val="003E3205"/>
    <w:rsid w:val="003E4338"/>
    <w:rsid w:val="003E5071"/>
    <w:rsid w:val="003E5C29"/>
    <w:rsid w:val="003E5ED4"/>
    <w:rsid w:val="003E5F79"/>
    <w:rsid w:val="003E7443"/>
    <w:rsid w:val="003E7B48"/>
    <w:rsid w:val="003F043F"/>
    <w:rsid w:val="003F055B"/>
    <w:rsid w:val="003F0731"/>
    <w:rsid w:val="003F0F29"/>
    <w:rsid w:val="003F1317"/>
    <w:rsid w:val="003F1329"/>
    <w:rsid w:val="003F1C0A"/>
    <w:rsid w:val="003F21E3"/>
    <w:rsid w:val="003F250C"/>
    <w:rsid w:val="003F34FB"/>
    <w:rsid w:val="003F4329"/>
    <w:rsid w:val="003F4816"/>
    <w:rsid w:val="003F6DBB"/>
    <w:rsid w:val="003F6FEC"/>
    <w:rsid w:val="003F7D19"/>
    <w:rsid w:val="00400DFF"/>
    <w:rsid w:val="00401267"/>
    <w:rsid w:val="004012A6"/>
    <w:rsid w:val="00403021"/>
    <w:rsid w:val="00403067"/>
    <w:rsid w:val="00403B3C"/>
    <w:rsid w:val="00403EEB"/>
    <w:rsid w:val="00404563"/>
    <w:rsid w:val="004046D6"/>
    <w:rsid w:val="004059DF"/>
    <w:rsid w:val="00405A61"/>
    <w:rsid w:val="00406613"/>
    <w:rsid w:val="00406C7A"/>
    <w:rsid w:val="00407A97"/>
    <w:rsid w:val="004101CE"/>
    <w:rsid w:val="00410357"/>
    <w:rsid w:val="004117DE"/>
    <w:rsid w:val="00411C94"/>
    <w:rsid w:val="00411D40"/>
    <w:rsid w:val="00412534"/>
    <w:rsid w:val="00412607"/>
    <w:rsid w:val="00412C83"/>
    <w:rsid w:val="00413279"/>
    <w:rsid w:val="00413529"/>
    <w:rsid w:val="00414547"/>
    <w:rsid w:val="0041482C"/>
    <w:rsid w:val="00415482"/>
    <w:rsid w:val="00416087"/>
    <w:rsid w:val="004162A0"/>
    <w:rsid w:val="0041655A"/>
    <w:rsid w:val="00416C70"/>
    <w:rsid w:val="00420458"/>
    <w:rsid w:val="00420DDD"/>
    <w:rsid w:val="004220E6"/>
    <w:rsid w:val="004224CF"/>
    <w:rsid w:val="0042278F"/>
    <w:rsid w:val="00422853"/>
    <w:rsid w:val="00422C8F"/>
    <w:rsid w:val="00424B57"/>
    <w:rsid w:val="00425486"/>
    <w:rsid w:val="00426014"/>
    <w:rsid w:val="00426397"/>
    <w:rsid w:val="0042733F"/>
    <w:rsid w:val="0042799C"/>
    <w:rsid w:val="00427A6B"/>
    <w:rsid w:val="004301D8"/>
    <w:rsid w:val="004304AB"/>
    <w:rsid w:val="0043323C"/>
    <w:rsid w:val="00433264"/>
    <w:rsid w:val="00433ADF"/>
    <w:rsid w:val="00434395"/>
    <w:rsid w:val="004350F6"/>
    <w:rsid w:val="00435282"/>
    <w:rsid w:val="00435AF7"/>
    <w:rsid w:val="00436381"/>
    <w:rsid w:val="00437103"/>
    <w:rsid w:val="00441E9C"/>
    <w:rsid w:val="00442AFD"/>
    <w:rsid w:val="004444C6"/>
    <w:rsid w:val="0044521C"/>
    <w:rsid w:val="004458C2"/>
    <w:rsid w:val="0044590F"/>
    <w:rsid w:val="00445A90"/>
    <w:rsid w:val="0044644D"/>
    <w:rsid w:val="004505A7"/>
    <w:rsid w:val="004524ED"/>
    <w:rsid w:val="00455C71"/>
    <w:rsid w:val="004575F0"/>
    <w:rsid w:val="00457C16"/>
    <w:rsid w:val="004609FE"/>
    <w:rsid w:val="00460B7D"/>
    <w:rsid w:val="004614AE"/>
    <w:rsid w:val="0046169A"/>
    <w:rsid w:val="00462F7F"/>
    <w:rsid w:val="00463519"/>
    <w:rsid w:val="00465340"/>
    <w:rsid w:val="004657AA"/>
    <w:rsid w:val="00467CFE"/>
    <w:rsid w:val="00467D51"/>
    <w:rsid w:val="00467D90"/>
    <w:rsid w:val="004701B3"/>
    <w:rsid w:val="00470D36"/>
    <w:rsid w:val="00471635"/>
    <w:rsid w:val="00472B58"/>
    <w:rsid w:val="0047317F"/>
    <w:rsid w:val="004736CA"/>
    <w:rsid w:val="00473E7D"/>
    <w:rsid w:val="00474144"/>
    <w:rsid w:val="00474747"/>
    <w:rsid w:val="0047541D"/>
    <w:rsid w:val="004769D0"/>
    <w:rsid w:val="00476EF2"/>
    <w:rsid w:val="00477BDF"/>
    <w:rsid w:val="00477D6E"/>
    <w:rsid w:val="0048017A"/>
    <w:rsid w:val="00480CB0"/>
    <w:rsid w:val="00482552"/>
    <w:rsid w:val="0048291F"/>
    <w:rsid w:val="00483017"/>
    <w:rsid w:val="00483D60"/>
    <w:rsid w:val="00485933"/>
    <w:rsid w:val="004863B5"/>
    <w:rsid w:val="004869B8"/>
    <w:rsid w:val="0049011B"/>
    <w:rsid w:val="00493355"/>
    <w:rsid w:val="00494BA7"/>
    <w:rsid w:val="00494FE4"/>
    <w:rsid w:val="00495B99"/>
    <w:rsid w:val="00497887"/>
    <w:rsid w:val="004979D6"/>
    <w:rsid w:val="004A103B"/>
    <w:rsid w:val="004A133D"/>
    <w:rsid w:val="004A432A"/>
    <w:rsid w:val="004A45FD"/>
    <w:rsid w:val="004A4B2F"/>
    <w:rsid w:val="004A4E2F"/>
    <w:rsid w:val="004A62DF"/>
    <w:rsid w:val="004A6B38"/>
    <w:rsid w:val="004A771F"/>
    <w:rsid w:val="004B16F8"/>
    <w:rsid w:val="004B3017"/>
    <w:rsid w:val="004B32FD"/>
    <w:rsid w:val="004B34EA"/>
    <w:rsid w:val="004B43BD"/>
    <w:rsid w:val="004B5494"/>
    <w:rsid w:val="004B5A84"/>
    <w:rsid w:val="004B62F8"/>
    <w:rsid w:val="004B6DD2"/>
    <w:rsid w:val="004B6EC5"/>
    <w:rsid w:val="004B7848"/>
    <w:rsid w:val="004C01FA"/>
    <w:rsid w:val="004C04A7"/>
    <w:rsid w:val="004C0681"/>
    <w:rsid w:val="004C1D5D"/>
    <w:rsid w:val="004C364E"/>
    <w:rsid w:val="004C446C"/>
    <w:rsid w:val="004C5DA4"/>
    <w:rsid w:val="004C6455"/>
    <w:rsid w:val="004C7D3A"/>
    <w:rsid w:val="004D02B5"/>
    <w:rsid w:val="004D0BA2"/>
    <w:rsid w:val="004D192E"/>
    <w:rsid w:val="004D1C79"/>
    <w:rsid w:val="004D2500"/>
    <w:rsid w:val="004D39CE"/>
    <w:rsid w:val="004D40E9"/>
    <w:rsid w:val="004D589F"/>
    <w:rsid w:val="004D77A7"/>
    <w:rsid w:val="004D7857"/>
    <w:rsid w:val="004D7E50"/>
    <w:rsid w:val="004D7E87"/>
    <w:rsid w:val="004E06A1"/>
    <w:rsid w:val="004E1326"/>
    <w:rsid w:val="004E296E"/>
    <w:rsid w:val="004E2C90"/>
    <w:rsid w:val="004E3073"/>
    <w:rsid w:val="004E33E9"/>
    <w:rsid w:val="004E39D2"/>
    <w:rsid w:val="004E59E7"/>
    <w:rsid w:val="004E6570"/>
    <w:rsid w:val="004E72FC"/>
    <w:rsid w:val="004E7DDA"/>
    <w:rsid w:val="004F0CF0"/>
    <w:rsid w:val="004F2346"/>
    <w:rsid w:val="004F2C28"/>
    <w:rsid w:val="004F4055"/>
    <w:rsid w:val="004F4889"/>
    <w:rsid w:val="004F49A3"/>
    <w:rsid w:val="004F57AA"/>
    <w:rsid w:val="004F5D8C"/>
    <w:rsid w:val="004F5F0A"/>
    <w:rsid w:val="004F61B7"/>
    <w:rsid w:val="004F63F2"/>
    <w:rsid w:val="004F697A"/>
    <w:rsid w:val="004F75EC"/>
    <w:rsid w:val="004F7CE0"/>
    <w:rsid w:val="00501322"/>
    <w:rsid w:val="005018A8"/>
    <w:rsid w:val="00501935"/>
    <w:rsid w:val="00501E8E"/>
    <w:rsid w:val="00502A1F"/>
    <w:rsid w:val="00502B2E"/>
    <w:rsid w:val="00503283"/>
    <w:rsid w:val="00503397"/>
    <w:rsid w:val="005038C3"/>
    <w:rsid w:val="00503AD6"/>
    <w:rsid w:val="00504142"/>
    <w:rsid w:val="005055C2"/>
    <w:rsid w:val="005058BC"/>
    <w:rsid w:val="00505A39"/>
    <w:rsid w:val="005061B2"/>
    <w:rsid w:val="00506339"/>
    <w:rsid w:val="00506811"/>
    <w:rsid w:val="00506FD4"/>
    <w:rsid w:val="00507249"/>
    <w:rsid w:val="0050735B"/>
    <w:rsid w:val="00507A44"/>
    <w:rsid w:val="0051087A"/>
    <w:rsid w:val="0051151A"/>
    <w:rsid w:val="00511CAB"/>
    <w:rsid w:val="0051217C"/>
    <w:rsid w:val="005129E3"/>
    <w:rsid w:val="005129E7"/>
    <w:rsid w:val="00512F54"/>
    <w:rsid w:val="0051382B"/>
    <w:rsid w:val="00514692"/>
    <w:rsid w:val="005150E5"/>
    <w:rsid w:val="00515866"/>
    <w:rsid w:val="0051753A"/>
    <w:rsid w:val="00520312"/>
    <w:rsid w:val="005203BB"/>
    <w:rsid w:val="00520706"/>
    <w:rsid w:val="005225C7"/>
    <w:rsid w:val="00522D51"/>
    <w:rsid w:val="005240BF"/>
    <w:rsid w:val="005259FE"/>
    <w:rsid w:val="00527285"/>
    <w:rsid w:val="00530257"/>
    <w:rsid w:val="00530F35"/>
    <w:rsid w:val="00532F28"/>
    <w:rsid w:val="00533CCD"/>
    <w:rsid w:val="00535416"/>
    <w:rsid w:val="00535DC2"/>
    <w:rsid w:val="00536098"/>
    <w:rsid w:val="00536584"/>
    <w:rsid w:val="00537972"/>
    <w:rsid w:val="00537F0F"/>
    <w:rsid w:val="00540B19"/>
    <w:rsid w:val="00540FDA"/>
    <w:rsid w:val="00541F95"/>
    <w:rsid w:val="00546B4A"/>
    <w:rsid w:val="0054729B"/>
    <w:rsid w:val="00547846"/>
    <w:rsid w:val="005505AD"/>
    <w:rsid w:val="005506E8"/>
    <w:rsid w:val="005506F6"/>
    <w:rsid w:val="005516D3"/>
    <w:rsid w:val="00552458"/>
    <w:rsid w:val="00552604"/>
    <w:rsid w:val="00552A66"/>
    <w:rsid w:val="00553558"/>
    <w:rsid w:val="00554016"/>
    <w:rsid w:val="00554B20"/>
    <w:rsid w:val="00554C1A"/>
    <w:rsid w:val="00555761"/>
    <w:rsid w:val="00556739"/>
    <w:rsid w:val="005567AD"/>
    <w:rsid w:val="00557BA0"/>
    <w:rsid w:val="00560C0F"/>
    <w:rsid w:val="00560C8B"/>
    <w:rsid w:val="00561112"/>
    <w:rsid w:val="00561573"/>
    <w:rsid w:val="00563157"/>
    <w:rsid w:val="005631BF"/>
    <w:rsid w:val="00564412"/>
    <w:rsid w:val="00565680"/>
    <w:rsid w:val="00566B95"/>
    <w:rsid w:val="00567AD5"/>
    <w:rsid w:val="0057023A"/>
    <w:rsid w:val="00571503"/>
    <w:rsid w:val="00572842"/>
    <w:rsid w:val="00574875"/>
    <w:rsid w:val="00574F26"/>
    <w:rsid w:val="0057553D"/>
    <w:rsid w:val="005762DB"/>
    <w:rsid w:val="005778FD"/>
    <w:rsid w:val="00580466"/>
    <w:rsid w:val="00580F1C"/>
    <w:rsid w:val="00582755"/>
    <w:rsid w:val="00582876"/>
    <w:rsid w:val="00582B07"/>
    <w:rsid w:val="0058373C"/>
    <w:rsid w:val="00584982"/>
    <w:rsid w:val="00584F4B"/>
    <w:rsid w:val="005851D2"/>
    <w:rsid w:val="00585349"/>
    <w:rsid w:val="00585390"/>
    <w:rsid w:val="00585950"/>
    <w:rsid w:val="005859A1"/>
    <w:rsid w:val="00586E3C"/>
    <w:rsid w:val="00586F3E"/>
    <w:rsid w:val="005875C9"/>
    <w:rsid w:val="00590E7D"/>
    <w:rsid w:val="00591725"/>
    <w:rsid w:val="00592517"/>
    <w:rsid w:val="00592ED3"/>
    <w:rsid w:val="005930DA"/>
    <w:rsid w:val="005939A5"/>
    <w:rsid w:val="005954C4"/>
    <w:rsid w:val="005957A9"/>
    <w:rsid w:val="00595833"/>
    <w:rsid w:val="005958D2"/>
    <w:rsid w:val="00595A85"/>
    <w:rsid w:val="00595F6A"/>
    <w:rsid w:val="00597349"/>
    <w:rsid w:val="0059782A"/>
    <w:rsid w:val="005A07CF"/>
    <w:rsid w:val="005A11C1"/>
    <w:rsid w:val="005A148C"/>
    <w:rsid w:val="005A3A66"/>
    <w:rsid w:val="005A4C28"/>
    <w:rsid w:val="005A5524"/>
    <w:rsid w:val="005A5EC2"/>
    <w:rsid w:val="005A5EE9"/>
    <w:rsid w:val="005A7795"/>
    <w:rsid w:val="005A7C2A"/>
    <w:rsid w:val="005A7CA8"/>
    <w:rsid w:val="005B0499"/>
    <w:rsid w:val="005B060D"/>
    <w:rsid w:val="005B06A1"/>
    <w:rsid w:val="005B2274"/>
    <w:rsid w:val="005B49C5"/>
    <w:rsid w:val="005B4D98"/>
    <w:rsid w:val="005B4F11"/>
    <w:rsid w:val="005B4F9A"/>
    <w:rsid w:val="005B53A0"/>
    <w:rsid w:val="005B570D"/>
    <w:rsid w:val="005B5969"/>
    <w:rsid w:val="005B6644"/>
    <w:rsid w:val="005B7171"/>
    <w:rsid w:val="005B71BA"/>
    <w:rsid w:val="005C07F9"/>
    <w:rsid w:val="005C0952"/>
    <w:rsid w:val="005C0CE9"/>
    <w:rsid w:val="005C12AB"/>
    <w:rsid w:val="005C18B5"/>
    <w:rsid w:val="005C194D"/>
    <w:rsid w:val="005C20DE"/>
    <w:rsid w:val="005C37C6"/>
    <w:rsid w:val="005C3DBC"/>
    <w:rsid w:val="005C3EAE"/>
    <w:rsid w:val="005C4097"/>
    <w:rsid w:val="005C419C"/>
    <w:rsid w:val="005C4A27"/>
    <w:rsid w:val="005C591B"/>
    <w:rsid w:val="005C64DE"/>
    <w:rsid w:val="005C7367"/>
    <w:rsid w:val="005C7AFA"/>
    <w:rsid w:val="005D01BF"/>
    <w:rsid w:val="005D0DDA"/>
    <w:rsid w:val="005D0F41"/>
    <w:rsid w:val="005D0FD2"/>
    <w:rsid w:val="005D15E8"/>
    <w:rsid w:val="005D16F5"/>
    <w:rsid w:val="005D1BD9"/>
    <w:rsid w:val="005D2C09"/>
    <w:rsid w:val="005D2C80"/>
    <w:rsid w:val="005D2D40"/>
    <w:rsid w:val="005D31A2"/>
    <w:rsid w:val="005D37E1"/>
    <w:rsid w:val="005D4291"/>
    <w:rsid w:val="005D4839"/>
    <w:rsid w:val="005D4D26"/>
    <w:rsid w:val="005D6843"/>
    <w:rsid w:val="005D6A55"/>
    <w:rsid w:val="005D7814"/>
    <w:rsid w:val="005E1364"/>
    <w:rsid w:val="005E1B00"/>
    <w:rsid w:val="005E1C2A"/>
    <w:rsid w:val="005E227F"/>
    <w:rsid w:val="005E2417"/>
    <w:rsid w:val="005E284A"/>
    <w:rsid w:val="005E386C"/>
    <w:rsid w:val="005E4A0A"/>
    <w:rsid w:val="005E586A"/>
    <w:rsid w:val="005E6EF7"/>
    <w:rsid w:val="005F03AF"/>
    <w:rsid w:val="005F12AE"/>
    <w:rsid w:val="005F150A"/>
    <w:rsid w:val="005F1B2A"/>
    <w:rsid w:val="005F42BC"/>
    <w:rsid w:val="005F4705"/>
    <w:rsid w:val="005F57E2"/>
    <w:rsid w:val="005F5EDE"/>
    <w:rsid w:val="005F7C82"/>
    <w:rsid w:val="0060013E"/>
    <w:rsid w:val="00600F16"/>
    <w:rsid w:val="006019AC"/>
    <w:rsid w:val="00601E88"/>
    <w:rsid w:val="00602057"/>
    <w:rsid w:val="0060397E"/>
    <w:rsid w:val="0060488E"/>
    <w:rsid w:val="00606F96"/>
    <w:rsid w:val="006070B6"/>
    <w:rsid w:val="00612AF7"/>
    <w:rsid w:val="0061387F"/>
    <w:rsid w:val="00614125"/>
    <w:rsid w:val="00614529"/>
    <w:rsid w:val="0061464B"/>
    <w:rsid w:val="006147BE"/>
    <w:rsid w:val="00614A94"/>
    <w:rsid w:val="00614D4E"/>
    <w:rsid w:val="006153D6"/>
    <w:rsid w:val="00615C8A"/>
    <w:rsid w:val="00615E66"/>
    <w:rsid w:val="00620BC2"/>
    <w:rsid w:val="0062159F"/>
    <w:rsid w:val="0062262B"/>
    <w:rsid w:val="006241C0"/>
    <w:rsid w:val="006242BB"/>
    <w:rsid w:val="00625671"/>
    <w:rsid w:val="006276CF"/>
    <w:rsid w:val="006278BF"/>
    <w:rsid w:val="00630DB2"/>
    <w:rsid w:val="0063144C"/>
    <w:rsid w:val="00631ECA"/>
    <w:rsid w:val="00632207"/>
    <w:rsid w:val="006331B3"/>
    <w:rsid w:val="00634909"/>
    <w:rsid w:val="0063491C"/>
    <w:rsid w:val="00635E99"/>
    <w:rsid w:val="00636BC3"/>
    <w:rsid w:val="006376EA"/>
    <w:rsid w:val="006405D2"/>
    <w:rsid w:val="006409CA"/>
    <w:rsid w:val="006417F1"/>
    <w:rsid w:val="00642557"/>
    <w:rsid w:val="006430C8"/>
    <w:rsid w:val="00643DB6"/>
    <w:rsid w:val="00643E1C"/>
    <w:rsid w:val="0064483D"/>
    <w:rsid w:val="00644EB4"/>
    <w:rsid w:val="00647889"/>
    <w:rsid w:val="00647CA1"/>
    <w:rsid w:val="00650A82"/>
    <w:rsid w:val="00650B85"/>
    <w:rsid w:val="00651A83"/>
    <w:rsid w:val="00651DCD"/>
    <w:rsid w:val="006529EA"/>
    <w:rsid w:val="0065309D"/>
    <w:rsid w:val="006531DC"/>
    <w:rsid w:val="006533B0"/>
    <w:rsid w:val="00653BCC"/>
    <w:rsid w:val="00653D48"/>
    <w:rsid w:val="00653F0A"/>
    <w:rsid w:val="006541AC"/>
    <w:rsid w:val="006551C5"/>
    <w:rsid w:val="00656726"/>
    <w:rsid w:val="006577B2"/>
    <w:rsid w:val="006579FD"/>
    <w:rsid w:val="00660C85"/>
    <w:rsid w:val="00663F7A"/>
    <w:rsid w:val="0066493F"/>
    <w:rsid w:val="00664F3C"/>
    <w:rsid w:val="0066504D"/>
    <w:rsid w:val="006655E1"/>
    <w:rsid w:val="00665A6F"/>
    <w:rsid w:val="00665CD3"/>
    <w:rsid w:val="00666169"/>
    <w:rsid w:val="00670BC5"/>
    <w:rsid w:val="006712DB"/>
    <w:rsid w:val="00672567"/>
    <w:rsid w:val="006726D6"/>
    <w:rsid w:val="0067319F"/>
    <w:rsid w:val="006740AB"/>
    <w:rsid w:val="0067439B"/>
    <w:rsid w:val="0067625D"/>
    <w:rsid w:val="00677FB7"/>
    <w:rsid w:val="00681425"/>
    <w:rsid w:val="00681570"/>
    <w:rsid w:val="0068271A"/>
    <w:rsid w:val="006827D1"/>
    <w:rsid w:val="0068547B"/>
    <w:rsid w:val="0068686F"/>
    <w:rsid w:val="00686D05"/>
    <w:rsid w:val="00690A3E"/>
    <w:rsid w:val="00690E02"/>
    <w:rsid w:val="006913DB"/>
    <w:rsid w:val="006915C6"/>
    <w:rsid w:val="00692339"/>
    <w:rsid w:val="00693191"/>
    <w:rsid w:val="0069536E"/>
    <w:rsid w:val="006954C6"/>
    <w:rsid w:val="00695E96"/>
    <w:rsid w:val="00697181"/>
    <w:rsid w:val="00697249"/>
    <w:rsid w:val="00697AA5"/>
    <w:rsid w:val="00697BE3"/>
    <w:rsid w:val="006A032D"/>
    <w:rsid w:val="006A03B5"/>
    <w:rsid w:val="006A0591"/>
    <w:rsid w:val="006A07DC"/>
    <w:rsid w:val="006A138D"/>
    <w:rsid w:val="006A29E2"/>
    <w:rsid w:val="006A2CD5"/>
    <w:rsid w:val="006A49F4"/>
    <w:rsid w:val="006A4F7D"/>
    <w:rsid w:val="006A561A"/>
    <w:rsid w:val="006A5FD6"/>
    <w:rsid w:val="006A6F1F"/>
    <w:rsid w:val="006A7927"/>
    <w:rsid w:val="006A7BDD"/>
    <w:rsid w:val="006B00D7"/>
    <w:rsid w:val="006B042B"/>
    <w:rsid w:val="006B2461"/>
    <w:rsid w:val="006B2A1A"/>
    <w:rsid w:val="006B2B81"/>
    <w:rsid w:val="006B2E63"/>
    <w:rsid w:val="006B34F4"/>
    <w:rsid w:val="006B4C3F"/>
    <w:rsid w:val="006B5127"/>
    <w:rsid w:val="006B5476"/>
    <w:rsid w:val="006B5915"/>
    <w:rsid w:val="006B6070"/>
    <w:rsid w:val="006B6514"/>
    <w:rsid w:val="006B656D"/>
    <w:rsid w:val="006B72E3"/>
    <w:rsid w:val="006B7735"/>
    <w:rsid w:val="006C08FB"/>
    <w:rsid w:val="006C1BD5"/>
    <w:rsid w:val="006C26F5"/>
    <w:rsid w:val="006C3A8F"/>
    <w:rsid w:val="006C3F34"/>
    <w:rsid w:val="006C4218"/>
    <w:rsid w:val="006C6413"/>
    <w:rsid w:val="006C680D"/>
    <w:rsid w:val="006C6AF9"/>
    <w:rsid w:val="006C7731"/>
    <w:rsid w:val="006D1EDD"/>
    <w:rsid w:val="006D2109"/>
    <w:rsid w:val="006D22AF"/>
    <w:rsid w:val="006D3D79"/>
    <w:rsid w:val="006D48F3"/>
    <w:rsid w:val="006E0E3D"/>
    <w:rsid w:val="006E0F60"/>
    <w:rsid w:val="006E1AB5"/>
    <w:rsid w:val="006E2A63"/>
    <w:rsid w:val="006E39B3"/>
    <w:rsid w:val="006E506C"/>
    <w:rsid w:val="006E5894"/>
    <w:rsid w:val="006E5E28"/>
    <w:rsid w:val="006E6404"/>
    <w:rsid w:val="006E6574"/>
    <w:rsid w:val="006E6D4B"/>
    <w:rsid w:val="006E78CA"/>
    <w:rsid w:val="006F05B4"/>
    <w:rsid w:val="006F198E"/>
    <w:rsid w:val="006F1E23"/>
    <w:rsid w:val="006F2013"/>
    <w:rsid w:val="006F243C"/>
    <w:rsid w:val="006F4562"/>
    <w:rsid w:val="006F5E9D"/>
    <w:rsid w:val="006F654B"/>
    <w:rsid w:val="00700FEE"/>
    <w:rsid w:val="00701256"/>
    <w:rsid w:val="0070160C"/>
    <w:rsid w:val="00702B76"/>
    <w:rsid w:val="00702D4A"/>
    <w:rsid w:val="00703D47"/>
    <w:rsid w:val="00705881"/>
    <w:rsid w:val="007065F5"/>
    <w:rsid w:val="007068EA"/>
    <w:rsid w:val="00706CF7"/>
    <w:rsid w:val="007077D9"/>
    <w:rsid w:val="00707A00"/>
    <w:rsid w:val="00707F17"/>
    <w:rsid w:val="007100B9"/>
    <w:rsid w:val="007105FF"/>
    <w:rsid w:val="0071149B"/>
    <w:rsid w:val="00711D08"/>
    <w:rsid w:val="00711E56"/>
    <w:rsid w:val="00712B6B"/>
    <w:rsid w:val="00712C52"/>
    <w:rsid w:val="00712D16"/>
    <w:rsid w:val="007132B2"/>
    <w:rsid w:val="0071359C"/>
    <w:rsid w:val="00714CF2"/>
    <w:rsid w:val="0071521E"/>
    <w:rsid w:val="007156B9"/>
    <w:rsid w:val="00716305"/>
    <w:rsid w:val="00717596"/>
    <w:rsid w:val="00717ABD"/>
    <w:rsid w:val="0072001A"/>
    <w:rsid w:val="00720817"/>
    <w:rsid w:val="00720E38"/>
    <w:rsid w:val="007225C2"/>
    <w:rsid w:val="00722850"/>
    <w:rsid w:val="00723F66"/>
    <w:rsid w:val="00724548"/>
    <w:rsid w:val="007247A1"/>
    <w:rsid w:val="00724BA6"/>
    <w:rsid w:val="00724BA7"/>
    <w:rsid w:val="0072658D"/>
    <w:rsid w:val="00726891"/>
    <w:rsid w:val="007268E4"/>
    <w:rsid w:val="00726B26"/>
    <w:rsid w:val="0072734F"/>
    <w:rsid w:val="007274B2"/>
    <w:rsid w:val="007304DD"/>
    <w:rsid w:val="00732B7E"/>
    <w:rsid w:val="00732C67"/>
    <w:rsid w:val="0073353F"/>
    <w:rsid w:val="007337A9"/>
    <w:rsid w:val="00734021"/>
    <w:rsid w:val="00734920"/>
    <w:rsid w:val="00736279"/>
    <w:rsid w:val="00736644"/>
    <w:rsid w:val="00737D3E"/>
    <w:rsid w:val="00741DE5"/>
    <w:rsid w:val="00742467"/>
    <w:rsid w:val="00742E45"/>
    <w:rsid w:val="00743D67"/>
    <w:rsid w:val="0074427E"/>
    <w:rsid w:val="007447AF"/>
    <w:rsid w:val="00745F56"/>
    <w:rsid w:val="0074610D"/>
    <w:rsid w:val="007465C8"/>
    <w:rsid w:val="00746782"/>
    <w:rsid w:val="0074693B"/>
    <w:rsid w:val="007500DA"/>
    <w:rsid w:val="00750816"/>
    <w:rsid w:val="007508CD"/>
    <w:rsid w:val="00751601"/>
    <w:rsid w:val="00751A51"/>
    <w:rsid w:val="00752893"/>
    <w:rsid w:val="007536C1"/>
    <w:rsid w:val="00753FC1"/>
    <w:rsid w:val="007557DF"/>
    <w:rsid w:val="0075794D"/>
    <w:rsid w:val="007605BF"/>
    <w:rsid w:val="007616D6"/>
    <w:rsid w:val="007621CB"/>
    <w:rsid w:val="00762374"/>
    <w:rsid w:val="00763912"/>
    <w:rsid w:val="00764088"/>
    <w:rsid w:val="0076436E"/>
    <w:rsid w:val="007651ED"/>
    <w:rsid w:val="0076522B"/>
    <w:rsid w:val="00765775"/>
    <w:rsid w:val="007657C1"/>
    <w:rsid w:val="007662A7"/>
    <w:rsid w:val="007666CD"/>
    <w:rsid w:val="007668A3"/>
    <w:rsid w:val="00766B34"/>
    <w:rsid w:val="00767065"/>
    <w:rsid w:val="00770734"/>
    <w:rsid w:val="00770E1F"/>
    <w:rsid w:val="00772169"/>
    <w:rsid w:val="00772358"/>
    <w:rsid w:val="00773DF4"/>
    <w:rsid w:val="007751E1"/>
    <w:rsid w:val="007756AB"/>
    <w:rsid w:val="007756DB"/>
    <w:rsid w:val="0077759A"/>
    <w:rsid w:val="00780A6C"/>
    <w:rsid w:val="00781BBF"/>
    <w:rsid w:val="007821D0"/>
    <w:rsid w:val="00783A59"/>
    <w:rsid w:val="0078503E"/>
    <w:rsid w:val="00785FFC"/>
    <w:rsid w:val="00786556"/>
    <w:rsid w:val="00790C80"/>
    <w:rsid w:val="00791A21"/>
    <w:rsid w:val="00791ACC"/>
    <w:rsid w:val="0079209F"/>
    <w:rsid w:val="007922F7"/>
    <w:rsid w:val="00792560"/>
    <w:rsid w:val="00793B4D"/>
    <w:rsid w:val="00793C18"/>
    <w:rsid w:val="00794A59"/>
    <w:rsid w:val="0079540D"/>
    <w:rsid w:val="00795B13"/>
    <w:rsid w:val="007A010F"/>
    <w:rsid w:val="007A406D"/>
    <w:rsid w:val="007A4BCF"/>
    <w:rsid w:val="007A562F"/>
    <w:rsid w:val="007A5940"/>
    <w:rsid w:val="007A6142"/>
    <w:rsid w:val="007A62B0"/>
    <w:rsid w:val="007A648E"/>
    <w:rsid w:val="007A659B"/>
    <w:rsid w:val="007B136E"/>
    <w:rsid w:val="007B1BA7"/>
    <w:rsid w:val="007B2707"/>
    <w:rsid w:val="007B2834"/>
    <w:rsid w:val="007B4280"/>
    <w:rsid w:val="007B4551"/>
    <w:rsid w:val="007B46E4"/>
    <w:rsid w:val="007B54A6"/>
    <w:rsid w:val="007B64FE"/>
    <w:rsid w:val="007B78A5"/>
    <w:rsid w:val="007C2F8F"/>
    <w:rsid w:val="007C3A15"/>
    <w:rsid w:val="007C3ACA"/>
    <w:rsid w:val="007C4854"/>
    <w:rsid w:val="007C4E99"/>
    <w:rsid w:val="007C5505"/>
    <w:rsid w:val="007C58DF"/>
    <w:rsid w:val="007C5A0C"/>
    <w:rsid w:val="007C5A8A"/>
    <w:rsid w:val="007C659E"/>
    <w:rsid w:val="007C757A"/>
    <w:rsid w:val="007C7F20"/>
    <w:rsid w:val="007D0463"/>
    <w:rsid w:val="007D1F81"/>
    <w:rsid w:val="007D2AF1"/>
    <w:rsid w:val="007D4075"/>
    <w:rsid w:val="007D5BB3"/>
    <w:rsid w:val="007D6F29"/>
    <w:rsid w:val="007D7288"/>
    <w:rsid w:val="007D7E0C"/>
    <w:rsid w:val="007E093B"/>
    <w:rsid w:val="007E0F32"/>
    <w:rsid w:val="007E0FEE"/>
    <w:rsid w:val="007E16E9"/>
    <w:rsid w:val="007E18F1"/>
    <w:rsid w:val="007E2428"/>
    <w:rsid w:val="007E2ABA"/>
    <w:rsid w:val="007E3AB9"/>
    <w:rsid w:val="007E3BFB"/>
    <w:rsid w:val="007E3D0C"/>
    <w:rsid w:val="007E3D77"/>
    <w:rsid w:val="007E417E"/>
    <w:rsid w:val="007E41FF"/>
    <w:rsid w:val="007E42B3"/>
    <w:rsid w:val="007E43B0"/>
    <w:rsid w:val="007E5DBE"/>
    <w:rsid w:val="007E63CB"/>
    <w:rsid w:val="007E6FB9"/>
    <w:rsid w:val="007E7473"/>
    <w:rsid w:val="007F04A0"/>
    <w:rsid w:val="007F04FA"/>
    <w:rsid w:val="007F0F6C"/>
    <w:rsid w:val="007F121F"/>
    <w:rsid w:val="007F14D1"/>
    <w:rsid w:val="007F1E22"/>
    <w:rsid w:val="007F1EDA"/>
    <w:rsid w:val="007F2017"/>
    <w:rsid w:val="007F2032"/>
    <w:rsid w:val="007F28EF"/>
    <w:rsid w:val="007F382C"/>
    <w:rsid w:val="007F41D5"/>
    <w:rsid w:val="007F46CE"/>
    <w:rsid w:val="007F4B24"/>
    <w:rsid w:val="007F5504"/>
    <w:rsid w:val="007F55D5"/>
    <w:rsid w:val="007F7F8F"/>
    <w:rsid w:val="008002B3"/>
    <w:rsid w:val="008010B8"/>
    <w:rsid w:val="008020B3"/>
    <w:rsid w:val="00802C50"/>
    <w:rsid w:val="00804FED"/>
    <w:rsid w:val="00806094"/>
    <w:rsid w:val="00807220"/>
    <w:rsid w:val="008100FC"/>
    <w:rsid w:val="00811265"/>
    <w:rsid w:val="0081178E"/>
    <w:rsid w:val="008130A1"/>
    <w:rsid w:val="00813533"/>
    <w:rsid w:val="00814253"/>
    <w:rsid w:val="008142B3"/>
    <w:rsid w:val="00815887"/>
    <w:rsid w:val="00817CA8"/>
    <w:rsid w:val="0082188C"/>
    <w:rsid w:val="00822277"/>
    <w:rsid w:val="00822564"/>
    <w:rsid w:val="0082339D"/>
    <w:rsid w:val="00823FCB"/>
    <w:rsid w:val="00826422"/>
    <w:rsid w:val="008265B5"/>
    <w:rsid w:val="00826618"/>
    <w:rsid w:val="00826945"/>
    <w:rsid w:val="00826990"/>
    <w:rsid w:val="00826EEC"/>
    <w:rsid w:val="00827DE3"/>
    <w:rsid w:val="008314F8"/>
    <w:rsid w:val="00832396"/>
    <w:rsid w:val="008326C7"/>
    <w:rsid w:val="008330FA"/>
    <w:rsid w:val="008339BB"/>
    <w:rsid w:val="008354DA"/>
    <w:rsid w:val="008421AF"/>
    <w:rsid w:val="00842AED"/>
    <w:rsid w:val="00842BC9"/>
    <w:rsid w:val="00843BC7"/>
    <w:rsid w:val="00843E4B"/>
    <w:rsid w:val="0084430B"/>
    <w:rsid w:val="008456EB"/>
    <w:rsid w:val="00845D13"/>
    <w:rsid w:val="00847023"/>
    <w:rsid w:val="00847138"/>
    <w:rsid w:val="00847BFF"/>
    <w:rsid w:val="00847D34"/>
    <w:rsid w:val="0085026D"/>
    <w:rsid w:val="00850F6F"/>
    <w:rsid w:val="008517C2"/>
    <w:rsid w:val="0085230E"/>
    <w:rsid w:val="00854426"/>
    <w:rsid w:val="00854ECA"/>
    <w:rsid w:val="00854FDB"/>
    <w:rsid w:val="00855B17"/>
    <w:rsid w:val="00855DA1"/>
    <w:rsid w:val="00856623"/>
    <w:rsid w:val="00860265"/>
    <w:rsid w:val="008605E1"/>
    <w:rsid w:val="00862123"/>
    <w:rsid w:val="0086311D"/>
    <w:rsid w:val="00863D37"/>
    <w:rsid w:val="0086419A"/>
    <w:rsid w:val="00864785"/>
    <w:rsid w:val="00865596"/>
    <w:rsid w:val="00865A03"/>
    <w:rsid w:val="00865C17"/>
    <w:rsid w:val="00866544"/>
    <w:rsid w:val="00866F0E"/>
    <w:rsid w:val="0086782C"/>
    <w:rsid w:val="0087023B"/>
    <w:rsid w:val="0087143D"/>
    <w:rsid w:val="00871BE2"/>
    <w:rsid w:val="00872451"/>
    <w:rsid w:val="00872E23"/>
    <w:rsid w:val="00872FAD"/>
    <w:rsid w:val="00873E82"/>
    <w:rsid w:val="00874AD0"/>
    <w:rsid w:val="00874AD7"/>
    <w:rsid w:val="00875020"/>
    <w:rsid w:val="008752DB"/>
    <w:rsid w:val="00875594"/>
    <w:rsid w:val="00875914"/>
    <w:rsid w:val="0087603E"/>
    <w:rsid w:val="0087642F"/>
    <w:rsid w:val="0087793C"/>
    <w:rsid w:val="00877D25"/>
    <w:rsid w:val="0088050C"/>
    <w:rsid w:val="0088117B"/>
    <w:rsid w:val="0088197B"/>
    <w:rsid w:val="00882F66"/>
    <w:rsid w:val="00883388"/>
    <w:rsid w:val="00883F04"/>
    <w:rsid w:val="00884611"/>
    <w:rsid w:val="00884850"/>
    <w:rsid w:val="00884BC8"/>
    <w:rsid w:val="00885765"/>
    <w:rsid w:val="00887F1F"/>
    <w:rsid w:val="00890020"/>
    <w:rsid w:val="00891066"/>
    <w:rsid w:val="0089224D"/>
    <w:rsid w:val="0089287D"/>
    <w:rsid w:val="00892E7A"/>
    <w:rsid w:val="00892F7C"/>
    <w:rsid w:val="00893A24"/>
    <w:rsid w:val="008946D2"/>
    <w:rsid w:val="0089545B"/>
    <w:rsid w:val="0089561B"/>
    <w:rsid w:val="00895F00"/>
    <w:rsid w:val="00897132"/>
    <w:rsid w:val="008A09C5"/>
    <w:rsid w:val="008A179F"/>
    <w:rsid w:val="008A244A"/>
    <w:rsid w:val="008A2683"/>
    <w:rsid w:val="008A3076"/>
    <w:rsid w:val="008A39E9"/>
    <w:rsid w:val="008A57CA"/>
    <w:rsid w:val="008A61C2"/>
    <w:rsid w:val="008A688E"/>
    <w:rsid w:val="008B0864"/>
    <w:rsid w:val="008B0C6B"/>
    <w:rsid w:val="008B1BFA"/>
    <w:rsid w:val="008B1FBC"/>
    <w:rsid w:val="008B34E0"/>
    <w:rsid w:val="008B4115"/>
    <w:rsid w:val="008B61BE"/>
    <w:rsid w:val="008B6AAB"/>
    <w:rsid w:val="008B76A1"/>
    <w:rsid w:val="008C07D2"/>
    <w:rsid w:val="008C0A5C"/>
    <w:rsid w:val="008C1053"/>
    <w:rsid w:val="008C2874"/>
    <w:rsid w:val="008C376C"/>
    <w:rsid w:val="008C4316"/>
    <w:rsid w:val="008C4F19"/>
    <w:rsid w:val="008C57FC"/>
    <w:rsid w:val="008C6EEE"/>
    <w:rsid w:val="008C7413"/>
    <w:rsid w:val="008C74D7"/>
    <w:rsid w:val="008C75B6"/>
    <w:rsid w:val="008C7A5F"/>
    <w:rsid w:val="008C7FDC"/>
    <w:rsid w:val="008D0068"/>
    <w:rsid w:val="008D0AE2"/>
    <w:rsid w:val="008D0CD9"/>
    <w:rsid w:val="008D16B7"/>
    <w:rsid w:val="008D2C7E"/>
    <w:rsid w:val="008D2DBF"/>
    <w:rsid w:val="008D38C3"/>
    <w:rsid w:val="008D3DC0"/>
    <w:rsid w:val="008D42C8"/>
    <w:rsid w:val="008D55F6"/>
    <w:rsid w:val="008D62EC"/>
    <w:rsid w:val="008D7261"/>
    <w:rsid w:val="008E06EC"/>
    <w:rsid w:val="008E0C29"/>
    <w:rsid w:val="008E1B48"/>
    <w:rsid w:val="008E3C8E"/>
    <w:rsid w:val="008E5603"/>
    <w:rsid w:val="008E5836"/>
    <w:rsid w:val="008E6AE6"/>
    <w:rsid w:val="008E6E9D"/>
    <w:rsid w:val="008E71CB"/>
    <w:rsid w:val="008E7369"/>
    <w:rsid w:val="008F0116"/>
    <w:rsid w:val="008F0B75"/>
    <w:rsid w:val="008F1048"/>
    <w:rsid w:val="008F143D"/>
    <w:rsid w:val="008F185C"/>
    <w:rsid w:val="008F1A15"/>
    <w:rsid w:val="008F37CF"/>
    <w:rsid w:val="008F7B09"/>
    <w:rsid w:val="008F7E47"/>
    <w:rsid w:val="00900356"/>
    <w:rsid w:val="00900461"/>
    <w:rsid w:val="009011D6"/>
    <w:rsid w:val="00901AD7"/>
    <w:rsid w:val="00902279"/>
    <w:rsid w:val="00902760"/>
    <w:rsid w:val="00902E8D"/>
    <w:rsid w:val="00903795"/>
    <w:rsid w:val="00904BB8"/>
    <w:rsid w:val="00905318"/>
    <w:rsid w:val="00910009"/>
    <w:rsid w:val="00910455"/>
    <w:rsid w:val="00910495"/>
    <w:rsid w:val="00910FA9"/>
    <w:rsid w:val="009125DC"/>
    <w:rsid w:val="00912CA9"/>
    <w:rsid w:val="00913B28"/>
    <w:rsid w:val="00913F8B"/>
    <w:rsid w:val="009149DF"/>
    <w:rsid w:val="00914B3C"/>
    <w:rsid w:val="009158FD"/>
    <w:rsid w:val="00916A87"/>
    <w:rsid w:val="00916BA3"/>
    <w:rsid w:val="00916E4B"/>
    <w:rsid w:val="009209E8"/>
    <w:rsid w:val="00920AB1"/>
    <w:rsid w:val="0092143B"/>
    <w:rsid w:val="00921DB9"/>
    <w:rsid w:val="009221A6"/>
    <w:rsid w:val="009222DB"/>
    <w:rsid w:val="00922E6A"/>
    <w:rsid w:val="00923579"/>
    <w:rsid w:val="00923A9B"/>
    <w:rsid w:val="009243AD"/>
    <w:rsid w:val="009260C0"/>
    <w:rsid w:val="0092749F"/>
    <w:rsid w:val="00927650"/>
    <w:rsid w:val="00927C58"/>
    <w:rsid w:val="00930874"/>
    <w:rsid w:val="00930B05"/>
    <w:rsid w:val="00931915"/>
    <w:rsid w:val="00931C6C"/>
    <w:rsid w:val="00932865"/>
    <w:rsid w:val="00933D5F"/>
    <w:rsid w:val="009348FF"/>
    <w:rsid w:val="009355CE"/>
    <w:rsid w:val="0093602F"/>
    <w:rsid w:val="00936309"/>
    <w:rsid w:val="00936B78"/>
    <w:rsid w:val="00937460"/>
    <w:rsid w:val="00937693"/>
    <w:rsid w:val="009379DE"/>
    <w:rsid w:val="00937D6A"/>
    <w:rsid w:val="00940E67"/>
    <w:rsid w:val="0094134B"/>
    <w:rsid w:val="00941D53"/>
    <w:rsid w:val="00941DDD"/>
    <w:rsid w:val="009423F4"/>
    <w:rsid w:val="00942BB2"/>
    <w:rsid w:val="00942ED4"/>
    <w:rsid w:val="0094300F"/>
    <w:rsid w:val="00943E26"/>
    <w:rsid w:val="00944756"/>
    <w:rsid w:val="009456A6"/>
    <w:rsid w:val="00945DD8"/>
    <w:rsid w:val="00946AAF"/>
    <w:rsid w:val="00946CC1"/>
    <w:rsid w:val="00946FB5"/>
    <w:rsid w:val="00950FC9"/>
    <w:rsid w:val="00951590"/>
    <w:rsid w:val="00951A6F"/>
    <w:rsid w:val="00952817"/>
    <w:rsid w:val="0095297F"/>
    <w:rsid w:val="00953575"/>
    <w:rsid w:val="00954297"/>
    <w:rsid w:val="00954EE8"/>
    <w:rsid w:val="00956599"/>
    <w:rsid w:val="00956DF0"/>
    <w:rsid w:val="009570C5"/>
    <w:rsid w:val="00957FF4"/>
    <w:rsid w:val="00960293"/>
    <w:rsid w:val="009612BB"/>
    <w:rsid w:val="0096186C"/>
    <w:rsid w:val="00962692"/>
    <w:rsid w:val="00962710"/>
    <w:rsid w:val="0096362D"/>
    <w:rsid w:val="00963F8C"/>
    <w:rsid w:val="00964690"/>
    <w:rsid w:val="009649E8"/>
    <w:rsid w:val="00964E26"/>
    <w:rsid w:val="00965A33"/>
    <w:rsid w:val="0096614F"/>
    <w:rsid w:val="009662DC"/>
    <w:rsid w:val="009672EE"/>
    <w:rsid w:val="00967479"/>
    <w:rsid w:val="0097221E"/>
    <w:rsid w:val="009728CB"/>
    <w:rsid w:val="00972E2C"/>
    <w:rsid w:val="009738B3"/>
    <w:rsid w:val="00974741"/>
    <w:rsid w:val="00974A97"/>
    <w:rsid w:val="00977555"/>
    <w:rsid w:val="0098012F"/>
    <w:rsid w:val="009803F0"/>
    <w:rsid w:val="009805C8"/>
    <w:rsid w:val="00980D1D"/>
    <w:rsid w:val="009811A5"/>
    <w:rsid w:val="0098138E"/>
    <w:rsid w:val="0098178B"/>
    <w:rsid w:val="00983046"/>
    <w:rsid w:val="00983310"/>
    <w:rsid w:val="0098427E"/>
    <w:rsid w:val="009855DC"/>
    <w:rsid w:val="00985A14"/>
    <w:rsid w:val="0098655A"/>
    <w:rsid w:val="009876A7"/>
    <w:rsid w:val="009903A2"/>
    <w:rsid w:val="00990512"/>
    <w:rsid w:val="009907F9"/>
    <w:rsid w:val="009911BF"/>
    <w:rsid w:val="009917F4"/>
    <w:rsid w:val="00991AF6"/>
    <w:rsid w:val="00991E06"/>
    <w:rsid w:val="009921D8"/>
    <w:rsid w:val="00994503"/>
    <w:rsid w:val="0099490C"/>
    <w:rsid w:val="0099693A"/>
    <w:rsid w:val="009972A5"/>
    <w:rsid w:val="009974AF"/>
    <w:rsid w:val="00997C94"/>
    <w:rsid w:val="009A063D"/>
    <w:rsid w:val="009A0710"/>
    <w:rsid w:val="009A44CE"/>
    <w:rsid w:val="009A4815"/>
    <w:rsid w:val="009A4C60"/>
    <w:rsid w:val="009A66FA"/>
    <w:rsid w:val="009A6BCA"/>
    <w:rsid w:val="009A716C"/>
    <w:rsid w:val="009A7250"/>
    <w:rsid w:val="009A7449"/>
    <w:rsid w:val="009A787F"/>
    <w:rsid w:val="009A7AF8"/>
    <w:rsid w:val="009A7B6A"/>
    <w:rsid w:val="009A7B71"/>
    <w:rsid w:val="009B1148"/>
    <w:rsid w:val="009B28E7"/>
    <w:rsid w:val="009B29B4"/>
    <w:rsid w:val="009B34DB"/>
    <w:rsid w:val="009B381B"/>
    <w:rsid w:val="009B395C"/>
    <w:rsid w:val="009B4C04"/>
    <w:rsid w:val="009B5B69"/>
    <w:rsid w:val="009B603A"/>
    <w:rsid w:val="009B633E"/>
    <w:rsid w:val="009B6BF9"/>
    <w:rsid w:val="009B7357"/>
    <w:rsid w:val="009B7A5F"/>
    <w:rsid w:val="009C14E0"/>
    <w:rsid w:val="009C1842"/>
    <w:rsid w:val="009C2666"/>
    <w:rsid w:val="009C45B4"/>
    <w:rsid w:val="009C52AB"/>
    <w:rsid w:val="009C5C3D"/>
    <w:rsid w:val="009D127C"/>
    <w:rsid w:val="009D2877"/>
    <w:rsid w:val="009D375D"/>
    <w:rsid w:val="009D380B"/>
    <w:rsid w:val="009D3E4C"/>
    <w:rsid w:val="009D64D2"/>
    <w:rsid w:val="009D6519"/>
    <w:rsid w:val="009D695B"/>
    <w:rsid w:val="009D7679"/>
    <w:rsid w:val="009D76D1"/>
    <w:rsid w:val="009D7A9D"/>
    <w:rsid w:val="009E032E"/>
    <w:rsid w:val="009E13E1"/>
    <w:rsid w:val="009E2974"/>
    <w:rsid w:val="009E2C88"/>
    <w:rsid w:val="009E3481"/>
    <w:rsid w:val="009E367E"/>
    <w:rsid w:val="009E3D75"/>
    <w:rsid w:val="009E4393"/>
    <w:rsid w:val="009E43AF"/>
    <w:rsid w:val="009E51A5"/>
    <w:rsid w:val="009E59AF"/>
    <w:rsid w:val="009E5C77"/>
    <w:rsid w:val="009E6655"/>
    <w:rsid w:val="009E6B3A"/>
    <w:rsid w:val="009E6BED"/>
    <w:rsid w:val="009E7C7F"/>
    <w:rsid w:val="009F044B"/>
    <w:rsid w:val="009F0C25"/>
    <w:rsid w:val="009F0EC2"/>
    <w:rsid w:val="009F1146"/>
    <w:rsid w:val="009F116E"/>
    <w:rsid w:val="009F1393"/>
    <w:rsid w:val="009F1554"/>
    <w:rsid w:val="009F1DA0"/>
    <w:rsid w:val="009F1F4A"/>
    <w:rsid w:val="009F2B50"/>
    <w:rsid w:val="009F3028"/>
    <w:rsid w:val="009F419D"/>
    <w:rsid w:val="009F4E46"/>
    <w:rsid w:val="009F7E38"/>
    <w:rsid w:val="00A0182D"/>
    <w:rsid w:val="00A01BDE"/>
    <w:rsid w:val="00A01DDD"/>
    <w:rsid w:val="00A02451"/>
    <w:rsid w:val="00A03441"/>
    <w:rsid w:val="00A03949"/>
    <w:rsid w:val="00A0456A"/>
    <w:rsid w:val="00A04B63"/>
    <w:rsid w:val="00A051C2"/>
    <w:rsid w:val="00A06057"/>
    <w:rsid w:val="00A06601"/>
    <w:rsid w:val="00A07344"/>
    <w:rsid w:val="00A10E0E"/>
    <w:rsid w:val="00A12706"/>
    <w:rsid w:val="00A13AC1"/>
    <w:rsid w:val="00A14910"/>
    <w:rsid w:val="00A1535E"/>
    <w:rsid w:val="00A15F5D"/>
    <w:rsid w:val="00A17CE0"/>
    <w:rsid w:val="00A17F4C"/>
    <w:rsid w:val="00A20B8A"/>
    <w:rsid w:val="00A219DA"/>
    <w:rsid w:val="00A2229F"/>
    <w:rsid w:val="00A245FC"/>
    <w:rsid w:val="00A25486"/>
    <w:rsid w:val="00A25822"/>
    <w:rsid w:val="00A25ED3"/>
    <w:rsid w:val="00A266E6"/>
    <w:rsid w:val="00A266F9"/>
    <w:rsid w:val="00A26CC8"/>
    <w:rsid w:val="00A26DED"/>
    <w:rsid w:val="00A306D4"/>
    <w:rsid w:val="00A3174B"/>
    <w:rsid w:val="00A342B9"/>
    <w:rsid w:val="00A34C1E"/>
    <w:rsid w:val="00A350E1"/>
    <w:rsid w:val="00A35980"/>
    <w:rsid w:val="00A359D4"/>
    <w:rsid w:val="00A363E2"/>
    <w:rsid w:val="00A36F98"/>
    <w:rsid w:val="00A40A27"/>
    <w:rsid w:val="00A40ED8"/>
    <w:rsid w:val="00A42306"/>
    <w:rsid w:val="00A423F0"/>
    <w:rsid w:val="00A42B52"/>
    <w:rsid w:val="00A43820"/>
    <w:rsid w:val="00A4448F"/>
    <w:rsid w:val="00A453FF"/>
    <w:rsid w:val="00A46284"/>
    <w:rsid w:val="00A47EA9"/>
    <w:rsid w:val="00A500BA"/>
    <w:rsid w:val="00A50514"/>
    <w:rsid w:val="00A51A0E"/>
    <w:rsid w:val="00A51FEC"/>
    <w:rsid w:val="00A531A7"/>
    <w:rsid w:val="00A54250"/>
    <w:rsid w:val="00A54F18"/>
    <w:rsid w:val="00A55015"/>
    <w:rsid w:val="00A55ACD"/>
    <w:rsid w:val="00A570ED"/>
    <w:rsid w:val="00A6011C"/>
    <w:rsid w:val="00A60939"/>
    <w:rsid w:val="00A60B67"/>
    <w:rsid w:val="00A60C30"/>
    <w:rsid w:val="00A61DC4"/>
    <w:rsid w:val="00A6287B"/>
    <w:rsid w:val="00A63976"/>
    <w:rsid w:val="00A6428A"/>
    <w:rsid w:val="00A64DB0"/>
    <w:rsid w:val="00A657BB"/>
    <w:rsid w:val="00A65DC1"/>
    <w:rsid w:val="00A667A8"/>
    <w:rsid w:val="00A6721A"/>
    <w:rsid w:val="00A677FE"/>
    <w:rsid w:val="00A71817"/>
    <w:rsid w:val="00A72077"/>
    <w:rsid w:val="00A724DA"/>
    <w:rsid w:val="00A73510"/>
    <w:rsid w:val="00A76FA0"/>
    <w:rsid w:val="00A801D7"/>
    <w:rsid w:val="00A8021F"/>
    <w:rsid w:val="00A80381"/>
    <w:rsid w:val="00A80A4D"/>
    <w:rsid w:val="00A816FA"/>
    <w:rsid w:val="00A81FC6"/>
    <w:rsid w:val="00A83103"/>
    <w:rsid w:val="00A83177"/>
    <w:rsid w:val="00A831F7"/>
    <w:rsid w:val="00A8439F"/>
    <w:rsid w:val="00A84902"/>
    <w:rsid w:val="00A84BF9"/>
    <w:rsid w:val="00A85737"/>
    <w:rsid w:val="00A861C6"/>
    <w:rsid w:val="00A862A5"/>
    <w:rsid w:val="00A863B2"/>
    <w:rsid w:val="00A86804"/>
    <w:rsid w:val="00A879C2"/>
    <w:rsid w:val="00A87DF0"/>
    <w:rsid w:val="00A87F41"/>
    <w:rsid w:val="00A909D1"/>
    <w:rsid w:val="00A90B45"/>
    <w:rsid w:val="00A90E0B"/>
    <w:rsid w:val="00A914D0"/>
    <w:rsid w:val="00A92270"/>
    <w:rsid w:val="00A929EA"/>
    <w:rsid w:val="00A93412"/>
    <w:rsid w:val="00A93837"/>
    <w:rsid w:val="00A93BB3"/>
    <w:rsid w:val="00A94201"/>
    <w:rsid w:val="00A951E5"/>
    <w:rsid w:val="00A9556E"/>
    <w:rsid w:val="00A95B79"/>
    <w:rsid w:val="00A96206"/>
    <w:rsid w:val="00A96B4B"/>
    <w:rsid w:val="00AA0084"/>
    <w:rsid w:val="00AA13E5"/>
    <w:rsid w:val="00AA1E5E"/>
    <w:rsid w:val="00AA2087"/>
    <w:rsid w:val="00AA391E"/>
    <w:rsid w:val="00AA4BCF"/>
    <w:rsid w:val="00AA4CB9"/>
    <w:rsid w:val="00AA4DE2"/>
    <w:rsid w:val="00AA58A8"/>
    <w:rsid w:val="00AA5A67"/>
    <w:rsid w:val="00AA5FD6"/>
    <w:rsid w:val="00AA6530"/>
    <w:rsid w:val="00AA6C7D"/>
    <w:rsid w:val="00AA73E1"/>
    <w:rsid w:val="00AA7734"/>
    <w:rsid w:val="00AA7E10"/>
    <w:rsid w:val="00AB273D"/>
    <w:rsid w:val="00AB2E58"/>
    <w:rsid w:val="00AB33E4"/>
    <w:rsid w:val="00AB41F3"/>
    <w:rsid w:val="00AB46C1"/>
    <w:rsid w:val="00AB4803"/>
    <w:rsid w:val="00AB5690"/>
    <w:rsid w:val="00AB58C7"/>
    <w:rsid w:val="00AB602D"/>
    <w:rsid w:val="00AB62CF"/>
    <w:rsid w:val="00AB7599"/>
    <w:rsid w:val="00AB7823"/>
    <w:rsid w:val="00AB78F9"/>
    <w:rsid w:val="00AB7EAE"/>
    <w:rsid w:val="00AC0AD4"/>
    <w:rsid w:val="00AC289F"/>
    <w:rsid w:val="00AC34A6"/>
    <w:rsid w:val="00AC379E"/>
    <w:rsid w:val="00AC427E"/>
    <w:rsid w:val="00AC454C"/>
    <w:rsid w:val="00AC4AA6"/>
    <w:rsid w:val="00AC5686"/>
    <w:rsid w:val="00AC627D"/>
    <w:rsid w:val="00AC70AF"/>
    <w:rsid w:val="00AC7DEA"/>
    <w:rsid w:val="00AC7F94"/>
    <w:rsid w:val="00AD1B03"/>
    <w:rsid w:val="00AD3C00"/>
    <w:rsid w:val="00AD60EC"/>
    <w:rsid w:val="00AD6301"/>
    <w:rsid w:val="00AD7304"/>
    <w:rsid w:val="00AD7BBE"/>
    <w:rsid w:val="00AE018F"/>
    <w:rsid w:val="00AE0708"/>
    <w:rsid w:val="00AE2F4F"/>
    <w:rsid w:val="00AE30AA"/>
    <w:rsid w:val="00AE392C"/>
    <w:rsid w:val="00AE3B6A"/>
    <w:rsid w:val="00AE4E89"/>
    <w:rsid w:val="00AE5F52"/>
    <w:rsid w:val="00AE620D"/>
    <w:rsid w:val="00AE6AEC"/>
    <w:rsid w:val="00AE6DDD"/>
    <w:rsid w:val="00AE7C11"/>
    <w:rsid w:val="00AF0A9A"/>
    <w:rsid w:val="00AF0E6E"/>
    <w:rsid w:val="00AF135C"/>
    <w:rsid w:val="00AF2169"/>
    <w:rsid w:val="00AF2FC3"/>
    <w:rsid w:val="00AF3EC9"/>
    <w:rsid w:val="00AF4C8E"/>
    <w:rsid w:val="00AF4D4D"/>
    <w:rsid w:val="00AF678A"/>
    <w:rsid w:val="00AF7A79"/>
    <w:rsid w:val="00B00814"/>
    <w:rsid w:val="00B01F7E"/>
    <w:rsid w:val="00B03116"/>
    <w:rsid w:val="00B03AF7"/>
    <w:rsid w:val="00B04326"/>
    <w:rsid w:val="00B05FF9"/>
    <w:rsid w:val="00B061E7"/>
    <w:rsid w:val="00B06540"/>
    <w:rsid w:val="00B066D8"/>
    <w:rsid w:val="00B069AE"/>
    <w:rsid w:val="00B06A28"/>
    <w:rsid w:val="00B06D06"/>
    <w:rsid w:val="00B06F21"/>
    <w:rsid w:val="00B078DA"/>
    <w:rsid w:val="00B10CFA"/>
    <w:rsid w:val="00B11B2E"/>
    <w:rsid w:val="00B15382"/>
    <w:rsid w:val="00B16282"/>
    <w:rsid w:val="00B17A8F"/>
    <w:rsid w:val="00B20699"/>
    <w:rsid w:val="00B20DE3"/>
    <w:rsid w:val="00B21B91"/>
    <w:rsid w:val="00B22998"/>
    <w:rsid w:val="00B2422E"/>
    <w:rsid w:val="00B248EA"/>
    <w:rsid w:val="00B2534E"/>
    <w:rsid w:val="00B2646D"/>
    <w:rsid w:val="00B26AB2"/>
    <w:rsid w:val="00B301C0"/>
    <w:rsid w:val="00B30252"/>
    <w:rsid w:val="00B30338"/>
    <w:rsid w:val="00B30788"/>
    <w:rsid w:val="00B3087D"/>
    <w:rsid w:val="00B30B3B"/>
    <w:rsid w:val="00B310EB"/>
    <w:rsid w:val="00B318CA"/>
    <w:rsid w:val="00B31D9F"/>
    <w:rsid w:val="00B33754"/>
    <w:rsid w:val="00B33E99"/>
    <w:rsid w:val="00B34794"/>
    <w:rsid w:val="00B36530"/>
    <w:rsid w:val="00B36DEC"/>
    <w:rsid w:val="00B377BE"/>
    <w:rsid w:val="00B40F03"/>
    <w:rsid w:val="00B42D1B"/>
    <w:rsid w:val="00B43E75"/>
    <w:rsid w:val="00B444ED"/>
    <w:rsid w:val="00B45743"/>
    <w:rsid w:val="00B46054"/>
    <w:rsid w:val="00B47D0E"/>
    <w:rsid w:val="00B47EAB"/>
    <w:rsid w:val="00B50E94"/>
    <w:rsid w:val="00B5115F"/>
    <w:rsid w:val="00B51162"/>
    <w:rsid w:val="00B51212"/>
    <w:rsid w:val="00B516F0"/>
    <w:rsid w:val="00B51953"/>
    <w:rsid w:val="00B55037"/>
    <w:rsid w:val="00B56233"/>
    <w:rsid w:val="00B57656"/>
    <w:rsid w:val="00B57C29"/>
    <w:rsid w:val="00B60421"/>
    <w:rsid w:val="00B615F5"/>
    <w:rsid w:val="00B61C0F"/>
    <w:rsid w:val="00B628FC"/>
    <w:rsid w:val="00B644D4"/>
    <w:rsid w:val="00B65304"/>
    <w:rsid w:val="00B67A42"/>
    <w:rsid w:val="00B70054"/>
    <w:rsid w:val="00B7038D"/>
    <w:rsid w:val="00B71BC8"/>
    <w:rsid w:val="00B72BB3"/>
    <w:rsid w:val="00B73E92"/>
    <w:rsid w:val="00B74CA2"/>
    <w:rsid w:val="00B74F3D"/>
    <w:rsid w:val="00B82AAF"/>
    <w:rsid w:val="00B831E4"/>
    <w:rsid w:val="00B83685"/>
    <w:rsid w:val="00B8435C"/>
    <w:rsid w:val="00B85117"/>
    <w:rsid w:val="00B852F3"/>
    <w:rsid w:val="00B86087"/>
    <w:rsid w:val="00B86164"/>
    <w:rsid w:val="00B861BF"/>
    <w:rsid w:val="00B86998"/>
    <w:rsid w:val="00B86E33"/>
    <w:rsid w:val="00B878B7"/>
    <w:rsid w:val="00B87B29"/>
    <w:rsid w:val="00B90BA2"/>
    <w:rsid w:val="00B9252D"/>
    <w:rsid w:val="00B92573"/>
    <w:rsid w:val="00B92A6A"/>
    <w:rsid w:val="00B94728"/>
    <w:rsid w:val="00B94972"/>
    <w:rsid w:val="00B94ACA"/>
    <w:rsid w:val="00B94E40"/>
    <w:rsid w:val="00B94EBC"/>
    <w:rsid w:val="00B94F15"/>
    <w:rsid w:val="00BA06FC"/>
    <w:rsid w:val="00BA0841"/>
    <w:rsid w:val="00BA27AA"/>
    <w:rsid w:val="00BA343C"/>
    <w:rsid w:val="00BA365E"/>
    <w:rsid w:val="00BA3FD1"/>
    <w:rsid w:val="00BA493B"/>
    <w:rsid w:val="00BA504F"/>
    <w:rsid w:val="00BA5164"/>
    <w:rsid w:val="00BA64F7"/>
    <w:rsid w:val="00BA682E"/>
    <w:rsid w:val="00BA6851"/>
    <w:rsid w:val="00BA6D83"/>
    <w:rsid w:val="00BA7296"/>
    <w:rsid w:val="00BB0243"/>
    <w:rsid w:val="00BB0416"/>
    <w:rsid w:val="00BB09DF"/>
    <w:rsid w:val="00BB1335"/>
    <w:rsid w:val="00BB14EC"/>
    <w:rsid w:val="00BB1961"/>
    <w:rsid w:val="00BB1B22"/>
    <w:rsid w:val="00BB4AD9"/>
    <w:rsid w:val="00BB5751"/>
    <w:rsid w:val="00BB6289"/>
    <w:rsid w:val="00BB6F23"/>
    <w:rsid w:val="00BC0238"/>
    <w:rsid w:val="00BC06ED"/>
    <w:rsid w:val="00BC0AA1"/>
    <w:rsid w:val="00BC1611"/>
    <w:rsid w:val="00BC1702"/>
    <w:rsid w:val="00BC271E"/>
    <w:rsid w:val="00BC42E7"/>
    <w:rsid w:val="00BC4879"/>
    <w:rsid w:val="00BC5F98"/>
    <w:rsid w:val="00BC7080"/>
    <w:rsid w:val="00BC718B"/>
    <w:rsid w:val="00BC76E6"/>
    <w:rsid w:val="00BC7BEF"/>
    <w:rsid w:val="00BD1F71"/>
    <w:rsid w:val="00BD3BB3"/>
    <w:rsid w:val="00BD3CAA"/>
    <w:rsid w:val="00BD42B6"/>
    <w:rsid w:val="00BD4B88"/>
    <w:rsid w:val="00BD6052"/>
    <w:rsid w:val="00BD7541"/>
    <w:rsid w:val="00BD78BC"/>
    <w:rsid w:val="00BE173E"/>
    <w:rsid w:val="00BE21E8"/>
    <w:rsid w:val="00BE232B"/>
    <w:rsid w:val="00BE3B22"/>
    <w:rsid w:val="00BE3FB0"/>
    <w:rsid w:val="00BE4068"/>
    <w:rsid w:val="00BE4FB1"/>
    <w:rsid w:val="00BE6E0D"/>
    <w:rsid w:val="00BE714E"/>
    <w:rsid w:val="00BE76B6"/>
    <w:rsid w:val="00BF0C1F"/>
    <w:rsid w:val="00BF0EC5"/>
    <w:rsid w:val="00BF43D4"/>
    <w:rsid w:val="00BF4E5D"/>
    <w:rsid w:val="00BF5D17"/>
    <w:rsid w:val="00BF5F46"/>
    <w:rsid w:val="00BF602D"/>
    <w:rsid w:val="00BF6878"/>
    <w:rsid w:val="00BF6EEC"/>
    <w:rsid w:val="00BF77FC"/>
    <w:rsid w:val="00C0099D"/>
    <w:rsid w:val="00C00A49"/>
    <w:rsid w:val="00C01ACF"/>
    <w:rsid w:val="00C02112"/>
    <w:rsid w:val="00C029A0"/>
    <w:rsid w:val="00C05E2A"/>
    <w:rsid w:val="00C06B2A"/>
    <w:rsid w:val="00C06B4F"/>
    <w:rsid w:val="00C07B29"/>
    <w:rsid w:val="00C1056B"/>
    <w:rsid w:val="00C10B5F"/>
    <w:rsid w:val="00C11736"/>
    <w:rsid w:val="00C1259D"/>
    <w:rsid w:val="00C1296C"/>
    <w:rsid w:val="00C12978"/>
    <w:rsid w:val="00C12D17"/>
    <w:rsid w:val="00C146B0"/>
    <w:rsid w:val="00C14EB0"/>
    <w:rsid w:val="00C15193"/>
    <w:rsid w:val="00C15BC4"/>
    <w:rsid w:val="00C16A6D"/>
    <w:rsid w:val="00C20F2A"/>
    <w:rsid w:val="00C21DDC"/>
    <w:rsid w:val="00C230C6"/>
    <w:rsid w:val="00C26867"/>
    <w:rsid w:val="00C2778E"/>
    <w:rsid w:val="00C27FB4"/>
    <w:rsid w:val="00C3039A"/>
    <w:rsid w:val="00C32A83"/>
    <w:rsid w:val="00C32C3A"/>
    <w:rsid w:val="00C342E8"/>
    <w:rsid w:val="00C3441A"/>
    <w:rsid w:val="00C35941"/>
    <w:rsid w:val="00C36360"/>
    <w:rsid w:val="00C37642"/>
    <w:rsid w:val="00C40D3B"/>
    <w:rsid w:val="00C419E3"/>
    <w:rsid w:val="00C44464"/>
    <w:rsid w:val="00C45253"/>
    <w:rsid w:val="00C45A93"/>
    <w:rsid w:val="00C47C7D"/>
    <w:rsid w:val="00C51B4A"/>
    <w:rsid w:val="00C51DD4"/>
    <w:rsid w:val="00C52F21"/>
    <w:rsid w:val="00C562D4"/>
    <w:rsid w:val="00C56946"/>
    <w:rsid w:val="00C57429"/>
    <w:rsid w:val="00C607FB"/>
    <w:rsid w:val="00C618BF"/>
    <w:rsid w:val="00C61CC5"/>
    <w:rsid w:val="00C621C5"/>
    <w:rsid w:val="00C62680"/>
    <w:rsid w:val="00C63A28"/>
    <w:rsid w:val="00C6419D"/>
    <w:rsid w:val="00C644E9"/>
    <w:rsid w:val="00C64872"/>
    <w:rsid w:val="00C64AB0"/>
    <w:rsid w:val="00C64B04"/>
    <w:rsid w:val="00C6509E"/>
    <w:rsid w:val="00C65372"/>
    <w:rsid w:val="00C66A54"/>
    <w:rsid w:val="00C67005"/>
    <w:rsid w:val="00C7039E"/>
    <w:rsid w:val="00C71B19"/>
    <w:rsid w:val="00C72BD1"/>
    <w:rsid w:val="00C73480"/>
    <w:rsid w:val="00C748FA"/>
    <w:rsid w:val="00C75930"/>
    <w:rsid w:val="00C7709E"/>
    <w:rsid w:val="00C77752"/>
    <w:rsid w:val="00C81141"/>
    <w:rsid w:val="00C811B4"/>
    <w:rsid w:val="00C81F6A"/>
    <w:rsid w:val="00C85B78"/>
    <w:rsid w:val="00C907FE"/>
    <w:rsid w:val="00C91377"/>
    <w:rsid w:val="00C913A1"/>
    <w:rsid w:val="00C9177D"/>
    <w:rsid w:val="00C92909"/>
    <w:rsid w:val="00C93190"/>
    <w:rsid w:val="00C93200"/>
    <w:rsid w:val="00C935C2"/>
    <w:rsid w:val="00C94044"/>
    <w:rsid w:val="00C949E0"/>
    <w:rsid w:val="00C971C6"/>
    <w:rsid w:val="00C9757D"/>
    <w:rsid w:val="00CA0057"/>
    <w:rsid w:val="00CA0AA3"/>
    <w:rsid w:val="00CA0CE1"/>
    <w:rsid w:val="00CA0FC1"/>
    <w:rsid w:val="00CA15CA"/>
    <w:rsid w:val="00CA1BCA"/>
    <w:rsid w:val="00CA21B9"/>
    <w:rsid w:val="00CA2ABA"/>
    <w:rsid w:val="00CA323E"/>
    <w:rsid w:val="00CA369A"/>
    <w:rsid w:val="00CA3A68"/>
    <w:rsid w:val="00CA3BEF"/>
    <w:rsid w:val="00CA4882"/>
    <w:rsid w:val="00CA48DB"/>
    <w:rsid w:val="00CA5176"/>
    <w:rsid w:val="00CA539F"/>
    <w:rsid w:val="00CA6D6D"/>
    <w:rsid w:val="00CB04D8"/>
    <w:rsid w:val="00CB098B"/>
    <w:rsid w:val="00CB0ADC"/>
    <w:rsid w:val="00CB114E"/>
    <w:rsid w:val="00CB47B1"/>
    <w:rsid w:val="00CB4A94"/>
    <w:rsid w:val="00CB4C43"/>
    <w:rsid w:val="00CB557D"/>
    <w:rsid w:val="00CB56D0"/>
    <w:rsid w:val="00CB5827"/>
    <w:rsid w:val="00CB58FE"/>
    <w:rsid w:val="00CB5A58"/>
    <w:rsid w:val="00CB7574"/>
    <w:rsid w:val="00CC03A9"/>
    <w:rsid w:val="00CC109D"/>
    <w:rsid w:val="00CC179F"/>
    <w:rsid w:val="00CC1B57"/>
    <w:rsid w:val="00CC2010"/>
    <w:rsid w:val="00CC25E5"/>
    <w:rsid w:val="00CC2C56"/>
    <w:rsid w:val="00CC3158"/>
    <w:rsid w:val="00CC37F2"/>
    <w:rsid w:val="00CC3999"/>
    <w:rsid w:val="00CC3C9B"/>
    <w:rsid w:val="00CC479A"/>
    <w:rsid w:val="00CC5039"/>
    <w:rsid w:val="00CC6146"/>
    <w:rsid w:val="00CC62CC"/>
    <w:rsid w:val="00CC6A99"/>
    <w:rsid w:val="00CD02D3"/>
    <w:rsid w:val="00CD0344"/>
    <w:rsid w:val="00CD1B0C"/>
    <w:rsid w:val="00CD44BC"/>
    <w:rsid w:val="00CD5B3E"/>
    <w:rsid w:val="00CD6023"/>
    <w:rsid w:val="00CD63D5"/>
    <w:rsid w:val="00CD73A2"/>
    <w:rsid w:val="00CD7AC7"/>
    <w:rsid w:val="00CE001F"/>
    <w:rsid w:val="00CE0215"/>
    <w:rsid w:val="00CE2074"/>
    <w:rsid w:val="00CE286D"/>
    <w:rsid w:val="00CE33C1"/>
    <w:rsid w:val="00CE3488"/>
    <w:rsid w:val="00CE374C"/>
    <w:rsid w:val="00CE4668"/>
    <w:rsid w:val="00CE47F8"/>
    <w:rsid w:val="00CE6429"/>
    <w:rsid w:val="00CE69C0"/>
    <w:rsid w:val="00CE7475"/>
    <w:rsid w:val="00CE7C32"/>
    <w:rsid w:val="00CF218D"/>
    <w:rsid w:val="00CF284E"/>
    <w:rsid w:val="00CF2AEB"/>
    <w:rsid w:val="00CF4823"/>
    <w:rsid w:val="00CF5730"/>
    <w:rsid w:val="00CF5DE4"/>
    <w:rsid w:val="00CF7023"/>
    <w:rsid w:val="00CF7813"/>
    <w:rsid w:val="00CF7CE3"/>
    <w:rsid w:val="00D00AA3"/>
    <w:rsid w:val="00D04638"/>
    <w:rsid w:val="00D048A0"/>
    <w:rsid w:val="00D04B7E"/>
    <w:rsid w:val="00D05162"/>
    <w:rsid w:val="00D05DA3"/>
    <w:rsid w:val="00D0619E"/>
    <w:rsid w:val="00D06D09"/>
    <w:rsid w:val="00D07C0E"/>
    <w:rsid w:val="00D07F73"/>
    <w:rsid w:val="00D10EA8"/>
    <w:rsid w:val="00D10F9A"/>
    <w:rsid w:val="00D120BB"/>
    <w:rsid w:val="00D1273A"/>
    <w:rsid w:val="00D136DE"/>
    <w:rsid w:val="00D13728"/>
    <w:rsid w:val="00D14D11"/>
    <w:rsid w:val="00D15283"/>
    <w:rsid w:val="00D160A8"/>
    <w:rsid w:val="00D16255"/>
    <w:rsid w:val="00D17EF8"/>
    <w:rsid w:val="00D2041C"/>
    <w:rsid w:val="00D2090C"/>
    <w:rsid w:val="00D22F61"/>
    <w:rsid w:val="00D23A98"/>
    <w:rsid w:val="00D23F69"/>
    <w:rsid w:val="00D256C5"/>
    <w:rsid w:val="00D25ADE"/>
    <w:rsid w:val="00D25F31"/>
    <w:rsid w:val="00D26B85"/>
    <w:rsid w:val="00D275D6"/>
    <w:rsid w:val="00D30C66"/>
    <w:rsid w:val="00D33DE5"/>
    <w:rsid w:val="00D34403"/>
    <w:rsid w:val="00D34937"/>
    <w:rsid w:val="00D356E9"/>
    <w:rsid w:val="00D36EBF"/>
    <w:rsid w:val="00D43297"/>
    <w:rsid w:val="00D432BA"/>
    <w:rsid w:val="00D4362A"/>
    <w:rsid w:val="00D43DB7"/>
    <w:rsid w:val="00D4400E"/>
    <w:rsid w:val="00D44DB6"/>
    <w:rsid w:val="00D451B9"/>
    <w:rsid w:val="00D45687"/>
    <w:rsid w:val="00D456CA"/>
    <w:rsid w:val="00D45B6F"/>
    <w:rsid w:val="00D4602D"/>
    <w:rsid w:val="00D46F11"/>
    <w:rsid w:val="00D47AD6"/>
    <w:rsid w:val="00D47E1E"/>
    <w:rsid w:val="00D50119"/>
    <w:rsid w:val="00D50397"/>
    <w:rsid w:val="00D512BD"/>
    <w:rsid w:val="00D51F07"/>
    <w:rsid w:val="00D52E88"/>
    <w:rsid w:val="00D530CF"/>
    <w:rsid w:val="00D537C1"/>
    <w:rsid w:val="00D53D47"/>
    <w:rsid w:val="00D54E10"/>
    <w:rsid w:val="00D55018"/>
    <w:rsid w:val="00D56F62"/>
    <w:rsid w:val="00D5747C"/>
    <w:rsid w:val="00D576ED"/>
    <w:rsid w:val="00D57F6C"/>
    <w:rsid w:val="00D60102"/>
    <w:rsid w:val="00D61054"/>
    <w:rsid w:val="00D616FE"/>
    <w:rsid w:val="00D62AE9"/>
    <w:rsid w:val="00D636C1"/>
    <w:rsid w:val="00D63A83"/>
    <w:rsid w:val="00D6420E"/>
    <w:rsid w:val="00D6485C"/>
    <w:rsid w:val="00D64A94"/>
    <w:rsid w:val="00D65D3B"/>
    <w:rsid w:val="00D67639"/>
    <w:rsid w:val="00D70170"/>
    <w:rsid w:val="00D70861"/>
    <w:rsid w:val="00D72E14"/>
    <w:rsid w:val="00D72E69"/>
    <w:rsid w:val="00D734CB"/>
    <w:rsid w:val="00D735EF"/>
    <w:rsid w:val="00D73FC2"/>
    <w:rsid w:val="00D75D74"/>
    <w:rsid w:val="00D770A3"/>
    <w:rsid w:val="00D772A8"/>
    <w:rsid w:val="00D810A4"/>
    <w:rsid w:val="00D81177"/>
    <w:rsid w:val="00D81825"/>
    <w:rsid w:val="00D81F79"/>
    <w:rsid w:val="00D82A43"/>
    <w:rsid w:val="00D83ED9"/>
    <w:rsid w:val="00D85073"/>
    <w:rsid w:val="00D850FF"/>
    <w:rsid w:val="00D853D6"/>
    <w:rsid w:val="00D8655F"/>
    <w:rsid w:val="00D86974"/>
    <w:rsid w:val="00D86F50"/>
    <w:rsid w:val="00D8736A"/>
    <w:rsid w:val="00D87A43"/>
    <w:rsid w:val="00D902BC"/>
    <w:rsid w:val="00D90810"/>
    <w:rsid w:val="00D91079"/>
    <w:rsid w:val="00D91362"/>
    <w:rsid w:val="00D91A77"/>
    <w:rsid w:val="00D92E3E"/>
    <w:rsid w:val="00D9424F"/>
    <w:rsid w:val="00D948EE"/>
    <w:rsid w:val="00D94D57"/>
    <w:rsid w:val="00D95618"/>
    <w:rsid w:val="00DA08D7"/>
    <w:rsid w:val="00DA0BB7"/>
    <w:rsid w:val="00DA16C9"/>
    <w:rsid w:val="00DA22A8"/>
    <w:rsid w:val="00DA28D3"/>
    <w:rsid w:val="00DA2CA5"/>
    <w:rsid w:val="00DA30B4"/>
    <w:rsid w:val="00DA3701"/>
    <w:rsid w:val="00DA37A8"/>
    <w:rsid w:val="00DA47D2"/>
    <w:rsid w:val="00DA5428"/>
    <w:rsid w:val="00DA59D0"/>
    <w:rsid w:val="00DA6A80"/>
    <w:rsid w:val="00DA7B5D"/>
    <w:rsid w:val="00DB0523"/>
    <w:rsid w:val="00DB278A"/>
    <w:rsid w:val="00DB2D42"/>
    <w:rsid w:val="00DB4598"/>
    <w:rsid w:val="00DB4C1D"/>
    <w:rsid w:val="00DC175C"/>
    <w:rsid w:val="00DC1A14"/>
    <w:rsid w:val="00DC3492"/>
    <w:rsid w:val="00DC3576"/>
    <w:rsid w:val="00DC3CB6"/>
    <w:rsid w:val="00DC3D90"/>
    <w:rsid w:val="00DC51A5"/>
    <w:rsid w:val="00DC5D8C"/>
    <w:rsid w:val="00DC5E2E"/>
    <w:rsid w:val="00DC5EE7"/>
    <w:rsid w:val="00DC6F95"/>
    <w:rsid w:val="00DD0B42"/>
    <w:rsid w:val="00DD0C8A"/>
    <w:rsid w:val="00DD1A7A"/>
    <w:rsid w:val="00DD2DC5"/>
    <w:rsid w:val="00DD2F52"/>
    <w:rsid w:val="00DD3ACC"/>
    <w:rsid w:val="00DD422D"/>
    <w:rsid w:val="00DD4A55"/>
    <w:rsid w:val="00DD7613"/>
    <w:rsid w:val="00DE0863"/>
    <w:rsid w:val="00DE0B8C"/>
    <w:rsid w:val="00DE3307"/>
    <w:rsid w:val="00DE338D"/>
    <w:rsid w:val="00DE4A47"/>
    <w:rsid w:val="00DE52EA"/>
    <w:rsid w:val="00DE6226"/>
    <w:rsid w:val="00DE668B"/>
    <w:rsid w:val="00DE6705"/>
    <w:rsid w:val="00DE71AC"/>
    <w:rsid w:val="00DE7314"/>
    <w:rsid w:val="00DE7EBC"/>
    <w:rsid w:val="00DF097D"/>
    <w:rsid w:val="00DF1389"/>
    <w:rsid w:val="00DF13B2"/>
    <w:rsid w:val="00DF1C52"/>
    <w:rsid w:val="00DF25EE"/>
    <w:rsid w:val="00DF3CC8"/>
    <w:rsid w:val="00DF4F36"/>
    <w:rsid w:val="00DF57D3"/>
    <w:rsid w:val="00DF58E7"/>
    <w:rsid w:val="00DF5F2B"/>
    <w:rsid w:val="00DF7D6D"/>
    <w:rsid w:val="00E004B3"/>
    <w:rsid w:val="00E007EF"/>
    <w:rsid w:val="00E00997"/>
    <w:rsid w:val="00E0104F"/>
    <w:rsid w:val="00E01E2B"/>
    <w:rsid w:val="00E0422C"/>
    <w:rsid w:val="00E04419"/>
    <w:rsid w:val="00E04D6A"/>
    <w:rsid w:val="00E05616"/>
    <w:rsid w:val="00E05EDA"/>
    <w:rsid w:val="00E07B3E"/>
    <w:rsid w:val="00E1121B"/>
    <w:rsid w:val="00E11876"/>
    <w:rsid w:val="00E129DA"/>
    <w:rsid w:val="00E13BC9"/>
    <w:rsid w:val="00E15916"/>
    <w:rsid w:val="00E16746"/>
    <w:rsid w:val="00E177F0"/>
    <w:rsid w:val="00E20A8E"/>
    <w:rsid w:val="00E23CBB"/>
    <w:rsid w:val="00E242C7"/>
    <w:rsid w:val="00E2538B"/>
    <w:rsid w:val="00E266F3"/>
    <w:rsid w:val="00E310B2"/>
    <w:rsid w:val="00E311C4"/>
    <w:rsid w:val="00E34A3E"/>
    <w:rsid w:val="00E353CA"/>
    <w:rsid w:val="00E3554C"/>
    <w:rsid w:val="00E3560B"/>
    <w:rsid w:val="00E3587E"/>
    <w:rsid w:val="00E36B6A"/>
    <w:rsid w:val="00E37601"/>
    <w:rsid w:val="00E3782F"/>
    <w:rsid w:val="00E3789A"/>
    <w:rsid w:val="00E37B59"/>
    <w:rsid w:val="00E37C73"/>
    <w:rsid w:val="00E4035C"/>
    <w:rsid w:val="00E44EA6"/>
    <w:rsid w:val="00E452A6"/>
    <w:rsid w:val="00E45693"/>
    <w:rsid w:val="00E45D61"/>
    <w:rsid w:val="00E46047"/>
    <w:rsid w:val="00E46806"/>
    <w:rsid w:val="00E46AA8"/>
    <w:rsid w:val="00E5003B"/>
    <w:rsid w:val="00E50156"/>
    <w:rsid w:val="00E50196"/>
    <w:rsid w:val="00E509AD"/>
    <w:rsid w:val="00E5132C"/>
    <w:rsid w:val="00E51542"/>
    <w:rsid w:val="00E5172D"/>
    <w:rsid w:val="00E52277"/>
    <w:rsid w:val="00E531FD"/>
    <w:rsid w:val="00E536D6"/>
    <w:rsid w:val="00E53F8F"/>
    <w:rsid w:val="00E55363"/>
    <w:rsid w:val="00E5699C"/>
    <w:rsid w:val="00E56CCF"/>
    <w:rsid w:val="00E56E10"/>
    <w:rsid w:val="00E576FC"/>
    <w:rsid w:val="00E57EA5"/>
    <w:rsid w:val="00E60E6C"/>
    <w:rsid w:val="00E61169"/>
    <w:rsid w:val="00E657C2"/>
    <w:rsid w:val="00E66021"/>
    <w:rsid w:val="00E66338"/>
    <w:rsid w:val="00E664BD"/>
    <w:rsid w:val="00E66628"/>
    <w:rsid w:val="00E6774A"/>
    <w:rsid w:val="00E67B44"/>
    <w:rsid w:val="00E67BBE"/>
    <w:rsid w:val="00E722C9"/>
    <w:rsid w:val="00E72971"/>
    <w:rsid w:val="00E73758"/>
    <w:rsid w:val="00E73771"/>
    <w:rsid w:val="00E73837"/>
    <w:rsid w:val="00E73ED6"/>
    <w:rsid w:val="00E75217"/>
    <w:rsid w:val="00E76419"/>
    <w:rsid w:val="00E76C00"/>
    <w:rsid w:val="00E7770D"/>
    <w:rsid w:val="00E80196"/>
    <w:rsid w:val="00E802CC"/>
    <w:rsid w:val="00E809C0"/>
    <w:rsid w:val="00E80C07"/>
    <w:rsid w:val="00E819F2"/>
    <w:rsid w:val="00E82116"/>
    <w:rsid w:val="00E827F2"/>
    <w:rsid w:val="00E82AFA"/>
    <w:rsid w:val="00E82CB4"/>
    <w:rsid w:val="00E82D35"/>
    <w:rsid w:val="00E83577"/>
    <w:rsid w:val="00E83843"/>
    <w:rsid w:val="00E84E94"/>
    <w:rsid w:val="00E86A27"/>
    <w:rsid w:val="00E86FCE"/>
    <w:rsid w:val="00E8784A"/>
    <w:rsid w:val="00E87F46"/>
    <w:rsid w:val="00E910DB"/>
    <w:rsid w:val="00E9146C"/>
    <w:rsid w:val="00E92183"/>
    <w:rsid w:val="00E93A75"/>
    <w:rsid w:val="00E93A84"/>
    <w:rsid w:val="00E9490D"/>
    <w:rsid w:val="00E94D2B"/>
    <w:rsid w:val="00E955F5"/>
    <w:rsid w:val="00E95832"/>
    <w:rsid w:val="00E965B3"/>
    <w:rsid w:val="00E96827"/>
    <w:rsid w:val="00E97084"/>
    <w:rsid w:val="00E97187"/>
    <w:rsid w:val="00E9732F"/>
    <w:rsid w:val="00EA0167"/>
    <w:rsid w:val="00EA1622"/>
    <w:rsid w:val="00EA17A5"/>
    <w:rsid w:val="00EA21D3"/>
    <w:rsid w:val="00EA26FA"/>
    <w:rsid w:val="00EA298D"/>
    <w:rsid w:val="00EA3002"/>
    <w:rsid w:val="00EA329B"/>
    <w:rsid w:val="00EA33A5"/>
    <w:rsid w:val="00EA33BB"/>
    <w:rsid w:val="00EA36C6"/>
    <w:rsid w:val="00EA4089"/>
    <w:rsid w:val="00EA42F4"/>
    <w:rsid w:val="00EA43A2"/>
    <w:rsid w:val="00EA709F"/>
    <w:rsid w:val="00EA7183"/>
    <w:rsid w:val="00EA7771"/>
    <w:rsid w:val="00EB0015"/>
    <w:rsid w:val="00EB2B44"/>
    <w:rsid w:val="00EB2FA7"/>
    <w:rsid w:val="00EB3B6B"/>
    <w:rsid w:val="00EB47FC"/>
    <w:rsid w:val="00EB501B"/>
    <w:rsid w:val="00EB5127"/>
    <w:rsid w:val="00EB702C"/>
    <w:rsid w:val="00EB7BB1"/>
    <w:rsid w:val="00EC05DE"/>
    <w:rsid w:val="00EC0F72"/>
    <w:rsid w:val="00EC1E0B"/>
    <w:rsid w:val="00EC3036"/>
    <w:rsid w:val="00EC3057"/>
    <w:rsid w:val="00EC4620"/>
    <w:rsid w:val="00EC50A2"/>
    <w:rsid w:val="00EC64C2"/>
    <w:rsid w:val="00EC6A2B"/>
    <w:rsid w:val="00EC7041"/>
    <w:rsid w:val="00EC7433"/>
    <w:rsid w:val="00EC78C2"/>
    <w:rsid w:val="00EC7FF1"/>
    <w:rsid w:val="00ED027B"/>
    <w:rsid w:val="00ED0309"/>
    <w:rsid w:val="00ED0E9F"/>
    <w:rsid w:val="00ED20E6"/>
    <w:rsid w:val="00ED2EA0"/>
    <w:rsid w:val="00ED348D"/>
    <w:rsid w:val="00ED3D78"/>
    <w:rsid w:val="00ED54CF"/>
    <w:rsid w:val="00ED5725"/>
    <w:rsid w:val="00ED5777"/>
    <w:rsid w:val="00ED58B5"/>
    <w:rsid w:val="00ED5E33"/>
    <w:rsid w:val="00ED685F"/>
    <w:rsid w:val="00ED68E9"/>
    <w:rsid w:val="00ED7031"/>
    <w:rsid w:val="00EE04E8"/>
    <w:rsid w:val="00EE0DB8"/>
    <w:rsid w:val="00EE1D18"/>
    <w:rsid w:val="00EE2474"/>
    <w:rsid w:val="00EE3060"/>
    <w:rsid w:val="00EE326E"/>
    <w:rsid w:val="00EE41E4"/>
    <w:rsid w:val="00EE4315"/>
    <w:rsid w:val="00EE4515"/>
    <w:rsid w:val="00EE482A"/>
    <w:rsid w:val="00EE5E8E"/>
    <w:rsid w:val="00EE72B5"/>
    <w:rsid w:val="00EE75C9"/>
    <w:rsid w:val="00EF079E"/>
    <w:rsid w:val="00EF093B"/>
    <w:rsid w:val="00EF26EA"/>
    <w:rsid w:val="00EF49F7"/>
    <w:rsid w:val="00EF5DF2"/>
    <w:rsid w:val="00EF6210"/>
    <w:rsid w:val="00EF68A8"/>
    <w:rsid w:val="00F0120B"/>
    <w:rsid w:val="00F01217"/>
    <w:rsid w:val="00F0241D"/>
    <w:rsid w:val="00F026AC"/>
    <w:rsid w:val="00F02F31"/>
    <w:rsid w:val="00F02FD4"/>
    <w:rsid w:val="00F0339B"/>
    <w:rsid w:val="00F0385E"/>
    <w:rsid w:val="00F043AF"/>
    <w:rsid w:val="00F04421"/>
    <w:rsid w:val="00F04D26"/>
    <w:rsid w:val="00F06262"/>
    <w:rsid w:val="00F06ABE"/>
    <w:rsid w:val="00F06C39"/>
    <w:rsid w:val="00F108FC"/>
    <w:rsid w:val="00F10D88"/>
    <w:rsid w:val="00F10DBB"/>
    <w:rsid w:val="00F11660"/>
    <w:rsid w:val="00F119B4"/>
    <w:rsid w:val="00F124F6"/>
    <w:rsid w:val="00F125BB"/>
    <w:rsid w:val="00F13F86"/>
    <w:rsid w:val="00F150F1"/>
    <w:rsid w:val="00F1555B"/>
    <w:rsid w:val="00F15A29"/>
    <w:rsid w:val="00F20429"/>
    <w:rsid w:val="00F207DB"/>
    <w:rsid w:val="00F223DB"/>
    <w:rsid w:val="00F23DCB"/>
    <w:rsid w:val="00F23E53"/>
    <w:rsid w:val="00F2442A"/>
    <w:rsid w:val="00F25D34"/>
    <w:rsid w:val="00F25FD9"/>
    <w:rsid w:val="00F26ED3"/>
    <w:rsid w:val="00F27739"/>
    <w:rsid w:val="00F30A7E"/>
    <w:rsid w:val="00F31147"/>
    <w:rsid w:val="00F31C13"/>
    <w:rsid w:val="00F34CE8"/>
    <w:rsid w:val="00F3533A"/>
    <w:rsid w:val="00F35FDF"/>
    <w:rsid w:val="00F36920"/>
    <w:rsid w:val="00F37822"/>
    <w:rsid w:val="00F37AA4"/>
    <w:rsid w:val="00F4091D"/>
    <w:rsid w:val="00F40D6A"/>
    <w:rsid w:val="00F41B2E"/>
    <w:rsid w:val="00F42493"/>
    <w:rsid w:val="00F42FCD"/>
    <w:rsid w:val="00F456E4"/>
    <w:rsid w:val="00F45934"/>
    <w:rsid w:val="00F474CA"/>
    <w:rsid w:val="00F47FE0"/>
    <w:rsid w:val="00F50A0B"/>
    <w:rsid w:val="00F50EE1"/>
    <w:rsid w:val="00F50F42"/>
    <w:rsid w:val="00F51F15"/>
    <w:rsid w:val="00F52411"/>
    <w:rsid w:val="00F524FA"/>
    <w:rsid w:val="00F52871"/>
    <w:rsid w:val="00F52A05"/>
    <w:rsid w:val="00F54205"/>
    <w:rsid w:val="00F54574"/>
    <w:rsid w:val="00F54A21"/>
    <w:rsid w:val="00F551CD"/>
    <w:rsid w:val="00F5751A"/>
    <w:rsid w:val="00F57ABB"/>
    <w:rsid w:val="00F60257"/>
    <w:rsid w:val="00F605E3"/>
    <w:rsid w:val="00F61288"/>
    <w:rsid w:val="00F62463"/>
    <w:rsid w:val="00F62B3B"/>
    <w:rsid w:val="00F62B7A"/>
    <w:rsid w:val="00F62C46"/>
    <w:rsid w:val="00F6397D"/>
    <w:rsid w:val="00F63CD9"/>
    <w:rsid w:val="00F668F2"/>
    <w:rsid w:val="00F669ED"/>
    <w:rsid w:val="00F6717D"/>
    <w:rsid w:val="00F70010"/>
    <w:rsid w:val="00F704A7"/>
    <w:rsid w:val="00F7072D"/>
    <w:rsid w:val="00F7139A"/>
    <w:rsid w:val="00F71416"/>
    <w:rsid w:val="00F71869"/>
    <w:rsid w:val="00F7205A"/>
    <w:rsid w:val="00F7293E"/>
    <w:rsid w:val="00F72D7F"/>
    <w:rsid w:val="00F72F1B"/>
    <w:rsid w:val="00F75708"/>
    <w:rsid w:val="00F76364"/>
    <w:rsid w:val="00F76650"/>
    <w:rsid w:val="00F76C3E"/>
    <w:rsid w:val="00F80A55"/>
    <w:rsid w:val="00F812B4"/>
    <w:rsid w:val="00F85246"/>
    <w:rsid w:val="00F8543E"/>
    <w:rsid w:val="00F85466"/>
    <w:rsid w:val="00F85AB7"/>
    <w:rsid w:val="00F86882"/>
    <w:rsid w:val="00F868D4"/>
    <w:rsid w:val="00F86D33"/>
    <w:rsid w:val="00F86E5E"/>
    <w:rsid w:val="00F8718A"/>
    <w:rsid w:val="00F87B28"/>
    <w:rsid w:val="00F87FF9"/>
    <w:rsid w:val="00F90B03"/>
    <w:rsid w:val="00F90FCD"/>
    <w:rsid w:val="00F9187B"/>
    <w:rsid w:val="00F92385"/>
    <w:rsid w:val="00F943E7"/>
    <w:rsid w:val="00F958D9"/>
    <w:rsid w:val="00F97439"/>
    <w:rsid w:val="00F976D1"/>
    <w:rsid w:val="00FA0058"/>
    <w:rsid w:val="00FA0347"/>
    <w:rsid w:val="00FA1B4F"/>
    <w:rsid w:val="00FA275A"/>
    <w:rsid w:val="00FA2902"/>
    <w:rsid w:val="00FA2EB7"/>
    <w:rsid w:val="00FA3092"/>
    <w:rsid w:val="00FA3362"/>
    <w:rsid w:val="00FA36EA"/>
    <w:rsid w:val="00FA378E"/>
    <w:rsid w:val="00FA4927"/>
    <w:rsid w:val="00FA4C9B"/>
    <w:rsid w:val="00FA4ED7"/>
    <w:rsid w:val="00FA6DED"/>
    <w:rsid w:val="00FA7DF1"/>
    <w:rsid w:val="00FB1BCF"/>
    <w:rsid w:val="00FB1E27"/>
    <w:rsid w:val="00FB28E2"/>
    <w:rsid w:val="00FB2DEA"/>
    <w:rsid w:val="00FB3F98"/>
    <w:rsid w:val="00FB43CB"/>
    <w:rsid w:val="00FB473B"/>
    <w:rsid w:val="00FB49A1"/>
    <w:rsid w:val="00FB5052"/>
    <w:rsid w:val="00FB6017"/>
    <w:rsid w:val="00FC062B"/>
    <w:rsid w:val="00FC1A53"/>
    <w:rsid w:val="00FC37A2"/>
    <w:rsid w:val="00FC4117"/>
    <w:rsid w:val="00FC47F9"/>
    <w:rsid w:val="00FC71BB"/>
    <w:rsid w:val="00FC7998"/>
    <w:rsid w:val="00FC7AE0"/>
    <w:rsid w:val="00FD1750"/>
    <w:rsid w:val="00FD1837"/>
    <w:rsid w:val="00FD250D"/>
    <w:rsid w:val="00FD4F68"/>
    <w:rsid w:val="00FD5FCB"/>
    <w:rsid w:val="00FD614E"/>
    <w:rsid w:val="00FD63AB"/>
    <w:rsid w:val="00FE0056"/>
    <w:rsid w:val="00FE09C1"/>
    <w:rsid w:val="00FE135D"/>
    <w:rsid w:val="00FE14F2"/>
    <w:rsid w:val="00FE1921"/>
    <w:rsid w:val="00FE1AFA"/>
    <w:rsid w:val="00FE3857"/>
    <w:rsid w:val="00FE3B21"/>
    <w:rsid w:val="00FE43D2"/>
    <w:rsid w:val="00FE548E"/>
    <w:rsid w:val="00FE5580"/>
    <w:rsid w:val="00FE5789"/>
    <w:rsid w:val="00FE5B71"/>
    <w:rsid w:val="00FE68C6"/>
    <w:rsid w:val="00FE79C3"/>
    <w:rsid w:val="00FF103B"/>
    <w:rsid w:val="00FF110C"/>
    <w:rsid w:val="00FF16A8"/>
    <w:rsid w:val="00FF16F4"/>
    <w:rsid w:val="00FF320F"/>
    <w:rsid w:val="00FF5D54"/>
    <w:rsid w:val="00FF7A51"/>
    <w:rsid w:val="00FF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1C0E3B"/>
  <w15:chartTrackingRefBased/>
  <w15:docId w15:val="{4BE8544D-E88A-44DB-A544-40B26014E02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A56F2"/>
    <w:pPr>
      <w:numPr>
        <w:numId w:val="6"/>
      </w:numPr>
    </w:pPr>
    <w:rPr>
      <w:rFonts w:eastAsiaTheme="majorEastAsia" w:cstheme="majorBidi"/>
      <w:szCs w:val="32"/>
    </w:rPr>
  </w:style>
  <w:style w:type="paragraph" w:styleId="Heading2">
    <w:name w:val="heading 2"/>
    <w:basedOn w:val="Dummy"/>
    <w:next w:val="Standard"/>
    <w:link w:val="Heading2Char"/>
    <w:uiPriority w:val="4"/>
    <w:qFormat/>
    <w:rsid w:val="000A56F2"/>
    <w:pPr>
      <w:numPr>
        <w:ilvl w:val="1"/>
        <w:numId w:val="6"/>
      </w:numPr>
      <w:outlineLvl w:val="1"/>
    </w:pPr>
  </w:style>
  <w:style w:type="paragraph" w:styleId="Heading3">
    <w:name w:val="heading 3"/>
    <w:basedOn w:val="Dummy"/>
    <w:next w:val="Standard"/>
    <w:link w:val="Heading3Char"/>
    <w:uiPriority w:val="4"/>
    <w:qFormat/>
    <w:rsid w:val="000A56F2"/>
    <w:pPr>
      <w:numPr>
        <w:ilvl w:val="2"/>
        <w:numId w:val="6"/>
      </w:numPr>
      <w:outlineLvl w:val="2"/>
    </w:pPr>
    <w:rPr>
      <w:rFonts w:eastAsiaTheme="majorEastAsia" w:cstheme="majorBidi"/>
      <w:szCs w:val="24"/>
    </w:rPr>
  </w:style>
  <w:style w:type="paragraph" w:styleId="Heading4">
    <w:name w:val="heading 4"/>
    <w:basedOn w:val="Dummy"/>
    <w:next w:val="Standard"/>
    <w:link w:val="Heading4Char"/>
    <w:uiPriority w:val="4"/>
    <w:rsid w:val="000A56F2"/>
    <w:pPr>
      <w:numPr>
        <w:ilvl w:val="3"/>
        <w:numId w:val="6"/>
      </w:numPr>
      <w:outlineLvl w:val="3"/>
    </w:pPr>
    <w:rPr>
      <w:rFonts w:eastAsiaTheme="majorEastAsia" w:cstheme="majorBidi"/>
      <w:iCs/>
    </w:rPr>
  </w:style>
  <w:style w:type="paragraph" w:styleId="Heading5">
    <w:name w:val="heading 5"/>
    <w:basedOn w:val="Dummy"/>
    <w:next w:val="Standard"/>
    <w:link w:val="Heading5Char"/>
    <w:uiPriority w:val="4"/>
    <w:rsid w:val="000A56F2"/>
    <w:pPr>
      <w:numPr>
        <w:ilvl w:val="4"/>
        <w:numId w:val="6"/>
      </w:numPr>
      <w:outlineLvl w:val="4"/>
    </w:pPr>
    <w:rPr>
      <w:rFonts w:eastAsiaTheme="majorEastAsia" w:cstheme="majorBidi"/>
    </w:rPr>
  </w:style>
  <w:style w:type="paragraph" w:styleId="Heading6">
    <w:name w:val="heading 6"/>
    <w:basedOn w:val="Dummy"/>
    <w:next w:val="Standard"/>
    <w:link w:val="Heading6Char"/>
    <w:uiPriority w:val="4"/>
    <w:rsid w:val="000A56F2"/>
    <w:pPr>
      <w:numPr>
        <w:ilvl w:val="5"/>
        <w:numId w:val="6"/>
      </w:numPr>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2 Char Char Char,Footnote Text Char Char Char Char Char,Footnote Text Char2 Char Char Char Char1 Char,Footnote Text Char2,fn,f"/>
    <w:basedOn w:val="Normal"/>
    <w:link w:val="FootnoteTextChar"/>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Footnote Text Char2 Char Char,Footnote Text Char2 Char Char Char Char,Footnote Text Char Char Char Char Char Char,Footnote Text Char2 Char Char Char Char1 Char Char,fn Char,f Char"/>
    <w:basedOn w:val="DefaultParagraphFont"/>
    <w:link w:val="FootnoteText"/>
    <w:uiPriority w:val="99"/>
    <w:rsid w:val="007657C1"/>
    <w:rPr>
      <w:rFonts w:ascii="Book Antiqua" w:hAnsi="Book Antiqua"/>
      <w:szCs w:val="20"/>
    </w:rPr>
  </w:style>
  <w:style w:type="character" w:styleId="FootnoteReference">
    <w:name w:val="footnote reference"/>
    <w:aliases w:val="o,fr,Style 3,o1,o2,o3,o4,o5,o6,o11,o21,o7,o + Times New Roman,Style 12,(NECG) Footnote Reference,Appel note de bas de p,Style 124,Style 58"/>
    <w:basedOn w:val="DefaultParagraphFont"/>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A56F2"/>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A56F2"/>
    <w:pPr>
      <w:numPr>
        <w:ilvl w:val="7"/>
        <w:numId w:val="6"/>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standard0">
    <w:name w:val="standard"/>
    <w:basedOn w:val="Normal"/>
    <w:link w:val="standardChar"/>
    <w:rsid w:val="005D37E1"/>
    <w:rPr>
      <w:rFonts w:ascii="Palatino" w:eastAsia="Times New Roman" w:hAnsi="Palatino" w:cs="Times New Roman"/>
      <w:szCs w:val="20"/>
    </w:rPr>
  </w:style>
  <w:style w:type="character" w:customStyle="1" w:styleId="standardChar">
    <w:name w:val="standard Char"/>
    <w:link w:val="standard0"/>
    <w:rsid w:val="005D37E1"/>
    <w:rPr>
      <w:rFonts w:ascii="Palatino" w:eastAsia="Times New Roman" w:hAnsi="Palatino" w:cs="Times New Roman"/>
      <w:sz w:val="26"/>
      <w:szCs w:val="20"/>
    </w:rPr>
  </w:style>
  <w:style w:type="paragraph" w:customStyle="1" w:styleId="Quote1">
    <w:name w:val="Quote1"/>
    <w:basedOn w:val="standard0"/>
    <w:next w:val="standard0"/>
    <w:rsid w:val="003F043F"/>
    <w:pPr>
      <w:spacing w:before="120" w:after="240" w:line="240" w:lineRule="auto"/>
      <w:ind w:left="720" w:right="720" w:firstLine="0"/>
    </w:pPr>
  </w:style>
  <w:style w:type="paragraph" w:customStyle="1" w:styleId="paragraph">
    <w:name w:val="paragraph"/>
    <w:basedOn w:val="Normal"/>
    <w:rsid w:val="00C05E2A"/>
    <w:pPr>
      <w:spacing w:line="240" w:lineRule="auto"/>
      <w:ind w:firstLine="0"/>
    </w:pPr>
    <w:rPr>
      <w:rFonts w:ascii="Times New Roman" w:eastAsia="Times New Roman" w:hAnsi="Times New Roman" w:cs="Times New Roman"/>
      <w:sz w:val="24"/>
      <w:szCs w:val="24"/>
    </w:rPr>
  </w:style>
  <w:style w:type="character" w:customStyle="1" w:styleId="normaltextrun1">
    <w:name w:val="normaltextrun1"/>
    <w:basedOn w:val="DefaultParagraphFont"/>
    <w:rsid w:val="00C05E2A"/>
  </w:style>
  <w:style w:type="character" w:customStyle="1" w:styleId="eop">
    <w:name w:val="eop"/>
    <w:basedOn w:val="DefaultParagraphFont"/>
    <w:rsid w:val="00C05E2A"/>
  </w:style>
  <w:style w:type="paragraph" w:customStyle="1" w:styleId="sub1">
    <w:name w:val="sub1"/>
    <w:basedOn w:val="Normal"/>
    <w:rsid w:val="0004243B"/>
    <w:pPr>
      <w:ind w:firstLine="1440"/>
    </w:pPr>
    <w:rPr>
      <w:rFonts w:ascii="Palatino" w:eastAsia="Times New Roman" w:hAnsi="Palatino" w:cs="Times New Roman"/>
      <w:szCs w:val="20"/>
    </w:rPr>
  </w:style>
  <w:style w:type="character" w:styleId="CommentReference">
    <w:name w:val="annotation reference"/>
    <w:basedOn w:val="DefaultParagraphFont"/>
    <w:uiPriority w:val="99"/>
    <w:semiHidden/>
    <w:unhideWhenUsed/>
    <w:rsid w:val="00B72BB3"/>
    <w:rPr>
      <w:sz w:val="16"/>
      <w:szCs w:val="16"/>
    </w:rPr>
  </w:style>
  <w:style w:type="paragraph" w:styleId="CommentText">
    <w:name w:val="annotation text"/>
    <w:basedOn w:val="Normal"/>
    <w:link w:val="CommentTextChar"/>
    <w:uiPriority w:val="99"/>
    <w:semiHidden/>
    <w:unhideWhenUsed/>
    <w:rsid w:val="00B72BB3"/>
    <w:pPr>
      <w:spacing w:line="240" w:lineRule="auto"/>
    </w:pPr>
    <w:rPr>
      <w:sz w:val="20"/>
      <w:szCs w:val="20"/>
    </w:rPr>
  </w:style>
  <w:style w:type="character" w:customStyle="1" w:styleId="CommentTextChar">
    <w:name w:val="Comment Text Char"/>
    <w:basedOn w:val="DefaultParagraphFont"/>
    <w:link w:val="CommentText"/>
    <w:uiPriority w:val="99"/>
    <w:semiHidden/>
    <w:rsid w:val="00B72BB3"/>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72BB3"/>
    <w:rPr>
      <w:b/>
      <w:bCs/>
    </w:rPr>
  </w:style>
  <w:style w:type="character" w:customStyle="1" w:styleId="CommentSubjectChar">
    <w:name w:val="Comment Subject Char"/>
    <w:basedOn w:val="CommentTextChar"/>
    <w:link w:val="CommentSubject"/>
    <w:uiPriority w:val="99"/>
    <w:semiHidden/>
    <w:rsid w:val="00B72BB3"/>
    <w:rPr>
      <w:rFonts w:ascii="Book Antiqua" w:hAnsi="Book Antiqua"/>
      <w:b/>
      <w:bCs/>
      <w:sz w:val="20"/>
      <w:szCs w:val="20"/>
    </w:rPr>
  </w:style>
  <w:style w:type="paragraph" w:styleId="Revision">
    <w:name w:val="Revision"/>
    <w:hidden/>
    <w:uiPriority w:val="99"/>
    <w:semiHidden/>
    <w:rsid w:val="00B72BB3"/>
    <w:pPr>
      <w:spacing w:after="0" w:line="240" w:lineRule="auto"/>
    </w:pPr>
    <w:rPr>
      <w:rFonts w:ascii="Book Antiqua" w:hAnsi="Book Antiqua"/>
      <w:sz w:val="26"/>
    </w:rPr>
  </w:style>
  <w:style w:type="numbering" w:customStyle="1" w:styleId="NoList1">
    <w:name w:val="No List1"/>
    <w:next w:val="NoList"/>
    <w:uiPriority w:val="99"/>
    <w:semiHidden/>
    <w:unhideWhenUsed/>
    <w:rsid w:val="00F85246"/>
  </w:style>
  <w:style w:type="table" w:customStyle="1" w:styleId="TableGrid1">
    <w:name w:val="Table Grid1"/>
    <w:basedOn w:val="TableNormal"/>
    <w:next w:val="TableGrid"/>
    <w:uiPriority w:val="59"/>
    <w:rsid w:val="00F8524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61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5796">
      <w:bodyDiv w:val="1"/>
      <w:marLeft w:val="0"/>
      <w:marRight w:val="0"/>
      <w:marTop w:val="0"/>
      <w:marBottom w:val="0"/>
      <w:divBdr>
        <w:top w:val="none" w:sz="0" w:space="0" w:color="auto"/>
        <w:left w:val="none" w:sz="0" w:space="0" w:color="auto"/>
        <w:bottom w:val="none" w:sz="0" w:space="0" w:color="auto"/>
        <w:right w:val="none" w:sz="0" w:space="0" w:color="auto"/>
      </w:divBdr>
    </w:div>
    <w:div w:id="270599550">
      <w:bodyDiv w:val="1"/>
      <w:marLeft w:val="0"/>
      <w:marRight w:val="0"/>
      <w:marTop w:val="0"/>
      <w:marBottom w:val="0"/>
      <w:divBdr>
        <w:top w:val="none" w:sz="0" w:space="0" w:color="auto"/>
        <w:left w:val="none" w:sz="0" w:space="0" w:color="auto"/>
        <w:bottom w:val="none" w:sz="0" w:space="0" w:color="auto"/>
        <w:right w:val="none" w:sz="0" w:space="0" w:color="auto"/>
      </w:divBdr>
    </w:div>
    <w:div w:id="284586887">
      <w:bodyDiv w:val="1"/>
      <w:marLeft w:val="0"/>
      <w:marRight w:val="0"/>
      <w:marTop w:val="0"/>
      <w:marBottom w:val="0"/>
      <w:divBdr>
        <w:top w:val="none" w:sz="0" w:space="0" w:color="auto"/>
        <w:left w:val="none" w:sz="0" w:space="0" w:color="auto"/>
        <w:bottom w:val="none" w:sz="0" w:space="0" w:color="auto"/>
        <w:right w:val="none" w:sz="0" w:space="0" w:color="auto"/>
      </w:divBdr>
    </w:div>
    <w:div w:id="413088768">
      <w:bodyDiv w:val="1"/>
      <w:marLeft w:val="0"/>
      <w:marRight w:val="0"/>
      <w:marTop w:val="0"/>
      <w:marBottom w:val="0"/>
      <w:divBdr>
        <w:top w:val="none" w:sz="0" w:space="0" w:color="auto"/>
        <w:left w:val="none" w:sz="0" w:space="0" w:color="auto"/>
        <w:bottom w:val="none" w:sz="0" w:space="0" w:color="auto"/>
        <w:right w:val="none" w:sz="0" w:space="0" w:color="auto"/>
      </w:divBdr>
    </w:div>
    <w:div w:id="464080661">
      <w:bodyDiv w:val="1"/>
      <w:marLeft w:val="0"/>
      <w:marRight w:val="0"/>
      <w:marTop w:val="0"/>
      <w:marBottom w:val="0"/>
      <w:divBdr>
        <w:top w:val="none" w:sz="0" w:space="0" w:color="auto"/>
        <w:left w:val="none" w:sz="0" w:space="0" w:color="auto"/>
        <w:bottom w:val="none" w:sz="0" w:space="0" w:color="auto"/>
        <w:right w:val="none" w:sz="0" w:space="0" w:color="auto"/>
      </w:divBdr>
    </w:div>
    <w:div w:id="667442072">
      <w:bodyDiv w:val="1"/>
      <w:marLeft w:val="0"/>
      <w:marRight w:val="0"/>
      <w:marTop w:val="0"/>
      <w:marBottom w:val="0"/>
      <w:divBdr>
        <w:top w:val="none" w:sz="0" w:space="0" w:color="auto"/>
        <w:left w:val="none" w:sz="0" w:space="0" w:color="auto"/>
        <w:bottom w:val="none" w:sz="0" w:space="0" w:color="auto"/>
        <w:right w:val="none" w:sz="0" w:space="0" w:color="auto"/>
      </w:divBdr>
    </w:div>
    <w:div w:id="911431939">
      <w:bodyDiv w:val="1"/>
      <w:marLeft w:val="0"/>
      <w:marRight w:val="0"/>
      <w:marTop w:val="0"/>
      <w:marBottom w:val="0"/>
      <w:divBdr>
        <w:top w:val="none" w:sz="0" w:space="0" w:color="auto"/>
        <w:left w:val="none" w:sz="0" w:space="0" w:color="auto"/>
        <w:bottom w:val="none" w:sz="0" w:space="0" w:color="auto"/>
        <w:right w:val="none" w:sz="0" w:space="0" w:color="auto"/>
      </w:divBdr>
    </w:div>
    <w:div w:id="919169848">
      <w:bodyDiv w:val="1"/>
      <w:marLeft w:val="0"/>
      <w:marRight w:val="0"/>
      <w:marTop w:val="0"/>
      <w:marBottom w:val="0"/>
      <w:divBdr>
        <w:top w:val="none" w:sz="0" w:space="0" w:color="auto"/>
        <w:left w:val="none" w:sz="0" w:space="0" w:color="auto"/>
        <w:bottom w:val="none" w:sz="0" w:space="0" w:color="auto"/>
        <w:right w:val="none" w:sz="0" w:space="0" w:color="auto"/>
      </w:divBdr>
    </w:div>
    <w:div w:id="1070157656">
      <w:bodyDiv w:val="1"/>
      <w:marLeft w:val="0"/>
      <w:marRight w:val="0"/>
      <w:marTop w:val="0"/>
      <w:marBottom w:val="0"/>
      <w:divBdr>
        <w:top w:val="none" w:sz="0" w:space="0" w:color="auto"/>
        <w:left w:val="none" w:sz="0" w:space="0" w:color="auto"/>
        <w:bottom w:val="none" w:sz="0" w:space="0" w:color="auto"/>
        <w:right w:val="none" w:sz="0" w:space="0" w:color="auto"/>
      </w:divBdr>
    </w:div>
    <w:div w:id="1074739960">
      <w:bodyDiv w:val="1"/>
      <w:marLeft w:val="0"/>
      <w:marRight w:val="0"/>
      <w:marTop w:val="0"/>
      <w:marBottom w:val="0"/>
      <w:divBdr>
        <w:top w:val="none" w:sz="0" w:space="0" w:color="auto"/>
        <w:left w:val="none" w:sz="0" w:space="0" w:color="auto"/>
        <w:bottom w:val="none" w:sz="0" w:space="0" w:color="auto"/>
        <w:right w:val="none" w:sz="0" w:space="0" w:color="auto"/>
      </w:divBdr>
    </w:div>
    <w:div w:id="1153565270">
      <w:bodyDiv w:val="1"/>
      <w:marLeft w:val="0"/>
      <w:marRight w:val="0"/>
      <w:marTop w:val="0"/>
      <w:marBottom w:val="0"/>
      <w:divBdr>
        <w:top w:val="none" w:sz="0" w:space="0" w:color="auto"/>
        <w:left w:val="none" w:sz="0" w:space="0" w:color="auto"/>
        <w:bottom w:val="none" w:sz="0" w:space="0" w:color="auto"/>
        <w:right w:val="none" w:sz="0" w:space="0" w:color="auto"/>
      </w:divBdr>
    </w:div>
    <w:div w:id="1207331673">
      <w:bodyDiv w:val="1"/>
      <w:marLeft w:val="0"/>
      <w:marRight w:val="0"/>
      <w:marTop w:val="0"/>
      <w:marBottom w:val="0"/>
      <w:divBdr>
        <w:top w:val="none" w:sz="0" w:space="0" w:color="auto"/>
        <w:left w:val="none" w:sz="0" w:space="0" w:color="auto"/>
        <w:bottom w:val="none" w:sz="0" w:space="0" w:color="auto"/>
        <w:right w:val="none" w:sz="0" w:space="0" w:color="auto"/>
      </w:divBdr>
    </w:div>
    <w:div w:id="1266421570">
      <w:bodyDiv w:val="1"/>
      <w:marLeft w:val="0"/>
      <w:marRight w:val="0"/>
      <w:marTop w:val="0"/>
      <w:marBottom w:val="0"/>
      <w:divBdr>
        <w:top w:val="none" w:sz="0" w:space="0" w:color="auto"/>
        <w:left w:val="none" w:sz="0" w:space="0" w:color="auto"/>
        <w:bottom w:val="none" w:sz="0" w:space="0" w:color="auto"/>
        <w:right w:val="none" w:sz="0" w:space="0" w:color="auto"/>
      </w:divBdr>
    </w:div>
    <w:div w:id="1316101649">
      <w:bodyDiv w:val="1"/>
      <w:marLeft w:val="0"/>
      <w:marRight w:val="0"/>
      <w:marTop w:val="0"/>
      <w:marBottom w:val="0"/>
      <w:divBdr>
        <w:top w:val="none" w:sz="0" w:space="0" w:color="auto"/>
        <w:left w:val="none" w:sz="0" w:space="0" w:color="auto"/>
        <w:bottom w:val="none" w:sz="0" w:space="0" w:color="auto"/>
        <w:right w:val="none" w:sz="0" w:space="0" w:color="auto"/>
      </w:divBdr>
      <w:divsChild>
        <w:div w:id="944270642">
          <w:marLeft w:val="0"/>
          <w:marRight w:val="0"/>
          <w:marTop w:val="0"/>
          <w:marBottom w:val="0"/>
          <w:divBdr>
            <w:top w:val="none" w:sz="0" w:space="0" w:color="auto"/>
            <w:left w:val="none" w:sz="0" w:space="0" w:color="auto"/>
            <w:bottom w:val="none" w:sz="0" w:space="0" w:color="auto"/>
            <w:right w:val="none" w:sz="0" w:space="0" w:color="auto"/>
          </w:divBdr>
          <w:divsChild>
            <w:div w:id="2048484120">
              <w:marLeft w:val="0"/>
              <w:marRight w:val="0"/>
              <w:marTop w:val="0"/>
              <w:marBottom w:val="0"/>
              <w:divBdr>
                <w:top w:val="none" w:sz="0" w:space="0" w:color="auto"/>
                <w:left w:val="none" w:sz="0" w:space="0" w:color="auto"/>
                <w:bottom w:val="none" w:sz="0" w:space="0" w:color="auto"/>
                <w:right w:val="none" w:sz="0" w:space="0" w:color="auto"/>
              </w:divBdr>
              <w:divsChild>
                <w:div w:id="1655833623">
                  <w:marLeft w:val="0"/>
                  <w:marRight w:val="0"/>
                  <w:marTop w:val="0"/>
                  <w:marBottom w:val="0"/>
                  <w:divBdr>
                    <w:top w:val="none" w:sz="0" w:space="0" w:color="auto"/>
                    <w:left w:val="none" w:sz="0" w:space="0" w:color="auto"/>
                    <w:bottom w:val="none" w:sz="0" w:space="0" w:color="auto"/>
                    <w:right w:val="none" w:sz="0" w:space="0" w:color="auto"/>
                  </w:divBdr>
                  <w:divsChild>
                    <w:div w:id="1514489970">
                      <w:marLeft w:val="0"/>
                      <w:marRight w:val="0"/>
                      <w:marTop w:val="0"/>
                      <w:marBottom w:val="0"/>
                      <w:divBdr>
                        <w:top w:val="none" w:sz="0" w:space="0" w:color="auto"/>
                        <w:left w:val="none" w:sz="0" w:space="0" w:color="auto"/>
                        <w:bottom w:val="none" w:sz="0" w:space="0" w:color="auto"/>
                        <w:right w:val="none" w:sz="0" w:space="0" w:color="auto"/>
                      </w:divBdr>
                      <w:divsChild>
                        <w:div w:id="1363088454">
                          <w:marLeft w:val="0"/>
                          <w:marRight w:val="0"/>
                          <w:marTop w:val="0"/>
                          <w:marBottom w:val="0"/>
                          <w:divBdr>
                            <w:top w:val="none" w:sz="0" w:space="0" w:color="auto"/>
                            <w:left w:val="none" w:sz="0" w:space="0" w:color="auto"/>
                            <w:bottom w:val="none" w:sz="0" w:space="0" w:color="auto"/>
                            <w:right w:val="none" w:sz="0" w:space="0" w:color="auto"/>
                          </w:divBdr>
                          <w:divsChild>
                            <w:div w:id="154881608">
                              <w:marLeft w:val="0"/>
                              <w:marRight w:val="0"/>
                              <w:marTop w:val="0"/>
                              <w:marBottom w:val="0"/>
                              <w:divBdr>
                                <w:top w:val="none" w:sz="0" w:space="0" w:color="auto"/>
                                <w:left w:val="none" w:sz="0" w:space="0" w:color="auto"/>
                                <w:bottom w:val="none" w:sz="0" w:space="0" w:color="auto"/>
                                <w:right w:val="none" w:sz="0" w:space="0" w:color="auto"/>
                              </w:divBdr>
                              <w:divsChild>
                                <w:div w:id="1635525671">
                                  <w:marLeft w:val="0"/>
                                  <w:marRight w:val="0"/>
                                  <w:marTop w:val="0"/>
                                  <w:marBottom w:val="0"/>
                                  <w:divBdr>
                                    <w:top w:val="none" w:sz="0" w:space="0" w:color="auto"/>
                                    <w:left w:val="none" w:sz="0" w:space="0" w:color="auto"/>
                                    <w:bottom w:val="none" w:sz="0" w:space="0" w:color="auto"/>
                                    <w:right w:val="none" w:sz="0" w:space="0" w:color="auto"/>
                                  </w:divBdr>
                                  <w:divsChild>
                                    <w:div w:id="1433430276">
                                      <w:marLeft w:val="0"/>
                                      <w:marRight w:val="0"/>
                                      <w:marTop w:val="0"/>
                                      <w:marBottom w:val="0"/>
                                      <w:divBdr>
                                        <w:top w:val="none" w:sz="0" w:space="0" w:color="auto"/>
                                        <w:left w:val="none" w:sz="0" w:space="0" w:color="auto"/>
                                        <w:bottom w:val="none" w:sz="0" w:space="0" w:color="auto"/>
                                        <w:right w:val="none" w:sz="0" w:space="0" w:color="auto"/>
                                      </w:divBdr>
                                      <w:divsChild>
                                        <w:div w:id="644623839">
                                          <w:marLeft w:val="0"/>
                                          <w:marRight w:val="0"/>
                                          <w:marTop w:val="0"/>
                                          <w:marBottom w:val="0"/>
                                          <w:divBdr>
                                            <w:top w:val="none" w:sz="0" w:space="0" w:color="auto"/>
                                            <w:left w:val="none" w:sz="0" w:space="0" w:color="auto"/>
                                            <w:bottom w:val="none" w:sz="0" w:space="0" w:color="auto"/>
                                            <w:right w:val="none" w:sz="0" w:space="0" w:color="auto"/>
                                          </w:divBdr>
                                          <w:divsChild>
                                            <w:div w:id="1120760634">
                                              <w:marLeft w:val="0"/>
                                              <w:marRight w:val="0"/>
                                              <w:marTop w:val="0"/>
                                              <w:marBottom w:val="0"/>
                                              <w:divBdr>
                                                <w:top w:val="none" w:sz="0" w:space="0" w:color="auto"/>
                                                <w:left w:val="none" w:sz="0" w:space="0" w:color="auto"/>
                                                <w:bottom w:val="none" w:sz="0" w:space="0" w:color="auto"/>
                                                <w:right w:val="none" w:sz="0" w:space="0" w:color="auto"/>
                                              </w:divBdr>
                                              <w:divsChild>
                                                <w:div w:id="1978991601">
                                                  <w:marLeft w:val="0"/>
                                                  <w:marRight w:val="0"/>
                                                  <w:marTop w:val="0"/>
                                                  <w:marBottom w:val="0"/>
                                                  <w:divBdr>
                                                    <w:top w:val="none" w:sz="0" w:space="0" w:color="auto"/>
                                                    <w:left w:val="none" w:sz="0" w:space="0" w:color="auto"/>
                                                    <w:bottom w:val="none" w:sz="0" w:space="0" w:color="auto"/>
                                                    <w:right w:val="none" w:sz="0" w:space="0" w:color="auto"/>
                                                  </w:divBdr>
                                                  <w:divsChild>
                                                    <w:div w:id="2139377312">
                                                      <w:marLeft w:val="0"/>
                                                      <w:marRight w:val="0"/>
                                                      <w:marTop w:val="0"/>
                                                      <w:marBottom w:val="0"/>
                                                      <w:divBdr>
                                                        <w:top w:val="single" w:sz="6" w:space="0" w:color="auto"/>
                                                        <w:left w:val="none" w:sz="0" w:space="0" w:color="auto"/>
                                                        <w:bottom w:val="single" w:sz="6" w:space="0" w:color="auto"/>
                                                        <w:right w:val="none" w:sz="0" w:space="0" w:color="auto"/>
                                                      </w:divBdr>
                                                      <w:divsChild>
                                                        <w:div w:id="358043597">
                                                          <w:marLeft w:val="0"/>
                                                          <w:marRight w:val="0"/>
                                                          <w:marTop w:val="0"/>
                                                          <w:marBottom w:val="0"/>
                                                          <w:divBdr>
                                                            <w:top w:val="none" w:sz="0" w:space="0" w:color="auto"/>
                                                            <w:left w:val="none" w:sz="0" w:space="0" w:color="auto"/>
                                                            <w:bottom w:val="none" w:sz="0" w:space="0" w:color="auto"/>
                                                            <w:right w:val="none" w:sz="0" w:space="0" w:color="auto"/>
                                                          </w:divBdr>
                                                          <w:divsChild>
                                                            <w:div w:id="294217275">
                                                              <w:marLeft w:val="0"/>
                                                              <w:marRight w:val="0"/>
                                                              <w:marTop w:val="0"/>
                                                              <w:marBottom w:val="0"/>
                                                              <w:divBdr>
                                                                <w:top w:val="none" w:sz="0" w:space="0" w:color="auto"/>
                                                                <w:left w:val="none" w:sz="0" w:space="0" w:color="auto"/>
                                                                <w:bottom w:val="none" w:sz="0" w:space="0" w:color="auto"/>
                                                                <w:right w:val="none" w:sz="0" w:space="0" w:color="auto"/>
                                                              </w:divBdr>
                                                              <w:divsChild>
                                                                <w:div w:id="102579508">
                                                                  <w:marLeft w:val="0"/>
                                                                  <w:marRight w:val="0"/>
                                                                  <w:marTop w:val="0"/>
                                                                  <w:marBottom w:val="0"/>
                                                                  <w:divBdr>
                                                                    <w:top w:val="none" w:sz="0" w:space="0" w:color="auto"/>
                                                                    <w:left w:val="none" w:sz="0" w:space="0" w:color="auto"/>
                                                                    <w:bottom w:val="none" w:sz="0" w:space="0" w:color="auto"/>
                                                                    <w:right w:val="none" w:sz="0" w:space="0" w:color="auto"/>
                                                                  </w:divBdr>
                                                                  <w:divsChild>
                                                                    <w:div w:id="712533469">
                                                                      <w:marLeft w:val="0"/>
                                                                      <w:marRight w:val="0"/>
                                                                      <w:marTop w:val="0"/>
                                                                      <w:marBottom w:val="0"/>
                                                                      <w:divBdr>
                                                                        <w:top w:val="none" w:sz="0" w:space="0" w:color="auto"/>
                                                                        <w:left w:val="none" w:sz="0" w:space="0" w:color="auto"/>
                                                                        <w:bottom w:val="none" w:sz="0" w:space="0" w:color="auto"/>
                                                                        <w:right w:val="none" w:sz="0" w:space="0" w:color="auto"/>
                                                                      </w:divBdr>
                                                                      <w:divsChild>
                                                                        <w:div w:id="620957942">
                                                                          <w:marLeft w:val="0"/>
                                                                          <w:marRight w:val="0"/>
                                                                          <w:marTop w:val="0"/>
                                                                          <w:marBottom w:val="0"/>
                                                                          <w:divBdr>
                                                                            <w:top w:val="none" w:sz="0" w:space="0" w:color="auto"/>
                                                                            <w:left w:val="none" w:sz="0" w:space="0" w:color="auto"/>
                                                                            <w:bottom w:val="none" w:sz="0" w:space="0" w:color="auto"/>
                                                                            <w:right w:val="none" w:sz="0" w:space="0" w:color="auto"/>
                                                                          </w:divBdr>
                                                                          <w:divsChild>
                                                                            <w:div w:id="88891600">
                                                                              <w:marLeft w:val="0"/>
                                                                              <w:marRight w:val="0"/>
                                                                              <w:marTop w:val="0"/>
                                                                              <w:marBottom w:val="0"/>
                                                                              <w:divBdr>
                                                                                <w:top w:val="none" w:sz="0" w:space="0" w:color="auto"/>
                                                                                <w:left w:val="none" w:sz="0" w:space="0" w:color="auto"/>
                                                                                <w:bottom w:val="none" w:sz="0" w:space="0" w:color="auto"/>
                                                                                <w:right w:val="none" w:sz="0" w:space="0" w:color="auto"/>
                                                                              </w:divBdr>
                                                                              <w:divsChild>
                                                                                <w:div w:id="2087652853">
                                                                                  <w:marLeft w:val="0"/>
                                                                                  <w:marRight w:val="0"/>
                                                                                  <w:marTop w:val="0"/>
                                                                                  <w:marBottom w:val="0"/>
                                                                                  <w:divBdr>
                                                                                    <w:top w:val="none" w:sz="0" w:space="0" w:color="auto"/>
                                                                                    <w:left w:val="none" w:sz="0" w:space="0" w:color="auto"/>
                                                                                    <w:bottom w:val="none" w:sz="0" w:space="0" w:color="auto"/>
                                                                                    <w:right w:val="none" w:sz="0" w:space="0" w:color="auto"/>
                                                                                  </w:divBdr>
                                                                                  <w:divsChild>
                                                                                    <w:div w:id="11329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419017">
      <w:bodyDiv w:val="1"/>
      <w:marLeft w:val="0"/>
      <w:marRight w:val="0"/>
      <w:marTop w:val="0"/>
      <w:marBottom w:val="0"/>
      <w:divBdr>
        <w:top w:val="none" w:sz="0" w:space="0" w:color="auto"/>
        <w:left w:val="none" w:sz="0" w:space="0" w:color="auto"/>
        <w:bottom w:val="none" w:sz="0" w:space="0" w:color="auto"/>
        <w:right w:val="none" w:sz="0" w:space="0" w:color="auto"/>
      </w:divBdr>
    </w:div>
    <w:div w:id="1951276168">
      <w:bodyDiv w:val="1"/>
      <w:marLeft w:val="0"/>
      <w:marRight w:val="0"/>
      <w:marTop w:val="0"/>
      <w:marBottom w:val="0"/>
      <w:divBdr>
        <w:top w:val="none" w:sz="0" w:space="0" w:color="auto"/>
        <w:left w:val="none" w:sz="0" w:space="0" w:color="auto"/>
        <w:bottom w:val="none" w:sz="0" w:space="0" w:color="auto"/>
        <w:right w:val="none" w:sz="0" w:space="0" w:color="auto"/>
      </w:divBdr>
    </w:div>
    <w:div w:id="2135829990">
      <w:bodyDiv w:val="1"/>
      <w:marLeft w:val="0"/>
      <w:marRight w:val="0"/>
      <w:marTop w:val="0"/>
      <w:marBottom w:val="0"/>
      <w:divBdr>
        <w:top w:val="none" w:sz="0" w:space="0" w:color="auto"/>
        <w:left w:val="none" w:sz="0" w:space="0" w:color="auto"/>
        <w:bottom w:val="none" w:sz="0" w:space="0" w:color="auto"/>
        <w:right w:val="none" w:sz="0" w:space="0" w:color="auto"/>
      </w:divBdr>
    </w:div>
    <w:div w:id="2141990340">
      <w:bodyDiv w:val="1"/>
      <w:marLeft w:val="0"/>
      <w:marRight w:val="0"/>
      <w:marTop w:val="0"/>
      <w:marBottom w:val="0"/>
      <w:divBdr>
        <w:top w:val="none" w:sz="0" w:space="0" w:color="auto"/>
        <w:left w:val="none" w:sz="0" w:space="0" w:color="auto"/>
        <w:bottom w:val="none" w:sz="0" w:space="0" w:color="auto"/>
        <w:right w:val="none" w:sz="0" w:space="0" w:color="auto"/>
      </w:divBdr>
    </w:div>
    <w:div w:id="21438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3.xml"/><Relationship Id="rId39" Type="http://schemas.openxmlformats.org/officeDocument/2006/relationships/footer" Target="footer17.xml"/><Relationship Id="rId21" Type="http://schemas.openxmlformats.org/officeDocument/2006/relationships/header" Target="header10.xml"/><Relationship Id="rId34" Type="http://schemas.openxmlformats.org/officeDocument/2006/relationships/footer" Target="footer12.xml"/><Relationship Id="rId42"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footer" Target="footer1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4.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footer" Target="footer13.xml"/><Relationship Id="rId43" Type="http://schemas.openxmlformats.org/officeDocument/2006/relationships/footer" Target="footer2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footer" Target="footer16.xml"/><Relationship Id="rId20" Type="http://schemas.openxmlformats.org/officeDocument/2006/relationships/footer" Target="footer4.xml"/><Relationship Id="rId41"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5DAE4-E858-4480-AD76-DF8E0FFA8F7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123</ap:Pages>
  <ap:Words>22571</ap:Words>
  <ap:Characters>128657</ap:Characters>
  <ap:Application>Microsoft Office Word</ap:Application>
  <ap:DocSecurity>0</ap:DocSecurity>
  <ap:Lines>1072</ap:Lines>
  <ap:Paragraphs>301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150927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2020-09-10T17:22:22Z</dcterms:created>
  <dcterms:modified xsi:type="dcterms:W3CDTF">2020-09-10T17:22:22Z</dcterms:modified>
</cp:coreProperties>
</file>