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2422" w:rsidR="002B2C54" w:rsidP="002B2C54" w:rsidRDefault="002A2AFF" w14:paraId="4341B17E" w14:textId="480C687C">
      <w:pPr>
        <w:pStyle w:val="Header"/>
        <w:tabs>
          <w:tab w:val="clear" w:pos="4320"/>
          <w:tab w:val="clear" w:pos="8640"/>
          <w:tab w:val="center" w:pos="4680"/>
          <w:tab w:val="right" w:pos="9360"/>
        </w:tabs>
        <w:rPr>
          <w:rFonts w:ascii="Book Antiqua" w:hAnsi="Book Antiqua"/>
          <w:b/>
          <w:szCs w:val="26"/>
        </w:rPr>
      </w:pPr>
      <w:r w:rsidRPr="00942663">
        <w:rPr>
          <w:rFonts w:ascii="Book Antiqua" w:hAnsi="Book Antiqua"/>
        </w:rPr>
        <w:t>ALJ/</w:t>
      </w:r>
      <w:r w:rsidRPr="00942663" w:rsidR="00763DE1">
        <w:rPr>
          <w:rFonts w:ascii="Book Antiqua" w:hAnsi="Book Antiqua"/>
        </w:rPr>
        <w:t>RWH</w:t>
      </w:r>
      <w:r w:rsidRPr="00942663" w:rsidR="00D16326">
        <w:rPr>
          <w:rFonts w:ascii="Book Antiqua" w:hAnsi="Book Antiqua"/>
        </w:rPr>
        <w:t>/</w:t>
      </w:r>
      <w:r w:rsidRPr="00942663" w:rsidR="008D32EF">
        <w:rPr>
          <w:rFonts w:ascii="Book Antiqua" w:hAnsi="Book Antiqua"/>
        </w:rPr>
        <w:t>mln</w:t>
      </w:r>
      <w:r w:rsidR="00D94CE4">
        <w:rPr>
          <w:rFonts w:ascii="Book Antiqua" w:hAnsi="Book Antiqua"/>
        </w:rPr>
        <w:t>/avs</w:t>
      </w:r>
      <w:r w:rsidRPr="00CD0242" w:rsidR="002B2C54">
        <w:rPr>
          <w:rFonts w:ascii="Book Antiqua" w:hAnsi="Book Antiqua"/>
        </w:rPr>
        <w:tab/>
      </w:r>
      <w:r w:rsidRPr="00CD0242" w:rsidR="002B2C54">
        <w:rPr>
          <w:rFonts w:ascii="Book Antiqua" w:hAnsi="Book Antiqua" w:cs="Arial"/>
          <w:b/>
          <w:szCs w:val="26"/>
        </w:rPr>
        <w:t xml:space="preserve"> </w:t>
      </w:r>
      <w:r w:rsidRPr="00CD0242" w:rsidR="002B2C54">
        <w:rPr>
          <w:rFonts w:ascii="Arial" w:hAnsi="Arial" w:cs="Arial"/>
          <w:b/>
          <w:szCs w:val="26"/>
        </w:rPr>
        <w:t>PROPOSED DECISION</w:t>
      </w:r>
      <w:r w:rsidRPr="00CD0242" w:rsidR="002B2C54">
        <w:rPr>
          <w:rFonts w:ascii="Book Antiqua" w:hAnsi="Book Antiqua"/>
          <w:szCs w:val="26"/>
        </w:rPr>
        <w:tab/>
      </w:r>
      <w:r w:rsidRPr="00D82422" w:rsidR="002B2C54">
        <w:rPr>
          <w:rFonts w:ascii="Book Antiqua" w:hAnsi="Book Antiqua"/>
          <w:b/>
          <w:szCs w:val="26"/>
        </w:rPr>
        <w:t>Agenda ID #</w:t>
      </w:r>
      <w:r w:rsidR="007B54B4">
        <w:rPr>
          <w:rFonts w:ascii="Book Antiqua" w:hAnsi="Book Antiqua"/>
          <w:b/>
          <w:szCs w:val="26"/>
        </w:rPr>
        <w:t>18784</w:t>
      </w:r>
    </w:p>
    <w:p w:rsidRPr="007B701A" w:rsidR="002B2C54" w:rsidP="002B2C54" w:rsidRDefault="002B2C54" w14:paraId="4A42FD39" w14:textId="5BEEDA0C">
      <w:pPr>
        <w:tabs>
          <w:tab w:val="center" w:pos="4320"/>
          <w:tab w:val="right" w:pos="9360"/>
        </w:tabs>
        <w:rPr>
          <w:rFonts w:ascii="Book Antiqua" w:hAnsi="Book Antiqua"/>
          <w:bCs/>
          <w:szCs w:val="26"/>
        </w:rPr>
      </w:pPr>
      <w:r w:rsidRPr="00D82422">
        <w:rPr>
          <w:rFonts w:ascii="Book Antiqua" w:hAnsi="Book Antiqua"/>
          <w:b/>
          <w:szCs w:val="26"/>
        </w:rPr>
        <w:tab/>
      </w:r>
      <w:r w:rsidRPr="00D82422">
        <w:rPr>
          <w:rFonts w:ascii="Book Antiqua" w:hAnsi="Book Antiqua"/>
          <w:b/>
          <w:szCs w:val="26"/>
        </w:rPr>
        <w:tab/>
      </w:r>
      <w:r>
        <w:rPr>
          <w:rFonts w:ascii="Book Antiqua" w:hAnsi="Book Antiqua"/>
          <w:b/>
          <w:szCs w:val="26"/>
        </w:rPr>
        <w:t>Adjudicatory</w:t>
      </w:r>
    </w:p>
    <w:p w:rsidRPr="00270AB9" w:rsidR="002B2C54" w:rsidP="002B2C54" w:rsidRDefault="002B2C54" w14:paraId="06F9545E" w14:textId="77777777">
      <w:pPr>
        <w:suppressAutoHyphens/>
        <w:rPr>
          <w:rFonts w:ascii="Book Antiqua" w:hAnsi="Book Antiqua"/>
          <w:szCs w:val="26"/>
        </w:rPr>
      </w:pPr>
      <w:r w:rsidRPr="00270AB9">
        <w:rPr>
          <w:rFonts w:ascii="Book Antiqua" w:hAnsi="Book Antiqua"/>
          <w:szCs w:val="26"/>
        </w:rPr>
        <w:t>Decision ____________</w:t>
      </w:r>
    </w:p>
    <w:p w:rsidRPr="00A3771F" w:rsidR="002B2C54" w:rsidP="002B2C54" w:rsidRDefault="002B2C54" w14:paraId="262659C4" w14:textId="77777777">
      <w:pPr>
        <w:pStyle w:val="Header"/>
        <w:tabs>
          <w:tab w:val="clear" w:pos="4320"/>
          <w:tab w:val="clear" w:pos="8640"/>
          <w:tab w:val="center" w:pos="4680"/>
          <w:tab w:val="right" w:pos="9360"/>
        </w:tabs>
        <w:rPr>
          <w:rFonts w:ascii="Book Antiqua" w:hAnsi="Book Antiqua"/>
        </w:rPr>
      </w:pPr>
    </w:p>
    <w:p w:rsidR="003C11A1" w:rsidP="002B2C54" w:rsidRDefault="003C11A1" w14:paraId="56B54341" w14:textId="284E6FD9">
      <w:pPr>
        <w:pStyle w:val="Header"/>
        <w:tabs>
          <w:tab w:val="clear" w:pos="4320"/>
          <w:tab w:val="clear" w:pos="8640"/>
          <w:tab w:val="center" w:pos="4680"/>
          <w:tab w:val="right" w:pos="9360"/>
        </w:tabs>
      </w:pPr>
    </w:p>
    <w:p w:rsidRPr="003C11A1" w:rsidR="0089195D" w:rsidP="003C11A1" w:rsidRDefault="0089195D" w14:paraId="46A20B20" w14:textId="02E1FA25">
      <w:pPr>
        <w:pStyle w:val="Header"/>
        <w:tabs>
          <w:tab w:val="clear" w:pos="4320"/>
          <w:tab w:val="clear" w:pos="8640"/>
          <w:tab w:val="center" w:pos="4680"/>
          <w:tab w:val="right" w:pos="9360"/>
        </w:tabs>
        <w:rPr>
          <w:rFonts w:ascii="Arial" w:hAnsi="Arial" w:cs="Arial"/>
          <w:b/>
          <w:bCs/>
          <w:sz w:val="24"/>
        </w:rPr>
      </w:pPr>
      <w:r w:rsidRPr="003C11A1">
        <w:rPr>
          <w:rFonts w:ascii="Arial" w:hAnsi="Arial" w:cs="Arial"/>
          <w:b/>
          <w:bCs/>
          <w:sz w:val="24"/>
        </w:rPr>
        <w:t>BEFORE THE PUBLIC UTILITIES COMMISSION OF THE STATE OF CALIFORNIA</w:t>
      </w:r>
    </w:p>
    <w:p w:rsidRPr="00942663" w:rsidR="0089195D" w:rsidRDefault="0089195D" w14:paraId="5191ADAE" w14:textId="77777777">
      <w:pPr>
        <w:suppressAutoHyphens/>
        <w:rPr>
          <w:rFonts w:ascii="Arial" w:hAnsi="Arial" w:cs="Arial"/>
        </w:rPr>
      </w:pPr>
    </w:p>
    <w:tbl>
      <w:tblPr>
        <w:tblW w:w="0" w:type="auto"/>
        <w:tblLayout w:type="fixed"/>
        <w:tblLook w:val="0000" w:firstRow="0" w:lastRow="0" w:firstColumn="0" w:lastColumn="0" w:noHBand="0" w:noVBand="0"/>
      </w:tblPr>
      <w:tblGrid>
        <w:gridCol w:w="5778"/>
        <w:gridCol w:w="3780"/>
      </w:tblGrid>
      <w:tr w:rsidRPr="00942663" w:rsidR="00D16326" w:rsidTr="003F4071" w14:paraId="50583ACE" w14:textId="77777777">
        <w:tc>
          <w:tcPr>
            <w:tcW w:w="5778" w:type="dxa"/>
            <w:tcBorders>
              <w:bottom w:val="single" w:color="auto" w:sz="6" w:space="0"/>
              <w:right w:val="single" w:color="auto" w:sz="6" w:space="0"/>
            </w:tcBorders>
            <w:shd w:val="clear" w:color="auto" w:fill="auto"/>
          </w:tcPr>
          <w:p w:rsidRPr="00942663" w:rsidR="00763DE1" w:rsidP="00D16326" w:rsidRDefault="00763DE1" w14:paraId="5CC0CAFE" w14:textId="77777777">
            <w:pPr>
              <w:rPr>
                <w:rFonts w:ascii="Book Antiqua" w:hAnsi="Book Antiqua"/>
              </w:rPr>
            </w:pPr>
            <w:r w:rsidRPr="00942663">
              <w:rPr>
                <w:rFonts w:ascii="Book Antiqua" w:hAnsi="Book Antiqua"/>
              </w:rPr>
              <w:t>Pacific Bell Telephone Co</w:t>
            </w:r>
            <w:r w:rsidRPr="00942663" w:rsidR="00AB166E">
              <w:rPr>
                <w:rFonts w:ascii="Book Antiqua" w:hAnsi="Book Antiqua"/>
              </w:rPr>
              <w:t>mpany</w:t>
            </w:r>
            <w:r w:rsidRPr="00942663">
              <w:rPr>
                <w:rFonts w:ascii="Book Antiqua" w:hAnsi="Book Antiqua"/>
              </w:rPr>
              <w:t xml:space="preserve"> d/b/a AT&amp;T California (U1001C), </w:t>
            </w:r>
          </w:p>
          <w:p w:rsidRPr="00942663" w:rsidR="00763DE1" w:rsidP="00D16326" w:rsidRDefault="00763DE1" w14:paraId="6B3869DB" w14:textId="77777777">
            <w:pPr>
              <w:rPr>
                <w:rFonts w:ascii="Book Antiqua" w:hAnsi="Book Antiqua"/>
              </w:rPr>
            </w:pPr>
          </w:p>
          <w:p w:rsidRPr="00942663" w:rsidR="00763DE1" w:rsidP="009C42B6" w:rsidRDefault="00763DE1" w14:paraId="6E41F2DD" w14:textId="77777777">
            <w:pPr>
              <w:ind w:left="3780"/>
              <w:rPr>
                <w:rFonts w:ascii="Book Antiqua" w:hAnsi="Book Antiqua"/>
              </w:rPr>
            </w:pPr>
            <w:r w:rsidRPr="00942663">
              <w:rPr>
                <w:rFonts w:ascii="Book Antiqua" w:hAnsi="Book Antiqua"/>
              </w:rPr>
              <w:t xml:space="preserve">Complainant, </w:t>
            </w:r>
          </w:p>
          <w:p w:rsidRPr="00942663" w:rsidR="00763DE1" w:rsidP="00D16326" w:rsidRDefault="00763DE1" w14:paraId="730EEF4F" w14:textId="77777777">
            <w:pPr>
              <w:rPr>
                <w:rFonts w:ascii="Book Antiqua" w:hAnsi="Book Antiqua"/>
              </w:rPr>
            </w:pPr>
          </w:p>
          <w:p w:rsidRPr="00942663" w:rsidR="00763DE1" w:rsidP="009C42B6" w:rsidRDefault="00763DE1" w14:paraId="1EFFA09D" w14:textId="77777777">
            <w:pPr>
              <w:ind w:left="2610"/>
              <w:rPr>
                <w:rFonts w:ascii="Book Antiqua" w:hAnsi="Book Antiqua"/>
              </w:rPr>
            </w:pPr>
            <w:r w:rsidRPr="00942663">
              <w:rPr>
                <w:rFonts w:ascii="Book Antiqua" w:hAnsi="Book Antiqua"/>
              </w:rPr>
              <w:t xml:space="preserve">vs. </w:t>
            </w:r>
          </w:p>
          <w:p w:rsidRPr="00942663" w:rsidR="00763DE1" w:rsidP="00D16326" w:rsidRDefault="00763DE1" w14:paraId="4FC164B3" w14:textId="77777777">
            <w:pPr>
              <w:rPr>
                <w:rFonts w:ascii="Book Antiqua" w:hAnsi="Book Antiqua"/>
              </w:rPr>
            </w:pPr>
          </w:p>
          <w:p w:rsidRPr="00942663" w:rsidR="00763DE1" w:rsidP="00D16326" w:rsidRDefault="00763DE1" w14:paraId="494113AC" w14:textId="77777777">
            <w:pPr>
              <w:rPr>
                <w:rFonts w:ascii="Book Antiqua" w:hAnsi="Book Antiqua"/>
              </w:rPr>
            </w:pPr>
            <w:r w:rsidRPr="00942663">
              <w:rPr>
                <w:rFonts w:ascii="Book Antiqua" w:hAnsi="Book Antiqua"/>
              </w:rPr>
              <w:t xml:space="preserve">TruConnect Communications, Inc. f/k/a Telscape Communications, Inc. (U4380C) and Blue Casa Telephone, LLC (U7222C), </w:t>
            </w:r>
          </w:p>
          <w:p w:rsidRPr="00942663" w:rsidR="00763DE1" w:rsidP="00D16326" w:rsidRDefault="00763DE1" w14:paraId="609C95DC" w14:textId="77777777">
            <w:pPr>
              <w:rPr>
                <w:rFonts w:ascii="Book Antiqua" w:hAnsi="Book Antiqua"/>
              </w:rPr>
            </w:pPr>
          </w:p>
          <w:p w:rsidRPr="00942663" w:rsidR="00763DE1" w:rsidP="009C42B6" w:rsidRDefault="00763DE1" w14:paraId="722DF3BB" w14:textId="77777777">
            <w:pPr>
              <w:ind w:left="3780"/>
              <w:rPr>
                <w:rFonts w:ascii="Book Antiqua" w:hAnsi="Book Antiqua"/>
              </w:rPr>
            </w:pPr>
            <w:r w:rsidRPr="00942663">
              <w:rPr>
                <w:rFonts w:ascii="Book Antiqua" w:hAnsi="Book Antiqua"/>
              </w:rPr>
              <w:t>Defendant.</w:t>
            </w:r>
          </w:p>
          <w:p w:rsidRPr="00942663" w:rsidR="00D16326" w:rsidP="00763DE1" w:rsidRDefault="00D16326" w14:paraId="67EC52D4" w14:textId="77777777">
            <w:pPr>
              <w:rPr>
                <w:rFonts w:ascii="Book Antiqua" w:hAnsi="Book Antiqua"/>
              </w:rPr>
            </w:pPr>
          </w:p>
        </w:tc>
        <w:tc>
          <w:tcPr>
            <w:tcW w:w="3780" w:type="dxa"/>
            <w:tcBorders>
              <w:left w:val="nil"/>
            </w:tcBorders>
            <w:shd w:val="clear" w:color="auto" w:fill="auto"/>
          </w:tcPr>
          <w:p w:rsidRPr="00942663" w:rsidR="00D16326" w:rsidP="007E448B" w:rsidRDefault="00D16326" w14:paraId="70327FA1" w14:textId="77777777">
            <w:pPr>
              <w:jc w:val="center"/>
              <w:rPr>
                <w:rFonts w:ascii="Book Antiqua" w:hAnsi="Book Antiqua"/>
              </w:rPr>
            </w:pPr>
          </w:p>
          <w:p w:rsidRPr="00942663" w:rsidR="00D16326" w:rsidP="007E448B" w:rsidRDefault="00D16326" w14:paraId="5C5743EA" w14:textId="77777777">
            <w:pPr>
              <w:jc w:val="center"/>
              <w:rPr>
                <w:rFonts w:ascii="Book Antiqua" w:hAnsi="Book Antiqua"/>
              </w:rPr>
            </w:pPr>
          </w:p>
          <w:p w:rsidRPr="00942663" w:rsidR="00763DE1" w:rsidP="007E448B" w:rsidRDefault="00763DE1" w14:paraId="1AD54EBD" w14:textId="77777777">
            <w:pPr>
              <w:jc w:val="center"/>
              <w:rPr>
                <w:rFonts w:ascii="Book Antiqua" w:hAnsi="Book Antiqua"/>
              </w:rPr>
            </w:pPr>
          </w:p>
          <w:p w:rsidRPr="00942663" w:rsidR="00763DE1" w:rsidP="007E448B" w:rsidRDefault="00763DE1" w14:paraId="043A5D44" w14:textId="77777777">
            <w:pPr>
              <w:jc w:val="center"/>
              <w:rPr>
                <w:rFonts w:ascii="Book Antiqua" w:hAnsi="Book Antiqua"/>
              </w:rPr>
            </w:pPr>
          </w:p>
          <w:p w:rsidRPr="00942663" w:rsidR="00763DE1" w:rsidP="007E448B" w:rsidRDefault="00763DE1" w14:paraId="4E189A72" w14:textId="77777777">
            <w:pPr>
              <w:jc w:val="center"/>
              <w:rPr>
                <w:rFonts w:ascii="Book Antiqua" w:hAnsi="Book Antiqua"/>
              </w:rPr>
            </w:pPr>
          </w:p>
          <w:p w:rsidRPr="00942663" w:rsidR="00763DE1" w:rsidP="007E448B" w:rsidRDefault="00763DE1" w14:paraId="20E9EFB7" w14:textId="77777777">
            <w:pPr>
              <w:jc w:val="center"/>
              <w:rPr>
                <w:rFonts w:ascii="Book Antiqua" w:hAnsi="Book Antiqua"/>
              </w:rPr>
            </w:pPr>
          </w:p>
          <w:p w:rsidRPr="00942663" w:rsidR="00D16326" w:rsidP="007E448B" w:rsidRDefault="00763DE1" w14:paraId="499E1353" w14:textId="77777777">
            <w:pPr>
              <w:jc w:val="center"/>
              <w:rPr>
                <w:rFonts w:ascii="Book Antiqua" w:hAnsi="Book Antiqua"/>
              </w:rPr>
            </w:pPr>
            <w:r w:rsidRPr="00942663">
              <w:rPr>
                <w:rFonts w:ascii="Book Antiqua" w:hAnsi="Book Antiqua"/>
              </w:rPr>
              <w:t>Case 17</w:t>
            </w:r>
            <w:r w:rsidRPr="00942663" w:rsidR="009A1016">
              <w:rPr>
                <w:rFonts w:ascii="Book Antiqua" w:hAnsi="Book Antiqua"/>
              </w:rPr>
              <w:noBreakHyphen/>
            </w:r>
            <w:r w:rsidRPr="00942663">
              <w:rPr>
                <w:rFonts w:ascii="Book Antiqua" w:hAnsi="Book Antiqua"/>
              </w:rPr>
              <w:t>08</w:t>
            </w:r>
            <w:r w:rsidRPr="00942663" w:rsidR="009A1016">
              <w:rPr>
                <w:rFonts w:ascii="Book Antiqua" w:hAnsi="Book Antiqua"/>
              </w:rPr>
              <w:noBreakHyphen/>
            </w:r>
            <w:r w:rsidRPr="00942663">
              <w:rPr>
                <w:rFonts w:ascii="Book Antiqua" w:hAnsi="Book Antiqua"/>
              </w:rPr>
              <w:t>003</w:t>
            </w:r>
          </w:p>
        </w:tc>
      </w:tr>
      <w:tr w:rsidRPr="00942663" w:rsidR="00D16326" w:rsidTr="003F4071" w14:paraId="7218EF2C" w14:textId="77777777">
        <w:tc>
          <w:tcPr>
            <w:tcW w:w="5778" w:type="dxa"/>
            <w:tcBorders>
              <w:bottom w:val="single" w:color="auto" w:sz="6" w:space="0"/>
              <w:right w:val="single" w:color="auto" w:sz="6" w:space="0"/>
            </w:tcBorders>
            <w:shd w:val="clear" w:color="auto" w:fill="auto"/>
          </w:tcPr>
          <w:p w:rsidRPr="00942663" w:rsidR="00D16326" w:rsidP="00D16326" w:rsidRDefault="00D16326" w14:paraId="63D4E100" w14:textId="77777777">
            <w:pPr>
              <w:rPr>
                <w:rFonts w:ascii="Book Antiqua" w:hAnsi="Book Antiqua"/>
              </w:rPr>
            </w:pPr>
          </w:p>
          <w:p w:rsidRPr="00942663" w:rsidR="00D16326" w:rsidP="00763DE1" w:rsidRDefault="00D16326" w14:paraId="78C8B9FA" w14:textId="77777777">
            <w:pPr>
              <w:rPr>
                <w:rFonts w:ascii="Book Antiqua" w:hAnsi="Book Antiqua"/>
              </w:rPr>
            </w:pPr>
            <w:r w:rsidRPr="00942663">
              <w:rPr>
                <w:rFonts w:ascii="Book Antiqua" w:hAnsi="Book Antiqua"/>
              </w:rPr>
              <w:t>And Related Matter.</w:t>
            </w:r>
          </w:p>
          <w:p w:rsidRPr="00942663" w:rsidR="00763DE1" w:rsidP="00763DE1" w:rsidRDefault="00763DE1" w14:paraId="4793AB20" w14:textId="77777777">
            <w:pPr>
              <w:rPr>
                <w:rFonts w:ascii="Book Antiqua" w:hAnsi="Book Antiqua"/>
              </w:rPr>
            </w:pPr>
          </w:p>
        </w:tc>
        <w:tc>
          <w:tcPr>
            <w:tcW w:w="3780" w:type="dxa"/>
            <w:tcBorders>
              <w:left w:val="nil"/>
            </w:tcBorders>
            <w:shd w:val="clear" w:color="auto" w:fill="auto"/>
          </w:tcPr>
          <w:p w:rsidRPr="00942663" w:rsidR="00763DE1" w:rsidP="007E448B" w:rsidRDefault="00763DE1" w14:paraId="0718B57B" w14:textId="77777777">
            <w:pPr>
              <w:jc w:val="center"/>
              <w:rPr>
                <w:rFonts w:ascii="Book Antiqua" w:hAnsi="Book Antiqua"/>
              </w:rPr>
            </w:pPr>
          </w:p>
          <w:p w:rsidRPr="00942663" w:rsidR="00D16326" w:rsidP="007E448B" w:rsidRDefault="00763DE1" w14:paraId="59F6F4C4" w14:textId="77777777">
            <w:pPr>
              <w:jc w:val="center"/>
              <w:rPr>
                <w:rFonts w:ascii="Book Antiqua" w:hAnsi="Book Antiqua"/>
              </w:rPr>
            </w:pPr>
            <w:r w:rsidRPr="00942663">
              <w:rPr>
                <w:rFonts w:ascii="Book Antiqua" w:hAnsi="Book Antiqua"/>
              </w:rPr>
              <w:t>Case 18</w:t>
            </w:r>
            <w:r w:rsidRPr="00942663" w:rsidR="009A1016">
              <w:rPr>
                <w:rFonts w:ascii="Book Antiqua" w:hAnsi="Book Antiqua"/>
              </w:rPr>
              <w:noBreakHyphen/>
            </w:r>
            <w:r w:rsidRPr="00942663">
              <w:rPr>
                <w:rFonts w:ascii="Book Antiqua" w:hAnsi="Book Antiqua"/>
              </w:rPr>
              <w:t>01</w:t>
            </w:r>
            <w:r w:rsidRPr="00942663" w:rsidR="009A1016">
              <w:rPr>
                <w:rFonts w:ascii="Book Antiqua" w:hAnsi="Book Antiqua"/>
              </w:rPr>
              <w:noBreakHyphen/>
            </w:r>
            <w:r w:rsidRPr="00942663">
              <w:rPr>
                <w:rFonts w:ascii="Book Antiqua" w:hAnsi="Book Antiqua"/>
              </w:rPr>
              <w:t>005</w:t>
            </w:r>
          </w:p>
        </w:tc>
      </w:tr>
    </w:tbl>
    <w:p w:rsidR="0089195D" w:rsidRDefault="0089195D" w14:paraId="419C615F" w14:textId="77777777">
      <w:pPr>
        <w:suppressAutoHyphens/>
      </w:pPr>
    </w:p>
    <w:p w:rsidR="0089195D" w:rsidRDefault="0089195D" w14:paraId="2750530E" w14:textId="77777777"/>
    <w:p w:rsidRPr="00942663" w:rsidR="0089195D" w:rsidRDefault="0089195D" w14:paraId="4F8EF5E2" w14:textId="77777777">
      <w:pPr>
        <w:jc w:val="center"/>
        <w:rPr>
          <w:rFonts w:ascii="Arial" w:hAnsi="Arial" w:cs="Arial"/>
          <w:b/>
          <w:szCs w:val="26"/>
        </w:rPr>
      </w:pPr>
      <w:bookmarkStart w:name="_Toc370798909" w:id="0"/>
      <w:r w:rsidRPr="00942663">
        <w:rPr>
          <w:rFonts w:ascii="Arial" w:hAnsi="Arial" w:cs="Arial"/>
          <w:b/>
          <w:szCs w:val="26"/>
        </w:rPr>
        <w:t>ORDER EXTENDING STATUTORY DEADLINE</w:t>
      </w:r>
    </w:p>
    <w:bookmarkEnd w:id="0"/>
    <w:p w:rsidR="0089195D" w:rsidP="00107949" w:rsidRDefault="0089195D" w14:paraId="3A7BC8FA" w14:textId="77777777">
      <w:pPr>
        <w:tabs>
          <w:tab w:val="left" w:pos="3493"/>
        </w:tabs>
        <w:suppressAutoHyphens/>
      </w:pPr>
    </w:p>
    <w:p w:rsidRPr="00942663" w:rsidR="003A3FFB" w:rsidP="007A6B7B" w:rsidRDefault="003A3FFB" w14:paraId="39D9EB8C" w14:textId="77777777">
      <w:pPr>
        <w:keepNext/>
        <w:tabs>
          <w:tab w:val="center" w:pos="4680"/>
        </w:tabs>
        <w:spacing w:before="120" w:after="120"/>
        <w:outlineLvl w:val="0"/>
        <w:rPr>
          <w:rFonts w:ascii="Arial" w:hAnsi="Arial" w:cs="Arial"/>
          <w:b/>
        </w:rPr>
      </w:pPr>
      <w:bookmarkStart w:name="_Toc370798910" w:id="1"/>
      <w:r w:rsidRPr="00942663">
        <w:rPr>
          <w:rFonts w:ascii="Arial" w:hAnsi="Arial" w:cs="Arial"/>
          <w:b/>
        </w:rPr>
        <w:t>Summary</w:t>
      </w:r>
    </w:p>
    <w:p w:rsidRPr="00942663" w:rsidR="003A3FFB" w:rsidP="003A3FFB" w:rsidRDefault="003A3FFB" w14:paraId="782E33B2" w14:textId="60319BB6">
      <w:pPr>
        <w:spacing w:line="360" w:lineRule="auto"/>
        <w:ind w:firstLine="720"/>
        <w:rPr>
          <w:rFonts w:ascii="Book Antiqua" w:hAnsi="Book Antiqua"/>
        </w:rPr>
      </w:pPr>
      <w:r w:rsidRPr="00942663">
        <w:rPr>
          <w:rFonts w:ascii="Book Antiqua" w:hAnsi="Book Antiqua"/>
        </w:rPr>
        <w:t>This decision extends the statutory deadline in th</w:t>
      </w:r>
      <w:r w:rsidRPr="00942663" w:rsidR="008C6949">
        <w:rPr>
          <w:rFonts w:ascii="Book Antiqua" w:hAnsi="Book Antiqua"/>
        </w:rPr>
        <w:t>ese</w:t>
      </w:r>
      <w:r w:rsidRPr="00942663">
        <w:rPr>
          <w:rFonts w:ascii="Book Antiqua" w:hAnsi="Book Antiqua"/>
        </w:rPr>
        <w:t xml:space="preserve"> proceeding</w:t>
      </w:r>
      <w:r w:rsidRPr="00942663" w:rsidR="008C6949">
        <w:rPr>
          <w:rFonts w:ascii="Book Antiqua" w:hAnsi="Book Antiqua"/>
        </w:rPr>
        <w:t>s</w:t>
      </w:r>
      <w:r w:rsidRPr="00942663">
        <w:rPr>
          <w:rFonts w:ascii="Book Antiqua" w:hAnsi="Book Antiqua"/>
        </w:rPr>
        <w:t xml:space="preserve"> to </w:t>
      </w:r>
      <w:r w:rsidRPr="00942663" w:rsidR="000C6901">
        <w:rPr>
          <w:rFonts w:ascii="Book Antiqua" w:hAnsi="Book Antiqua"/>
        </w:rPr>
        <w:br/>
      </w:r>
      <w:r w:rsidR="002B2C54">
        <w:rPr>
          <w:rFonts w:ascii="Book Antiqua" w:hAnsi="Book Antiqua"/>
        </w:rPr>
        <w:t xml:space="preserve">December </w:t>
      </w:r>
      <w:r w:rsidR="007C211E">
        <w:rPr>
          <w:rFonts w:ascii="Book Antiqua" w:hAnsi="Book Antiqua"/>
        </w:rPr>
        <w:t>30</w:t>
      </w:r>
      <w:r w:rsidRPr="00942663" w:rsidR="000C6901">
        <w:rPr>
          <w:rFonts w:ascii="Book Antiqua" w:hAnsi="Book Antiqua"/>
        </w:rPr>
        <w:t>, 2020</w:t>
      </w:r>
      <w:r w:rsidRPr="00942663">
        <w:rPr>
          <w:rFonts w:ascii="Book Antiqua" w:hAnsi="Book Antiqua"/>
        </w:rPr>
        <w:t>.</w:t>
      </w:r>
    </w:p>
    <w:p w:rsidRPr="00942663" w:rsidR="003A3FFB" w:rsidP="00A72971" w:rsidRDefault="003A3FFB" w14:paraId="1F822BB4" w14:textId="77777777">
      <w:pPr>
        <w:pStyle w:val="ListParagraph"/>
        <w:keepNext/>
        <w:numPr>
          <w:ilvl w:val="0"/>
          <w:numId w:val="8"/>
        </w:numPr>
        <w:spacing w:after="120"/>
        <w:ind w:left="446" w:hanging="446"/>
        <w:outlineLvl w:val="0"/>
        <w:rPr>
          <w:rFonts w:ascii="Arial" w:hAnsi="Arial" w:cs="Arial"/>
          <w:b/>
        </w:rPr>
      </w:pPr>
      <w:r w:rsidRPr="00942663">
        <w:rPr>
          <w:rFonts w:ascii="Arial" w:hAnsi="Arial" w:cs="Arial"/>
          <w:b/>
        </w:rPr>
        <w:t>Background</w:t>
      </w:r>
      <w:bookmarkEnd w:id="1"/>
    </w:p>
    <w:p w:rsidRPr="00942663" w:rsidR="009C42B6" w:rsidP="00467A39" w:rsidRDefault="009C42B6" w14:paraId="4806D5D6" w14:textId="14B0C14A">
      <w:pPr>
        <w:spacing w:line="360" w:lineRule="auto"/>
        <w:ind w:firstLine="720"/>
        <w:rPr>
          <w:rFonts w:ascii="Book Antiqua" w:hAnsi="Book Antiqua"/>
        </w:rPr>
      </w:pPr>
      <w:r w:rsidRPr="00942663">
        <w:rPr>
          <w:rFonts w:ascii="Book Antiqua" w:hAnsi="Book Antiqua"/>
        </w:rPr>
        <w:t>Pub. Util. Code § 1701.2(</w:t>
      </w:r>
      <w:r w:rsidRPr="00942663" w:rsidR="00884442">
        <w:rPr>
          <w:rFonts w:ascii="Book Antiqua" w:hAnsi="Book Antiqua"/>
        </w:rPr>
        <w:t>i</w:t>
      </w:r>
      <w:r w:rsidRPr="00942663">
        <w:rPr>
          <w:rFonts w:ascii="Book Antiqua" w:hAnsi="Book Antiqua"/>
        </w:rPr>
        <w:t>) provides that adjudicatory matters such as this complaint case shall be resolved within 12 months after they are initiated, unless the Commission makes findings why that deadline cannot be met and issues an order extending the 12</w:t>
      </w:r>
      <w:r w:rsidRPr="00942663" w:rsidR="009A1016">
        <w:rPr>
          <w:rFonts w:ascii="Book Antiqua" w:hAnsi="Book Antiqua"/>
        </w:rPr>
        <w:noBreakHyphen/>
      </w:r>
      <w:r w:rsidRPr="00942663">
        <w:rPr>
          <w:rFonts w:ascii="Book Antiqua" w:hAnsi="Book Antiqua"/>
        </w:rPr>
        <w:t xml:space="preserve">month deadline.  </w:t>
      </w:r>
      <w:r w:rsidRPr="00942663" w:rsidR="002C35DA">
        <w:rPr>
          <w:rFonts w:ascii="Book Antiqua" w:hAnsi="Book Antiqua"/>
        </w:rPr>
        <w:t>T</w:t>
      </w:r>
      <w:r w:rsidRPr="00942663" w:rsidR="001D6D5D">
        <w:rPr>
          <w:rFonts w:ascii="Book Antiqua" w:hAnsi="Book Antiqua"/>
        </w:rPr>
        <w:t>he Commission</w:t>
      </w:r>
      <w:r w:rsidRPr="00942663" w:rsidR="002C35DA">
        <w:rPr>
          <w:rFonts w:ascii="Book Antiqua" w:hAnsi="Book Antiqua"/>
        </w:rPr>
        <w:t xml:space="preserve"> has</w:t>
      </w:r>
      <w:r w:rsidRPr="00942663" w:rsidR="001D6D5D">
        <w:rPr>
          <w:rFonts w:ascii="Book Antiqua" w:hAnsi="Book Antiqua"/>
        </w:rPr>
        <w:t xml:space="preserve"> extended</w:t>
      </w:r>
      <w:r w:rsidRPr="00942663">
        <w:rPr>
          <w:rFonts w:ascii="Book Antiqua" w:hAnsi="Book Antiqua"/>
        </w:rPr>
        <w:t xml:space="preserve"> the 12</w:t>
      </w:r>
      <w:r w:rsidRPr="00942663" w:rsidR="009A1016">
        <w:rPr>
          <w:rFonts w:ascii="Book Antiqua" w:hAnsi="Book Antiqua"/>
        </w:rPr>
        <w:noBreakHyphen/>
      </w:r>
      <w:r w:rsidRPr="00942663">
        <w:rPr>
          <w:rFonts w:ascii="Book Antiqua" w:hAnsi="Book Antiqua"/>
        </w:rPr>
        <w:t xml:space="preserve">month </w:t>
      </w:r>
      <w:r w:rsidRPr="00942663" w:rsidR="001D6D5D">
        <w:rPr>
          <w:rFonts w:ascii="Book Antiqua" w:hAnsi="Book Antiqua"/>
        </w:rPr>
        <w:t>statutory d</w:t>
      </w:r>
      <w:r w:rsidRPr="00942663">
        <w:rPr>
          <w:rFonts w:ascii="Book Antiqua" w:hAnsi="Book Antiqua"/>
        </w:rPr>
        <w:t xml:space="preserve">eadline </w:t>
      </w:r>
      <w:r w:rsidRPr="00942663" w:rsidR="002C35DA">
        <w:rPr>
          <w:rFonts w:ascii="Book Antiqua" w:hAnsi="Book Antiqua"/>
        </w:rPr>
        <w:t xml:space="preserve">of these proceedings.  The most recent </w:t>
      </w:r>
      <w:r w:rsidRPr="00942663" w:rsidR="001D6D5D">
        <w:rPr>
          <w:rFonts w:ascii="Book Antiqua" w:hAnsi="Book Antiqua"/>
        </w:rPr>
        <w:t xml:space="preserve">Decision </w:t>
      </w:r>
      <w:r w:rsidRPr="00621A6C" w:rsidR="001D6D5D">
        <w:rPr>
          <w:rFonts w:ascii="Book Antiqua" w:hAnsi="Book Antiqua"/>
        </w:rPr>
        <w:lastRenderedPageBreak/>
        <w:t>(D.)</w:t>
      </w:r>
      <w:r w:rsidRPr="00621A6C" w:rsidR="009A1016">
        <w:rPr>
          <w:rFonts w:ascii="Book Antiqua" w:hAnsi="Book Antiqua"/>
        </w:rPr>
        <w:t> </w:t>
      </w:r>
      <w:r w:rsidRPr="00621A6C" w:rsidR="00474A32">
        <w:rPr>
          <w:rFonts w:ascii="Book Antiqua" w:hAnsi="Book Antiqua"/>
        </w:rPr>
        <w:t>20-</w:t>
      </w:r>
      <w:r w:rsidRPr="00621A6C" w:rsidR="00FD4BD2">
        <w:rPr>
          <w:rFonts w:ascii="Book Antiqua" w:hAnsi="Book Antiqua"/>
        </w:rPr>
        <w:t>06-059</w:t>
      </w:r>
      <w:r w:rsidRPr="00621A6C" w:rsidR="002C35DA">
        <w:rPr>
          <w:rFonts w:ascii="Book Antiqua" w:hAnsi="Book Antiqua"/>
        </w:rPr>
        <w:t xml:space="preserve"> issued on </w:t>
      </w:r>
      <w:r w:rsidRPr="00621A6C" w:rsidR="00FD4BD2">
        <w:rPr>
          <w:rFonts w:ascii="Book Antiqua" w:hAnsi="Book Antiqua"/>
        </w:rPr>
        <w:t>June 25</w:t>
      </w:r>
      <w:r w:rsidRPr="00621A6C" w:rsidR="00474A32">
        <w:rPr>
          <w:rFonts w:ascii="Book Antiqua" w:hAnsi="Book Antiqua"/>
        </w:rPr>
        <w:t>, 2020</w:t>
      </w:r>
      <w:r w:rsidRPr="00621A6C" w:rsidR="002C35DA">
        <w:rPr>
          <w:rFonts w:ascii="Book Antiqua" w:hAnsi="Book Antiqua"/>
        </w:rPr>
        <w:t xml:space="preserve"> extended </w:t>
      </w:r>
      <w:r w:rsidRPr="00621A6C" w:rsidR="001D6D5D">
        <w:rPr>
          <w:rFonts w:ascii="Book Antiqua" w:hAnsi="Book Antiqua"/>
        </w:rPr>
        <w:t>th</w:t>
      </w:r>
      <w:r w:rsidRPr="00621A6C" w:rsidR="009A1016">
        <w:rPr>
          <w:rFonts w:ascii="Book Antiqua" w:hAnsi="Book Antiqua"/>
        </w:rPr>
        <w:t xml:space="preserve">e statutory deadline to </w:t>
      </w:r>
      <w:r w:rsidRPr="00621A6C" w:rsidR="00474A32">
        <w:rPr>
          <w:rFonts w:ascii="Book Antiqua" w:hAnsi="Book Antiqua"/>
        </w:rPr>
        <w:br/>
      </w:r>
      <w:r w:rsidRPr="00621A6C" w:rsidR="00FD4BD2">
        <w:rPr>
          <w:rFonts w:ascii="Book Antiqua" w:hAnsi="Book Antiqua"/>
        </w:rPr>
        <w:t>September</w:t>
      </w:r>
      <w:r w:rsidRPr="00621A6C" w:rsidR="00474A32">
        <w:rPr>
          <w:rFonts w:ascii="Book Antiqua" w:hAnsi="Book Antiqua"/>
        </w:rPr>
        <w:t xml:space="preserve"> 30, 2020</w:t>
      </w:r>
      <w:r w:rsidRPr="00621A6C" w:rsidR="001D6D5D">
        <w:rPr>
          <w:rFonts w:ascii="Book Antiqua" w:hAnsi="Book Antiqua"/>
        </w:rPr>
        <w:t>.</w:t>
      </w:r>
    </w:p>
    <w:p w:rsidRPr="00942663" w:rsidR="00864489" w:rsidP="00AB166E" w:rsidRDefault="00864489" w14:paraId="49465C9E" w14:textId="3420A816">
      <w:pPr>
        <w:pStyle w:val="standard"/>
        <w:rPr>
          <w:rFonts w:ascii="Book Antiqua" w:hAnsi="Book Antiqua"/>
        </w:rPr>
      </w:pPr>
      <w:r w:rsidRPr="00942663">
        <w:rPr>
          <w:rFonts w:ascii="Book Antiqua" w:hAnsi="Book Antiqua"/>
        </w:rPr>
        <w:t>On August 3, 2017, Pacific Bell Telephone</w:t>
      </w:r>
      <w:r w:rsidRPr="00942663" w:rsidR="00AB166E">
        <w:rPr>
          <w:rFonts w:ascii="Book Antiqua" w:hAnsi="Book Antiqua"/>
        </w:rPr>
        <w:t xml:space="preserve"> Company</w:t>
      </w:r>
      <w:r w:rsidRPr="00942663">
        <w:rPr>
          <w:rFonts w:ascii="Book Antiqua" w:hAnsi="Book Antiqua"/>
        </w:rPr>
        <w:t>, doing business as AT&amp;T California (AT&amp;T) filed a Complaint, alleging that TruConnect Communications (TruConnect), formerly known as Telscape Communications, and Blue Casa Telephone (Blue Casa) have not paid for services rendered under approved interconnection agreements and a state tariff.  Blue Casa filed its answer on September 20, 2017, and TruConnect filed its answer on November</w:t>
      </w:r>
      <w:r w:rsidR="00372592">
        <w:rPr>
          <w:rFonts w:ascii="Book Antiqua" w:hAnsi="Book Antiqua"/>
        </w:rPr>
        <w:t> </w:t>
      </w:r>
      <w:r w:rsidRPr="00942663">
        <w:rPr>
          <w:rFonts w:ascii="Book Antiqua" w:hAnsi="Book Antiqua"/>
        </w:rPr>
        <w:t>7,</w:t>
      </w:r>
      <w:r w:rsidR="00372592">
        <w:rPr>
          <w:rFonts w:ascii="Book Antiqua" w:hAnsi="Book Antiqua"/>
        </w:rPr>
        <w:t> </w:t>
      </w:r>
      <w:r w:rsidRPr="00942663">
        <w:rPr>
          <w:rFonts w:ascii="Book Antiqua" w:hAnsi="Book Antiqua"/>
        </w:rPr>
        <w:t xml:space="preserve">2017. </w:t>
      </w:r>
      <w:r w:rsidRPr="00942663" w:rsidR="00AB166E">
        <w:rPr>
          <w:rFonts w:ascii="Book Antiqua" w:hAnsi="Book Antiqua"/>
        </w:rPr>
        <w:t xml:space="preserve"> </w:t>
      </w:r>
      <w:r w:rsidRPr="00942663">
        <w:rPr>
          <w:rFonts w:ascii="Book Antiqua" w:hAnsi="Book Antiqua"/>
        </w:rPr>
        <w:t xml:space="preserve">On November 30, 2017, a Prehearing Conference (PHC) was held in </w:t>
      </w:r>
      <w:r w:rsidR="00E159FA">
        <w:rPr>
          <w:rFonts w:ascii="Book Antiqua" w:hAnsi="Book Antiqua"/>
        </w:rPr>
        <w:t>Case (</w:t>
      </w:r>
      <w:r w:rsidRPr="00942663">
        <w:rPr>
          <w:rFonts w:ascii="Book Antiqua" w:hAnsi="Book Antiqua"/>
        </w:rPr>
        <w:t>C.</w:t>
      </w:r>
      <w:r w:rsidR="00E159FA">
        <w:rPr>
          <w:rFonts w:ascii="Book Antiqua" w:hAnsi="Book Antiqua"/>
        </w:rPr>
        <w:t xml:space="preserve">) </w:t>
      </w:r>
      <w:r w:rsidRPr="00942663">
        <w:rPr>
          <w:rFonts w:ascii="Book Antiqua" w:hAnsi="Book Antiqua"/>
        </w:rPr>
        <w:t>17</w:t>
      </w:r>
      <w:r w:rsidRPr="00942663" w:rsidR="009A1016">
        <w:rPr>
          <w:rFonts w:ascii="Book Antiqua" w:hAnsi="Book Antiqua"/>
        </w:rPr>
        <w:noBreakHyphen/>
      </w:r>
      <w:r w:rsidRPr="00942663">
        <w:rPr>
          <w:rFonts w:ascii="Book Antiqua" w:hAnsi="Book Antiqua"/>
        </w:rPr>
        <w:t>08</w:t>
      </w:r>
      <w:r w:rsidRPr="00942663" w:rsidR="009A1016">
        <w:rPr>
          <w:rFonts w:ascii="Book Antiqua" w:hAnsi="Book Antiqua"/>
        </w:rPr>
        <w:noBreakHyphen/>
      </w:r>
      <w:r w:rsidRPr="00942663">
        <w:rPr>
          <w:rFonts w:ascii="Book Antiqua" w:hAnsi="Book Antiqua"/>
        </w:rPr>
        <w:t>003 to determine parties, discuss the scope, the schedule, and other procedural matters in that case.</w:t>
      </w:r>
    </w:p>
    <w:p w:rsidRPr="00942663" w:rsidR="00864489" w:rsidP="00864489" w:rsidRDefault="00864489" w14:paraId="2B5BE620" w14:textId="5DA815B0">
      <w:pPr>
        <w:pStyle w:val="standard"/>
        <w:rPr>
          <w:rFonts w:ascii="Book Antiqua" w:hAnsi="Book Antiqua"/>
        </w:rPr>
      </w:pPr>
      <w:r w:rsidRPr="00942663">
        <w:rPr>
          <w:rFonts w:ascii="Book Antiqua" w:hAnsi="Book Antiqua"/>
        </w:rPr>
        <w:t>On January 4, 2018, Blue Casa filed a Complaint, alleging it overpaid AT&amp;T, for services AT&amp;T provided in the transfe</w:t>
      </w:r>
      <w:r w:rsidRPr="00942663" w:rsidR="009A1016">
        <w:rPr>
          <w:rFonts w:ascii="Book Antiqua" w:hAnsi="Book Antiqua"/>
        </w:rPr>
        <w:t xml:space="preserve">r of customers from TruConnect </w:t>
      </w:r>
      <w:r w:rsidRPr="00942663">
        <w:rPr>
          <w:rFonts w:ascii="Book Antiqua" w:hAnsi="Book Antiqua"/>
        </w:rPr>
        <w:t>to Blue Casa.  Blue Casa is seeking a refund of the amounts it overpaid to AT&amp;T for services rendered under approved interconnection agreements.  Blue Casa amended its Complaint on February 22, 2018.  AT&amp;T filed its answer on March</w:t>
      </w:r>
      <w:r w:rsidR="00F6231B">
        <w:rPr>
          <w:rFonts w:ascii="Book Antiqua" w:hAnsi="Book Antiqua"/>
        </w:rPr>
        <w:t> </w:t>
      </w:r>
      <w:r w:rsidRPr="00942663">
        <w:rPr>
          <w:rFonts w:ascii="Book Antiqua" w:hAnsi="Book Antiqua"/>
        </w:rPr>
        <w:t>9,</w:t>
      </w:r>
      <w:r w:rsidR="00F6231B">
        <w:rPr>
          <w:rFonts w:ascii="Book Antiqua" w:hAnsi="Book Antiqua"/>
        </w:rPr>
        <w:t> </w:t>
      </w:r>
      <w:r w:rsidRPr="00942663">
        <w:rPr>
          <w:rFonts w:ascii="Book Antiqua" w:hAnsi="Book Antiqua"/>
        </w:rPr>
        <w:t>2018.</w:t>
      </w:r>
    </w:p>
    <w:p w:rsidR="002A102A" w:rsidP="00467A39" w:rsidRDefault="00864489" w14:paraId="1A2AE24F" w14:textId="705E62A8">
      <w:pPr>
        <w:pStyle w:val="standard"/>
        <w:rPr>
          <w:rFonts w:ascii="Book Antiqua" w:hAnsi="Book Antiqua"/>
        </w:rPr>
      </w:pPr>
      <w:r w:rsidRPr="00942663">
        <w:rPr>
          <w:rFonts w:ascii="Book Antiqua" w:hAnsi="Book Antiqua"/>
        </w:rPr>
        <w:t xml:space="preserve">On February 20, 2018, a PHC </w:t>
      </w:r>
      <w:r w:rsidRPr="00942663" w:rsidR="00E00440">
        <w:rPr>
          <w:rFonts w:ascii="Book Antiqua" w:hAnsi="Book Antiqua"/>
        </w:rPr>
        <w:t xml:space="preserve">was held </w:t>
      </w:r>
      <w:r w:rsidRPr="00942663">
        <w:rPr>
          <w:rFonts w:ascii="Book Antiqua" w:hAnsi="Book Antiqua"/>
        </w:rPr>
        <w:t xml:space="preserve">in </w:t>
      </w:r>
      <w:r w:rsidR="00E159FA">
        <w:rPr>
          <w:rFonts w:ascii="Book Antiqua" w:hAnsi="Book Antiqua"/>
        </w:rPr>
        <w:t>C.</w:t>
      </w:r>
      <w:r w:rsidRPr="00942663">
        <w:rPr>
          <w:rFonts w:ascii="Book Antiqua" w:hAnsi="Book Antiqua"/>
        </w:rPr>
        <w:t>18</w:t>
      </w:r>
      <w:r w:rsidRPr="00942663" w:rsidR="009A1016">
        <w:rPr>
          <w:rFonts w:ascii="Book Antiqua" w:hAnsi="Book Antiqua"/>
        </w:rPr>
        <w:noBreakHyphen/>
      </w:r>
      <w:r w:rsidRPr="00942663">
        <w:rPr>
          <w:rFonts w:ascii="Book Antiqua" w:hAnsi="Book Antiqua"/>
        </w:rPr>
        <w:t>01</w:t>
      </w:r>
      <w:r w:rsidRPr="00942663" w:rsidR="009A1016">
        <w:rPr>
          <w:rFonts w:ascii="Book Antiqua" w:hAnsi="Book Antiqua"/>
        </w:rPr>
        <w:noBreakHyphen/>
      </w:r>
      <w:r w:rsidRPr="00942663">
        <w:rPr>
          <w:rFonts w:ascii="Book Antiqua" w:hAnsi="Book Antiqua"/>
        </w:rPr>
        <w:t xml:space="preserve">005 to determine parties, discuss the scope, the schedule, and other procedural matters in that case. </w:t>
      </w:r>
      <w:r w:rsidRPr="00942663" w:rsidR="00E00440">
        <w:rPr>
          <w:rFonts w:ascii="Book Antiqua" w:hAnsi="Book Antiqua"/>
        </w:rPr>
        <w:t xml:space="preserve"> </w:t>
      </w:r>
      <w:r w:rsidRPr="00942663">
        <w:rPr>
          <w:rFonts w:ascii="Book Antiqua" w:hAnsi="Book Antiqua"/>
        </w:rPr>
        <w:t xml:space="preserve">On April 24, 2018, the Scoping Memo and Joint Ruling </w:t>
      </w:r>
      <w:r w:rsidRPr="00942663" w:rsidR="00941108">
        <w:rPr>
          <w:rFonts w:ascii="Book Antiqua" w:hAnsi="Book Antiqua"/>
        </w:rPr>
        <w:t xml:space="preserve">was issued </w:t>
      </w:r>
      <w:r w:rsidRPr="00942663">
        <w:rPr>
          <w:rFonts w:ascii="Book Antiqua" w:hAnsi="Book Antiqua"/>
        </w:rPr>
        <w:t>consolidating the proceedings</w:t>
      </w:r>
      <w:r w:rsidRPr="00942663" w:rsidR="00941108">
        <w:rPr>
          <w:rFonts w:ascii="Book Antiqua" w:hAnsi="Book Antiqua"/>
        </w:rPr>
        <w:t>, s</w:t>
      </w:r>
      <w:r w:rsidRPr="00942663" w:rsidR="000F1401">
        <w:rPr>
          <w:rFonts w:ascii="Book Antiqua" w:hAnsi="Book Antiqua"/>
        </w:rPr>
        <w:t>etting the scope</w:t>
      </w:r>
      <w:r w:rsidRPr="00942663" w:rsidR="002763D0">
        <w:rPr>
          <w:rFonts w:ascii="Book Antiqua" w:hAnsi="Book Antiqua"/>
        </w:rPr>
        <w:t>,</w:t>
      </w:r>
      <w:r w:rsidRPr="00942663" w:rsidR="000F1401">
        <w:rPr>
          <w:rFonts w:ascii="Book Antiqua" w:hAnsi="Book Antiqua"/>
        </w:rPr>
        <w:t xml:space="preserve"> and </w:t>
      </w:r>
      <w:r w:rsidRPr="00942663" w:rsidR="002763D0">
        <w:rPr>
          <w:rFonts w:ascii="Book Antiqua" w:hAnsi="Book Antiqua"/>
        </w:rPr>
        <w:t xml:space="preserve">the </w:t>
      </w:r>
      <w:r w:rsidRPr="00942663" w:rsidR="000F1401">
        <w:rPr>
          <w:rFonts w:ascii="Book Antiqua" w:hAnsi="Book Antiqua"/>
        </w:rPr>
        <w:t>schedule of the proceedings.</w:t>
      </w:r>
      <w:r w:rsidRPr="00942663">
        <w:rPr>
          <w:rFonts w:ascii="Book Antiqua" w:hAnsi="Book Antiqua"/>
        </w:rPr>
        <w:t xml:space="preserve"> </w:t>
      </w:r>
      <w:r w:rsidRPr="00942663" w:rsidR="00F0354C">
        <w:rPr>
          <w:rFonts w:ascii="Book Antiqua" w:hAnsi="Book Antiqua"/>
        </w:rPr>
        <w:t xml:space="preserve"> </w:t>
      </w:r>
      <w:r w:rsidRPr="00942663" w:rsidR="003117F7">
        <w:rPr>
          <w:rFonts w:ascii="Book Antiqua" w:hAnsi="Book Antiqua"/>
        </w:rPr>
        <w:t>The parties have filed several motions requesting the revision of the</w:t>
      </w:r>
      <w:r w:rsidRPr="00942663" w:rsidR="002A21FE">
        <w:rPr>
          <w:rFonts w:ascii="Book Antiqua" w:hAnsi="Book Antiqua"/>
        </w:rPr>
        <w:t xml:space="preserve">ir testimonies and </w:t>
      </w:r>
      <w:r w:rsidRPr="00942663" w:rsidR="003117F7">
        <w:rPr>
          <w:rFonts w:ascii="Book Antiqua" w:hAnsi="Book Antiqua"/>
        </w:rPr>
        <w:t xml:space="preserve">schedule.  </w:t>
      </w:r>
      <w:r w:rsidRPr="00942663" w:rsidR="00F0354C">
        <w:rPr>
          <w:rFonts w:ascii="Book Antiqua" w:hAnsi="Book Antiqua"/>
        </w:rPr>
        <w:t xml:space="preserve">At the request of the parties, the Evidentiary Hearing schedule was postponed </w:t>
      </w:r>
      <w:r w:rsidRPr="00942663" w:rsidR="00715EA2">
        <w:rPr>
          <w:rFonts w:ascii="Book Antiqua" w:hAnsi="Book Antiqua"/>
        </w:rPr>
        <w:t xml:space="preserve">to </w:t>
      </w:r>
      <w:r w:rsidRPr="00942663" w:rsidR="00F0354C">
        <w:rPr>
          <w:rFonts w:ascii="Book Antiqua" w:hAnsi="Book Antiqua"/>
        </w:rPr>
        <w:t>December 17, 2018</w:t>
      </w:r>
      <w:r w:rsidRPr="00942663" w:rsidR="00715EA2">
        <w:rPr>
          <w:rFonts w:ascii="Book Antiqua" w:hAnsi="Book Antiqua"/>
        </w:rPr>
        <w:t>,</w:t>
      </w:r>
      <w:r w:rsidRPr="00942663" w:rsidR="00F0354C">
        <w:rPr>
          <w:rFonts w:ascii="Book Antiqua" w:hAnsi="Book Antiqua"/>
        </w:rPr>
        <w:t xml:space="preserve"> where </w:t>
      </w:r>
      <w:r w:rsidRPr="00942663" w:rsidR="00715EA2">
        <w:rPr>
          <w:rFonts w:ascii="Book Antiqua" w:hAnsi="Book Antiqua"/>
        </w:rPr>
        <w:t xml:space="preserve">the </w:t>
      </w:r>
      <w:r w:rsidRPr="00942663" w:rsidR="00942663">
        <w:rPr>
          <w:rFonts w:ascii="Book Antiqua" w:hAnsi="Book Antiqua"/>
        </w:rPr>
        <w:t xml:space="preserve">assigned </w:t>
      </w:r>
      <w:r w:rsidRPr="00942663" w:rsidR="00715EA2">
        <w:rPr>
          <w:rFonts w:ascii="Book Antiqua" w:hAnsi="Book Antiqua"/>
        </w:rPr>
        <w:t>Administrative Law Judge (ALJ)</w:t>
      </w:r>
      <w:r w:rsidRPr="00942663" w:rsidR="00F0354C">
        <w:rPr>
          <w:rFonts w:ascii="Book Antiqua" w:hAnsi="Book Antiqua"/>
        </w:rPr>
        <w:t xml:space="preserve"> identified many of the proposed exhibits for the record, heard testimony from the AT&amp;T witness about the changes made in the proposed corrected </w:t>
      </w:r>
      <w:r w:rsidRPr="00942663" w:rsidR="00F0354C">
        <w:rPr>
          <w:rFonts w:ascii="Book Antiqua" w:hAnsi="Book Antiqua"/>
        </w:rPr>
        <w:lastRenderedPageBreak/>
        <w:t xml:space="preserve">testimony, and heard arguments regarding TruConnect’s motion.  After considering the nature of the proposed changes to AT&amp;T’s testimony and the arguments of the parties, the </w:t>
      </w:r>
      <w:r w:rsidRPr="00942663" w:rsidR="00715EA2">
        <w:rPr>
          <w:rFonts w:ascii="Book Antiqua" w:hAnsi="Book Antiqua"/>
        </w:rPr>
        <w:t>ALJ</w:t>
      </w:r>
      <w:r w:rsidRPr="00942663" w:rsidR="00F0354C">
        <w:rPr>
          <w:rFonts w:ascii="Book Antiqua" w:hAnsi="Book Antiqua"/>
        </w:rPr>
        <w:t xml:space="preserve"> continued the evidentiary hearings to February</w:t>
      </w:r>
      <w:r w:rsidR="001A0AC7">
        <w:rPr>
          <w:rFonts w:ascii="Book Antiqua" w:hAnsi="Book Antiqua"/>
        </w:rPr>
        <w:t> </w:t>
      </w:r>
      <w:r w:rsidRPr="00942663" w:rsidR="00F0354C">
        <w:rPr>
          <w:rFonts w:ascii="Book Antiqua" w:hAnsi="Book Antiqua"/>
        </w:rPr>
        <w:t>13 and 14, 2019.</w:t>
      </w:r>
      <w:r w:rsidRPr="00942663" w:rsidR="00942663">
        <w:rPr>
          <w:rFonts w:ascii="Book Antiqua" w:hAnsi="Book Antiqua"/>
        </w:rPr>
        <w:t xml:space="preserve">  At the evidentiary hearing, the assigned ALJ notified parties that because of the delays in prosecuting the complaint and intervening assignments, the schedule for completion of this proceeding would need to be extended, and that while every effort would be made </w:t>
      </w:r>
      <w:r w:rsidR="00AF172F">
        <w:rPr>
          <w:rFonts w:ascii="Book Antiqua" w:hAnsi="Book Antiqua"/>
        </w:rPr>
        <w:t xml:space="preserve">to </w:t>
      </w:r>
      <w:r w:rsidRPr="00942663" w:rsidR="00942663">
        <w:rPr>
          <w:rFonts w:ascii="Book Antiqua" w:hAnsi="Book Antiqua"/>
        </w:rPr>
        <w:t>issue a Presiding Officer’s Decision</w:t>
      </w:r>
      <w:r w:rsidR="00AF172F">
        <w:rPr>
          <w:rFonts w:ascii="Book Antiqua" w:hAnsi="Book Antiqua"/>
        </w:rPr>
        <w:t xml:space="preserve"> (POD)</w:t>
      </w:r>
      <w:r w:rsidRPr="00942663" w:rsidR="00942663">
        <w:rPr>
          <w:rFonts w:ascii="Book Antiqua" w:hAnsi="Book Antiqua"/>
        </w:rPr>
        <w:t xml:space="preserve"> before the end of the year it may not be issued before early 2020.</w:t>
      </w:r>
      <w:r w:rsidR="00E44E9C">
        <w:rPr>
          <w:rFonts w:ascii="Book Antiqua" w:hAnsi="Book Antiqua"/>
        </w:rPr>
        <w:t xml:space="preserve">  </w:t>
      </w:r>
      <w:r w:rsidRPr="00942663" w:rsidR="00942663">
        <w:rPr>
          <w:rFonts w:ascii="Book Antiqua" w:hAnsi="Book Antiqua"/>
        </w:rPr>
        <w:t>Opening and Reply Briefs were submitted in March</w:t>
      </w:r>
      <w:r w:rsidR="007B418E">
        <w:rPr>
          <w:rFonts w:ascii="Book Antiqua" w:hAnsi="Book Antiqua"/>
        </w:rPr>
        <w:t> </w:t>
      </w:r>
      <w:r w:rsidRPr="00942663" w:rsidR="00942663">
        <w:rPr>
          <w:rFonts w:ascii="Book Antiqua" w:hAnsi="Book Antiqua"/>
        </w:rPr>
        <w:t>2019.</w:t>
      </w:r>
      <w:r w:rsidR="00AF172F">
        <w:rPr>
          <w:rFonts w:ascii="Book Antiqua" w:hAnsi="Book Antiqua"/>
        </w:rPr>
        <w:t xml:space="preserve">  </w:t>
      </w:r>
    </w:p>
    <w:p w:rsidR="00F0354C" w:rsidP="002A102A" w:rsidRDefault="009B6C08" w14:paraId="1B1CD076" w14:textId="323817F4">
      <w:pPr>
        <w:pStyle w:val="standard"/>
      </w:pPr>
      <w:r w:rsidRPr="009B6C08">
        <w:rPr>
          <w:rFonts w:ascii="Book Antiqua" w:hAnsi="Book Antiqua"/>
        </w:rPr>
        <w:t>The POD will be filed and served upon all parties of record pursuant to Pub. Util. Code § 1701.2(d) imminently.  An extension of the statutory deadline in this case to December 30, 2020, is necessary to provide parties time to file an appeal of the POD pursuant to Rule 14.4(a) of the Rules of Practice and Procedure, and any concerned Commissioner to decide whether to request for review of the POD pursuant to Rule 14.4(b).</w:t>
      </w:r>
      <w:r w:rsidRPr="00621A6C" w:rsidR="00884442">
        <w:rPr>
          <w:rFonts w:ascii="Book Antiqua" w:hAnsi="Book Antiqua"/>
        </w:rPr>
        <w:t>.</w:t>
      </w:r>
    </w:p>
    <w:p w:rsidRPr="00942663" w:rsidR="002A21FE" w:rsidP="00DA1597" w:rsidRDefault="002A21FE" w14:paraId="3B75F4AB" w14:textId="77777777">
      <w:pPr>
        <w:pStyle w:val="Heading1"/>
        <w:numPr>
          <w:ilvl w:val="0"/>
          <w:numId w:val="8"/>
        </w:numPr>
        <w:tabs>
          <w:tab w:val="left" w:pos="450"/>
        </w:tabs>
        <w:spacing w:before="0"/>
        <w:ind w:left="86" w:hanging="86"/>
        <w:rPr>
          <w:rFonts w:ascii="Arial" w:hAnsi="Arial" w:cs="Arial"/>
        </w:rPr>
      </w:pPr>
      <w:r w:rsidRPr="00942663">
        <w:rPr>
          <w:rFonts w:ascii="Arial" w:hAnsi="Arial" w:cs="Arial"/>
        </w:rPr>
        <w:t>Waiver of Comments on Proposed Decision</w:t>
      </w:r>
    </w:p>
    <w:p w:rsidRPr="00942663" w:rsidR="002A21FE" w:rsidP="002A21FE" w:rsidRDefault="002A21FE" w14:paraId="373807A2" w14:textId="77777777">
      <w:pPr>
        <w:pStyle w:val="standard"/>
        <w:rPr>
          <w:rFonts w:ascii="Book Antiqua" w:hAnsi="Book Antiqua"/>
        </w:rPr>
      </w:pPr>
      <w:r w:rsidRPr="00942663">
        <w:rPr>
          <w:rFonts w:ascii="Book Antiqua" w:hAnsi="Book Antiqua"/>
        </w:rPr>
        <w:t>Under Rule 14.6(c)(4) of the Rules of Practice and Procedure, the Commission may waive the otherwise applicable 30</w:t>
      </w:r>
      <w:r w:rsidRPr="00942663" w:rsidR="009A1016">
        <w:rPr>
          <w:rFonts w:ascii="Book Antiqua" w:hAnsi="Book Antiqua"/>
        </w:rPr>
        <w:noBreakHyphen/>
      </w:r>
      <w:r w:rsidRPr="00942663">
        <w:rPr>
          <w:rFonts w:ascii="Book Antiqua" w:hAnsi="Book Antiqua"/>
        </w:rPr>
        <w:t>day period for public review and comment on a decision that extends the 12</w:t>
      </w:r>
      <w:r w:rsidRPr="00942663" w:rsidR="009A1016">
        <w:rPr>
          <w:rFonts w:ascii="Book Antiqua" w:hAnsi="Book Antiqua"/>
        </w:rPr>
        <w:noBreakHyphen/>
      </w:r>
      <w:r w:rsidRPr="00942663">
        <w:rPr>
          <w:rFonts w:ascii="Book Antiqua" w:hAnsi="Book Antiqua"/>
        </w:rPr>
        <w:t>month deadline set forth in Pub. Util. Code § 1701.2(</w:t>
      </w:r>
      <w:r w:rsidRPr="00942663" w:rsidR="00884442">
        <w:rPr>
          <w:rFonts w:ascii="Book Antiqua" w:hAnsi="Book Antiqua"/>
        </w:rPr>
        <w:t>i</w:t>
      </w:r>
      <w:r w:rsidRPr="00942663">
        <w:rPr>
          <w:rFonts w:ascii="Book Antiqua" w:hAnsi="Book Antiqua"/>
        </w:rPr>
        <w:t>).  Under the circumstances of this case, it is appropriate to waive the 30</w:t>
      </w:r>
      <w:r w:rsidRPr="00942663" w:rsidR="009A1016">
        <w:rPr>
          <w:rFonts w:ascii="Book Antiqua" w:hAnsi="Book Antiqua"/>
        </w:rPr>
        <w:noBreakHyphen/>
      </w:r>
      <w:r w:rsidRPr="00942663">
        <w:rPr>
          <w:rFonts w:ascii="Book Antiqua" w:hAnsi="Book Antiqua"/>
        </w:rPr>
        <w:t>day period for public review and comment.</w:t>
      </w:r>
    </w:p>
    <w:p w:rsidRPr="00A421C1" w:rsidR="0089195D" w:rsidP="0067542A" w:rsidRDefault="0089195D" w14:paraId="7B899E93" w14:textId="77777777">
      <w:pPr>
        <w:pStyle w:val="Heading1"/>
        <w:numPr>
          <w:ilvl w:val="0"/>
          <w:numId w:val="8"/>
        </w:numPr>
        <w:ind w:left="450" w:hanging="450"/>
        <w:rPr>
          <w:rFonts w:ascii="Arial" w:hAnsi="Arial" w:cs="Arial"/>
        </w:rPr>
      </w:pPr>
      <w:r w:rsidRPr="00A421C1">
        <w:rPr>
          <w:rFonts w:ascii="Arial" w:hAnsi="Arial" w:cs="Arial"/>
        </w:rPr>
        <w:t>Assignment of Proceeding</w:t>
      </w:r>
    </w:p>
    <w:p w:rsidRPr="00A421C1" w:rsidR="0089195D" w:rsidRDefault="001B732B" w14:paraId="69956D9A" w14:textId="2591A8D8">
      <w:pPr>
        <w:pStyle w:val="standard"/>
        <w:rPr>
          <w:rFonts w:ascii="Book Antiqua" w:hAnsi="Book Antiqua" w:cs="Arial"/>
        </w:rPr>
      </w:pPr>
      <w:r w:rsidRPr="00A421C1">
        <w:rPr>
          <w:rFonts w:ascii="Book Antiqua" w:hAnsi="Book Antiqua" w:cs="Arial"/>
        </w:rPr>
        <w:t xml:space="preserve">Clifford Rechtschaffen is the assigned Commissioner and Robert W. Haga is the assigned </w:t>
      </w:r>
      <w:r w:rsidR="00B54E86">
        <w:rPr>
          <w:rFonts w:ascii="Book Antiqua" w:hAnsi="Book Antiqua" w:cs="Arial"/>
        </w:rPr>
        <w:t xml:space="preserve">ALJ </w:t>
      </w:r>
      <w:r w:rsidRPr="00A421C1">
        <w:rPr>
          <w:rFonts w:ascii="Book Antiqua" w:hAnsi="Book Antiqua" w:cs="Arial"/>
        </w:rPr>
        <w:t>and presiding officer in th</w:t>
      </w:r>
      <w:r w:rsidRPr="00A421C1" w:rsidR="008B75D8">
        <w:rPr>
          <w:rFonts w:ascii="Book Antiqua" w:hAnsi="Book Antiqua" w:cs="Arial"/>
        </w:rPr>
        <w:t>ese</w:t>
      </w:r>
      <w:r w:rsidRPr="00A421C1">
        <w:rPr>
          <w:rFonts w:ascii="Book Antiqua" w:hAnsi="Book Antiqua" w:cs="Arial"/>
        </w:rPr>
        <w:t xml:space="preserve"> proceeding</w:t>
      </w:r>
      <w:r w:rsidRPr="00A421C1" w:rsidR="008B75D8">
        <w:rPr>
          <w:rFonts w:ascii="Book Antiqua" w:hAnsi="Book Antiqua" w:cs="Arial"/>
        </w:rPr>
        <w:t>s</w:t>
      </w:r>
      <w:r w:rsidRPr="00A421C1" w:rsidR="00EA39F7">
        <w:rPr>
          <w:rFonts w:ascii="Book Antiqua" w:hAnsi="Book Antiqua" w:cs="Arial"/>
        </w:rPr>
        <w:t>.</w:t>
      </w:r>
    </w:p>
    <w:p w:rsidRPr="00942663" w:rsidR="00553B36" w:rsidP="00CE0222" w:rsidRDefault="00553B36" w14:paraId="249AA50F" w14:textId="77777777">
      <w:pPr>
        <w:pStyle w:val="dummy"/>
        <w:tabs>
          <w:tab w:val="left" w:pos="6973"/>
        </w:tabs>
        <w:spacing w:before="0" w:after="0" w:line="360" w:lineRule="auto"/>
        <w:rPr>
          <w:rFonts w:ascii="Arial" w:hAnsi="Arial" w:cs="Arial"/>
        </w:rPr>
      </w:pPr>
      <w:bookmarkStart w:name="_Toc370798913" w:id="2"/>
      <w:r w:rsidRPr="00942663">
        <w:rPr>
          <w:rFonts w:ascii="Arial" w:hAnsi="Arial" w:cs="Arial"/>
        </w:rPr>
        <w:t>Findin</w:t>
      </w:r>
      <w:r w:rsidRPr="00942663" w:rsidR="00EA27F8">
        <w:rPr>
          <w:rFonts w:ascii="Arial" w:hAnsi="Arial" w:cs="Arial"/>
        </w:rPr>
        <w:t>g</w:t>
      </w:r>
      <w:r w:rsidRPr="00942663">
        <w:rPr>
          <w:rFonts w:ascii="Arial" w:hAnsi="Arial" w:cs="Arial"/>
        </w:rPr>
        <w:t>s of Fact</w:t>
      </w:r>
    </w:p>
    <w:p w:rsidRPr="00C163A3" w:rsidR="00C163A3" w:rsidP="00C163A3" w:rsidRDefault="00C163A3" w14:paraId="7771EFFC" w14:textId="77777777">
      <w:pPr>
        <w:pStyle w:val="num1"/>
        <w:numPr>
          <w:ilvl w:val="0"/>
          <w:numId w:val="5"/>
        </w:numPr>
        <w:rPr>
          <w:rFonts w:ascii="Book Antiqua" w:hAnsi="Book Antiqua"/>
        </w:rPr>
      </w:pPr>
      <w:bookmarkStart w:name="_Hlk20232422" w:id="3"/>
      <w:r w:rsidRPr="00C163A3">
        <w:rPr>
          <w:rFonts w:ascii="Book Antiqua" w:hAnsi="Book Antiqua"/>
        </w:rPr>
        <w:t>AT&amp;T’s complaint was filed on August 3, 2017.</w:t>
      </w:r>
    </w:p>
    <w:p w:rsidRPr="00C163A3" w:rsidR="00C163A3" w:rsidP="00C163A3" w:rsidRDefault="00C163A3" w14:paraId="69109686" w14:textId="77777777">
      <w:pPr>
        <w:pStyle w:val="num1"/>
        <w:numPr>
          <w:ilvl w:val="0"/>
          <w:numId w:val="5"/>
        </w:numPr>
        <w:rPr>
          <w:rFonts w:ascii="Book Antiqua" w:hAnsi="Book Antiqua"/>
        </w:rPr>
      </w:pPr>
      <w:r w:rsidRPr="00C163A3">
        <w:rPr>
          <w:rFonts w:ascii="Book Antiqua" w:hAnsi="Book Antiqua"/>
        </w:rPr>
        <w:lastRenderedPageBreak/>
        <w:t>Blue Casa’s complaint was filed on January 4, 2018.</w:t>
      </w:r>
    </w:p>
    <w:p w:rsidRPr="00942663" w:rsidR="00FD03B2" w:rsidP="00C163A3" w:rsidRDefault="00C163A3" w14:paraId="7E987771" w14:textId="4701BD07">
      <w:pPr>
        <w:pStyle w:val="num1"/>
        <w:numPr>
          <w:ilvl w:val="0"/>
          <w:numId w:val="5"/>
        </w:numPr>
        <w:rPr>
          <w:rFonts w:ascii="Book Antiqua" w:hAnsi="Book Antiqua"/>
        </w:rPr>
      </w:pPr>
      <w:r w:rsidRPr="00C163A3">
        <w:rPr>
          <w:rFonts w:ascii="Book Antiqua" w:hAnsi="Book Antiqua"/>
        </w:rPr>
        <w:t>PHCs were held on November 30, 2017 for C.17 08 003 and on February</w:t>
      </w:r>
      <w:r w:rsidR="00E159FA">
        <w:rPr>
          <w:rFonts w:ascii="Book Antiqua" w:hAnsi="Book Antiqua"/>
        </w:rPr>
        <w:t> </w:t>
      </w:r>
      <w:r w:rsidRPr="00C163A3">
        <w:rPr>
          <w:rFonts w:ascii="Book Antiqua" w:hAnsi="Book Antiqua"/>
        </w:rPr>
        <w:t>20,</w:t>
      </w:r>
      <w:r w:rsidR="00E159FA">
        <w:rPr>
          <w:rFonts w:ascii="Book Antiqua" w:hAnsi="Book Antiqua"/>
        </w:rPr>
        <w:t> </w:t>
      </w:r>
      <w:r w:rsidRPr="00C163A3">
        <w:rPr>
          <w:rFonts w:ascii="Book Antiqua" w:hAnsi="Book Antiqua"/>
        </w:rPr>
        <w:t>2018 for C.18 01 005</w:t>
      </w:r>
      <w:r w:rsidRPr="00942663" w:rsidR="00FD03B2">
        <w:rPr>
          <w:rFonts w:ascii="Book Antiqua" w:hAnsi="Book Antiqua"/>
        </w:rPr>
        <w:t>.</w:t>
      </w:r>
    </w:p>
    <w:bookmarkEnd w:id="3"/>
    <w:p w:rsidRPr="00942663" w:rsidR="001B732B" w:rsidP="001B732B" w:rsidRDefault="001B732B" w14:paraId="3A2B18DF" w14:textId="0FB7C31D">
      <w:pPr>
        <w:pStyle w:val="num1"/>
        <w:numPr>
          <w:ilvl w:val="0"/>
          <w:numId w:val="5"/>
        </w:numPr>
        <w:rPr>
          <w:rFonts w:ascii="Book Antiqua" w:hAnsi="Book Antiqua"/>
        </w:rPr>
      </w:pPr>
      <w:r w:rsidRPr="00942663">
        <w:rPr>
          <w:rFonts w:ascii="Book Antiqua" w:hAnsi="Book Antiqua"/>
        </w:rPr>
        <w:t>The</w:t>
      </w:r>
      <w:r w:rsidRPr="00942663" w:rsidR="00FD03B2">
        <w:rPr>
          <w:rFonts w:ascii="Book Antiqua" w:hAnsi="Book Antiqua"/>
        </w:rPr>
        <w:t xml:space="preserve"> scoping memo was issued on April 24, 2018, in which these complaints were consolidated</w:t>
      </w:r>
      <w:r w:rsidRPr="00942663">
        <w:rPr>
          <w:rFonts w:ascii="Book Antiqua" w:hAnsi="Book Antiqua"/>
        </w:rPr>
        <w:t>.</w:t>
      </w:r>
    </w:p>
    <w:p w:rsidRPr="00942663" w:rsidR="005C6E0E" w:rsidP="001B732B" w:rsidRDefault="005C6E0E" w14:paraId="2265EF5E" w14:textId="77777777">
      <w:pPr>
        <w:pStyle w:val="num1"/>
        <w:numPr>
          <w:ilvl w:val="0"/>
          <w:numId w:val="5"/>
        </w:numPr>
        <w:rPr>
          <w:rFonts w:ascii="Book Antiqua" w:hAnsi="Book Antiqua"/>
        </w:rPr>
      </w:pPr>
      <w:r w:rsidRPr="00942663">
        <w:rPr>
          <w:rFonts w:ascii="Book Antiqua" w:hAnsi="Book Antiqua"/>
        </w:rPr>
        <w:t xml:space="preserve">After resetting the schedule, parties requested additional time to allow them </w:t>
      </w:r>
      <w:r w:rsidRPr="00942663" w:rsidR="009A1016">
        <w:rPr>
          <w:rFonts w:ascii="Book Antiqua" w:hAnsi="Book Antiqua"/>
        </w:rPr>
        <w:t>to</w:t>
      </w:r>
      <w:r w:rsidRPr="00942663">
        <w:rPr>
          <w:rFonts w:ascii="Book Antiqua" w:hAnsi="Book Antiqua"/>
        </w:rPr>
        <w:t xml:space="preserve"> pursue alternative dispute resolution.</w:t>
      </w:r>
    </w:p>
    <w:p w:rsidR="001B732B" w:rsidP="001B732B" w:rsidRDefault="0089742F" w14:paraId="3B9CA025" w14:textId="18BBA899">
      <w:pPr>
        <w:pStyle w:val="num1"/>
        <w:numPr>
          <w:ilvl w:val="0"/>
          <w:numId w:val="5"/>
        </w:numPr>
        <w:rPr>
          <w:rFonts w:ascii="Book Antiqua" w:hAnsi="Book Antiqua"/>
        </w:rPr>
      </w:pPr>
      <w:r w:rsidRPr="00942663">
        <w:rPr>
          <w:rFonts w:ascii="Book Antiqua" w:hAnsi="Book Antiqua"/>
        </w:rPr>
        <w:t>At the request of the parties, the Evidentiary Hearing schedule was postponed to December 17, 2018</w:t>
      </w:r>
      <w:r w:rsidRPr="00942663" w:rsidR="005C6E0E">
        <w:rPr>
          <w:rFonts w:ascii="Book Antiqua" w:hAnsi="Book Antiqua"/>
        </w:rPr>
        <w:t>,</w:t>
      </w:r>
      <w:r w:rsidRPr="00942663" w:rsidR="009A1016">
        <w:rPr>
          <w:rFonts w:ascii="Book Antiqua" w:hAnsi="Book Antiqua"/>
        </w:rPr>
        <w:t xml:space="preserve"> </w:t>
      </w:r>
      <w:r w:rsidRPr="00942663">
        <w:rPr>
          <w:rFonts w:ascii="Book Antiqua" w:hAnsi="Book Antiqua"/>
        </w:rPr>
        <w:t>and</w:t>
      </w:r>
      <w:r w:rsidRPr="00942663" w:rsidR="005C6E0E">
        <w:rPr>
          <w:rFonts w:ascii="Book Antiqua" w:hAnsi="Book Antiqua"/>
        </w:rPr>
        <w:t xml:space="preserve"> then </w:t>
      </w:r>
      <w:r w:rsidRPr="00942663">
        <w:rPr>
          <w:rFonts w:ascii="Book Antiqua" w:hAnsi="Book Antiqua"/>
        </w:rPr>
        <w:t>continued to February 13 and 14, 2019</w:t>
      </w:r>
      <w:r w:rsidRPr="00942663" w:rsidR="001B732B">
        <w:rPr>
          <w:rFonts w:ascii="Book Antiqua" w:hAnsi="Book Antiqua"/>
        </w:rPr>
        <w:t>.</w:t>
      </w:r>
    </w:p>
    <w:p w:rsidRPr="00621A6C" w:rsidR="00AD3560" w:rsidP="001B732B" w:rsidRDefault="009171E2" w14:paraId="723FA948" w14:textId="48CC6A7B">
      <w:pPr>
        <w:pStyle w:val="num1"/>
        <w:numPr>
          <w:ilvl w:val="0"/>
          <w:numId w:val="5"/>
        </w:numPr>
        <w:rPr>
          <w:rFonts w:ascii="Book Antiqua" w:hAnsi="Book Antiqua"/>
        </w:rPr>
      </w:pPr>
      <w:r w:rsidRPr="009171E2">
        <w:rPr>
          <w:rFonts w:ascii="Book Antiqua" w:hAnsi="Book Antiqua"/>
        </w:rPr>
        <w:t>The POD will be filed and served upon all parties of record pursuant to Pub. Util. Code § 1701.2(d) imminently</w:t>
      </w:r>
      <w:r w:rsidRPr="00621A6C" w:rsidR="00AD3560">
        <w:rPr>
          <w:rFonts w:ascii="Book Antiqua" w:hAnsi="Book Antiqua"/>
        </w:rPr>
        <w:t xml:space="preserve">.  </w:t>
      </w:r>
    </w:p>
    <w:p w:rsidRPr="00621A6C" w:rsidR="002D0E69" w:rsidP="00D67C51" w:rsidRDefault="001B732B" w14:paraId="02B891B9" w14:textId="72470D4A">
      <w:pPr>
        <w:pStyle w:val="num1"/>
        <w:numPr>
          <w:ilvl w:val="0"/>
          <w:numId w:val="5"/>
        </w:numPr>
      </w:pPr>
      <w:r w:rsidRPr="00621A6C">
        <w:rPr>
          <w:rFonts w:ascii="Book Antiqua" w:hAnsi="Book Antiqua"/>
        </w:rPr>
        <w:t xml:space="preserve">An extension of time until </w:t>
      </w:r>
      <w:r w:rsidRPr="00621A6C" w:rsidR="00AD3560">
        <w:rPr>
          <w:rFonts w:ascii="Book Antiqua" w:hAnsi="Book Antiqua"/>
        </w:rPr>
        <w:t xml:space="preserve">December </w:t>
      </w:r>
      <w:r w:rsidRPr="00621A6C" w:rsidR="007C211E">
        <w:rPr>
          <w:rFonts w:ascii="Book Antiqua" w:hAnsi="Book Antiqua"/>
        </w:rPr>
        <w:t>30</w:t>
      </w:r>
      <w:r w:rsidRPr="00621A6C" w:rsidR="003D6F97">
        <w:rPr>
          <w:rFonts w:ascii="Book Antiqua" w:hAnsi="Book Antiqua"/>
        </w:rPr>
        <w:t>, 2020</w:t>
      </w:r>
      <w:r w:rsidRPr="00621A6C" w:rsidR="00AD3560">
        <w:rPr>
          <w:rFonts w:ascii="Book Antiqua" w:hAnsi="Book Antiqua"/>
        </w:rPr>
        <w:t>,</w:t>
      </w:r>
      <w:r w:rsidRPr="00621A6C">
        <w:rPr>
          <w:rFonts w:ascii="Book Antiqua" w:hAnsi="Book Antiqua"/>
        </w:rPr>
        <w:t xml:space="preserve"> </w:t>
      </w:r>
      <w:r w:rsidRPr="00621A6C" w:rsidR="00AD3560">
        <w:rPr>
          <w:rFonts w:ascii="Book Antiqua" w:hAnsi="Book Antiqua"/>
        </w:rPr>
        <w:t>is necessary to</w:t>
      </w:r>
      <w:r w:rsidRPr="00621A6C">
        <w:rPr>
          <w:rFonts w:ascii="Book Antiqua" w:hAnsi="Book Antiqua"/>
        </w:rPr>
        <w:t xml:space="preserve"> provide parties </w:t>
      </w:r>
      <w:r w:rsidRPr="00621A6C" w:rsidR="00AD3560">
        <w:rPr>
          <w:rFonts w:ascii="Book Antiqua" w:hAnsi="Book Antiqua"/>
        </w:rPr>
        <w:t>enough</w:t>
      </w:r>
      <w:r w:rsidRPr="00621A6C">
        <w:rPr>
          <w:rFonts w:ascii="Book Antiqua" w:hAnsi="Book Antiqua"/>
        </w:rPr>
        <w:t xml:space="preserve"> time to file an appeal of the POD pursuant to Rule 14.4(a) of the Rules of Practice and Procedure, and </w:t>
      </w:r>
      <w:r w:rsidRPr="00621A6C" w:rsidR="00AD3560">
        <w:rPr>
          <w:rFonts w:ascii="Book Antiqua" w:hAnsi="Book Antiqua"/>
        </w:rPr>
        <w:t xml:space="preserve">to provide </w:t>
      </w:r>
      <w:r w:rsidRPr="00621A6C">
        <w:rPr>
          <w:rFonts w:ascii="Book Antiqua" w:hAnsi="Book Antiqua"/>
        </w:rPr>
        <w:t xml:space="preserve">any concerned Commissioner </w:t>
      </w:r>
      <w:r w:rsidRPr="00621A6C" w:rsidR="00AD3560">
        <w:rPr>
          <w:rFonts w:ascii="Book Antiqua" w:hAnsi="Book Antiqua"/>
        </w:rPr>
        <w:t xml:space="preserve">enough time </w:t>
      </w:r>
      <w:r w:rsidRPr="00621A6C">
        <w:rPr>
          <w:rFonts w:ascii="Book Antiqua" w:hAnsi="Book Antiqua"/>
        </w:rPr>
        <w:t xml:space="preserve">to </w:t>
      </w:r>
      <w:r w:rsidRPr="00621A6C" w:rsidR="00AD3560">
        <w:rPr>
          <w:rFonts w:ascii="Book Antiqua" w:hAnsi="Book Antiqua"/>
        </w:rPr>
        <w:t>file</w:t>
      </w:r>
      <w:r w:rsidRPr="00621A6C">
        <w:rPr>
          <w:rFonts w:ascii="Book Antiqua" w:hAnsi="Book Antiqua"/>
        </w:rPr>
        <w:t xml:space="preserve"> </w:t>
      </w:r>
      <w:r w:rsidRPr="00621A6C" w:rsidR="00AD3560">
        <w:rPr>
          <w:rFonts w:ascii="Book Antiqua" w:hAnsi="Book Antiqua"/>
        </w:rPr>
        <w:t>a</w:t>
      </w:r>
      <w:r w:rsidRPr="00621A6C">
        <w:rPr>
          <w:rFonts w:ascii="Book Antiqua" w:hAnsi="Book Antiqua"/>
        </w:rPr>
        <w:t xml:space="preserve"> request </w:t>
      </w:r>
      <w:r w:rsidRPr="00621A6C" w:rsidR="00BB70A3">
        <w:rPr>
          <w:rFonts w:ascii="Book Antiqua" w:hAnsi="Book Antiqua"/>
        </w:rPr>
        <w:t xml:space="preserve">for </w:t>
      </w:r>
      <w:r w:rsidRPr="00621A6C">
        <w:rPr>
          <w:rFonts w:ascii="Book Antiqua" w:hAnsi="Book Antiqua"/>
        </w:rPr>
        <w:t>review of the POD pursuant to Rule 14.4(b).</w:t>
      </w:r>
    </w:p>
    <w:p w:rsidR="001B732B" w:rsidP="009003FF" w:rsidRDefault="001B732B" w14:paraId="7DBB175B" w14:textId="730CECC1">
      <w:pPr>
        <w:pStyle w:val="dummy"/>
        <w:spacing w:before="0"/>
        <w:rPr>
          <w:rFonts w:ascii="Arial" w:hAnsi="Arial" w:cs="Arial"/>
        </w:rPr>
      </w:pPr>
      <w:bookmarkStart w:name="_Toc370798914" w:id="4"/>
      <w:bookmarkStart w:name="_Toc450990220" w:id="5"/>
      <w:bookmarkStart w:name="_Toc451151267" w:id="6"/>
      <w:bookmarkEnd w:id="2"/>
      <w:r w:rsidRPr="00942663">
        <w:rPr>
          <w:rFonts w:ascii="Arial" w:hAnsi="Arial" w:cs="Arial"/>
        </w:rPr>
        <w:t>Conclusion of Law</w:t>
      </w:r>
      <w:bookmarkEnd w:id="4"/>
      <w:bookmarkEnd w:id="5"/>
      <w:bookmarkEnd w:id="6"/>
    </w:p>
    <w:p w:rsidRPr="00AD3560" w:rsidR="00AD3560" w:rsidP="00AD3560" w:rsidRDefault="00AD3560" w14:paraId="6F6CBC48" w14:textId="2DD3458C">
      <w:pPr>
        <w:spacing w:line="360" w:lineRule="auto"/>
        <w:ind w:firstLine="720"/>
        <w:rPr>
          <w:rFonts w:ascii="Book Antiqua" w:hAnsi="Book Antiqua"/>
        </w:rPr>
      </w:pPr>
      <w:r w:rsidRPr="00AD3560">
        <w:rPr>
          <w:rFonts w:ascii="Book Antiqua" w:hAnsi="Book Antiqua"/>
        </w:rPr>
        <w:t>Pursuant to the authority granted to the Commission under Pub. Util. Code § 1701.</w:t>
      </w:r>
      <w:r w:rsidR="00910446">
        <w:rPr>
          <w:rFonts w:ascii="Book Antiqua" w:hAnsi="Book Antiqua"/>
        </w:rPr>
        <w:t>2</w:t>
      </w:r>
      <w:r w:rsidRPr="00AD3560">
        <w:rPr>
          <w:rFonts w:ascii="Book Antiqua" w:hAnsi="Book Antiqua"/>
        </w:rPr>
        <w:t>(</w:t>
      </w:r>
      <w:r w:rsidR="00BB70A3">
        <w:rPr>
          <w:rFonts w:ascii="Book Antiqua" w:hAnsi="Book Antiqua"/>
        </w:rPr>
        <w:t>i</w:t>
      </w:r>
      <w:r w:rsidRPr="00AD3560">
        <w:rPr>
          <w:rFonts w:ascii="Book Antiqua" w:hAnsi="Book Antiqua"/>
        </w:rPr>
        <w:t>), the statutory deadline should be extended to December</w:t>
      </w:r>
      <w:r w:rsidR="00E159FA">
        <w:rPr>
          <w:rFonts w:ascii="Book Antiqua" w:hAnsi="Book Antiqua"/>
        </w:rPr>
        <w:t> </w:t>
      </w:r>
      <w:r w:rsidRPr="00AD3560">
        <w:rPr>
          <w:rFonts w:ascii="Book Antiqua" w:hAnsi="Book Antiqua"/>
        </w:rPr>
        <w:t>3</w:t>
      </w:r>
      <w:r w:rsidR="00910446">
        <w:rPr>
          <w:rFonts w:ascii="Book Antiqua" w:hAnsi="Book Antiqua"/>
        </w:rPr>
        <w:t>0</w:t>
      </w:r>
      <w:r w:rsidRPr="00AD3560">
        <w:rPr>
          <w:rFonts w:ascii="Book Antiqua" w:hAnsi="Book Antiqua"/>
        </w:rPr>
        <w:t>,</w:t>
      </w:r>
      <w:r w:rsidR="00E159FA">
        <w:rPr>
          <w:rFonts w:ascii="Book Antiqua" w:hAnsi="Book Antiqua"/>
        </w:rPr>
        <w:t> </w:t>
      </w:r>
      <w:r w:rsidRPr="00AD3560">
        <w:rPr>
          <w:rFonts w:ascii="Book Antiqua" w:hAnsi="Book Antiqua"/>
        </w:rPr>
        <w:t>2020.</w:t>
      </w:r>
    </w:p>
    <w:p w:rsidRPr="00942663" w:rsidR="008B75D8" w:rsidP="00850773" w:rsidRDefault="008B75D8" w14:paraId="3D987E3A" w14:textId="30C72631">
      <w:pPr>
        <w:pStyle w:val="standard"/>
        <w:keepNext/>
        <w:keepLines/>
        <w:rPr>
          <w:rFonts w:ascii="Book Antiqua" w:hAnsi="Book Antiqua"/>
        </w:rPr>
      </w:pPr>
      <w:r w:rsidRPr="00942663">
        <w:rPr>
          <w:rFonts w:ascii="Arial" w:hAnsi="Arial" w:cs="Arial"/>
          <w:b/>
        </w:rPr>
        <w:lastRenderedPageBreak/>
        <w:t>IT IS ORDERED</w:t>
      </w:r>
      <w:r>
        <w:t xml:space="preserve"> </w:t>
      </w:r>
      <w:r w:rsidRPr="00942663">
        <w:rPr>
          <w:rFonts w:ascii="Book Antiqua" w:hAnsi="Book Antiqua"/>
        </w:rPr>
        <w:t xml:space="preserve">that the statutory deadline in these proceedings is extended until </w:t>
      </w:r>
      <w:r w:rsidR="00FD4BD2">
        <w:rPr>
          <w:rFonts w:ascii="Book Antiqua" w:hAnsi="Book Antiqua"/>
        </w:rPr>
        <w:t>December</w:t>
      </w:r>
      <w:r w:rsidR="00515F01">
        <w:rPr>
          <w:rFonts w:ascii="Book Antiqua" w:hAnsi="Book Antiqua"/>
        </w:rPr>
        <w:t xml:space="preserve"> 30</w:t>
      </w:r>
      <w:r w:rsidRPr="00942663">
        <w:rPr>
          <w:rFonts w:ascii="Book Antiqua" w:hAnsi="Book Antiqua"/>
        </w:rPr>
        <w:t>, 2020.</w:t>
      </w:r>
    </w:p>
    <w:p w:rsidRPr="00942663" w:rsidR="008B75D8" w:rsidP="008B75D8" w:rsidRDefault="008B75D8" w14:paraId="1E2F3B08" w14:textId="77777777">
      <w:pPr>
        <w:pStyle w:val="standard"/>
        <w:keepNext/>
        <w:keepLines/>
        <w:rPr>
          <w:rFonts w:ascii="Book Antiqua" w:hAnsi="Book Antiqua"/>
        </w:rPr>
      </w:pPr>
      <w:r w:rsidRPr="00942663">
        <w:rPr>
          <w:rFonts w:ascii="Book Antiqua" w:hAnsi="Book Antiqua"/>
        </w:rPr>
        <w:t>This order is effective today.</w:t>
      </w:r>
    </w:p>
    <w:p w:rsidR="00717688" w:rsidP="001F1125" w:rsidRDefault="001F1125" w14:paraId="48DFCE0C" w14:textId="48EEE240">
      <w:pPr>
        <w:pStyle w:val="standard"/>
        <w:keepNext/>
        <w:keepLines/>
        <w:rPr>
          <w:rFonts w:ascii="Book Antiqua" w:hAnsi="Book Antiqua"/>
        </w:rPr>
      </w:pPr>
      <w:r w:rsidRPr="00C05D14">
        <w:rPr>
          <w:rFonts w:ascii="Book Antiqua" w:hAnsi="Book Antiqua"/>
        </w:rPr>
        <w:t>Dated _______________, at San Francisco, California</w:t>
      </w:r>
      <w:r w:rsidRPr="00E66810">
        <w:rPr>
          <w:rFonts w:ascii="Book Antiqua" w:hAnsi="Book Antiqua"/>
        </w:rPr>
        <w:t>.</w:t>
      </w:r>
    </w:p>
    <w:p w:rsidR="00837E1C" w:rsidP="001F1125" w:rsidRDefault="00837E1C" w14:paraId="0F6A80E7" w14:textId="03DFD49F">
      <w:pPr>
        <w:pStyle w:val="standard"/>
        <w:keepNext/>
        <w:keepLines/>
        <w:rPr>
          <w:rFonts w:ascii="Book Antiqua" w:hAnsi="Book Antiqua"/>
        </w:rPr>
      </w:pPr>
    </w:p>
    <w:p w:rsidR="00837E1C" w:rsidP="001F1125" w:rsidRDefault="00837E1C" w14:paraId="3CEC7BCE" w14:textId="77777777">
      <w:pPr>
        <w:pStyle w:val="standard"/>
        <w:keepNext/>
        <w:keepLines/>
        <w:rPr>
          <w:rFonts w:ascii="Book Antiqua" w:hAnsi="Book Antiqua"/>
        </w:rPr>
      </w:pPr>
    </w:p>
    <w:p w:rsidR="00E159FA" w:rsidP="001F1125" w:rsidRDefault="00E159FA" w14:paraId="505FD838" w14:textId="77777777">
      <w:pPr>
        <w:pStyle w:val="standard"/>
        <w:keepNext/>
        <w:keepLines/>
        <w:rPr>
          <w:rFonts w:ascii="Book Antiqua" w:hAnsi="Book Antiqua"/>
          <w:szCs w:val="26"/>
        </w:rPr>
      </w:pPr>
    </w:p>
    <w:sectPr w:rsidR="00E159FA" w:rsidSect="008D75CD">
      <w:headerReference w:type="default" r:id="rId8"/>
      <w:footerReference w:type="default" r:id="rId9"/>
      <w:footerReference w:type="first" r:id="rId10"/>
      <w:pgSz w:w="12240" w:h="15840" w:code="1"/>
      <w:pgMar w:top="1152"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CFB2" w14:textId="77777777" w:rsidR="00D64442" w:rsidRDefault="00D64442">
      <w:r>
        <w:separator/>
      </w:r>
    </w:p>
  </w:endnote>
  <w:endnote w:type="continuationSeparator" w:id="0">
    <w:p w14:paraId="625CA653" w14:textId="77777777" w:rsidR="00D64442" w:rsidRDefault="00D6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611422"/>
      <w:docPartObj>
        <w:docPartGallery w:val="Page Numbers (Bottom of Page)"/>
        <w:docPartUnique/>
      </w:docPartObj>
    </w:sdtPr>
    <w:sdtEndPr>
      <w:rPr>
        <w:noProof/>
      </w:rPr>
    </w:sdtEndPr>
    <w:sdtContent>
      <w:p w14:paraId="6CAEB5FE" w14:textId="76F459F8" w:rsidR="00AD3560" w:rsidRDefault="00AD3560" w:rsidP="008D75C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747757"/>
      <w:docPartObj>
        <w:docPartGallery w:val="Page Numbers (Bottom of Page)"/>
        <w:docPartUnique/>
      </w:docPartObj>
    </w:sdtPr>
    <w:sdtEndPr>
      <w:rPr>
        <w:noProof/>
      </w:rPr>
    </w:sdtEndPr>
    <w:sdtContent>
      <w:p w14:paraId="7669DD74" w14:textId="6609FC7A" w:rsidR="00AD3560" w:rsidRDefault="004A5A1B" w:rsidP="008D75CD">
        <w:pPr>
          <w:pStyle w:val="Footer"/>
          <w:jc w:val="left"/>
        </w:pPr>
        <w:r w:rsidRPr="004A5A1B">
          <w:rPr>
            <w:sz w:val="16"/>
            <w:szCs w:val="16"/>
          </w:rPr>
          <w:t>346648160</w:t>
        </w:r>
        <w:r w:rsidR="00AD3560">
          <w:rPr>
            <w:rStyle w:val="PageNumber"/>
            <w:sz w:val="20"/>
          </w:rPr>
          <w:tab/>
          <w:t xml:space="preserve"> </w:t>
        </w:r>
        <w:r w:rsidR="00AD3560" w:rsidRPr="008D75CD">
          <w:rPr>
            <w:rStyle w:val="PageNumber"/>
            <w:szCs w:val="26"/>
          </w:rPr>
          <w:noBreakHyphen/>
          <w:t xml:space="preserve"> 1 </w:t>
        </w:r>
        <w:r w:rsidR="00AD3560" w:rsidRPr="008D75CD">
          <w:rPr>
            <w:rStyle w:val="PageNumber"/>
            <w:szCs w:val="26"/>
          </w:rPr>
          <w:noBreakHyphen/>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89A1" w14:textId="77777777" w:rsidR="00D64442" w:rsidRDefault="00D64442">
      <w:r>
        <w:separator/>
      </w:r>
    </w:p>
  </w:footnote>
  <w:footnote w:type="continuationSeparator" w:id="0">
    <w:p w14:paraId="33D416E2" w14:textId="77777777" w:rsidR="00D64442" w:rsidRDefault="00D64442">
      <w:r>
        <w:continuationSeparator/>
      </w:r>
    </w:p>
  </w:footnote>
  <w:footnote w:type="continuationNotice" w:id="1">
    <w:p w14:paraId="1ACBC814" w14:textId="77777777" w:rsidR="00D64442" w:rsidRDefault="00D64442">
      <w:pPr>
        <w:rPr>
          <w:sz w:val="22"/>
        </w:rPr>
      </w:pPr>
    </w:p>
    <w:p w14:paraId="16C76336" w14:textId="77777777" w:rsidR="00D64442" w:rsidRDefault="00D64442">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E300" w14:textId="54EE4E75" w:rsidR="00AD3560" w:rsidRDefault="00AD3560" w:rsidP="00C07490">
    <w:pPr>
      <w:pStyle w:val="Header"/>
      <w:tabs>
        <w:tab w:val="clear" w:pos="8640"/>
        <w:tab w:val="right" w:pos="9360"/>
      </w:tabs>
    </w:pPr>
    <w:r w:rsidRPr="00942663">
      <w:rPr>
        <w:rFonts w:ascii="Book Antiqua" w:hAnsi="Book Antiqua"/>
        <w:szCs w:val="26"/>
      </w:rPr>
      <w:t>C.17</w:t>
    </w:r>
    <w:r w:rsidRPr="00942663">
      <w:rPr>
        <w:rFonts w:ascii="Book Antiqua" w:hAnsi="Book Antiqua"/>
        <w:szCs w:val="26"/>
      </w:rPr>
      <w:noBreakHyphen/>
      <w:t>08</w:t>
    </w:r>
    <w:r w:rsidRPr="00942663">
      <w:rPr>
        <w:rFonts w:ascii="Book Antiqua" w:hAnsi="Book Antiqua"/>
        <w:szCs w:val="26"/>
      </w:rPr>
      <w:noBreakHyphen/>
      <w:t>003, C.18</w:t>
    </w:r>
    <w:r w:rsidRPr="00942663">
      <w:rPr>
        <w:rFonts w:ascii="Book Antiqua" w:hAnsi="Book Antiqua"/>
        <w:szCs w:val="26"/>
      </w:rPr>
      <w:noBreakHyphen/>
      <w:t>01</w:t>
    </w:r>
    <w:r w:rsidRPr="00942663">
      <w:rPr>
        <w:rFonts w:ascii="Book Antiqua" w:hAnsi="Book Antiqua"/>
        <w:szCs w:val="26"/>
      </w:rPr>
      <w:noBreakHyphen/>
      <w:t>005  ALJ/RWH/mln</w:t>
    </w:r>
    <w:r w:rsidR="00D94CE4">
      <w:rPr>
        <w:rFonts w:ascii="Book Antiqua" w:hAnsi="Book Antiqua"/>
        <w:szCs w:val="26"/>
      </w:rPr>
      <w:t>/avs</w:t>
    </w:r>
    <w:r>
      <w:tab/>
    </w:r>
    <w:r w:rsidRPr="007D28C5">
      <w:rPr>
        <w:rFonts w:ascii="Arial" w:hAnsi="Arial" w:cs="Arial"/>
        <w:b/>
        <w:sz w:val="28"/>
        <w:szCs w:val="28"/>
      </w:rPr>
      <w:t>PROPOSED DECISION</w:t>
    </w:r>
  </w:p>
  <w:p w14:paraId="33D24924" w14:textId="77777777" w:rsidR="00D94CE4" w:rsidRDefault="00D94CE4" w:rsidP="00D56C85">
    <w:pPr>
      <w:pStyle w:val="Header"/>
      <w:tabs>
        <w:tab w:val="clear" w:pos="8640"/>
        <w:tab w:val="right" w:pos="9360"/>
      </w:tabs>
    </w:pPr>
  </w:p>
  <w:p w14:paraId="781D1312" w14:textId="471B66A2" w:rsidR="00AD3560" w:rsidRDefault="00AD3560" w:rsidP="00D56C85">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2DD46003"/>
    <w:multiLevelType w:val="singleLevel"/>
    <w:tmpl w:val="2FB6A734"/>
    <w:lvl w:ilvl="0">
      <w:start w:val="1"/>
      <w:numFmt w:val="decimal"/>
      <w:lvlText w:val="%1."/>
      <w:legacy w:legacy="1" w:legacySpace="144" w:legacyIndent="0"/>
      <w:lvlJc w:val="left"/>
    </w:lvl>
  </w:abstractNum>
  <w:abstractNum w:abstractNumId="2"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9636B5"/>
    <w:multiLevelType w:val="hybridMultilevel"/>
    <w:tmpl w:val="A00C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35C76"/>
    <w:multiLevelType w:val="hybridMultilevel"/>
    <w:tmpl w:val="B878854E"/>
    <w:lvl w:ilvl="0" w:tplc="EFCC1554">
      <w:start w:val="1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6B0A06"/>
    <w:multiLevelType w:val="singleLevel"/>
    <w:tmpl w:val="21AE8D44"/>
    <w:lvl w:ilvl="0">
      <w:start w:val="1"/>
      <w:numFmt w:val="decimal"/>
      <w:lvlText w:val="%1."/>
      <w:legacy w:legacy="1" w:legacySpace="0" w:legacyIndent="360"/>
      <w:lvlJc w:val="left"/>
    </w:lvl>
  </w:abstractNum>
  <w:abstractNum w:abstractNumId="8" w15:restartNumberingAfterBreak="0">
    <w:nsid w:val="7B1C30FD"/>
    <w:multiLevelType w:val="singleLevel"/>
    <w:tmpl w:val="2FB6A734"/>
    <w:lvl w:ilvl="0">
      <w:start w:val="1"/>
      <w:numFmt w:val="decimal"/>
      <w:lvlText w:val="%1."/>
      <w:legacy w:legacy="1" w:legacySpace="144" w:legacyIndent="0"/>
      <w:lvlJc w:val="left"/>
    </w:lvl>
  </w:abstractNum>
  <w:abstractNum w:abstractNumId="9"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8"/>
  </w:num>
  <w:num w:numId="4">
    <w:abstractNumId w:val="7"/>
  </w:num>
  <w:num w:numId="5">
    <w:abstractNumId w:val="9"/>
  </w:num>
  <w:num w:numId="6">
    <w:abstractNumId w:val="6"/>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328ED"/>
    <w:rsid w:val="00040E91"/>
    <w:rsid w:val="00043951"/>
    <w:rsid w:val="00057AD7"/>
    <w:rsid w:val="00061C1D"/>
    <w:rsid w:val="00061CE8"/>
    <w:rsid w:val="00070CEF"/>
    <w:rsid w:val="00074C89"/>
    <w:rsid w:val="00084497"/>
    <w:rsid w:val="00094579"/>
    <w:rsid w:val="000A26ED"/>
    <w:rsid w:val="000A502E"/>
    <w:rsid w:val="000C6901"/>
    <w:rsid w:val="000E1D60"/>
    <w:rsid w:val="000F13F5"/>
    <w:rsid w:val="000F1401"/>
    <w:rsid w:val="000F1F94"/>
    <w:rsid w:val="000F41FC"/>
    <w:rsid w:val="00105F5C"/>
    <w:rsid w:val="00107949"/>
    <w:rsid w:val="00110C8E"/>
    <w:rsid w:val="001139A6"/>
    <w:rsid w:val="00130693"/>
    <w:rsid w:val="00131E5E"/>
    <w:rsid w:val="001401B6"/>
    <w:rsid w:val="0014247A"/>
    <w:rsid w:val="0014760F"/>
    <w:rsid w:val="00155D28"/>
    <w:rsid w:val="0016171E"/>
    <w:rsid w:val="0017086A"/>
    <w:rsid w:val="0017399C"/>
    <w:rsid w:val="00173E34"/>
    <w:rsid w:val="00175B9B"/>
    <w:rsid w:val="001851A1"/>
    <w:rsid w:val="001949BB"/>
    <w:rsid w:val="00195C02"/>
    <w:rsid w:val="001A0AC7"/>
    <w:rsid w:val="001A11FD"/>
    <w:rsid w:val="001A6C26"/>
    <w:rsid w:val="001A7EB5"/>
    <w:rsid w:val="001B732B"/>
    <w:rsid w:val="001C4BD2"/>
    <w:rsid w:val="001D1BD0"/>
    <w:rsid w:val="001D6D5D"/>
    <w:rsid w:val="001F1125"/>
    <w:rsid w:val="001F3D64"/>
    <w:rsid w:val="00204F2C"/>
    <w:rsid w:val="00210F9F"/>
    <w:rsid w:val="00215C8F"/>
    <w:rsid w:val="00220160"/>
    <w:rsid w:val="00222429"/>
    <w:rsid w:val="0023415A"/>
    <w:rsid w:val="00234684"/>
    <w:rsid w:val="002356BA"/>
    <w:rsid w:val="00253EE7"/>
    <w:rsid w:val="00254C1E"/>
    <w:rsid w:val="00254E4F"/>
    <w:rsid w:val="00262344"/>
    <w:rsid w:val="00271F0C"/>
    <w:rsid w:val="002763D0"/>
    <w:rsid w:val="002826CE"/>
    <w:rsid w:val="002870D2"/>
    <w:rsid w:val="002915AB"/>
    <w:rsid w:val="002A102A"/>
    <w:rsid w:val="002A14DC"/>
    <w:rsid w:val="002A21FE"/>
    <w:rsid w:val="002A2AFF"/>
    <w:rsid w:val="002B2C54"/>
    <w:rsid w:val="002B6646"/>
    <w:rsid w:val="002C0607"/>
    <w:rsid w:val="002C35DA"/>
    <w:rsid w:val="002C4EA0"/>
    <w:rsid w:val="002C7D21"/>
    <w:rsid w:val="002D0E69"/>
    <w:rsid w:val="002D46C4"/>
    <w:rsid w:val="002F21CE"/>
    <w:rsid w:val="002F4EC8"/>
    <w:rsid w:val="002F625C"/>
    <w:rsid w:val="002F6BD1"/>
    <w:rsid w:val="00304495"/>
    <w:rsid w:val="0030460C"/>
    <w:rsid w:val="003067E6"/>
    <w:rsid w:val="003117F7"/>
    <w:rsid w:val="00314534"/>
    <w:rsid w:val="00315547"/>
    <w:rsid w:val="0031653E"/>
    <w:rsid w:val="00323EF8"/>
    <w:rsid w:val="00330349"/>
    <w:rsid w:val="00340309"/>
    <w:rsid w:val="00340CAF"/>
    <w:rsid w:val="00341908"/>
    <w:rsid w:val="00342D73"/>
    <w:rsid w:val="00354DF4"/>
    <w:rsid w:val="00362FEC"/>
    <w:rsid w:val="00363B47"/>
    <w:rsid w:val="00370660"/>
    <w:rsid w:val="00372592"/>
    <w:rsid w:val="00384597"/>
    <w:rsid w:val="00385465"/>
    <w:rsid w:val="003855F1"/>
    <w:rsid w:val="0039260C"/>
    <w:rsid w:val="003975E4"/>
    <w:rsid w:val="003A2E3B"/>
    <w:rsid w:val="003A3FFB"/>
    <w:rsid w:val="003A6C30"/>
    <w:rsid w:val="003B511E"/>
    <w:rsid w:val="003C11A1"/>
    <w:rsid w:val="003D2753"/>
    <w:rsid w:val="003D293C"/>
    <w:rsid w:val="003D46F7"/>
    <w:rsid w:val="003D6F97"/>
    <w:rsid w:val="003D7A1A"/>
    <w:rsid w:val="003E1FAB"/>
    <w:rsid w:val="003E6DFD"/>
    <w:rsid w:val="003F3DDF"/>
    <w:rsid w:val="003F4071"/>
    <w:rsid w:val="00406E09"/>
    <w:rsid w:val="00410098"/>
    <w:rsid w:val="00421D42"/>
    <w:rsid w:val="004225B9"/>
    <w:rsid w:val="00424493"/>
    <w:rsid w:val="00434F77"/>
    <w:rsid w:val="00442504"/>
    <w:rsid w:val="00443117"/>
    <w:rsid w:val="00447572"/>
    <w:rsid w:val="00450831"/>
    <w:rsid w:val="00452F5B"/>
    <w:rsid w:val="00454E25"/>
    <w:rsid w:val="00465654"/>
    <w:rsid w:val="00467A39"/>
    <w:rsid w:val="00474A32"/>
    <w:rsid w:val="004923AE"/>
    <w:rsid w:val="004A48F7"/>
    <w:rsid w:val="004A5A1B"/>
    <w:rsid w:val="004A75C0"/>
    <w:rsid w:val="004A79DE"/>
    <w:rsid w:val="004B10B1"/>
    <w:rsid w:val="004B37B1"/>
    <w:rsid w:val="004B4E81"/>
    <w:rsid w:val="004B5B63"/>
    <w:rsid w:val="004B6CDE"/>
    <w:rsid w:val="004C6EDF"/>
    <w:rsid w:val="004D767B"/>
    <w:rsid w:val="004F4BA9"/>
    <w:rsid w:val="005004A5"/>
    <w:rsid w:val="0050422A"/>
    <w:rsid w:val="00505391"/>
    <w:rsid w:val="00512357"/>
    <w:rsid w:val="00513E80"/>
    <w:rsid w:val="00515F01"/>
    <w:rsid w:val="0051774C"/>
    <w:rsid w:val="00517BEF"/>
    <w:rsid w:val="00517EAF"/>
    <w:rsid w:val="00522D3D"/>
    <w:rsid w:val="00530498"/>
    <w:rsid w:val="00532FB6"/>
    <w:rsid w:val="005330B4"/>
    <w:rsid w:val="00540B67"/>
    <w:rsid w:val="00550CD4"/>
    <w:rsid w:val="00552330"/>
    <w:rsid w:val="00553B36"/>
    <w:rsid w:val="00554B56"/>
    <w:rsid w:val="00564451"/>
    <w:rsid w:val="0056627E"/>
    <w:rsid w:val="00577764"/>
    <w:rsid w:val="00586B57"/>
    <w:rsid w:val="00591E28"/>
    <w:rsid w:val="0059642F"/>
    <w:rsid w:val="005A19D9"/>
    <w:rsid w:val="005A6278"/>
    <w:rsid w:val="005B73BA"/>
    <w:rsid w:val="005C2D36"/>
    <w:rsid w:val="005C37D3"/>
    <w:rsid w:val="005C52D2"/>
    <w:rsid w:val="005C6E0E"/>
    <w:rsid w:val="005D6082"/>
    <w:rsid w:val="005E1B52"/>
    <w:rsid w:val="005E2FD8"/>
    <w:rsid w:val="005F4AC7"/>
    <w:rsid w:val="005F589A"/>
    <w:rsid w:val="005F6E68"/>
    <w:rsid w:val="00600EF8"/>
    <w:rsid w:val="006016BC"/>
    <w:rsid w:val="006019D8"/>
    <w:rsid w:val="00607F12"/>
    <w:rsid w:val="00614CA6"/>
    <w:rsid w:val="00621A6C"/>
    <w:rsid w:val="0062368C"/>
    <w:rsid w:val="00625BDB"/>
    <w:rsid w:val="00642AB4"/>
    <w:rsid w:val="00654214"/>
    <w:rsid w:val="00655970"/>
    <w:rsid w:val="00660256"/>
    <w:rsid w:val="0067542A"/>
    <w:rsid w:val="0067623F"/>
    <w:rsid w:val="00692739"/>
    <w:rsid w:val="006A2C2A"/>
    <w:rsid w:val="006A7E18"/>
    <w:rsid w:val="006B5192"/>
    <w:rsid w:val="006B5C09"/>
    <w:rsid w:val="006B6D82"/>
    <w:rsid w:val="006C11E7"/>
    <w:rsid w:val="006C259F"/>
    <w:rsid w:val="006C502C"/>
    <w:rsid w:val="006C50E8"/>
    <w:rsid w:val="006C69F9"/>
    <w:rsid w:val="006D06DB"/>
    <w:rsid w:val="006D74B1"/>
    <w:rsid w:val="006E3718"/>
    <w:rsid w:val="006E754F"/>
    <w:rsid w:val="006F5823"/>
    <w:rsid w:val="00703FDC"/>
    <w:rsid w:val="00715EA2"/>
    <w:rsid w:val="00717688"/>
    <w:rsid w:val="007178BA"/>
    <w:rsid w:val="00727056"/>
    <w:rsid w:val="00727FF5"/>
    <w:rsid w:val="00731745"/>
    <w:rsid w:val="00740AE3"/>
    <w:rsid w:val="00763165"/>
    <w:rsid w:val="00763DE1"/>
    <w:rsid w:val="00765049"/>
    <w:rsid w:val="00780122"/>
    <w:rsid w:val="00783368"/>
    <w:rsid w:val="007873B3"/>
    <w:rsid w:val="007938C2"/>
    <w:rsid w:val="00796F9A"/>
    <w:rsid w:val="007A3018"/>
    <w:rsid w:val="007A60FD"/>
    <w:rsid w:val="007A6B7B"/>
    <w:rsid w:val="007B05D0"/>
    <w:rsid w:val="007B418E"/>
    <w:rsid w:val="007B54B4"/>
    <w:rsid w:val="007B5FEE"/>
    <w:rsid w:val="007C211E"/>
    <w:rsid w:val="007C256A"/>
    <w:rsid w:val="007C3C63"/>
    <w:rsid w:val="007D0F17"/>
    <w:rsid w:val="007E2869"/>
    <w:rsid w:val="007E448B"/>
    <w:rsid w:val="007E6897"/>
    <w:rsid w:val="007F3737"/>
    <w:rsid w:val="007F63A9"/>
    <w:rsid w:val="00801D2B"/>
    <w:rsid w:val="00803F45"/>
    <w:rsid w:val="00804CB2"/>
    <w:rsid w:val="0080650C"/>
    <w:rsid w:val="008217B0"/>
    <w:rsid w:val="00826873"/>
    <w:rsid w:val="00831599"/>
    <w:rsid w:val="00833BB8"/>
    <w:rsid w:val="00835FFA"/>
    <w:rsid w:val="0083777F"/>
    <w:rsid w:val="00837CC2"/>
    <w:rsid w:val="00837E1C"/>
    <w:rsid w:val="00841B13"/>
    <w:rsid w:val="00841F92"/>
    <w:rsid w:val="00850773"/>
    <w:rsid w:val="00852172"/>
    <w:rsid w:val="00856375"/>
    <w:rsid w:val="00864489"/>
    <w:rsid w:val="0087177D"/>
    <w:rsid w:val="00884442"/>
    <w:rsid w:val="0089195D"/>
    <w:rsid w:val="008950C0"/>
    <w:rsid w:val="0089742F"/>
    <w:rsid w:val="008A19B5"/>
    <w:rsid w:val="008A7141"/>
    <w:rsid w:val="008B0907"/>
    <w:rsid w:val="008B44A1"/>
    <w:rsid w:val="008B75D8"/>
    <w:rsid w:val="008C4825"/>
    <w:rsid w:val="008C572C"/>
    <w:rsid w:val="008C6949"/>
    <w:rsid w:val="008D04ED"/>
    <w:rsid w:val="008D32EF"/>
    <w:rsid w:val="008D351D"/>
    <w:rsid w:val="008D75CD"/>
    <w:rsid w:val="008E071B"/>
    <w:rsid w:val="008E1AAD"/>
    <w:rsid w:val="008E7F11"/>
    <w:rsid w:val="008F2E4B"/>
    <w:rsid w:val="008F6067"/>
    <w:rsid w:val="009003FF"/>
    <w:rsid w:val="00900BB0"/>
    <w:rsid w:val="00901AE0"/>
    <w:rsid w:val="00910446"/>
    <w:rsid w:val="009171E2"/>
    <w:rsid w:val="00922F40"/>
    <w:rsid w:val="0092571A"/>
    <w:rsid w:val="00927A42"/>
    <w:rsid w:val="00932ECF"/>
    <w:rsid w:val="009362C1"/>
    <w:rsid w:val="00940EAB"/>
    <w:rsid w:val="00941108"/>
    <w:rsid w:val="00942663"/>
    <w:rsid w:val="009429BA"/>
    <w:rsid w:val="00950C51"/>
    <w:rsid w:val="00960C1A"/>
    <w:rsid w:val="00964994"/>
    <w:rsid w:val="00971649"/>
    <w:rsid w:val="00972D20"/>
    <w:rsid w:val="00975976"/>
    <w:rsid w:val="009769C3"/>
    <w:rsid w:val="009801D9"/>
    <w:rsid w:val="00984A45"/>
    <w:rsid w:val="00986A6C"/>
    <w:rsid w:val="009906D4"/>
    <w:rsid w:val="00994A7E"/>
    <w:rsid w:val="00995D81"/>
    <w:rsid w:val="00996C01"/>
    <w:rsid w:val="009A1016"/>
    <w:rsid w:val="009A331C"/>
    <w:rsid w:val="009B3BEE"/>
    <w:rsid w:val="009B666F"/>
    <w:rsid w:val="009B6C08"/>
    <w:rsid w:val="009B6C0E"/>
    <w:rsid w:val="009C42B6"/>
    <w:rsid w:val="009D6F4E"/>
    <w:rsid w:val="009E2DB4"/>
    <w:rsid w:val="009E3647"/>
    <w:rsid w:val="009E5EC3"/>
    <w:rsid w:val="009F342C"/>
    <w:rsid w:val="009F58A6"/>
    <w:rsid w:val="009F75F2"/>
    <w:rsid w:val="00A0229C"/>
    <w:rsid w:val="00A032BB"/>
    <w:rsid w:val="00A13543"/>
    <w:rsid w:val="00A151EB"/>
    <w:rsid w:val="00A202E2"/>
    <w:rsid w:val="00A421C1"/>
    <w:rsid w:val="00A43AAA"/>
    <w:rsid w:val="00A44D0F"/>
    <w:rsid w:val="00A5474E"/>
    <w:rsid w:val="00A606B2"/>
    <w:rsid w:val="00A61055"/>
    <w:rsid w:val="00A72971"/>
    <w:rsid w:val="00A760CD"/>
    <w:rsid w:val="00A77338"/>
    <w:rsid w:val="00A773CB"/>
    <w:rsid w:val="00A91B98"/>
    <w:rsid w:val="00AA6D92"/>
    <w:rsid w:val="00AB166E"/>
    <w:rsid w:val="00AB19EA"/>
    <w:rsid w:val="00AB2F9A"/>
    <w:rsid w:val="00AB4D07"/>
    <w:rsid w:val="00AC1C5F"/>
    <w:rsid w:val="00AC22A7"/>
    <w:rsid w:val="00AD3560"/>
    <w:rsid w:val="00AD387C"/>
    <w:rsid w:val="00AE1676"/>
    <w:rsid w:val="00AE4F8A"/>
    <w:rsid w:val="00AE7D6C"/>
    <w:rsid w:val="00AF172F"/>
    <w:rsid w:val="00B074AC"/>
    <w:rsid w:val="00B10965"/>
    <w:rsid w:val="00B1451B"/>
    <w:rsid w:val="00B16C20"/>
    <w:rsid w:val="00B20BD9"/>
    <w:rsid w:val="00B22B31"/>
    <w:rsid w:val="00B24AA2"/>
    <w:rsid w:val="00B26F0F"/>
    <w:rsid w:val="00B30D03"/>
    <w:rsid w:val="00B32B8D"/>
    <w:rsid w:val="00B46D2B"/>
    <w:rsid w:val="00B54E86"/>
    <w:rsid w:val="00B57533"/>
    <w:rsid w:val="00B618AF"/>
    <w:rsid w:val="00B646A6"/>
    <w:rsid w:val="00B74C6A"/>
    <w:rsid w:val="00B81FCE"/>
    <w:rsid w:val="00B8266C"/>
    <w:rsid w:val="00B84D59"/>
    <w:rsid w:val="00B91922"/>
    <w:rsid w:val="00BA0468"/>
    <w:rsid w:val="00BB6F20"/>
    <w:rsid w:val="00BB70A3"/>
    <w:rsid w:val="00BD198E"/>
    <w:rsid w:val="00BD3A7D"/>
    <w:rsid w:val="00BD4C49"/>
    <w:rsid w:val="00BE024E"/>
    <w:rsid w:val="00BF1633"/>
    <w:rsid w:val="00BF29BD"/>
    <w:rsid w:val="00BF5098"/>
    <w:rsid w:val="00C00C91"/>
    <w:rsid w:val="00C07490"/>
    <w:rsid w:val="00C1545C"/>
    <w:rsid w:val="00C15B7D"/>
    <w:rsid w:val="00C163A3"/>
    <w:rsid w:val="00C21CD8"/>
    <w:rsid w:val="00C24AB7"/>
    <w:rsid w:val="00C311EB"/>
    <w:rsid w:val="00C36CA6"/>
    <w:rsid w:val="00C465F8"/>
    <w:rsid w:val="00C53620"/>
    <w:rsid w:val="00C61421"/>
    <w:rsid w:val="00C64F42"/>
    <w:rsid w:val="00C6728B"/>
    <w:rsid w:val="00C84781"/>
    <w:rsid w:val="00C8610C"/>
    <w:rsid w:val="00C92C19"/>
    <w:rsid w:val="00C93A54"/>
    <w:rsid w:val="00C96CA3"/>
    <w:rsid w:val="00CA1880"/>
    <w:rsid w:val="00CA590F"/>
    <w:rsid w:val="00CA776E"/>
    <w:rsid w:val="00CB6918"/>
    <w:rsid w:val="00CD223B"/>
    <w:rsid w:val="00CD6161"/>
    <w:rsid w:val="00CD7C25"/>
    <w:rsid w:val="00CE0222"/>
    <w:rsid w:val="00CE2CE7"/>
    <w:rsid w:val="00D0297D"/>
    <w:rsid w:val="00D1025D"/>
    <w:rsid w:val="00D11EB2"/>
    <w:rsid w:val="00D16326"/>
    <w:rsid w:val="00D2565F"/>
    <w:rsid w:val="00D30C8D"/>
    <w:rsid w:val="00D42567"/>
    <w:rsid w:val="00D45AA1"/>
    <w:rsid w:val="00D45AEF"/>
    <w:rsid w:val="00D560DF"/>
    <w:rsid w:val="00D56C85"/>
    <w:rsid w:val="00D64442"/>
    <w:rsid w:val="00D67C51"/>
    <w:rsid w:val="00D707CD"/>
    <w:rsid w:val="00D86F4A"/>
    <w:rsid w:val="00D915D3"/>
    <w:rsid w:val="00D94CE4"/>
    <w:rsid w:val="00DA1597"/>
    <w:rsid w:val="00DA440F"/>
    <w:rsid w:val="00DB7725"/>
    <w:rsid w:val="00DC67C5"/>
    <w:rsid w:val="00DD0A38"/>
    <w:rsid w:val="00DD1176"/>
    <w:rsid w:val="00DD6095"/>
    <w:rsid w:val="00DE78BF"/>
    <w:rsid w:val="00E00440"/>
    <w:rsid w:val="00E073C3"/>
    <w:rsid w:val="00E12A50"/>
    <w:rsid w:val="00E159FA"/>
    <w:rsid w:val="00E2131A"/>
    <w:rsid w:val="00E23751"/>
    <w:rsid w:val="00E2406A"/>
    <w:rsid w:val="00E44E9C"/>
    <w:rsid w:val="00E4775D"/>
    <w:rsid w:val="00E51FDB"/>
    <w:rsid w:val="00E56F14"/>
    <w:rsid w:val="00E6252E"/>
    <w:rsid w:val="00E65DE2"/>
    <w:rsid w:val="00E672D3"/>
    <w:rsid w:val="00E75E91"/>
    <w:rsid w:val="00E808DE"/>
    <w:rsid w:val="00E81113"/>
    <w:rsid w:val="00E8152E"/>
    <w:rsid w:val="00E93F4E"/>
    <w:rsid w:val="00E952D7"/>
    <w:rsid w:val="00E96632"/>
    <w:rsid w:val="00EA27F8"/>
    <w:rsid w:val="00EA2808"/>
    <w:rsid w:val="00EA39F7"/>
    <w:rsid w:val="00EB269F"/>
    <w:rsid w:val="00EC5096"/>
    <w:rsid w:val="00EC6DBA"/>
    <w:rsid w:val="00EC6F5D"/>
    <w:rsid w:val="00EC757F"/>
    <w:rsid w:val="00ED039D"/>
    <w:rsid w:val="00EE6CFE"/>
    <w:rsid w:val="00EF12D5"/>
    <w:rsid w:val="00F01EFE"/>
    <w:rsid w:val="00F0354C"/>
    <w:rsid w:val="00F04812"/>
    <w:rsid w:val="00F05623"/>
    <w:rsid w:val="00F1271A"/>
    <w:rsid w:val="00F16256"/>
    <w:rsid w:val="00F30959"/>
    <w:rsid w:val="00F32788"/>
    <w:rsid w:val="00F4498F"/>
    <w:rsid w:val="00F60909"/>
    <w:rsid w:val="00F62153"/>
    <w:rsid w:val="00F6231B"/>
    <w:rsid w:val="00F63717"/>
    <w:rsid w:val="00F650D5"/>
    <w:rsid w:val="00F74A51"/>
    <w:rsid w:val="00F74C35"/>
    <w:rsid w:val="00F83166"/>
    <w:rsid w:val="00F90B38"/>
    <w:rsid w:val="00F94675"/>
    <w:rsid w:val="00F977D9"/>
    <w:rsid w:val="00FA08B0"/>
    <w:rsid w:val="00FA471C"/>
    <w:rsid w:val="00FA72C3"/>
    <w:rsid w:val="00FC4362"/>
    <w:rsid w:val="00FC4E74"/>
    <w:rsid w:val="00FD03B2"/>
    <w:rsid w:val="00FD4BD2"/>
    <w:rsid w:val="00FD4C17"/>
    <w:rsid w:val="00FD568F"/>
    <w:rsid w:val="00FE0125"/>
    <w:rsid w:val="00FE11CC"/>
    <w:rsid w:val="00FE16E6"/>
    <w:rsid w:val="00FE31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6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paragraph" w:customStyle="1" w:styleId="bullets">
    <w:name w:val="bullets"/>
    <w:basedOn w:val="sub1"/>
    <w:rsid w:val="001B732B"/>
    <w:pPr>
      <w:numPr>
        <w:numId w:val="9"/>
      </w:numPr>
      <w:spacing w:after="120" w:line="240" w:lineRule="auto"/>
      <w:ind w:right="720"/>
    </w:pPr>
  </w:style>
  <w:style w:type="paragraph" w:styleId="NoSpacing">
    <w:name w:val="No Spacing"/>
    <w:uiPriority w:val="1"/>
    <w:qFormat/>
    <w:rsid w:val="00941108"/>
    <w:rPr>
      <w:rFonts w:ascii="Palatino" w:hAnsi="Palatino"/>
      <w:sz w:val="26"/>
    </w:rPr>
  </w:style>
  <w:style w:type="character" w:customStyle="1" w:styleId="Heading1Char">
    <w:name w:val="Heading 1 Char"/>
    <w:basedOn w:val="DefaultParagraphFont"/>
    <w:link w:val="Heading1"/>
    <w:rsid w:val="002A21FE"/>
    <w:rPr>
      <w:rFonts w:ascii="Helvetica" w:hAnsi="Helvetica"/>
      <w:b/>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2B22-549E-4CF6-B33B-967B231B7F5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862</ap:Words>
  <ap:Characters>4920</ap:Characters>
  <ap:Application>Microsoft Office Word</ap:Application>
  <ap:DocSecurity>0</ap:DocSecurity>
  <ap:Lines>41</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5771</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2020-09-14T17:43:50Z</dcterms:created>
  <dcterms:modified xsi:type="dcterms:W3CDTF">2020-09-14T17:43:50Z</dcterms:modified>
</cp:coreProperties>
</file>