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4D3" w:rsidP="005B34D3" w:rsidRDefault="005B34D3" w14:paraId="274FACAC" w14:textId="77777777">
      <w:pPr>
        <w:pStyle w:val="Title"/>
        <w:tabs>
          <w:tab w:val="left" w:pos="1815"/>
          <w:tab w:val="right" w:pos="10080"/>
        </w:tabs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Pr="000965EA" w:rsidR="005B34D3" w:rsidP="005B34D3" w:rsidRDefault="005B34D3" w14:paraId="36A008B1" w14:textId="3A3FBFE2">
      <w:pPr>
        <w:jc w:val="center"/>
        <w:rPr>
          <w:rFonts w:ascii="Palatino Linotype" w:hAnsi="Palatino Linotype"/>
          <w:b/>
        </w:rPr>
      </w:pPr>
      <w:r w:rsidRPr="000965EA">
        <w:rPr>
          <w:rFonts w:ascii="Palatino Linotype" w:hAnsi="Palatino Linotype"/>
          <w:b/>
        </w:rPr>
        <w:t>PUBLIC UTILITIES COMMISSION OF THE STATE OF CALIFORNIA</w:t>
      </w:r>
    </w:p>
    <w:p w:rsidRPr="000965EA" w:rsidR="005B34D3" w:rsidP="005B34D3" w:rsidRDefault="005B34D3" w14:paraId="347A4FB5" w14:textId="77777777">
      <w:pPr>
        <w:rPr>
          <w:rFonts w:ascii="Palatino Linotype" w:hAnsi="Palatino Linotype"/>
        </w:rPr>
      </w:pPr>
    </w:p>
    <w:p w:rsidRPr="000965EA" w:rsidR="005B34D3" w:rsidP="005B34D3" w:rsidRDefault="005B34D3" w14:paraId="5350B1B0" w14:textId="77777777">
      <w:pPr>
        <w:rPr>
          <w:rFonts w:ascii="Palatino Linotype" w:hAnsi="Palatino Linotyp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Pr="000965EA" w:rsidR="005B34D3" w:rsidTr="00E1272D" w14:paraId="3F24A85B" w14:textId="77777777">
        <w:tc>
          <w:tcPr>
            <w:tcW w:w="4788" w:type="dxa"/>
          </w:tcPr>
          <w:p w:rsidRPr="000965EA" w:rsidR="005B34D3" w:rsidP="00E1272D" w:rsidRDefault="005B34D3" w14:paraId="59BD8C18" w14:textId="77777777">
            <w:pPr>
              <w:rPr>
                <w:rFonts w:ascii="Palatino Linotype" w:hAnsi="Palatino Linotype"/>
                <w:b/>
              </w:rPr>
            </w:pPr>
            <w:r w:rsidRPr="000965EA">
              <w:rPr>
                <w:rFonts w:ascii="Palatino Linotype" w:hAnsi="Palatino Linotype"/>
                <w:b/>
              </w:rPr>
              <w:t>Communications Division</w:t>
            </w:r>
          </w:p>
        </w:tc>
        <w:tc>
          <w:tcPr>
            <w:tcW w:w="4788" w:type="dxa"/>
          </w:tcPr>
          <w:p w:rsidRPr="000965EA" w:rsidR="005B34D3" w:rsidP="00E1272D" w:rsidRDefault="005B34D3" w14:paraId="57B468C8" w14:textId="0856C54B">
            <w:pPr>
              <w:jc w:val="right"/>
              <w:rPr>
                <w:rFonts w:ascii="Palatino Linotype" w:hAnsi="Palatino Linotype"/>
                <w:b/>
              </w:rPr>
            </w:pPr>
            <w:r w:rsidRPr="000965EA">
              <w:rPr>
                <w:rFonts w:ascii="Palatino Linotype" w:hAnsi="Palatino Linotype"/>
                <w:b/>
              </w:rPr>
              <w:t>RESOLUTION T-</w:t>
            </w:r>
            <w:r w:rsidRPr="000965EA" w:rsidR="009A50C0">
              <w:rPr>
                <w:rFonts w:ascii="Palatino Linotype" w:hAnsi="Palatino Linotype"/>
                <w:b/>
              </w:rPr>
              <w:t>17709</w:t>
            </w:r>
          </w:p>
        </w:tc>
      </w:tr>
      <w:tr w:rsidRPr="000965EA" w:rsidR="005B34D3" w:rsidTr="00E1272D" w14:paraId="2900EC64" w14:textId="77777777">
        <w:tc>
          <w:tcPr>
            <w:tcW w:w="4788" w:type="dxa"/>
          </w:tcPr>
          <w:p w:rsidRPr="000965EA" w:rsidR="005B34D3" w:rsidP="00E1272D" w:rsidRDefault="005B34D3" w14:paraId="7C5B93E1" w14:textId="77777777">
            <w:pPr>
              <w:rPr>
                <w:rFonts w:ascii="Palatino Linotype" w:hAnsi="Palatino Linotype"/>
                <w:b/>
              </w:rPr>
            </w:pPr>
            <w:r w:rsidRPr="000965EA">
              <w:rPr>
                <w:rFonts w:ascii="Palatino Linotype" w:hAnsi="Palatino Linotype"/>
                <w:b/>
              </w:rPr>
              <w:t>Broadband, Video and Market Branch</w:t>
            </w:r>
          </w:p>
        </w:tc>
        <w:tc>
          <w:tcPr>
            <w:tcW w:w="4788" w:type="dxa"/>
          </w:tcPr>
          <w:p w:rsidRPr="000965EA" w:rsidR="005B34D3" w:rsidP="00E1272D" w:rsidRDefault="007B2E42" w14:paraId="6045235C" w14:textId="0A931E3E">
            <w:pPr>
              <w:jc w:val="right"/>
              <w:rPr>
                <w:rFonts w:ascii="Palatino Linotype" w:hAnsi="Palatino Linotype"/>
                <w:b/>
              </w:rPr>
            </w:pPr>
            <w:r w:rsidRPr="000965EA">
              <w:rPr>
                <w:rFonts w:ascii="Palatino Linotype" w:hAnsi="Palatino Linotype"/>
                <w:b/>
              </w:rPr>
              <w:t>October 22, 2020</w:t>
            </w:r>
          </w:p>
          <w:p w:rsidRPr="000965EA" w:rsidR="005B34D3" w:rsidP="00E1272D" w:rsidRDefault="005B34D3" w14:paraId="576A6DBE" w14:textId="77777777">
            <w:pPr>
              <w:jc w:val="right"/>
              <w:rPr>
                <w:rFonts w:ascii="Palatino Linotype" w:hAnsi="Palatino Linotype"/>
                <w:b/>
              </w:rPr>
            </w:pPr>
          </w:p>
        </w:tc>
      </w:tr>
    </w:tbl>
    <w:p w:rsidRPr="000965EA" w:rsidR="005B34D3" w:rsidP="005B34D3" w:rsidRDefault="00AB7282" w14:paraId="047FCBA2" w14:textId="0730C7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Pr="000965EA" w:rsidR="005B34D3" w:rsidP="005B34D3" w:rsidRDefault="005B34D3" w14:paraId="35B3B056" w14:textId="77777777">
      <w:pPr>
        <w:jc w:val="center"/>
        <w:rPr>
          <w:rFonts w:ascii="Palatino Linotype" w:hAnsi="Palatino Linotype"/>
        </w:rPr>
      </w:pPr>
      <w:r w:rsidRPr="000965EA">
        <w:rPr>
          <w:rFonts w:ascii="Palatino Linotype" w:hAnsi="Palatino Linotype"/>
          <w:b/>
          <w:u w:val="single"/>
        </w:rPr>
        <w:t>R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E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S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O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L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U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T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I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O</w:t>
      </w:r>
      <w:r w:rsidRPr="000965EA">
        <w:rPr>
          <w:rFonts w:ascii="Palatino Linotype" w:hAnsi="Palatino Linotype"/>
        </w:rPr>
        <w:t xml:space="preserve"> </w:t>
      </w:r>
      <w:r w:rsidRPr="000965EA">
        <w:rPr>
          <w:rFonts w:ascii="Palatino Linotype" w:hAnsi="Palatino Linotype"/>
          <w:b/>
          <w:u w:val="single"/>
        </w:rPr>
        <w:t>N</w:t>
      </w:r>
    </w:p>
    <w:p w:rsidRPr="000965EA" w:rsidR="005B34D3" w:rsidP="005B34D3" w:rsidRDefault="005B34D3" w14:paraId="4980ACB5" w14:textId="77777777">
      <w:pPr>
        <w:rPr>
          <w:rFonts w:ascii="Palatino Linotype" w:hAnsi="Palatino Linotype"/>
        </w:rPr>
      </w:pPr>
    </w:p>
    <w:p w:rsidRPr="000965EA" w:rsidR="005B34D3" w:rsidP="00AB7282" w:rsidRDefault="005B34D3" w14:paraId="686E70F2" w14:textId="511D64AA">
      <w:pPr>
        <w:pStyle w:val="BlockText"/>
        <w:ind w:right="540"/>
        <w:jc w:val="left"/>
        <w:rPr>
          <w:rFonts w:ascii="Palatino Linotype" w:hAnsi="Palatino Linotype"/>
          <w:b/>
          <w:bCs/>
          <w:szCs w:val="24"/>
        </w:rPr>
      </w:pPr>
      <w:bookmarkStart w:name="OLE_LINK1" w:id="0"/>
      <w:bookmarkStart w:name="OLE_LINK2" w:id="1"/>
      <w:r w:rsidRPr="000965EA">
        <w:rPr>
          <w:rFonts w:ascii="Palatino Linotype" w:hAnsi="Palatino Linotype"/>
          <w:b/>
          <w:bCs/>
          <w:szCs w:val="24"/>
        </w:rPr>
        <w:t xml:space="preserve">Resolution </w:t>
      </w:r>
      <w:r w:rsidRPr="000965EA" w:rsidR="009A50C0">
        <w:rPr>
          <w:rFonts w:ascii="Palatino Linotype" w:hAnsi="Palatino Linotype"/>
          <w:b/>
          <w:bCs/>
          <w:szCs w:val="24"/>
        </w:rPr>
        <w:t>T-17709</w:t>
      </w:r>
      <w:r w:rsidRPr="000965EA">
        <w:rPr>
          <w:rFonts w:ascii="Palatino Linotype" w:hAnsi="Palatino Linotype"/>
          <w:b/>
          <w:bCs/>
          <w:szCs w:val="24"/>
        </w:rPr>
        <w:t xml:space="preserve"> - Approval of the California Advanced Services Surcharge Rate Increase from 0.</w:t>
      </w:r>
      <w:r w:rsidRPr="000965EA" w:rsidR="007B2E42">
        <w:rPr>
          <w:rFonts w:ascii="Palatino Linotype" w:hAnsi="Palatino Linotype"/>
          <w:b/>
          <w:bCs/>
          <w:szCs w:val="24"/>
        </w:rPr>
        <w:t>56</w:t>
      </w:r>
      <w:r w:rsidRPr="000965EA">
        <w:rPr>
          <w:rFonts w:ascii="Palatino Linotype" w:hAnsi="Palatino Linotype"/>
          <w:b/>
          <w:bCs/>
          <w:szCs w:val="24"/>
        </w:rPr>
        <w:t xml:space="preserve">% to </w:t>
      </w:r>
      <w:r w:rsidRPr="000965EA" w:rsidR="00677881">
        <w:rPr>
          <w:rFonts w:ascii="Palatino Linotype" w:hAnsi="Palatino Linotype"/>
          <w:b/>
          <w:bCs/>
          <w:szCs w:val="24"/>
        </w:rPr>
        <w:t>1.0</w:t>
      </w:r>
      <w:r w:rsidRPr="000965EA" w:rsidR="009A50C0">
        <w:rPr>
          <w:rFonts w:ascii="Palatino Linotype" w:hAnsi="Palatino Linotype"/>
          <w:b/>
          <w:bCs/>
          <w:szCs w:val="24"/>
        </w:rPr>
        <w:t>19</w:t>
      </w:r>
      <w:r w:rsidRPr="000965EA" w:rsidR="007B2E42">
        <w:rPr>
          <w:rFonts w:ascii="Palatino Linotype" w:hAnsi="Palatino Linotype"/>
          <w:b/>
          <w:bCs/>
          <w:szCs w:val="24"/>
        </w:rPr>
        <w:t>%</w:t>
      </w:r>
      <w:r w:rsidRPr="000965EA">
        <w:rPr>
          <w:rFonts w:ascii="Palatino Linotype" w:hAnsi="Palatino Linotype"/>
          <w:b/>
          <w:bCs/>
          <w:szCs w:val="24"/>
        </w:rPr>
        <w:t xml:space="preserve"> effective </w:t>
      </w:r>
      <w:r w:rsidRPr="000965EA" w:rsidR="00677881">
        <w:rPr>
          <w:rFonts w:ascii="Palatino Linotype" w:hAnsi="Palatino Linotype"/>
          <w:b/>
          <w:bCs/>
          <w:szCs w:val="24"/>
        </w:rPr>
        <w:t>December 1, 2020</w:t>
      </w:r>
      <w:r w:rsidRPr="000965EA" w:rsidR="00A7552D">
        <w:rPr>
          <w:rFonts w:ascii="Palatino Linotype" w:hAnsi="Palatino Linotype"/>
          <w:b/>
          <w:bCs/>
          <w:szCs w:val="24"/>
        </w:rPr>
        <w:t xml:space="preserve">, and until December 30, 2022 or further </w:t>
      </w:r>
      <w:r w:rsidR="00657626">
        <w:rPr>
          <w:rFonts w:ascii="Palatino Linotype" w:hAnsi="Palatino Linotype"/>
          <w:b/>
          <w:bCs/>
          <w:szCs w:val="24"/>
        </w:rPr>
        <w:t>revision</w:t>
      </w:r>
      <w:r w:rsidRPr="000965EA" w:rsidR="00A7552D">
        <w:rPr>
          <w:rFonts w:ascii="Palatino Linotype" w:hAnsi="Palatino Linotype"/>
          <w:b/>
          <w:bCs/>
          <w:szCs w:val="24"/>
        </w:rPr>
        <w:t xml:space="preserve"> by the California Public Utilities Commission</w:t>
      </w:r>
    </w:p>
    <w:bookmarkEnd w:id="0"/>
    <w:bookmarkEnd w:id="1"/>
    <w:p w:rsidRPr="000965EA" w:rsidR="005B34D3" w:rsidP="005B34D3" w:rsidRDefault="005B34D3" w14:paraId="6FEFE1E8" w14:textId="51A32F18">
      <w:pPr>
        <w:ind w:left="720" w:right="720"/>
        <w:rPr>
          <w:rFonts w:ascii="Palatino Linotype" w:hAnsi="Palatino Linotype"/>
        </w:rPr>
      </w:pPr>
      <w:r w:rsidRPr="000965EA">
        <w:rPr>
          <w:rFonts w:ascii="Palatino Linotype" w:hAnsi="Palatino Linotype"/>
          <w:b/>
          <w:bCs/>
        </w:rPr>
        <w:t>_</w:t>
      </w:r>
      <w:r w:rsidRPr="000965EA">
        <w:rPr>
          <w:rFonts w:ascii="Palatino Linotype" w:hAnsi="Palatino Linotype"/>
        </w:rPr>
        <w:t>_________________________________________________</w:t>
      </w:r>
      <w:r w:rsidR="00AB7282">
        <w:rPr>
          <w:rFonts w:ascii="Palatino Linotype" w:hAnsi="Palatino Linotype"/>
        </w:rPr>
        <w:t>_____</w:t>
      </w:r>
      <w:r w:rsidRPr="000965EA">
        <w:rPr>
          <w:rFonts w:ascii="Palatino Linotype" w:hAnsi="Palatino Linotype"/>
        </w:rPr>
        <w:t>___________</w:t>
      </w:r>
    </w:p>
    <w:p w:rsidRPr="000965EA" w:rsidR="005B34D3" w:rsidP="005B34D3" w:rsidRDefault="005B34D3" w14:paraId="60BA73FF" w14:textId="77777777">
      <w:pPr>
        <w:pStyle w:val="xl41"/>
        <w:overflowPunct/>
        <w:autoSpaceDE/>
        <w:autoSpaceDN/>
        <w:adjustRightInd/>
        <w:spacing w:before="0" w:after="0"/>
        <w:textAlignment w:val="auto"/>
        <w:rPr>
          <w:rFonts w:ascii="Palatino Linotype" w:hAnsi="Palatino Linotype" w:eastAsia="Times New Roman"/>
          <w:szCs w:val="24"/>
        </w:rPr>
      </w:pPr>
    </w:p>
    <w:p w:rsidRPr="000965EA" w:rsidR="005B34D3" w:rsidP="005B34D3" w:rsidRDefault="005B34D3" w14:paraId="6C00DB12" w14:textId="77777777">
      <w:pPr>
        <w:pStyle w:val="xl41"/>
        <w:overflowPunct/>
        <w:autoSpaceDE/>
        <w:autoSpaceDN/>
        <w:adjustRightInd/>
        <w:spacing w:before="0" w:after="0"/>
        <w:textAlignment w:val="auto"/>
        <w:rPr>
          <w:rFonts w:ascii="Palatino Linotype" w:hAnsi="Palatino Linotype" w:eastAsia="Times New Roman"/>
          <w:szCs w:val="24"/>
        </w:rPr>
      </w:pPr>
    </w:p>
    <w:p w:rsidRPr="000965EA" w:rsidR="005B34D3" w:rsidP="005B34D3" w:rsidRDefault="005B34D3" w14:paraId="77E12EC8" w14:textId="77777777">
      <w:pPr>
        <w:pStyle w:val="Heading4"/>
        <w:rPr>
          <w:rFonts w:ascii="Palatino Linotype" w:hAnsi="Palatino Linotype"/>
          <w:sz w:val="24"/>
          <w:szCs w:val="24"/>
          <w:u w:val="single"/>
        </w:rPr>
      </w:pPr>
      <w:r w:rsidRPr="000965EA">
        <w:rPr>
          <w:rFonts w:ascii="Palatino Linotype" w:hAnsi="Palatino Linotype"/>
          <w:sz w:val="24"/>
          <w:szCs w:val="24"/>
          <w:u w:val="single"/>
        </w:rPr>
        <w:t>SUMMARY</w:t>
      </w:r>
    </w:p>
    <w:p w:rsidRPr="000965EA" w:rsidR="005B34D3" w:rsidP="005B34D3" w:rsidRDefault="005B34D3" w14:paraId="14CCA891" w14:textId="77777777">
      <w:pPr>
        <w:rPr>
          <w:rFonts w:ascii="Palatino Linotype" w:hAnsi="Palatino Linotype"/>
        </w:rPr>
      </w:pPr>
    </w:p>
    <w:p w:rsidRPr="000965EA" w:rsidR="005B34D3" w:rsidP="005B34D3" w:rsidRDefault="007B2E42" w14:paraId="0A6B8A89" w14:textId="6F820F64">
      <w:pPr>
        <w:tabs>
          <w:tab w:val="left" w:pos="-1440"/>
          <w:tab w:val="left" w:pos="-720"/>
        </w:tabs>
        <w:suppressAutoHyphens/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This</w:t>
      </w:r>
      <w:r w:rsidRPr="000965EA" w:rsidR="005B34D3">
        <w:rPr>
          <w:rFonts w:ascii="Palatino Linotype" w:hAnsi="Palatino Linotype"/>
        </w:rPr>
        <w:t xml:space="preserve"> resolution adopts a surcharge rate </w:t>
      </w:r>
      <w:r w:rsidRPr="000965EA" w:rsidR="00BE70E6">
        <w:rPr>
          <w:rFonts w:ascii="Palatino Linotype" w:hAnsi="Palatino Linotype"/>
        </w:rPr>
        <w:t>of 1.0</w:t>
      </w:r>
      <w:r w:rsidRPr="000965EA" w:rsidR="009A50C0">
        <w:rPr>
          <w:rFonts w:ascii="Palatino Linotype" w:hAnsi="Palatino Linotype"/>
        </w:rPr>
        <w:t>19</w:t>
      </w:r>
      <w:r w:rsidRPr="000965EA" w:rsidR="005B34D3">
        <w:rPr>
          <w:rFonts w:ascii="Palatino Linotype" w:hAnsi="Palatino Linotype"/>
        </w:rPr>
        <w:t>% for the California Advanced Services Fund (CASF)</w:t>
      </w:r>
      <w:r w:rsidRPr="000965EA" w:rsidR="00710717">
        <w:rPr>
          <w:rStyle w:val="FootnoteReference"/>
          <w:rFonts w:ascii="Palatino Linotype" w:hAnsi="Palatino Linotype"/>
        </w:rPr>
        <w:footnoteReference w:id="2"/>
      </w:r>
      <w:r w:rsidRPr="000965EA" w:rsidR="00710717">
        <w:rPr>
          <w:rFonts w:ascii="Palatino Linotype" w:hAnsi="Palatino Linotype"/>
          <w:vertAlign w:val="superscript"/>
        </w:rPr>
        <w:t xml:space="preserve"> </w:t>
      </w:r>
      <w:r w:rsidRPr="000965EA" w:rsidR="005B34D3">
        <w:rPr>
          <w:rFonts w:ascii="Palatino Linotype" w:hAnsi="Palatino Linotype"/>
        </w:rPr>
        <w:t xml:space="preserve">effective </w:t>
      </w:r>
      <w:r w:rsidRPr="000965EA" w:rsidR="00BE70E6">
        <w:rPr>
          <w:rFonts w:ascii="Palatino Linotype" w:hAnsi="Palatino Linotype"/>
        </w:rPr>
        <w:t>December 1, 2020</w:t>
      </w:r>
      <w:r w:rsidRPr="000965EA" w:rsidR="005B34D3">
        <w:rPr>
          <w:rFonts w:ascii="Palatino Linotype" w:hAnsi="Palatino Linotype"/>
        </w:rPr>
        <w:t xml:space="preserve">, </w:t>
      </w:r>
      <w:r w:rsidRPr="000965EA" w:rsidR="00201619">
        <w:rPr>
          <w:rFonts w:ascii="Palatino Linotype" w:hAnsi="Palatino Linotype"/>
        </w:rPr>
        <w:t xml:space="preserve">and </w:t>
      </w:r>
      <w:r w:rsidRPr="000965EA" w:rsidR="005B34D3">
        <w:rPr>
          <w:rFonts w:ascii="Palatino Linotype" w:hAnsi="Palatino Linotype"/>
        </w:rPr>
        <w:t>until December 31, 2022</w:t>
      </w:r>
      <w:r w:rsidRPr="000965EA" w:rsidR="00BE70E6">
        <w:rPr>
          <w:rFonts w:ascii="Palatino Linotype" w:hAnsi="Palatino Linotype"/>
        </w:rPr>
        <w:t xml:space="preserve"> or further revis</w:t>
      </w:r>
      <w:r w:rsidRPr="000965EA" w:rsidR="15AD90B8">
        <w:rPr>
          <w:rFonts w:ascii="Palatino Linotype" w:hAnsi="Palatino Linotype"/>
        </w:rPr>
        <w:t>ion</w:t>
      </w:r>
      <w:r w:rsidRPr="000965EA" w:rsidR="00BE70E6">
        <w:rPr>
          <w:rFonts w:ascii="Palatino Linotype" w:hAnsi="Palatino Linotype"/>
        </w:rPr>
        <w:t xml:space="preserve"> by the California Public Utilities Commission (</w:t>
      </w:r>
      <w:r w:rsidRPr="000965EA" w:rsidR="006156FF">
        <w:rPr>
          <w:rFonts w:ascii="Palatino Linotype" w:hAnsi="Palatino Linotype"/>
        </w:rPr>
        <w:t>Commission</w:t>
      </w:r>
      <w:r w:rsidRPr="000965EA" w:rsidR="00BE70E6">
        <w:rPr>
          <w:rFonts w:ascii="Palatino Linotype" w:hAnsi="Palatino Linotype"/>
        </w:rPr>
        <w:t>)</w:t>
      </w:r>
      <w:r w:rsidRPr="000965EA" w:rsidR="005B34D3">
        <w:rPr>
          <w:rFonts w:ascii="Palatino Linotype" w:hAnsi="Palatino Linotype"/>
        </w:rPr>
        <w:t>.  All regulated telecommunication carriers</w:t>
      </w:r>
      <w:r w:rsidRPr="000965EA" w:rsidR="00BE70E6">
        <w:rPr>
          <w:rFonts w:ascii="Palatino Linotype" w:hAnsi="Palatino Linotype"/>
        </w:rPr>
        <w:t xml:space="preserve"> and interconnected Voice over Internet Protocol (VOIP) service providers</w:t>
      </w:r>
      <w:r w:rsidRPr="000965EA" w:rsidR="005B34D3">
        <w:rPr>
          <w:rFonts w:ascii="Palatino Linotype" w:hAnsi="Palatino Linotype"/>
        </w:rPr>
        <w:t xml:space="preserve"> shall revise the CASF surcharge rate from 0.</w:t>
      </w:r>
      <w:r w:rsidRPr="000965EA">
        <w:rPr>
          <w:rFonts w:ascii="Palatino Linotype" w:hAnsi="Palatino Linotype"/>
        </w:rPr>
        <w:t>56</w:t>
      </w:r>
      <w:r w:rsidRPr="000965EA" w:rsidR="005B34D3">
        <w:rPr>
          <w:rFonts w:ascii="Palatino Linotype" w:hAnsi="Palatino Linotype"/>
        </w:rPr>
        <w:t xml:space="preserve">% to </w:t>
      </w:r>
      <w:r w:rsidRPr="000965EA" w:rsidR="00BE70E6">
        <w:rPr>
          <w:rFonts w:ascii="Palatino Linotype" w:hAnsi="Palatino Linotype"/>
        </w:rPr>
        <w:t>1.0</w:t>
      </w:r>
      <w:r w:rsidRPr="000965EA" w:rsidR="00912768">
        <w:rPr>
          <w:rFonts w:ascii="Palatino Linotype" w:hAnsi="Palatino Linotype"/>
        </w:rPr>
        <w:t>19</w:t>
      </w:r>
      <w:r w:rsidRPr="000965EA" w:rsidR="005B34D3">
        <w:rPr>
          <w:rFonts w:ascii="Palatino Linotype" w:hAnsi="Palatino Linotype"/>
        </w:rPr>
        <w:t xml:space="preserve">% on </w:t>
      </w:r>
      <w:r w:rsidRPr="000965EA" w:rsidR="00FB5A01">
        <w:rPr>
          <w:rFonts w:ascii="Palatino Linotype" w:hAnsi="Palatino Linotype"/>
        </w:rPr>
        <w:t xml:space="preserve">revenues collected from </w:t>
      </w:r>
      <w:r w:rsidRPr="000965EA" w:rsidR="005B34D3">
        <w:rPr>
          <w:rFonts w:ascii="Palatino Linotype" w:hAnsi="Palatino Linotype"/>
        </w:rPr>
        <w:t>end-user</w:t>
      </w:r>
      <w:r w:rsidRPr="6500ACE2" w:rsidR="03A7B379">
        <w:rPr>
          <w:rFonts w:ascii="Palatino Linotype" w:hAnsi="Palatino Linotype"/>
        </w:rPr>
        <w:t>s</w:t>
      </w:r>
      <w:r w:rsidRPr="000965EA" w:rsidR="00FB5A01">
        <w:rPr>
          <w:rFonts w:ascii="Palatino Linotype" w:hAnsi="Palatino Linotype"/>
        </w:rPr>
        <w:t xml:space="preserve"> </w:t>
      </w:r>
      <w:r w:rsidRPr="6500ACE2" w:rsidR="7F9AFB38">
        <w:rPr>
          <w:rFonts w:ascii="Palatino Linotype" w:hAnsi="Palatino Linotype"/>
        </w:rPr>
        <w:t>of</w:t>
      </w:r>
      <w:r w:rsidRPr="000965EA" w:rsidR="005B34D3">
        <w:rPr>
          <w:rFonts w:ascii="Palatino Linotype" w:hAnsi="Palatino Linotype"/>
        </w:rPr>
        <w:t xml:space="preserve"> intrastate telecommunications services</w:t>
      </w:r>
      <w:r w:rsidRPr="000965EA" w:rsidR="00FB5A01">
        <w:rPr>
          <w:rFonts w:ascii="Palatino Linotype" w:hAnsi="Palatino Linotype"/>
        </w:rPr>
        <w:t xml:space="preserve"> subject to surcharge effective December 1, 2020, </w:t>
      </w:r>
      <w:r w:rsidRPr="000965EA" w:rsidR="00201619">
        <w:rPr>
          <w:rFonts w:ascii="Palatino Linotype" w:hAnsi="Palatino Linotype"/>
        </w:rPr>
        <w:t xml:space="preserve">and </w:t>
      </w:r>
      <w:r w:rsidRPr="000965EA" w:rsidR="00FB5A01">
        <w:rPr>
          <w:rFonts w:ascii="Palatino Linotype" w:hAnsi="Palatino Linotype"/>
        </w:rPr>
        <w:t>until December 31, 22 or further revis</w:t>
      </w:r>
      <w:r w:rsidRPr="000965EA" w:rsidR="094223A6">
        <w:rPr>
          <w:rFonts w:ascii="Palatino Linotype" w:hAnsi="Palatino Linotype"/>
        </w:rPr>
        <w:t>ion</w:t>
      </w:r>
      <w:r w:rsidRPr="000965EA" w:rsidR="00FB5A01">
        <w:rPr>
          <w:rFonts w:ascii="Palatino Linotype" w:hAnsi="Palatino Linotype"/>
        </w:rPr>
        <w:t xml:space="preserve"> by the </w:t>
      </w:r>
      <w:r w:rsidRPr="000965EA" w:rsidR="006156FF">
        <w:rPr>
          <w:rFonts w:ascii="Palatino Linotype" w:hAnsi="Palatino Linotype"/>
        </w:rPr>
        <w:t>Commission</w:t>
      </w:r>
      <w:r w:rsidRPr="000965EA" w:rsidR="005B34D3">
        <w:rPr>
          <w:rFonts w:ascii="Palatino Linotype" w:hAnsi="Palatino Linotype"/>
        </w:rPr>
        <w:t>.</w:t>
      </w:r>
    </w:p>
    <w:p w:rsidRPr="000965EA" w:rsidR="006A55B7" w:rsidP="005B34D3" w:rsidRDefault="006A55B7" w14:paraId="3C48FBAD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</w:rPr>
      </w:pPr>
    </w:p>
    <w:p w:rsidRPr="000965EA" w:rsidR="005B34D3" w:rsidP="005B34D3" w:rsidRDefault="005B34D3" w14:paraId="6F589EC1" w14:textId="77777777">
      <w:pPr>
        <w:pStyle w:val="Heading4"/>
        <w:rPr>
          <w:rFonts w:ascii="Palatino Linotype" w:hAnsi="Palatino Linotype"/>
          <w:sz w:val="24"/>
          <w:szCs w:val="24"/>
          <w:u w:val="single"/>
        </w:rPr>
      </w:pPr>
      <w:r w:rsidRPr="000965EA">
        <w:rPr>
          <w:rFonts w:ascii="Palatino Linotype" w:hAnsi="Palatino Linotype"/>
          <w:sz w:val="24"/>
          <w:szCs w:val="24"/>
          <w:u w:val="single"/>
        </w:rPr>
        <w:t>BACKGROUND</w:t>
      </w:r>
    </w:p>
    <w:p w:rsidRPr="000965EA" w:rsidR="005B34D3" w:rsidP="005B34D3" w:rsidRDefault="005B34D3" w14:paraId="35CF3984" w14:textId="28501BA4">
      <w:pPr>
        <w:rPr>
          <w:rFonts w:ascii="Palatino Linotype" w:hAnsi="Palatino Linotype"/>
        </w:rPr>
      </w:pPr>
    </w:p>
    <w:p w:rsidRPr="000965EA" w:rsidR="006156FF" w:rsidP="24AD470E" w:rsidRDefault="00710717" w14:paraId="40B233CB" w14:textId="7DAA86AC">
      <w:pPr>
        <w:pStyle w:val="BodyText"/>
        <w:rPr>
          <w:rFonts w:ascii="Palatino Linotype" w:hAnsi="Palatino Linotype"/>
        </w:rPr>
      </w:pPr>
      <w:r w:rsidRPr="5E4528E8">
        <w:rPr>
          <w:rFonts w:ascii="Palatino Linotype" w:hAnsi="Palatino Linotype"/>
        </w:rPr>
        <w:t>Pursuant to Assembly Bill (AB) 1665,</w:t>
      </w:r>
      <w:r w:rsidRPr="5E4528E8">
        <w:rPr>
          <w:rStyle w:val="FootnoteReference"/>
          <w:rFonts w:ascii="Palatino Linotype" w:hAnsi="Palatino Linotype"/>
        </w:rPr>
        <w:footnoteReference w:id="3"/>
      </w:r>
      <w:r w:rsidRPr="5E4528E8">
        <w:rPr>
          <w:rFonts w:ascii="Palatino Linotype" w:hAnsi="Palatino Linotype"/>
        </w:rPr>
        <w:t xml:space="preserve"> the Commission has </w:t>
      </w:r>
      <w:r w:rsidR="00150AD4">
        <w:rPr>
          <w:rFonts w:ascii="Palatino Linotype" w:hAnsi="Palatino Linotype"/>
        </w:rPr>
        <w:t xml:space="preserve">the </w:t>
      </w:r>
      <w:r w:rsidRPr="5E4528E8">
        <w:rPr>
          <w:rFonts w:ascii="Palatino Linotype" w:hAnsi="Palatino Linotype"/>
        </w:rPr>
        <w:t xml:space="preserve">authority to collect up to $330 million for CASF, in an amount not to exceed $66 million per year, beginning with calendar year (CY) 2018 through CY 2022.  </w:t>
      </w:r>
      <w:r w:rsidRPr="24AD470E" w:rsidR="00494233">
        <w:rPr>
          <w:rFonts w:ascii="Palatino Linotype" w:hAnsi="Palatino Linotype"/>
        </w:rPr>
        <w:t xml:space="preserve">The </w:t>
      </w:r>
      <w:r w:rsidRPr="5E4528E8">
        <w:rPr>
          <w:rFonts w:ascii="Palatino Linotype" w:hAnsi="Palatino Linotype"/>
        </w:rPr>
        <w:t xml:space="preserve">Commission collects funds for CASF through a surcharge assessed on </w:t>
      </w:r>
      <w:r w:rsidRPr="5E4528E8" w:rsidR="00614AAB">
        <w:rPr>
          <w:rFonts w:ascii="Palatino Linotype" w:hAnsi="Palatino Linotype"/>
        </w:rPr>
        <w:t>end-user</w:t>
      </w:r>
      <w:r w:rsidRPr="5E4528E8" w:rsidR="00912768">
        <w:rPr>
          <w:rFonts w:ascii="Palatino Linotype" w:hAnsi="Palatino Linotype"/>
        </w:rPr>
        <w:t xml:space="preserve"> </w:t>
      </w:r>
      <w:r w:rsidRPr="5E4528E8" w:rsidR="00193F48">
        <w:rPr>
          <w:rFonts w:ascii="Palatino Linotype" w:hAnsi="Palatino Linotype"/>
        </w:rPr>
        <w:t xml:space="preserve">charges billed for </w:t>
      </w:r>
      <w:r w:rsidRPr="5E4528E8">
        <w:rPr>
          <w:rFonts w:ascii="Palatino Linotype" w:hAnsi="Palatino Linotype"/>
        </w:rPr>
        <w:t xml:space="preserve">intrastate </w:t>
      </w:r>
      <w:r w:rsidRPr="5E4528E8">
        <w:rPr>
          <w:rFonts w:ascii="Palatino Linotype" w:hAnsi="Palatino Linotype"/>
        </w:rPr>
        <w:lastRenderedPageBreak/>
        <w:t>telecommunications services</w:t>
      </w:r>
      <w:r w:rsidRPr="5E4528E8" w:rsidR="00694E2A">
        <w:rPr>
          <w:rFonts w:ascii="Palatino Linotype" w:hAnsi="Palatino Linotype"/>
        </w:rPr>
        <w:t xml:space="preserve"> subject to surcharge</w:t>
      </w:r>
      <w:r w:rsidRPr="5E4528E8">
        <w:rPr>
          <w:rFonts w:ascii="Palatino Linotype" w:hAnsi="Palatino Linotype"/>
        </w:rPr>
        <w:t xml:space="preserve">.  In </w:t>
      </w:r>
      <w:r w:rsidRPr="5E4528E8" w:rsidR="00DA256C">
        <w:rPr>
          <w:rFonts w:ascii="Palatino Linotype" w:hAnsi="Palatino Linotype"/>
        </w:rPr>
        <w:t xml:space="preserve">Resolution </w:t>
      </w:r>
      <w:r w:rsidRPr="5E4528E8" w:rsidR="00A80170">
        <w:rPr>
          <w:rFonts w:ascii="Palatino Linotype" w:hAnsi="Palatino Linotype"/>
        </w:rPr>
        <w:t>T-175</w:t>
      </w:r>
      <w:r w:rsidRPr="24AD470E" w:rsidR="00494233">
        <w:rPr>
          <w:rFonts w:ascii="Palatino Linotype" w:hAnsi="Palatino Linotype"/>
        </w:rPr>
        <w:t>93</w:t>
      </w:r>
      <w:r w:rsidRPr="5E4528E8">
        <w:rPr>
          <w:rFonts w:ascii="Palatino Linotype" w:hAnsi="Palatino Linotype"/>
        </w:rPr>
        <w:t>, the Commission adopted a surcharge rate of 0.56% effective March 1, 2018 to collect the CASF funds.</w:t>
      </w:r>
      <w:r w:rsidRPr="5E4528E8">
        <w:rPr>
          <w:rStyle w:val="FootnoteReference"/>
          <w:rFonts w:ascii="Palatino Linotype" w:hAnsi="Palatino Linotype"/>
        </w:rPr>
        <w:footnoteReference w:id="4"/>
      </w:r>
      <w:r w:rsidRPr="5E4528E8">
        <w:rPr>
          <w:rFonts w:ascii="Palatino Linotype" w:hAnsi="Palatino Linotype"/>
        </w:rPr>
        <w:t xml:space="preserve">  </w:t>
      </w:r>
      <w:r w:rsidRPr="5E4528E8" w:rsidR="006156FF">
        <w:rPr>
          <w:rFonts w:ascii="Palatino Linotype" w:hAnsi="Palatino Linotype"/>
        </w:rPr>
        <w:t xml:space="preserve">The CASF was expected to collect $55 million in </w:t>
      </w:r>
      <w:r w:rsidRPr="5E4528E8" w:rsidR="00912768">
        <w:rPr>
          <w:rFonts w:ascii="Palatino Linotype" w:hAnsi="Palatino Linotype"/>
        </w:rPr>
        <w:t xml:space="preserve">CY </w:t>
      </w:r>
      <w:r w:rsidRPr="5E4528E8" w:rsidR="006156FF">
        <w:rPr>
          <w:rFonts w:ascii="Palatino Linotype" w:hAnsi="Palatino Linotype"/>
        </w:rPr>
        <w:t>2018, and $66 million in each of years 2019-2022 for a total of $319 million.</w:t>
      </w:r>
      <w:r w:rsidRPr="6500ACE2" w:rsidR="00494233">
        <w:rPr>
          <w:rStyle w:val="FootnoteReference"/>
          <w:rFonts w:ascii="Palatino Linotype" w:hAnsi="Palatino Linotype"/>
        </w:rPr>
        <w:footnoteReference w:id="5"/>
      </w:r>
      <w:r w:rsidRPr="5E4528E8" w:rsidR="006156FF">
        <w:rPr>
          <w:rFonts w:ascii="Palatino Linotype" w:hAnsi="Palatino Linotype"/>
        </w:rPr>
        <w:t xml:space="preserve"> </w:t>
      </w:r>
    </w:p>
    <w:p w:rsidR="000965EA" w:rsidP="00710717" w:rsidRDefault="000965EA" w14:paraId="720105C0" w14:textId="56EBF0E4">
      <w:pPr>
        <w:pStyle w:val="BodyText"/>
        <w:rPr>
          <w:rFonts w:ascii="Palatino Linotype" w:hAnsi="Palatino Linotype"/>
          <w:szCs w:val="24"/>
        </w:rPr>
      </w:pPr>
    </w:p>
    <w:p w:rsidRPr="000965EA" w:rsidR="005B34D3" w:rsidP="005B34D3" w:rsidRDefault="005B34D3" w14:paraId="5297375F" w14:textId="77777777">
      <w:pPr>
        <w:pStyle w:val="Heading4"/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  <w:u w:val="single"/>
        </w:rPr>
      </w:pPr>
      <w:r w:rsidRPr="000965EA">
        <w:rPr>
          <w:rFonts w:ascii="Palatino Linotype" w:hAnsi="Palatino Linotype"/>
          <w:sz w:val="24"/>
          <w:szCs w:val="24"/>
          <w:u w:val="single"/>
        </w:rPr>
        <w:t>DISCUSSION</w:t>
      </w:r>
    </w:p>
    <w:p w:rsidRPr="000965EA" w:rsidR="005B34D3" w:rsidP="005B34D3" w:rsidRDefault="005B34D3" w14:paraId="0E342C2E" w14:textId="77777777">
      <w:pPr>
        <w:rPr>
          <w:rFonts w:ascii="Palatino Linotype" w:hAnsi="Palatino Linotype"/>
        </w:rPr>
      </w:pPr>
    </w:p>
    <w:p w:rsidRPr="000965EA" w:rsidR="00912768" w:rsidP="000B2B3F" w:rsidRDefault="005B34D3" w14:paraId="7908D85D" w14:textId="6B955933">
      <w:pPr>
        <w:rPr>
          <w:rFonts w:ascii="Palatino Linotype" w:hAnsi="Palatino Linotype"/>
        </w:rPr>
      </w:pPr>
      <w:r w:rsidRPr="6500ACE2">
        <w:rPr>
          <w:rFonts w:ascii="Palatino Linotype" w:hAnsi="Palatino Linotype"/>
        </w:rPr>
        <w:t xml:space="preserve">In this resolution, the Commission adopts a </w:t>
      </w:r>
      <w:r w:rsidRPr="6500ACE2" w:rsidR="00A25945">
        <w:rPr>
          <w:rFonts w:ascii="Palatino Linotype" w:hAnsi="Palatino Linotype"/>
        </w:rPr>
        <w:t xml:space="preserve">CASF surcharge </w:t>
      </w:r>
      <w:r w:rsidRPr="6500ACE2">
        <w:rPr>
          <w:rFonts w:ascii="Palatino Linotype" w:hAnsi="Palatino Linotype"/>
        </w:rPr>
        <w:t>rate increase from 0.</w:t>
      </w:r>
      <w:r w:rsidRPr="6500ACE2" w:rsidR="000A78C8">
        <w:rPr>
          <w:rFonts w:ascii="Palatino Linotype" w:hAnsi="Palatino Linotype"/>
        </w:rPr>
        <w:t>56</w:t>
      </w:r>
      <w:r w:rsidRPr="6500ACE2">
        <w:rPr>
          <w:rFonts w:ascii="Palatino Linotype" w:hAnsi="Palatino Linotype"/>
        </w:rPr>
        <w:t xml:space="preserve">% to </w:t>
      </w:r>
      <w:r w:rsidRPr="6500ACE2" w:rsidR="009A50C0">
        <w:rPr>
          <w:rFonts w:ascii="Palatino Linotype" w:hAnsi="Palatino Linotype"/>
        </w:rPr>
        <w:t>1.019%</w:t>
      </w:r>
      <w:r w:rsidRPr="6500ACE2">
        <w:rPr>
          <w:rFonts w:ascii="Palatino Linotype" w:hAnsi="Palatino Linotype"/>
        </w:rPr>
        <w:t xml:space="preserve"> effective </w:t>
      </w:r>
      <w:r w:rsidRPr="6500ACE2" w:rsidR="006156FF">
        <w:rPr>
          <w:rFonts w:ascii="Palatino Linotype" w:hAnsi="Palatino Linotype"/>
        </w:rPr>
        <w:t>December 1, 202</w:t>
      </w:r>
      <w:r w:rsidRPr="6500ACE2" w:rsidR="00A25945">
        <w:rPr>
          <w:rFonts w:ascii="Palatino Linotype" w:hAnsi="Palatino Linotype"/>
        </w:rPr>
        <w:t>0</w:t>
      </w:r>
      <w:r w:rsidRPr="6500ACE2">
        <w:rPr>
          <w:rFonts w:ascii="Palatino Linotype" w:hAnsi="Palatino Linotype"/>
        </w:rPr>
        <w:t xml:space="preserve">, </w:t>
      </w:r>
      <w:r w:rsidRPr="6500ACE2" w:rsidR="00201619">
        <w:rPr>
          <w:rFonts w:ascii="Palatino Linotype" w:hAnsi="Palatino Linotype"/>
        </w:rPr>
        <w:t xml:space="preserve">and </w:t>
      </w:r>
      <w:r w:rsidRPr="6500ACE2">
        <w:rPr>
          <w:rFonts w:ascii="Palatino Linotype" w:hAnsi="Palatino Linotype"/>
        </w:rPr>
        <w:t>until December 31, 2022</w:t>
      </w:r>
      <w:r w:rsidRPr="6500ACE2" w:rsidR="006156FF">
        <w:rPr>
          <w:rFonts w:ascii="Palatino Linotype" w:hAnsi="Palatino Linotype"/>
        </w:rPr>
        <w:t xml:space="preserve"> or further revis</w:t>
      </w:r>
      <w:r w:rsidRPr="6500ACE2" w:rsidR="135691E0">
        <w:rPr>
          <w:rFonts w:ascii="Palatino Linotype" w:hAnsi="Palatino Linotype"/>
        </w:rPr>
        <w:t>ion</w:t>
      </w:r>
      <w:r w:rsidRPr="6500ACE2" w:rsidR="006156FF">
        <w:rPr>
          <w:rFonts w:ascii="Palatino Linotype" w:hAnsi="Palatino Linotype"/>
        </w:rPr>
        <w:t xml:space="preserve"> by the Commission</w:t>
      </w:r>
      <w:r w:rsidRPr="6500ACE2">
        <w:rPr>
          <w:rFonts w:ascii="Palatino Linotype" w:hAnsi="Palatino Linotype"/>
        </w:rPr>
        <w:t>.  Th</w:t>
      </w:r>
      <w:r w:rsidRPr="6500ACE2" w:rsidR="00DA256C">
        <w:rPr>
          <w:rFonts w:ascii="Palatino Linotype" w:hAnsi="Palatino Linotype"/>
        </w:rPr>
        <w:t xml:space="preserve">e </w:t>
      </w:r>
      <w:r w:rsidRPr="6500ACE2" w:rsidR="000965EA">
        <w:rPr>
          <w:rFonts w:ascii="Palatino Linotype" w:hAnsi="Palatino Linotype"/>
        </w:rPr>
        <w:t xml:space="preserve">1.019% </w:t>
      </w:r>
      <w:r w:rsidRPr="6500ACE2">
        <w:rPr>
          <w:rFonts w:ascii="Palatino Linotype" w:hAnsi="Palatino Linotype"/>
        </w:rPr>
        <w:t xml:space="preserve">surcharge </w:t>
      </w:r>
      <w:r w:rsidRPr="6500ACE2" w:rsidR="0042596E">
        <w:rPr>
          <w:rFonts w:ascii="Palatino Linotype" w:hAnsi="Palatino Linotype"/>
        </w:rPr>
        <w:t xml:space="preserve">rate </w:t>
      </w:r>
      <w:r w:rsidRPr="6500ACE2" w:rsidR="00507357">
        <w:rPr>
          <w:rFonts w:ascii="Palatino Linotype" w:hAnsi="Palatino Linotype"/>
        </w:rPr>
        <w:t xml:space="preserve">is expected to collect </w:t>
      </w:r>
      <w:r w:rsidRPr="6500ACE2" w:rsidR="00DA256C">
        <w:rPr>
          <w:rFonts w:ascii="Palatino Linotype" w:hAnsi="Palatino Linotype"/>
        </w:rPr>
        <w:t xml:space="preserve">a </w:t>
      </w:r>
      <w:r w:rsidRPr="6500ACE2" w:rsidR="00E03757">
        <w:rPr>
          <w:rFonts w:ascii="Palatino Linotype" w:hAnsi="Palatino Linotype"/>
        </w:rPr>
        <w:t>surcharge revenue</w:t>
      </w:r>
      <w:r w:rsidRPr="6500ACE2" w:rsidR="00DA256C">
        <w:rPr>
          <w:rFonts w:ascii="Palatino Linotype" w:hAnsi="Palatino Linotype"/>
        </w:rPr>
        <w:t xml:space="preserve"> of</w:t>
      </w:r>
      <w:r w:rsidRPr="6500ACE2" w:rsidR="00E03757">
        <w:rPr>
          <w:rFonts w:ascii="Palatino Linotype" w:hAnsi="Palatino Linotype"/>
        </w:rPr>
        <w:t xml:space="preserve"> </w:t>
      </w:r>
      <w:r w:rsidRPr="6500ACE2" w:rsidR="00507357">
        <w:rPr>
          <w:rFonts w:ascii="Palatino Linotype" w:hAnsi="Palatino Linotype"/>
        </w:rPr>
        <w:t xml:space="preserve">no more than </w:t>
      </w:r>
      <w:r w:rsidRPr="6500ACE2">
        <w:rPr>
          <w:rFonts w:ascii="Palatino Linotype" w:hAnsi="Palatino Linotype"/>
        </w:rPr>
        <w:t>$66 million per year</w:t>
      </w:r>
      <w:r w:rsidRPr="6500ACE2" w:rsidR="00DA256C">
        <w:rPr>
          <w:rFonts w:ascii="Palatino Linotype" w:hAnsi="Palatino Linotype"/>
        </w:rPr>
        <w:t>.</w:t>
      </w:r>
    </w:p>
    <w:p w:rsidRPr="000965EA" w:rsidR="00912768" w:rsidP="005B34D3" w:rsidRDefault="00912768" w14:paraId="2AB128BA" w14:textId="77777777">
      <w:pPr>
        <w:ind w:right="432"/>
        <w:rPr>
          <w:rFonts w:ascii="Palatino Linotype" w:hAnsi="Palatino Linotype"/>
        </w:rPr>
      </w:pPr>
    </w:p>
    <w:p w:rsidRPr="000965EA" w:rsidR="0042596E" w:rsidP="000B2B3F" w:rsidRDefault="00EB111A" w14:paraId="1526735C" w14:textId="71A27280">
      <w:p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Pursuant to Resolution T-175</w:t>
      </w:r>
      <w:r w:rsidR="00F30CF9">
        <w:rPr>
          <w:rFonts w:ascii="Palatino Linotype" w:hAnsi="Palatino Linotype"/>
        </w:rPr>
        <w:t>93</w:t>
      </w:r>
      <w:r w:rsidRPr="000965EA">
        <w:rPr>
          <w:rFonts w:ascii="Palatino Linotype" w:hAnsi="Palatino Linotype"/>
        </w:rPr>
        <w:t xml:space="preserve">, </w:t>
      </w:r>
      <w:r w:rsidRPr="000965EA" w:rsidR="009F7434">
        <w:rPr>
          <w:rFonts w:ascii="Palatino Linotype" w:hAnsi="Palatino Linotype"/>
        </w:rPr>
        <w:t xml:space="preserve">for the period of </w:t>
      </w:r>
      <w:r w:rsidRPr="000965EA">
        <w:rPr>
          <w:rFonts w:ascii="Palatino Linotype" w:hAnsi="Palatino Linotype"/>
        </w:rPr>
        <w:t xml:space="preserve">March 1, 2018 through June 30, 2020, CASF was expected to collect a total surcharge revenue of approximately $154 million.  </w:t>
      </w:r>
      <w:r w:rsidRPr="000965EA" w:rsidR="005641E4">
        <w:rPr>
          <w:rFonts w:ascii="Palatino Linotype" w:hAnsi="Palatino Linotype"/>
        </w:rPr>
        <w:t>However, the intrastate telecommunications revenue for services subject to surcharge has declined significantly</w:t>
      </w:r>
      <w:r w:rsidR="00150AD4">
        <w:rPr>
          <w:rFonts w:ascii="Palatino Linotype" w:hAnsi="Palatino Linotype"/>
        </w:rPr>
        <w:t xml:space="preserve"> </w:t>
      </w:r>
      <w:r w:rsidRPr="000965EA" w:rsidR="005641E4">
        <w:rPr>
          <w:rFonts w:ascii="Palatino Linotype" w:hAnsi="Palatino Linotype"/>
        </w:rPr>
        <w:t>in recent years, resulting in lower surcharge revenue collected for the CASF.</w:t>
      </w:r>
      <w:r w:rsidRPr="00150AD4" w:rsidR="00150AD4">
        <w:rPr>
          <w:rStyle w:val="FootnoteReference"/>
          <w:rFonts w:ascii="Palatino Linotype" w:hAnsi="Palatino Linotype"/>
        </w:rPr>
        <w:t xml:space="preserve"> </w:t>
      </w:r>
      <w:r w:rsidRPr="000965EA" w:rsidR="00150AD4">
        <w:rPr>
          <w:rStyle w:val="FootnoteReference"/>
          <w:rFonts w:ascii="Palatino Linotype" w:hAnsi="Palatino Linotype"/>
        </w:rPr>
        <w:footnoteReference w:id="6"/>
      </w:r>
      <w:r w:rsidR="00150AD4">
        <w:rPr>
          <w:rFonts w:ascii="Palatino Linotype" w:hAnsi="Palatino Linotype"/>
        </w:rPr>
        <w:t xml:space="preserve">  </w:t>
      </w:r>
      <w:r w:rsidRPr="000965EA" w:rsidR="006A43B8">
        <w:rPr>
          <w:rFonts w:ascii="Palatino Linotype" w:hAnsi="Palatino Linotype"/>
        </w:rPr>
        <w:t>F</w:t>
      </w:r>
      <w:r w:rsidRPr="000965EA" w:rsidR="005641E4">
        <w:rPr>
          <w:rFonts w:ascii="Palatino Linotype" w:hAnsi="Palatino Linotype"/>
        </w:rPr>
        <w:t>or the period of March 1, 2018 through June 30, 2020, CASF e</w:t>
      </w:r>
      <w:r w:rsidRPr="000965EA" w:rsidR="009F7434">
        <w:rPr>
          <w:rFonts w:ascii="Palatino Linotype" w:hAnsi="Palatino Linotype"/>
        </w:rPr>
        <w:t xml:space="preserve">xperienced a revenue shortfall </w:t>
      </w:r>
      <w:r w:rsidRPr="000965EA" w:rsidR="006A43B8">
        <w:rPr>
          <w:rFonts w:ascii="Palatino Linotype" w:hAnsi="Palatino Linotype"/>
        </w:rPr>
        <w:t>i</w:t>
      </w:r>
      <w:r w:rsidRPr="000965EA" w:rsidR="009F7434">
        <w:rPr>
          <w:rFonts w:ascii="Palatino Linotype" w:hAnsi="Palatino Linotype"/>
        </w:rPr>
        <w:t>n excess of $</w:t>
      </w:r>
      <w:r w:rsidRPr="000965EA" w:rsidR="00F15D6F">
        <w:rPr>
          <w:rFonts w:ascii="Palatino Linotype" w:hAnsi="Palatino Linotype"/>
        </w:rPr>
        <w:t>53</w:t>
      </w:r>
      <w:r w:rsidRPr="000965EA" w:rsidR="009F7434">
        <w:rPr>
          <w:rFonts w:ascii="Palatino Linotype" w:hAnsi="Palatino Linotype"/>
        </w:rPr>
        <w:t xml:space="preserve"> million as </w:t>
      </w:r>
      <w:r w:rsidR="00150AD4">
        <w:rPr>
          <w:rFonts w:ascii="Palatino Linotype" w:hAnsi="Palatino Linotype"/>
        </w:rPr>
        <w:t>specified</w:t>
      </w:r>
      <w:r w:rsidRPr="000965EA" w:rsidR="009F7434">
        <w:rPr>
          <w:rFonts w:ascii="Palatino Linotype" w:hAnsi="Palatino Linotype"/>
        </w:rPr>
        <w:t xml:space="preserve"> in </w:t>
      </w:r>
      <w:r w:rsidR="00F30CF9">
        <w:rPr>
          <w:rFonts w:ascii="Palatino Linotype" w:hAnsi="Palatino Linotype"/>
        </w:rPr>
        <w:t>Table 1</w:t>
      </w:r>
      <w:r w:rsidRPr="000965EA" w:rsidR="009F7434">
        <w:rPr>
          <w:rFonts w:ascii="Palatino Linotype" w:hAnsi="Palatino Linotype"/>
        </w:rPr>
        <w:t xml:space="preserve"> below: </w:t>
      </w:r>
      <w:r w:rsidRPr="000965EA">
        <w:rPr>
          <w:rFonts w:ascii="Palatino Linotype" w:hAnsi="Palatino Linotype"/>
        </w:rPr>
        <w:t xml:space="preserve"> </w:t>
      </w:r>
    </w:p>
    <w:p w:rsidR="00EB111A" w:rsidP="005B34D3" w:rsidRDefault="00EB111A" w14:paraId="72654B4A" w14:textId="442BE9C7">
      <w:pPr>
        <w:ind w:right="432"/>
        <w:rPr>
          <w:rFonts w:ascii="Palatino Linotype" w:hAnsi="Palatino Linotype"/>
        </w:rPr>
      </w:pPr>
    </w:p>
    <w:p w:rsidRPr="00F30CF9" w:rsidR="00F30CF9" w:rsidP="00F30CF9" w:rsidRDefault="00F30CF9" w14:paraId="63B43D93" w14:textId="456AE594">
      <w:pPr>
        <w:ind w:right="432"/>
        <w:jc w:val="center"/>
        <w:rPr>
          <w:rFonts w:ascii="Palatino Linotype" w:hAnsi="Palatino Linotype"/>
          <w:b/>
          <w:bCs/>
        </w:rPr>
      </w:pPr>
      <w:r w:rsidRPr="69FA7AA6">
        <w:rPr>
          <w:rFonts w:ascii="Palatino Linotype" w:hAnsi="Palatino Linotype"/>
          <w:b/>
          <w:bCs/>
        </w:rPr>
        <w:t>Table 1: CASF Surcharge Revenue from March 2018 through June 2020</w:t>
      </w:r>
    </w:p>
    <w:p w:rsidRPr="000965EA" w:rsidR="00F30CF9" w:rsidP="69FA7AA6" w:rsidRDefault="00F30CF9" w14:paraId="30F625A6" w14:textId="77777777">
      <w:pPr>
        <w:ind w:right="432"/>
        <w:jc w:val="center"/>
        <w:rPr>
          <w:rFonts w:ascii="Palatino Linotype" w:hAnsi="Palatino Linotype"/>
        </w:rPr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3800"/>
        <w:gridCol w:w="2225"/>
        <w:gridCol w:w="1895"/>
      </w:tblGrid>
      <w:tr w:rsidRPr="000965EA" w:rsidR="00EB111A" w:rsidTr="000965EA" w14:paraId="032D5E51" w14:textId="77777777">
        <w:trPr>
          <w:trHeight w:val="600"/>
          <w:jc w:val="center"/>
        </w:trPr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EB111A" w:rsidP="00EB111A" w:rsidRDefault="00F15D6F" w14:paraId="40AC56FE" w14:textId="77777777">
            <w:pPr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>CASF Surcharge Revenue</w:t>
            </w:r>
            <w:r w:rsidRPr="000965EA" w:rsidR="00E03757">
              <w:rPr>
                <w:rFonts w:ascii="Palatino Linotype" w:hAnsi="Palatino Linotype"/>
                <w:b/>
                <w:bCs/>
                <w:color w:val="000000"/>
              </w:rPr>
              <w:t xml:space="preserve"> from March 2018 through June 2020 (</w:t>
            </w:r>
            <w:r w:rsidRPr="000965EA">
              <w:rPr>
                <w:rFonts w:ascii="Palatino Linotype" w:hAnsi="Palatino Linotype"/>
                <w:b/>
                <w:bCs/>
                <w:color w:val="000000"/>
              </w:rPr>
              <w:t>$000</w:t>
            </w:r>
            <w:r w:rsidRPr="000965EA" w:rsidR="00E03757">
              <w:rPr>
                <w:rFonts w:ascii="Palatino Linotype" w:hAnsi="Palatino Linotype"/>
                <w:b/>
                <w:bCs/>
                <w:color w:val="000000"/>
              </w:rPr>
              <w:t>)</w:t>
            </w:r>
          </w:p>
          <w:p w:rsidRPr="000965EA" w:rsidR="000965EA" w:rsidP="00EB111A" w:rsidRDefault="000965EA" w14:paraId="2A3838F8" w14:textId="27C160D3">
            <w:pPr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0965EA" w:rsidP="00EB111A" w:rsidRDefault="00EB111A" w14:paraId="6F338D51" w14:textId="77777777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 xml:space="preserve"> Expected Revenue / Resolution </w:t>
            </w:r>
          </w:p>
          <w:p w:rsidRPr="000965EA" w:rsidR="00EB111A" w:rsidP="00EB111A" w:rsidRDefault="00EB111A" w14:paraId="49EE44C8" w14:textId="5B8BECB1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>T-175</w:t>
            </w:r>
            <w:r w:rsidR="00145C8D">
              <w:rPr>
                <w:rFonts w:ascii="Palatino Linotype" w:hAnsi="Palatino Linotype"/>
                <w:b/>
                <w:bCs/>
                <w:color w:val="000000"/>
              </w:rPr>
              <w:t>93</w:t>
            </w:r>
            <w:r w:rsidRPr="000965EA">
              <w:rPr>
                <w:rFonts w:ascii="Palatino Linotype" w:hAnsi="Palatino Linotype"/>
                <w:b/>
                <w:bCs/>
                <w:color w:val="000000"/>
              </w:rPr>
              <w:t xml:space="preserve">  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965EA" w:rsidR="00EB111A" w:rsidP="00EB111A" w:rsidRDefault="00EB111A" w14:paraId="54D17975" w14:textId="77777777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 xml:space="preserve"> Actual Surcharge Revenue </w:t>
            </w:r>
          </w:p>
        </w:tc>
      </w:tr>
      <w:tr w:rsidRPr="000965EA" w:rsidR="00EB111A" w:rsidTr="000965EA" w14:paraId="39609B07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7E87F09C" w14:textId="77777777">
            <w:pPr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 March 2018-June 2018 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402690CD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$22,000 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228DEA42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$16,393 </w:t>
            </w:r>
          </w:p>
        </w:tc>
      </w:tr>
      <w:tr w:rsidRPr="000965EA" w:rsidR="00EB111A" w:rsidTr="000965EA" w14:paraId="29A0ED27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4A282619" w14:textId="594C064F">
            <w:pPr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 July 2018-June 2019 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014A5CA9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$66,000 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1CD16F20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$46,004 </w:t>
            </w:r>
          </w:p>
        </w:tc>
      </w:tr>
      <w:tr w:rsidRPr="000965EA" w:rsidR="00EB111A" w:rsidTr="000965EA" w14:paraId="247A1742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1DB6BDEF" w14:textId="77777777">
            <w:pPr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 July 2019-June 2020 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06A143F8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$66,000 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73B93D85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$37,662 </w:t>
            </w:r>
          </w:p>
        </w:tc>
      </w:tr>
      <w:tr w:rsidRPr="000965EA" w:rsidR="00EB111A" w:rsidTr="000965EA" w14:paraId="5D0B3B97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7ADB0B7A" w14:textId="77777777">
            <w:pPr>
              <w:jc w:val="center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 Total 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4054329E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$154,000 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7926B56E" w14:textId="77777777">
            <w:pPr>
              <w:jc w:val="right"/>
              <w:rPr>
                <w:rFonts w:ascii="Palatino Linotype" w:hAnsi="Palatino Linotype"/>
                <w:color w:val="000000"/>
              </w:rPr>
            </w:pPr>
            <w:r w:rsidRPr="000965EA">
              <w:rPr>
                <w:rFonts w:ascii="Palatino Linotype" w:hAnsi="Palatino Linotype"/>
                <w:color w:val="000000"/>
              </w:rPr>
              <w:t xml:space="preserve">$100,059 </w:t>
            </w:r>
          </w:p>
        </w:tc>
      </w:tr>
      <w:tr w:rsidRPr="000965EA" w:rsidR="00EB111A" w:rsidTr="000965EA" w14:paraId="41C419A5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12F9E8CC" w14:textId="77777777">
            <w:pPr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 xml:space="preserve"> Revenue Shortfall 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1864A4E4" w14:textId="77777777">
            <w:pPr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EB111A" w:rsidP="00EB111A" w:rsidRDefault="00EB111A" w14:paraId="68167CF1" w14:textId="77777777">
            <w:pPr>
              <w:jc w:val="right"/>
              <w:rPr>
                <w:rFonts w:ascii="Palatino Linotype" w:hAnsi="Palatino Linotype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/>
                <w:b/>
                <w:bCs/>
                <w:color w:val="000000"/>
              </w:rPr>
              <w:t xml:space="preserve">$53,941 </w:t>
            </w:r>
          </w:p>
        </w:tc>
      </w:tr>
    </w:tbl>
    <w:p w:rsidRPr="000965EA" w:rsidR="00EB111A" w:rsidP="005B34D3" w:rsidRDefault="00EB111A" w14:paraId="11B1C351" w14:textId="77777777">
      <w:pPr>
        <w:ind w:right="432"/>
        <w:rPr>
          <w:rFonts w:ascii="Palatino Linotype" w:hAnsi="Palatino Linotype"/>
        </w:rPr>
      </w:pPr>
    </w:p>
    <w:p w:rsidRPr="000965EA" w:rsidR="00FC60AB" w:rsidP="000B2B3F" w:rsidRDefault="00F46C91" w14:paraId="77E1FC3E" w14:textId="5F181F04">
      <w:pPr>
        <w:rPr>
          <w:rFonts w:ascii="Palatino Linotype" w:hAnsi="Palatino Linotype"/>
        </w:rPr>
      </w:pPr>
      <w:r w:rsidRPr="6500ACE2">
        <w:rPr>
          <w:rFonts w:ascii="Palatino Linotype" w:hAnsi="Palatino Linotype"/>
        </w:rPr>
        <w:t>Under</w:t>
      </w:r>
      <w:r w:rsidRPr="6500ACE2" w:rsidR="002D1DFD">
        <w:rPr>
          <w:rFonts w:ascii="Palatino Linotype" w:hAnsi="Palatino Linotype"/>
        </w:rPr>
        <w:t xml:space="preserve"> the current status quo, </w:t>
      </w:r>
      <w:r w:rsidRPr="6500ACE2" w:rsidR="006A43B8">
        <w:rPr>
          <w:rFonts w:ascii="Palatino Linotype" w:hAnsi="Palatino Linotype"/>
        </w:rPr>
        <w:t xml:space="preserve">Staff projects the revenue shortfall would </w:t>
      </w:r>
      <w:r w:rsidRPr="6500ACE2" w:rsidR="00E03757">
        <w:rPr>
          <w:rFonts w:ascii="Palatino Linotype" w:hAnsi="Palatino Linotype"/>
        </w:rPr>
        <w:t>continue to increase to as much as</w:t>
      </w:r>
      <w:r w:rsidRPr="6500ACE2" w:rsidR="006A43B8">
        <w:rPr>
          <w:rFonts w:ascii="Palatino Linotype" w:hAnsi="Palatino Linotype"/>
        </w:rPr>
        <w:t xml:space="preserve"> $1</w:t>
      </w:r>
      <w:r w:rsidRPr="6500ACE2" w:rsidR="00591189">
        <w:rPr>
          <w:rFonts w:ascii="Palatino Linotype" w:hAnsi="Palatino Linotype"/>
        </w:rPr>
        <w:t>1</w:t>
      </w:r>
      <w:r w:rsidRPr="6500ACE2" w:rsidR="00532238">
        <w:rPr>
          <w:rFonts w:ascii="Palatino Linotype" w:hAnsi="Palatino Linotype"/>
        </w:rPr>
        <w:t>5</w:t>
      </w:r>
      <w:r w:rsidRPr="6500ACE2" w:rsidR="006A43B8">
        <w:rPr>
          <w:rFonts w:ascii="Palatino Linotype" w:hAnsi="Palatino Linotype"/>
        </w:rPr>
        <w:t xml:space="preserve"> million </w:t>
      </w:r>
      <w:r w:rsidRPr="6500ACE2" w:rsidR="002D1DFD">
        <w:rPr>
          <w:rFonts w:ascii="Palatino Linotype" w:hAnsi="Palatino Linotype"/>
        </w:rPr>
        <w:t xml:space="preserve">by </w:t>
      </w:r>
      <w:r w:rsidRPr="6500ACE2">
        <w:rPr>
          <w:rFonts w:ascii="Palatino Linotype" w:hAnsi="Palatino Linotype"/>
        </w:rPr>
        <w:t xml:space="preserve">the end of </w:t>
      </w:r>
      <w:r w:rsidRPr="6500ACE2" w:rsidR="002D1DFD">
        <w:rPr>
          <w:rFonts w:ascii="Palatino Linotype" w:hAnsi="Palatino Linotype"/>
        </w:rPr>
        <w:t>202</w:t>
      </w:r>
      <w:r w:rsidRPr="6500ACE2" w:rsidR="00536A7E">
        <w:rPr>
          <w:rFonts w:ascii="Palatino Linotype" w:hAnsi="Palatino Linotype"/>
        </w:rPr>
        <w:t>2</w:t>
      </w:r>
      <w:r w:rsidRPr="6500ACE2" w:rsidR="002D1DFD">
        <w:rPr>
          <w:rFonts w:ascii="Palatino Linotype" w:hAnsi="Palatino Linotype"/>
        </w:rPr>
        <w:t xml:space="preserve">, which would </w:t>
      </w:r>
      <w:r w:rsidRPr="6500ACE2" w:rsidR="00FC60AB">
        <w:rPr>
          <w:rFonts w:ascii="Palatino Linotype" w:hAnsi="Palatino Linotype"/>
        </w:rPr>
        <w:t xml:space="preserve">have a </w:t>
      </w:r>
      <w:r w:rsidRPr="6500ACE2" w:rsidR="002D1DFD">
        <w:rPr>
          <w:rFonts w:ascii="Palatino Linotype" w:hAnsi="Palatino Linotype"/>
        </w:rPr>
        <w:t xml:space="preserve">significant </w:t>
      </w:r>
      <w:r w:rsidRPr="6500ACE2" w:rsidR="00FC60AB">
        <w:rPr>
          <w:rFonts w:ascii="Palatino Linotype" w:hAnsi="Palatino Linotype"/>
        </w:rPr>
        <w:t xml:space="preserve">negative </w:t>
      </w:r>
      <w:r w:rsidRPr="6500ACE2" w:rsidR="002D1DFD">
        <w:rPr>
          <w:rFonts w:ascii="Palatino Linotype" w:hAnsi="Palatino Linotype"/>
        </w:rPr>
        <w:t>impact</w:t>
      </w:r>
      <w:r w:rsidRPr="6500ACE2" w:rsidR="00FC60AB">
        <w:rPr>
          <w:rFonts w:ascii="Palatino Linotype" w:hAnsi="Palatino Linotype"/>
        </w:rPr>
        <w:t xml:space="preserve"> on</w:t>
      </w:r>
      <w:r w:rsidRPr="6500ACE2" w:rsidR="002D1DFD">
        <w:rPr>
          <w:rFonts w:ascii="Palatino Linotype" w:hAnsi="Palatino Linotype"/>
        </w:rPr>
        <w:t xml:space="preserve"> </w:t>
      </w:r>
      <w:r w:rsidRPr="6500ACE2" w:rsidR="00332951">
        <w:rPr>
          <w:rFonts w:ascii="Palatino Linotype" w:hAnsi="Palatino Linotype"/>
        </w:rPr>
        <w:t xml:space="preserve">CASF’s goal of extending broadband access to no less than 98% of </w:t>
      </w:r>
      <w:r w:rsidRPr="6500ACE2" w:rsidR="00332951">
        <w:rPr>
          <w:rFonts w:ascii="Palatino Linotype" w:hAnsi="Palatino Linotype"/>
        </w:rPr>
        <w:lastRenderedPageBreak/>
        <w:t xml:space="preserve">California households in each consortia region.  </w:t>
      </w:r>
      <w:r w:rsidRPr="6500ACE2" w:rsidR="002D1DFD">
        <w:rPr>
          <w:rFonts w:ascii="Palatino Linotype" w:hAnsi="Palatino Linotype"/>
        </w:rPr>
        <w:t xml:space="preserve">To </w:t>
      </w:r>
      <w:r w:rsidRPr="6500ACE2" w:rsidR="005112AF">
        <w:rPr>
          <w:rFonts w:ascii="Palatino Linotype" w:hAnsi="Palatino Linotype"/>
        </w:rPr>
        <w:t xml:space="preserve">alleviate </w:t>
      </w:r>
      <w:r w:rsidRPr="6500ACE2">
        <w:rPr>
          <w:rFonts w:ascii="Palatino Linotype" w:hAnsi="Palatino Linotype"/>
        </w:rPr>
        <w:t xml:space="preserve">the situation, </w:t>
      </w:r>
      <w:r w:rsidRPr="6500ACE2" w:rsidR="002D1DFD">
        <w:rPr>
          <w:rFonts w:ascii="Palatino Linotype" w:hAnsi="Palatino Linotype"/>
        </w:rPr>
        <w:t xml:space="preserve">Staff recommends </w:t>
      </w:r>
      <w:r w:rsidRPr="6500ACE2" w:rsidR="006A43B8">
        <w:rPr>
          <w:rFonts w:ascii="Palatino Linotype" w:hAnsi="Palatino Linotype"/>
        </w:rPr>
        <w:t xml:space="preserve">the </w:t>
      </w:r>
      <w:r w:rsidRPr="6500ACE2" w:rsidR="0068073B">
        <w:rPr>
          <w:rFonts w:ascii="Palatino Linotype" w:hAnsi="Palatino Linotype"/>
        </w:rPr>
        <w:t>CASF surcharge rate be increased from</w:t>
      </w:r>
      <w:r w:rsidRPr="6500ACE2" w:rsidR="006A43B8">
        <w:rPr>
          <w:rFonts w:ascii="Palatino Linotype" w:hAnsi="Palatino Linotype"/>
        </w:rPr>
        <w:t xml:space="preserve"> 0.56%</w:t>
      </w:r>
      <w:r w:rsidRPr="6500ACE2" w:rsidR="000965EA">
        <w:rPr>
          <w:rFonts w:ascii="Palatino Linotype" w:hAnsi="Palatino Linotype"/>
        </w:rPr>
        <w:t xml:space="preserve"> </w:t>
      </w:r>
      <w:r w:rsidRPr="6500ACE2" w:rsidR="0068073B">
        <w:rPr>
          <w:rFonts w:ascii="Palatino Linotype" w:hAnsi="Palatino Linotype"/>
        </w:rPr>
        <w:t>to 1.019%</w:t>
      </w:r>
      <w:r w:rsidRPr="6500ACE2" w:rsidR="006A43B8">
        <w:rPr>
          <w:rFonts w:ascii="Palatino Linotype" w:hAnsi="Palatino Linotype"/>
        </w:rPr>
        <w:t xml:space="preserve">.  </w:t>
      </w:r>
      <w:r w:rsidRPr="6500ACE2" w:rsidR="00FC60AB">
        <w:rPr>
          <w:rFonts w:ascii="Palatino Linotype" w:hAnsi="Palatino Linotype"/>
        </w:rPr>
        <w:t xml:space="preserve">The revised surcharge rate would collect </w:t>
      </w:r>
      <w:r w:rsidRPr="6500ACE2" w:rsidR="00536A7E">
        <w:rPr>
          <w:rFonts w:ascii="Palatino Linotype" w:hAnsi="Palatino Linotype"/>
        </w:rPr>
        <w:t xml:space="preserve">no more than </w:t>
      </w:r>
      <w:r w:rsidRPr="6500ACE2" w:rsidR="00FC60AB">
        <w:rPr>
          <w:rFonts w:ascii="Palatino Linotype" w:hAnsi="Palatino Linotype"/>
        </w:rPr>
        <w:t>$66 million</w:t>
      </w:r>
      <w:r w:rsidRPr="6500ACE2" w:rsidR="00536A7E">
        <w:rPr>
          <w:rFonts w:ascii="Palatino Linotype" w:hAnsi="Palatino Linotype"/>
        </w:rPr>
        <w:t xml:space="preserve"> of</w:t>
      </w:r>
      <w:r w:rsidRPr="6500ACE2" w:rsidR="00FC60AB">
        <w:rPr>
          <w:rFonts w:ascii="Palatino Linotype" w:hAnsi="Palatino Linotype"/>
        </w:rPr>
        <w:t xml:space="preserve"> surcharge revenue per year, which is consistent with </w:t>
      </w:r>
      <w:r w:rsidRPr="6500ACE2" w:rsidR="0068073B">
        <w:rPr>
          <w:rFonts w:ascii="Palatino Linotype" w:hAnsi="Palatino Linotype"/>
        </w:rPr>
        <w:t>AB 16</w:t>
      </w:r>
      <w:r w:rsidRPr="6500ACE2" w:rsidR="00F30CF9">
        <w:rPr>
          <w:rFonts w:ascii="Palatino Linotype" w:hAnsi="Palatino Linotype"/>
        </w:rPr>
        <w:t>6</w:t>
      </w:r>
      <w:r w:rsidRPr="6500ACE2" w:rsidR="0068073B">
        <w:rPr>
          <w:rFonts w:ascii="Palatino Linotype" w:hAnsi="Palatino Linotype"/>
        </w:rPr>
        <w:t>5 requirements</w:t>
      </w:r>
      <w:r w:rsidRPr="6500ACE2" w:rsidR="00FC60AB">
        <w:rPr>
          <w:rFonts w:ascii="Palatino Linotype" w:hAnsi="Palatino Linotype"/>
        </w:rPr>
        <w:t xml:space="preserve">.  </w:t>
      </w:r>
      <w:r w:rsidRPr="6500ACE2" w:rsidR="00F30CF9">
        <w:rPr>
          <w:rFonts w:ascii="Palatino Linotype" w:hAnsi="Palatino Linotype"/>
        </w:rPr>
        <w:t>Table 2, below, compares</w:t>
      </w:r>
      <w:r w:rsidRPr="6500ACE2" w:rsidR="00536A7E">
        <w:rPr>
          <w:rFonts w:ascii="Palatino Linotype" w:hAnsi="Palatino Linotype"/>
        </w:rPr>
        <w:t xml:space="preserve"> the expected surcharge revenue </w:t>
      </w:r>
      <w:r w:rsidRPr="6500ACE2" w:rsidR="00A80170">
        <w:rPr>
          <w:rFonts w:ascii="Palatino Linotype" w:hAnsi="Palatino Linotype"/>
        </w:rPr>
        <w:t xml:space="preserve">for the period of July 1, 2020 through December 31, 2022 </w:t>
      </w:r>
      <w:r w:rsidRPr="6500ACE2" w:rsidR="00536A7E">
        <w:rPr>
          <w:rFonts w:ascii="Palatino Linotype" w:hAnsi="Palatino Linotype"/>
        </w:rPr>
        <w:t xml:space="preserve">under the current surcharge rate of 0.56% </w:t>
      </w:r>
      <w:r w:rsidR="00150AD4">
        <w:rPr>
          <w:rFonts w:ascii="Palatino Linotype" w:hAnsi="Palatino Linotype"/>
        </w:rPr>
        <w:t>vs.</w:t>
      </w:r>
      <w:r w:rsidRPr="6500ACE2" w:rsidR="00536A7E">
        <w:rPr>
          <w:rFonts w:ascii="Palatino Linotype" w:hAnsi="Palatino Linotype"/>
        </w:rPr>
        <w:t xml:space="preserve"> the </w:t>
      </w:r>
      <w:r w:rsidRPr="6500ACE2" w:rsidR="000965EA">
        <w:rPr>
          <w:rFonts w:ascii="Palatino Linotype" w:hAnsi="Palatino Linotype"/>
        </w:rPr>
        <w:t xml:space="preserve">proposed </w:t>
      </w:r>
      <w:r w:rsidRPr="6500ACE2" w:rsidR="00F30CF9">
        <w:rPr>
          <w:rFonts w:ascii="Palatino Linotype" w:hAnsi="Palatino Linotype"/>
        </w:rPr>
        <w:t>rate of</w:t>
      </w:r>
      <w:r w:rsidRPr="6500ACE2" w:rsidR="00536A7E">
        <w:rPr>
          <w:rFonts w:ascii="Palatino Linotype" w:hAnsi="Palatino Linotype"/>
        </w:rPr>
        <w:t xml:space="preserve"> 1.019%</w:t>
      </w:r>
      <w:r w:rsidRPr="6500ACE2" w:rsidR="00F30CF9">
        <w:rPr>
          <w:rFonts w:ascii="Palatino Linotype" w:hAnsi="Palatino Linotype"/>
        </w:rPr>
        <w:t xml:space="preserve">, </w:t>
      </w:r>
      <w:r w:rsidRPr="6500ACE2" w:rsidR="00536A7E">
        <w:rPr>
          <w:rFonts w:ascii="Palatino Linotype" w:hAnsi="Palatino Linotype"/>
        </w:rPr>
        <w:t xml:space="preserve">effective </w:t>
      </w:r>
      <w:r w:rsidR="003F25AC">
        <w:rPr>
          <w:rFonts w:ascii="Palatino Linotype" w:hAnsi="Palatino Linotype"/>
        </w:rPr>
        <w:br/>
      </w:r>
      <w:r w:rsidRPr="6500ACE2" w:rsidR="00536A7E">
        <w:rPr>
          <w:rFonts w:ascii="Palatino Linotype" w:hAnsi="Palatino Linotype"/>
        </w:rPr>
        <w:t>December 1, 2020.</w:t>
      </w:r>
    </w:p>
    <w:p w:rsidR="00FC60AB" w:rsidP="005B34D3" w:rsidRDefault="00FC60AB" w14:paraId="05ADCAA5" w14:textId="3B49630F">
      <w:pPr>
        <w:ind w:right="432"/>
        <w:rPr>
          <w:rFonts w:ascii="Palatino Linotype" w:hAnsi="Palatino Linotype"/>
        </w:rPr>
      </w:pPr>
    </w:p>
    <w:p w:rsidRPr="00F30CF9" w:rsidR="00F30CF9" w:rsidP="69FA7AA6" w:rsidRDefault="00F30CF9" w14:paraId="59C800DE" w14:textId="50AD82EC">
      <w:pPr>
        <w:ind w:right="432"/>
        <w:jc w:val="center"/>
        <w:rPr>
          <w:rFonts w:ascii="Palatino Linotype" w:hAnsi="Palatino Linotype"/>
          <w:b/>
          <w:bCs/>
        </w:rPr>
      </w:pPr>
      <w:r w:rsidRPr="69FA7AA6">
        <w:rPr>
          <w:rFonts w:ascii="Palatino Linotype" w:hAnsi="Palatino Linotype"/>
          <w:b/>
          <w:bCs/>
        </w:rPr>
        <w:t>Table 2: CASF Surcharge Revenue Comparison</w:t>
      </w:r>
    </w:p>
    <w:tbl>
      <w:tblPr>
        <w:tblW w:w="8365" w:type="dxa"/>
        <w:jc w:val="center"/>
        <w:tblLook w:val="04A0" w:firstRow="1" w:lastRow="0" w:firstColumn="1" w:lastColumn="0" w:noHBand="0" w:noVBand="1"/>
      </w:tblPr>
      <w:tblGrid>
        <w:gridCol w:w="3800"/>
        <w:gridCol w:w="2100"/>
        <w:gridCol w:w="2465"/>
      </w:tblGrid>
      <w:tr w:rsidRPr="000965EA" w:rsidR="00FC60AB" w:rsidTr="000965EA" w14:paraId="0ECA6E77" w14:textId="77777777">
        <w:trPr>
          <w:trHeight w:val="900"/>
          <w:jc w:val="center"/>
        </w:trPr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FC60AB" w:rsidP="00FC60AB" w:rsidRDefault="00FC60AB" w14:paraId="6A32D17E" w14:textId="77777777">
            <w:pPr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CASF, Projected Surcharge Revenue </w:t>
            </w:r>
            <w:r w:rsidR="000965EA">
              <w:rPr>
                <w:rFonts w:ascii="Palatino Linotype" w:hAnsi="Palatino Linotype" w:cs="Calibri"/>
                <w:b/>
                <w:bCs/>
                <w:color w:val="000000"/>
              </w:rPr>
              <w:t>($000)</w:t>
            </w: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 </w:t>
            </w:r>
          </w:p>
          <w:p w:rsidRPr="000965EA" w:rsidR="000965EA" w:rsidP="00FC60AB" w:rsidRDefault="000965EA" w14:paraId="32BB4592" w14:textId="6C7F497A">
            <w:pPr>
              <w:rPr>
                <w:rFonts w:ascii="Palatino Linotype" w:hAnsi="Palatino Linotype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965EA" w:rsidR="00FC60AB" w:rsidP="00FC60AB" w:rsidRDefault="00FC60AB" w14:paraId="5568BACB" w14:textId="005F7B9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 CASF Surcharge Rate </w:t>
            </w:r>
            <w:r w:rsidR="00C419EF">
              <w:rPr>
                <w:rFonts w:ascii="Palatino Linotype" w:hAnsi="Palatino Linotype" w:cs="Calibri"/>
                <w:b/>
                <w:bCs/>
                <w:color w:val="000000"/>
              </w:rPr>
              <w:t>at</w:t>
            </w: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 0.56% 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965EA" w:rsidR="00FC60AB" w:rsidP="00FC60AB" w:rsidRDefault="00FC60AB" w14:paraId="2DD2E5E6" w14:textId="5FCE9870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</w:rPr>
            </w:pP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 CASF Surcharge Rate </w:t>
            </w:r>
            <w:r w:rsidR="00C419EF">
              <w:rPr>
                <w:rFonts w:ascii="Palatino Linotype" w:hAnsi="Palatino Linotype" w:cs="Calibri"/>
                <w:b/>
                <w:bCs/>
                <w:color w:val="000000"/>
              </w:rPr>
              <w:t>at</w:t>
            </w:r>
            <w:r w:rsidRPr="000965EA">
              <w:rPr>
                <w:rFonts w:ascii="Palatino Linotype" w:hAnsi="Palatino Linotype" w:cs="Calibri"/>
                <w:b/>
                <w:bCs/>
                <w:color w:val="000000"/>
              </w:rPr>
              <w:t xml:space="preserve"> 1.019% Eff. 12/1/2020 </w:t>
            </w:r>
          </w:p>
        </w:tc>
      </w:tr>
      <w:tr w:rsidRPr="000965EA" w:rsidR="00FC60AB" w:rsidTr="000965EA" w14:paraId="421F9E01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06FC90C5" w14:textId="77777777">
            <w:pPr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 FY 2020-21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224A7843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$36,299 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1DF459A4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$53,655 </w:t>
            </w:r>
          </w:p>
        </w:tc>
      </w:tr>
      <w:tr w:rsidRPr="000965EA" w:rsidR="00FC60AB" w:rsidTr="000965EA" w14:paraId="590237DF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51FD5365" w14:textId="77777777">
            <w:pPr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 FY 2021-22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7E752B05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$36,251 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70005D25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$65,964 </w:t>
            </w:r>
          </w:p>
        </w:tc>
      </w:tr>
      <w:tr w:rsidRPr="000965EA" w:rsidR="00FC60AB" w:rsidTr="000965EA" w14:paraId="2C730EEA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45264159" w14:textId="0B0A0834">
            <w:pPr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 FY 2022</w:t>
            </w:r>
            <w:r w:rsidR="00C419EF">
              <w:rPr>
                <w:rFonts w:ascii="Palatino Linotype" w:hAnsi="Palatino Linotype" w:cs="Calibri"/>
                <w:color w:val="000000"/>
              </w:rPr>
              <w:t>-23</w:t>
            </w:r>
            <w:r w:rsidRPr="000965EA">
              <w:rPr>
                <w:rFonts w:ascii="Palatino Linotype" w:hAnsi="Palatino Linotype" w:cs="Calibri"/>
                <w:color w:val="000000"/>
              </w:rPr>
              <w:t xml:space="preserve"> (</w:t>
            </w:r>
            <w:r w:rsidR="00C419EF">
              <w:rPr>
                <w:rFonts w:ascii="Palatino Linotype" w:hAnsi="Palatino Linotype" w:cs="Calibri"/>
                <w:color w:val="000000"/>
              </w:rPr>
              <w:t>Jul-</w:t>
            </w:r>
            <w:r w:rsidRPr="000965EA">
              <w:rPr>
                <w:rFonts w:ascii="Palatino Linotype" w:hAnsi="Palatino Linotype" w:cs="Calibri"/>
                <w:color w:val="000000"/>
              </w:rPr>
              <w:t xml:space="preserve">Dec 2022)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67A5DD47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$18,126 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6126E6D9" w14:textId="565D35B3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$32,982 </w:t>
            </w:r>
          </w:p>
        </w:tc>
      </w:tr>
      <w:tr w:rsidRPr="000965EA" w:rsidR="00FC60AB" w:rsidTr="000965EA" w14:paraId="080132C1" w14:textId="77777777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550FF90E" w14:textId="77777777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 Total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60D263F4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$90,676 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965EA" w:rsidR="00FC60AB" w:rsidP="00FC60AB" w:rsidRDefault="00FC60AB" w14:paraId="025167A1" w14:textId="77777777">
            <w:pPr>
              <w:jc w:val="right"/>
              <w:rPr>
                <w:rFonts w:ascii="Palatino Linotype" w:hAnsi="Palatino Linotype" w:cs="Calibri"/>
                <w:color w:val="000000"/>
              </w:rPr>
            </w:pPr>
            <w:r w:rsidRPr="000965EA">
              <w:rPr>
                <w:rFonts w:ascii="Palatino Linotype" w:hAnsi="Palatino Linotype" w:cs="Calibri"/>
                <w:color w:val="000000"/>
              </w:rPr>
              <w:t xml:space="preserve">$152,601 </w:t>
            </w:r>
          </w:p>
        </w:tc>
      </w:tr>
    </w:tbl>
    <w:p w:rsidRPr="000965EA" w:rsidR="00FC60AB" w:rsidP="005B34D3" w:rsidRDefault="00FC60AB" w14:paraId="6182239D" w14:textId="77777777">
      <w:pPr>
        <w:ind w:right="432"/>
        <w:rPr>
          <w:rFonts w:ascii="Palatino Linotype" w:hAnsi="Palatino Linotype"/>
        </w:rPr>
      </w:pPr>
    </w:p>
    <w:p w:rsidRPr="000965EA" w:rsidR="005B34D3" w:rsidP="005B34D3" w:rsidRDefault="00532238" w14:paraId="76398DC3" w14:textId="7E87483B">
      <w:p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Staff’s </w:t>
      </w:r>
      <w:r w:rsidRPr="000965EA" w:rsidR="00591189">
        <w:rPr>
          <w:rFonts w:ascii="Palatino Linotype" w:hAnsi="Palatino Linotype"/>
        </w:rPr>
        <w:t>proposed surcharge rate increase would halt the continuing revenue sho</w:t>
      </w:r>
      <w:r w:rsidRPr="000965EA" w:rsidR="41C6D8EC">
        <w:rPr>
          <w:rFonts w:ascii="Palatino Linotype" w:hAnsi="Palatino Linotype"/>
        </w:rPr>
        <w:t>rtfall</w:t>
      </w:r>
      <w:r w:rsidRPr="1A612588" w:rsidR="36F26244">
        <w:rPr>
          <w:rFonts w:ascii="Palatino Linotype" w:hAnsi="Palatino Linotype"/>
        </w:rPr>
        <w:t>.  Instead of</w:t>
      </w:r>
      <w:r w:rsidRPr="48734D31" w:rsidR="41958D89">
        <w:rPr>
          <w:rFonts w:ascii="Palatino Linotype" w:hAnsi="Palatino Linotype"/>
        </w:rPr>
        <w:t xml:space="preserve"> </w:t>
      </w:r>
      <w:r w:rsidRPr="1A612588" w:rsidR="5A92E6EA">
        <w:rPr>
          <w:rFonts w:ascii="Palatino Linotype" w:hAnsi="Palatino Linotype"/>
        </w:rPr>
        <w:t>a revenue shortfall</w:t>
      </w:r>
      <w:r w:rsidR="003F3FCB">
        <w:rPr>
          <w:rStyle w:val="FootnoteReference"/>
          <w:rFonts w:ascii="Palatino Linotype" w:hAnsi="Palatino Linotype"/>
        </w:rPr>
        <w:footnoteReference w:id="7"/>
      </w:r>
      <w:r w:rsidRPr="000965EA" w:rsidR="008B315D">
        <w:rPr>
          <w:rFonts w:ascii="Palatino Linotype" w:hAnsi="Palatino Linotype"/>
        </w:rPr>
        <w:t xml:space="preserve"> of $11</w:t>
      </w:r>
      <w:r w:rsidRPr="000965EA">
        <w:rPr>
          <w:rFonts w:ascii="Palatino Linotype" w:hAnsi="Palatino Linotype"/>
        </w:rPr>
        <w:t>5</w:t>
      </w:r>
      <w:r w:rsidRPr="000965EA" w:rsidR="008B315D">
        <w:rPr>
          <w:rFonts w:ascii="Palatino Linotype" w:hAnsi="Palatino Linotype"/>
        </w:rPr>
        <w:t xml:space="preserve"> million </w:t>
      </w:r>
      <w:r w:rsidRPr="000965EA">
        <w:rPr>
          <w:rFonts w:ascii="Palatino Linotype" w:hAnsi="Palatino Linotype"/>
        </w:rPr>
        <w:t>by the end of 2022</w:t>
      </w:r>
      <w:r w:rsidRPr="1A612588" w:rsidR="6E9BF566">
        <w:rPr>
          <w:rFonts w:ascii="Palatino Linotype" w:hAnsi="Palatino Linotype"/>
        </w:rPr>
        <w:t>, the proposed surcharge rate increase would result in a shortfall of $53 million</w:t>
      </w:r>
      <w:r w:rsidRPr="000965EA" w:rsidR="008B315D">
        <w:rPr>
          <w:rFonts w:ascii="Palatino Linotype" w:hAnsi="Palatino Linotype"/>
        </w:rPr>
        <w:t>.</w:t>
      </w:r>
      <w:r w:rsidRPr="001023A3" w:rsidR="001023A3">
        <w:rPr>
          <w:rStyle w:val="FootnoteReference"/>
          <w:rFonts w:ascii="Palatino Linotype" w:hAnsi="Palatino Linotype"/>
        </w:rPr>
        <w:t xml:space="preserve"> </w:t>
      </w:r>
      <w:r w:rsidRPr="000965EA" w:rsidR="001023A3">
        <w:rPr>
          <w:rStyle w:val="FootnoteReference"/>
          <w:rFonts w:ascii="Palatino Linotype" w:hAnsi="Palatino Linotype"/>
        </w:rPr>
        <w:footnoteReference w:id="8"/>
      </w:r>
      <w:r w:rsidRPr="000965EA" w:rsidR="008B315D">
        <w:rPr>
          <w:rFonts w:ascii="Palatino Linotype" w:hAnsi="Palatino Linotype"/>
        </w:rPr>
        <w:t xml:space="preserve"> </w:t>
      </w:r>
      <w:r w:rsidRPr="000965EA" w:rsidR="00591189">
        <w:rPr>
          <w:rFonts w:ascii="Palatino Linotype" w:hAnsi="Palatino Linotype"/>
        </w:rPr>
        <w:t xml:space="preserve"> </w:t>
      </w:r>
    </w:p>
    <w:p w:rsidR="00591189" w:rsidP="005B34D3" w:rsidRDefault="00591189" w14:paraId="6F1D6C3D" w14:textId="029AD1AB">
      <w:pPr>
        <w:rPr>
          <w:rFonts w:ascii="Palatino Linotype" w:hAnsi="Palatino Linotype"/>
        </w:rPr>
      </w:pPr>
    </w:p>
    <w:p w:rsidRPr="000965EA" w:rsidR="005B34D3" w:rsidP="005B34D3" w:rsidRDefault="005B34D3" w14:paraId="19006083" w14:textId="77777777">
      <w:pPr>
        <w:pStyle w:val="Heading7"/>
        <w:rPr>
          <w:rFonts w:ascii="Palatino Linotype" w:hAnsi="Palatino Linotype"/>
          <w:bCs/>
          <w:szCs w:val="24"/>
          <w:u w:val="single"/>
        </w:rPr>
      </w:pPr>
      <w:r w:rsidRPr="000965EA">
        <w:rPr>
          <w:rFonts w:ascii="Palatino Linotype" w:hAnsi="Palatino Linotype"/>
          <w:bCs/>
          <w:szCs w:val="24"/>
          <w:u w:val="single"/>
        </w:rPr>
        <w:t>ADVICE LETTER FILING</w:t>
      </w:r>
    </w:p>
    <w:p w:rsidRPr="000965EA" w:rsidR="005B34D3" w:rsidP="005B34D3" w:rsidRDefault="005B34D3" w14:paraId="3E834001" w14:textId="77777777">
      <w:pPr>
        <w:rPr>
          <w:rFonts w:ascii="Palatino Linotype" w:hAnsi="Palatino Linotype"/>
        </w:rPr>
      </w:pPr>
    </w:p>
    <w:p w:rsidR="00C50C3D" w:rsidP="000B2B3F" w:rsidRDefault="006C7308" w14:paraId="594DE446" w14:textId="6AAED8EB">
      <w:pPr>
        <w:widowControl w:val="0"/>
        <w:rPr>
          <w:rFonts w:ascii="Palatino Linotype" w:hAnsi="Palatino Linotype"/>
        </w:rPr>
      </w:pPr>
      <w:r w:rsidRPr="69FA7AA6">
        <w:rPr>
          <w:rFonts w:ascii="Palatino Linotype" w:hAnsi="Palatino Linotype"/>
        </w:rPr>
        <w:t xml:space="preserve">Consistent with Resolution T-16901, approved December 2, 2004, AT&amp;T (formerly SBC California) should file an advice letter on or before November 9, 2020, to modify the CASF surcharge rate from 0.56% to 1.019%, effective December 1, 2020, </w:t>
      </w:r>
      <w:r w:rsidRPr="69FA7AA6" w:rsidR="00201619">
        <w:rPr>
          <w:rFonts w:ascii="Palatino Linotype" w:hAnsi="Palatino Linotype"/>
        </w:rPr>
        <w:t xml:space="preserve">and </w:t>
      </w:r>
      <w:r w:rsidRPr="69FA7AA6">
        <w:rPr>
          <w:rFonts w:ascii="Palatino Linotype" w:hAnsi="Palatino Linotype"/>
        </w:rPr>
        <w:t>until December 31, 2022 or further revis</w:t>
      </w:r>
      <w:r w:rsidRPr="1410E514" w:rsidR="6A811D5D">
        <w:rPr>
          <w:rFonts w:ascii="Palatino Linotype" w:hAnsi="Palatino Linotype"/>
        </w:rPr>
        <w:t>ion</w:t>
      </w:r>
      <w:r w:rsidRPr="69FA7AA6">
        <w:rPr>
          <w:rFonts w:ascii="Palatino Linotype" w:hAnsi="Palatino Linotype"/>
        </w:rPr>
        <w:t xml:space="preserve"> by the Commission.  Further, all telephone corporations and interconnected VoIP service providers shall revise the CASF surcharge rate assessed on revenues collected from end-users for intrastate telecommunications services subject to surcharge, from 0.56% to 1.019%.</w:t>
      </w:r>
      <w:r w:rsidRPr="69FA7AA6" w:rsidR="00C955FD">
        <w:rPr>
          <w:rFonts w:ascii="Palatino Linotype" w:hAnsi="Palatino Linotype"/>
        </w:rPr>
        <w:t xml:space="preserve"> </w:t>
      </w:r>
      <w:r w:rsidRPr="69FA7AA6">
        <w:rPr>
          <w:rFonts w:ascii="Palatino Linotype" w:hAnsi="Palatino Linotype"/>
        </w:rPr>
        <w:t xml:space="preserve"> AT&amp;T is not required to inform competing carriers of tariff changes which comply with this resolution.</w:t>
      </w:r>
    </w:p>
    <w:p w:rsidRPr="000965EA" w:rsidR="005B34D3" w:rsidP="005B34D3" w:rsidRDefault="005B34D3" w14:paraId="19DE2843" w14:textId="77777777">
      <w:pPr>
        <w:pStyle w:val="BodyText"/>
        <w:rPr>
          <w:rFonts w:ascii="Palatino Linotype" w:hAnsi="Palatino Linotype"/>
          <w:szCs w:val="24"/>
        </w:rPr>
      </w:pPr>
    </w:p>
    <w:p w:rsidRPr="000965EA" w:rsidR="005B34D3" w:rsidP="00B6730F" w:rsidRDefault="005B34D3" w14:paraId="7ABB4A88" w14:textId="06BA11DF">
      <w:pPr>
        <w:pStyle w:val="Heading7"/>
        <w:keepLines/>
        <w:rPr>
          <w:rFonts w:ascii="Palatino Linotype" w:hAnsi="Palatino Linotype"/>
          <w:szCs w:val="24"/>
          <w:u w:val="single"/>
        </w:rPr>
      </w:pPr>
      <w:r w:rsidRPr="000965EA">
        <w:rPr>
          <w:rFonts w:ascii="Palatino Linotype" w:hAnsi="Palatino Linotype"/>
          <w:szCs w:val="24"/>
          <w:u w:val="single"/>
        </w:rPr>
        <w:lastRenderedPageBreak/>
        <w:t>SAFETY</w:t>
      </w:r>
      <w:r w:rsidRPr="000965EA" w:rsidR="00CF541A">
        <w:rPr>
          <w:rFonts w:ascii="Palatino Linotype" w:hAnsi="Palatino Linotype"/>
          <w:szCs w:val="24"/>
          <w:u w:val="single"/>
        </w:rPr>
        <w:t xml:space="preserve"> CONSIDERATIONS</w:t>
      </w:r>
      <w:r w:rsidRPr="000965EA">
        <w:rPr>
          <w:rFonts w:ascii="Palatino Linotype" w:hAnsi="Palatino Linotype"/>
          <w:szCs w:val="24"/>
          <w:u w:val="single"/>
        </w:rPr>
        <w:t xml:space="preserve"> </w:t>
      </w:r>
    </w:p>
    <w:p w:rsidRPr="000965EA" w:rsidR="005B34D3" w:rsidP="005B34D3" w:rsidRDefault="005B34D3" w14:paraId="7E274C72" w14:textId="77777777">
      <w:pPr>
        <w:pStyle w:val="BodyText"/>
        <w:rPr>
          <w:rFonts w:ascii="Palatino Linotype" w:hAnsi="Palatino Linotype"/>
          <w:b/>
          <w:szCs w:val="24"/>
          <w:u w:val="single"/>
        </w:rPr>
      </w:pPr>
    </w:p>
    <w:p w:rsidR="005B34D3" w:rsidP="69FA7AA6" w:rsidRDefault="005B34D3" w14:paraId="44ACBA29" w14:textId="3A2E9465">
      <w:pPr>
        <w:pStyle w:val="BodyText"/>
        <w:rPr>
          <w:rFonts w:ascii="Palatino Linotype" w:hAnsi="Palatino Linotype"/>
        </w:rPr>
      </w:pPr>
      <w:r w:rsidRPr="69FA7AA6">
        <w:rPr>
          <w:rFonts w:ascii="Palatino Linotype" w:hAnsi="Palatino Linotype"/>
        </w:rPr>
        <w:t>The CASF provides subsidies for the deployment of high-quality advanced broadband infrastructure throughout the state of California.  Broadband infrastructure is vital to the operation and management of critical infrastructure</w:t>
      </w:r>
      <w:r w:rsidR="006E5387">
        <w:rPr>
          <w:rFonts w:ascii="Palatino Linotype" w:hAnsi="Palatino Linotype"/>
        </w:rPr>
        <w:t xml:space="preserve"> </w:t>
      </w:r>
      <w:r w:rsidRPr="69FA7AA6">
        <w:rPr>
          <w:rFonts w:ascii="Palatino Linotype" w:hAnsi="Palatino Linotype"/>
        </w:rPr>
        <w:t xml:space="preserve">and public safety and emergency response networks.  </w:t>
      </w:r>
    </w:p>
    <w:p w:rsidRPr="000965EA" w:rsidR="005B34D3" w:rsidP="005B34D3" w:rsidRDefault="005B34D3" w14:paraId="316E7D67" w14:textId="77777777">
      <w:pPr>
        <w:pStyle w:val="Heading7"/>
        <w:keepLines/>
        <w:rPr>
          <w:rFonts w:ascii="Palatino Linotype" w:hAnsi="Palatino Linotype"/>
          <w:szCs w:val="24"/>
          <w:u w:val="single"/>
        </w:rPr>
      </w:pPr>
    </w:p>
    <w:p w:rsidRPr="000965EA" w:rsidR="005B34D3" w:rsidP="005B34D3" w:rsidRDefault="005B34D3" w14:paraId="76CDAF55" w14:textId="2BBF06A5">
      <w:pPr>
        <w:pStyle w:val="Heading7"/>
        <w:keepLines/>
        <w:rPr>
          <w:rFonts w:ascii="Palatino Linotype" w:hAnsi="Palatino Linotype"/>
          <w:szCs w:val="24"/>
          <w:u w:val="single"/>
        </w:rPr>
      </w:pPr>
      <w:r w:rsidRPr="000965EA">
        <w:rPr>
          <w:rFonts w:ascii="Palatino Linotype" w:hAnsi="Palatino Linotype"/>
          <w:szCs w:val="24"/>
          <w:u w:val="single"/>
        </w:rPr>
        <w:t>COMMENTS</w:t>
      </w:r>
      <w:r w:rsidRPr="000965EA" w:rsidR="00180CE7">
        <w:rPr>
          <w:rFonts w:ascii="Palatino Linotype" w:hAnsi="Palatino Linotype"/>
          <w:szCs w:val="24"/>
          <w:u w:val="single"/>
        </w:rPr>
        <w:t xml:space="preserve"> ON DRAFT RESOLUTION</w:t>
      </w:r>
    </w:p>
    <w:p w:rsidRPr="000965EA" w:rsidR="005B34D3" w:rsidP="005B34D3" w:rsidRDefault="005B34D3" w14:paraId="4BCC44B1" w14:textId="77777777">
      <w:pPr>
        <w:rPr>
          <w:rFonts w:ascii="Palatino Linotype" w:hAnsi="Palatino Linotype"/>
        </w:rPr>
      </w:pPr>
    </w:p>
    <w:p w:rsidR="005B34D3" w:rsidP="000B2B3F" w:rsidRDefault="005B34D3" w14:paraId="76741B08" w14:textId="0FCA41CE">
      <w:pPr>
        <w:pStyle w:val="BodyText"/>
        <w:tabs>
          <w:tab w:val="left" w:pos="1170"/>
        </w:tabs>
        <w:rPr>
          <w:rFonts w:ascii="Palatino Linotype" w:hAnsi="Palatino Linotype"/>
        </w:rPr>
      </w:pPr>
      <w:r w:rsidRPr="69FA7AA6">
        <w:rPr>
          <w:rFonts w:ascii="Palatino Linotype" w:hAnsi="Palatino Linotype"/>
        </w:rPr>
        <w:t>In compliance with Pub. Util. Code</w:t>
      </w:r>
      <w:r w:rsidRPr="69FA7AA6" w:rsidR="00347977">
        <w:rPr>
          <w:rFonts w:ascii="Palatino Linotype" w:hAnsi="Palatino Linotype"/>
        </w:rPr>
        <w:t>,</w:t>
      </w:r>
      <w:r w:rsidRPr="69FA7AA6">
        <w:rPr>
          <w:rFonts w:ascii="Palatino Linotype" w:hAnsi="Palatino Linotype"/>
        </w:rPr>
        <w:t xml:space="preserve"> § 311 (g), a notice letter was emailed on </w:t>
      </w:r>
      <w:r w:rsidRPr="69FA7AA6" w:rsidR="00B6730F">
        <w:rPr>
          <w:rFonts w:ascii="Palatino Linotype" w:hAnsi="Palatino Linotype"/>
        </w:rPr>
        <w:t xml:space="preserve">September </w:t>
      </w:r>
      <w:r w:rsidR="00661654">
        <w:rPr>
          <w:rFonts w:ascii="Palatino Linotype" w:hAnsi="Palatino Linotype"/>
        </w:rPr>
        <w:t>18</w:t>
      </w:r>
      <w:r w:rsidRPr="69FA7AA6" w:rsidR="00B6730F">
        <w:rPr>
          <w:rFonts w:ascii="Palatino Linotype" w:hAnsi="Palatino Linotype"/>
        </w:rPr>
        <w:t>, 2020</w:t>
      </w:r>
      <w:r w:rsidRPr="69FA7AA6">
        <w:rPr>
          <w:rFonts w:ascii="Palatino Linotype" w:hAnsi="Palatino Linotype"/>
        </w:rPr>
        <w:t xml:space="preserve">, informing </w:t>
      </w:r>
      <w:r w:rsidRPr="000965EA" w:rsidR="00AA532B">
        <w:rPr>
          <w:rFonts w:ascii="Palatino Linotype" w:hAnsi="Palatino Linotype"/>
        </w:rPr>
        <w:t xml:space="preserve">all telecommunications carriers and interested parties on the CASF </w:t>
      </w:r>
      <w:r w:rsidR="00AA532B">
        <w:rPr>
          <w:rFonts w:ascii="Palatino Linotype" w:hAnsi="Palatino Linotype"/>
        </w:rPr>
        <w:t>D</w:t>
      </w:r>
      <w:r w:rsidRPr="000965EA" w:rsidR="00AA532B">
        <w:rPr>
          <w:rFonts w:ascii="Palatino Linotype" w:hAnsi="Palatino Linotype"/>
        </w:rPr>
        <w:t xml:space="preserve">istribution </w:t>
      </w:r>
      <w:r w:rsidR="00AA532B">
        <w:rPr>
          <w:rFonts w:ascii="Palatino Linotype" w:hAnsi="Palatino Linotype"/>
        </w:rPr>
        <w:t>L</w:t>
      </w:r>
      <w:r w:rsidRPr="000965EA" w:rsidR="00AA532B">
        <w:rPr>
          <w:rFonts w:ascii="Palatino Linotype" w:hAnsi="Palatino Linotype"/>
        </w:rPr>
        <w:t xml:space="preserve">ist regarding the availability of this draft resolution </w:t>
      </w:r>
      <w:r w:rsidRPr="69FA7AA6">
        <w:rPr>
          <w:rFonts w:ascii="Palatino Linotype" w:hAnsi="Palatino Linotype"/>
        </w:rPr>
        <w:t xml:space="preserve">for public comments on the Commission’s documents website, </w:t>
      </w:r>
      <w:hyperlink r:id="rId11">
        <w:r w:rsidRPr="69FA7AA6">
          <w:rPr>
            <w:rStyle w:val="Hyperlink"/>
            <w:rFonts w:ascii="Palatino Linotype" w:hAnsi="Palatino Linotype"/>
            <w:color w:val="000000" w:themeColor="text1"/>
          </w:rPr>
          <w:t>http://www.cpuc.ca.gov/</w:t>
        </w:r>
      </w:hyperlink>
      <w:r w:rsidRPr="69FA7AA6">
        <w:rPr>
          <w:rStyle w:val="Hyperlink"/>
          <w:rFonts w:ascii="Palatino Linotype" w:hAnsi="Palatino Linotype"/>
          <w:color w:val="000000" w:themeColor="text1"/>
        </w:rPr>
        <w:t>documents/</w:t>
      </w:r>
      <w:r w:rsidRPr="69FA7AA6">
        <w:rPr>
          <w:rFonts w:ascii="Palatino Linotype" w:hAnsi="Palatino Linotype"/>
        </w:rPr>
        <w:t xml:space="preserve">.  This letter also informed parties that the final conformed Resolution adopted by the Commission will be posted and available at the same website.  </w:t>
      </w:r>
    </w:p>
    <w:p w:rsidR="00490903" w:rsidP="000B2B3F" w:rsidRDefault="00490903" w14:paraId="5ED6D1D1" w14:textId="7FF80400">
      <w:pPr>
        <w:pStyle w:val="BodyText"/>
        <w:tabs>
          <w:tab w:val="left" w:pos="1170"/>
        </w:tabs>
        <w:rPr>
          <w:rFonts w:ascii="Palatino Linotype" w:hAnsi="Palatino Linotype"/>
        </w:rPr>
      </w:pPr>
    </w:p>
    <w:p w:rsidRPr="000965EA" w:rsidR="005B34D3" w:rsidP="005B34D3" w:rsidRDefault="005B34D3" w14:paraId="6600FF3A" w14:textId="4BEE1040">
      <w:pPr>
        <w:pStyle w:val="Heading4"/>
        <w:rPr>
          <w:rFonts w:ascii="Palatino Linotype" w:hAnsi="Palatino Linotype"/>
          <w:sz w:val="24"/>
          <w:szCs w:val="24"/>
          <w:u w:val="single"/>
        </w:rPr>
      </w:pPr>
      <w:r w:rsidRPr="000965EA">
        <w:rPr>
          <w:rFonts w:ascii="Palatino Linotype" w:hAnsi="Palatino Linotype"/>
          <w:bCs/>
          <w:sz w:val="24"/>
          <w:szCs w:val="24"/>
          <w:u w:val="single"/>
        </w:rPr>
        <w:t>FIN</w:t>
      </w:r>
      <w:r w:rsidRPr="000965EA">
        <w:rPr>
          <w:rFonts w:ascii="Palatino Linotype" w:hAnsi="Palatino Linotype"/>
          <w:sz w:val="24"/>
          <w:szCs w:val="24"/>
          <w:u w:val="single"/>
        </w:rPr>
        <w:t xml:space="preserve">DINGS </w:t>
      </w:r>
    </w:p>
    <w:p w:rsidRPr="000965EA" w:rsidR="005B34D3" w:rsidP="005B34D3" w:rsidRDefault="005B34D3" w14:paraId="4F4C52B3" w14:textId="77777777">
      <w:pPr>
        <w:rPr>
          <w:rFonts w:ascii="Palatino Linotype" w:hAnsi="Palatino Linotype"/>
        </w:rPr>
      </w:pPr>
    </w:p>
    <w:p w:rsidRPr="000965EA" w:rsidR="005B34D3" w:rsidP="005B34D3" w:rsidRDefault="005B34D3" w14:paraId="3E0D75D1" w14:textId="38849051">
      <w:pPr>
        <w:numPr>
          <w:ilvl w:val="0"/>
          <w:numId w:val="1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Pursuant to AB 1665, the Commission is authorized to collect up to $330 million beginning January 1, 2018 through the 2022 calendar year, in an amount not to exceed $66 million per year.</w:t>
      </w:r>
    </w:p>
    <w:p w:rsidRPr="000965EA" w:rsidR="000A78C8" w:rsidP="000A78C8" w:rsidRDefault="000A78C8" w14:paraId="50A14CE4" w14:textId="77777777">
      <w:pPr>
        <w:ind w:left="420"/>
        <w:rPr>
          <w:rFonts w:ascii="Palatino Linotype" w:hAnsi="Palatino Linotype"/>
        </w:rPr>
      </w:pPr>
    </w:p>
    <w:p w:rsidRPr="000965EA" w:rsidR="00FF0698" w:rsidP="005B34D3" w:rsidRDefault="00FF0698" w14:paraId="694261F0" w14:textId="0B7FABBF">
      <w:pPr>
        <w:numPr>
          <w:ilvl w:val="0"/>
          <w:numId w:val="1"/>
        </w:numPr>
        <w:rPr>
          <w:rFonts w:ascii="Palatino Linotype" w:hAnsi="Palatino Linotype"/>
        </w:rPr>
      </w:pPr>
      <w:r w:rsidRPr="69FA7AA6">
        <w:rPr>
          <w:rFonts w:ascii="Palatino Linotype" w:hAnsi="Palatino Linotype"/>
        </w:rPr>
        <w:t xml:space="preserve">In </w:t>
      </w:r>
      <w:r w:rsidRPr="69FA7AA6" w:rsidR="00A80170">
        <w:rPr>
          <w:rFonts w:ascii="Palatino Linotype" w:hAnsi="Palatino Linotype"/>
        </w:rPr>
        <w:t>Resolution T-175</w:t>
      </w:r>
      <w:r w:rsidRPr="69FA7AA6" w:rsidR="00834E78">
        <w:rPr>
          <w:rFonts w:ascii="Palatino Linotype" w:hAnsi="Palatino Linotype"/>
        </w:rPr>
        <w:t>93</w:t>
      </w:r>
      <w:r w:rsidRPr="69FA7AA6">
        <w:rPr>
          <w:rFonts w:ascii="Palatino Linotype" w:hAnsi="Palatino Linotype"/>
        </w:rPr>
        <w:t>, the Commission adopted a CASF surcharge rate of 0.56% effective March 1, 2018.  The CASF was expected to collect $55 million in CY 2018, and $66 million in each of years 2019-2022 for a total of $319 million.</w:t>
      </w:r>
    </w:p>
    <w:p w:rsidRPr="000965EA" w:rsidR="00FF0698" w:rsidP="00FF0698" w:rsidRDefault="00FF0698" w14:paraId="427B9057" w14:textId="77777777">
      <w:pPr>
        <w:rPr>
          <w:rFonts w:ascii="Palatino Linotype" w:hAnsi="Palatino Linotype"/>
        </w:rPr>
      </w:pPr>
    </w:p>
    <w:p w:rsidRPr="000965EA" w:rsidR="00FF0698" w:rsidP="00FF0698" w:rsidRDefault="00FF0698" w14:paraId="25552791" w14:textId="4BAE8263">
      <w:pPr>
        <w:numPr>
          <w:ilvl w:val="0"/>
          <w:numId w:val="1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Due to </w:t>
      </w:r>
      <w:r w:rsidRPr="000965EA" w:rsidR="00A80170">
        <w:rPr>
          <w:rFonts w:ascii="Palatino Linotype" w:hAnsi="Palatino Linotype"/>
        </w:rPr>
        <w:t>the</w:t>
      </w:r>
      <w:r w:rsidRPr="000965EA">
        <w:rPr>
          <w:rFonts w:ascii="Palatino Linotype" w:hAnsi="Palatino Linotype"/>
        </w:rPr>
        <w:t xml:space="preserve"> significant decline of intrastate telecommunications revenue for services subject to surcharge in recent years, CASF experienced a revenue shortfall in excess of $53 million for the period of March 1, 2018 through June 30, 2020. </w:t>
      </w:r>
    </w:p>
    <w:p w:rsidRPr="007E0061" w:rsidR="00FF0698" w:rsidP="69FA7AA6" w:rsidRDefault="00FF0698" w14:paraId="195D24B0" w14:textId="77777777">
      <w:pPr>
        <w:rPr>
          <w:rFonts w:ascii="Palatino Linotype" w:hAnsi="Palatino Linotype"/>
        </w:rPr>
      </w:pPr>
    </w:p>
    <w:p w:rsidRPr="000965EA" w:rsidR="00EF03BF" w:rsidP="005B34D3" w:rsidRDefault="00FF0698" w14:paraId="1C461754" w14:textId="68064E7F">
      <w:pPr>
        <w:numPr>
          <w:ilvl w:val="0"/>
          <w:numId w:val="1"/>
        </w:numPr>
        <w:rPr>
          <w:rFonts w:ascii="Palatino Linotype" w:hAnsi="Palatino Linotype"/>
        </w:rPr>
      </w:pPr>
      <w:r w:rsidRPr="5E4528E8">
        <w:rPr>
          <w:rFonts w:ascii="Palatino Linotype" w:hAnsi="Palatino Linotype"/>
        </w:rPr>
        <w:t xml:space="preserve">To alleviate the continuing </w:t>
      </w:r>
      <w:r w:rsidRPr="5E4528E8" w:rsidR="00A80170">
        <w:rPr>
          <w:rFonts w:ascii="Palatino Linotype" w:hAnsi="Palatino Linotype"/>
        </w:rPr>
        <w:t xml:space="preserve">growth of revenue shortfall, </w:t>
      </w:r>
      <w:r w:rsidRPr="5E4528E8">
        <w:rPr>
          <w:rFonts w:ascii="Palatino Linotype" w:hAnsi="Palatino Linotype"/>
        </w:rPr>
        <w:t>Staff</w:t>
      </w:r>
      <w:r w:rsidRPr="5E4528E8" w:rsidR="00A80170">
        <w:rPr>
          <w:rFonts w:ascii="Palatino Linotype" w:hAnsi="Palatino Linotype"/>
        </w:rPr>
        <w:t xml:space="preserve"> proposes an </w:t>
      </w:r>
      <w:r w:rsidRPr="5E4528E8">
        <w:rPr>
          <w:rFonts w:ascii="Palatino Linotype" w:hAnsi="Palatino Linotype"/>
        </w:rPr>
        <w:t>increase of CASF surcharge rate from 0.56% to 1.019%</w:t>
      </w:r>
      <w:r w:rsidRPr="5E4528E8" w:rsidR="00A80170">
        <w:rPr>
          <w:rFonts w:ascii="Palatino Linotype" w:hAnsi="Palatino Linotype"/>
        </w:rPr>
        <w:t xml:space="preserve">.  This proposed rate </w:t>
      </w:r>
      <w:r w:rsidRPr="5E4528E8" w:rsidR="006A55B7">
        <w:rPr>
          <w:rFonts w:ascii="Palatino Linotype" w:hAnsi="Palatino Linotype"/>
        </w:rPr>
        <w:t xml:space="preserve">increase </w:t>
      </w:r>
      <w:r w:rsidRPr="5E4528E8" w:rsidR="00A80170">
        <w:rPr>
          <w:rFonts w:ascii="Palatino Linotype" w:hAnsi="Palatino Linotype"/>
        </w:rPr>
        <w:t xml:space="preserve">would </w:t>
      </w:r>
      <w:r w:rsidRPr="5E4528E8" w:rsidR="00EF03BF">
        <w:rPr>
          <w:rFonts w:ascii="Palatino Linotype" w:hAnsi="Palatino Linotype"/>
        </w:rPr>
        <w:t>collect no more than $66 million a year</w:t>
      </w:r>
      <w:r w:rsidRPr="5E4528E8" w:rsidR="00A80170">
        <w:rPr>
          <w:rFonts w:ascii="Palatino Linotype" w:hAnsi="Palatino Linotype"/>
        </w:rPr>
        <w:t xml:space="preserve"> for CASF</w:t>
      </w:r>
      <w:r w:rsidRPr="5E4528E8" w:rsidR="00EF03BF">
        <w:rPr>
          <w:rFonts w:ascii="Palatino Linotype" w:hAnsi="Palatino Linotype"/>
        </w:rPr>
        <w:t>.</w:t>
      </w:r>
    </w:p>
    <w:p w:rsidRPr="000965EA" w:rsidR="00EF03BF" w:rsidP="00EF03BF" w:rsidRDefault="00EF03BF" w14:paraId="47F9AE6F" w14:textId="77777777">
      <w:pPr>
        <w:pStyle w:val="ListParagraph"/>
        <w:rPr>
          <w:rFonts w:ascii="Palatino Linotype" w:hAnsi="Palatino Linotype"/>
          <w:sz w:val="24"/>
          <w:szCs w:val="24"/>
        </w:rPr>
      </w:pPr>
    </w:p>
    <w:p w:rsidRPr="000965EA" w:rsidR="000A78C8" w:rsidP="005B34D3" w:rsidRDefault="00EF03BF" w14:paraId="445CD5D8" w14:textId="6CF446C5">
      <w:pPr>
        <w:numPr>
          <w:ilvl w:val="0"/>
          <w:numId w:val="1"/>
        </w:numPr>
        <w:rPr>
          <w:rFonts w:ascii="Palatino Linotype" w:hAnsi="Palatino Linotype"/>
        </w:rPr>
      </w:pPr>
      <w:r w:rsidRPr="24AD470E">
        <w:rPr>
          <w:rFonts w:ascii="Palatino Linotype" w:hAnsi="Palatino Linotype"/>
        </w:rPr>
        <w:t xml:space="preserve">Staff’s proposed increase of surcharge rate </w:t>
      </w:r>
      <w:r w:rsidRPr="24AD470E" w:rsidR="00FF0698">
        <w:rPr>
          <w:rFonts w:ascii="Palatino Linotype" w:hAnsi="Palatino Linotype"/>
        </w:rPr>
        <w:t xml:space="preserve">is </w:t>
      </w:r>
      <w:r w:rsidRPr="24AD470E">
        <w:rPr>
          <w:rFonts w:ascii="Palatino Linotype" w:hAnsi="Palatino Linotype"/>
        </w:rPr>
        <w:t xml:space="preserve">consistent with AB </w:t>
      </w:r>
      <w:r w:rsidRPr="000965EA">
        <w:rPr>
          <w:rFonts w:ascii="Palatino Linotype" w:hAnsi="Palatino Linotype"/>
        </w:rPr>
        <w:t>16</w:t>
      </w:r>
      <w:r w:rsidR="008818B1">
        <w:rPr>
          <w:rFonts w:ascii="Palatino Linotype" w:hAnsi="Palatino Linotype"/>
        </w:rPr>
        <w:t>6</w:t>
      </w:r>
      <w:r w:rsidRPr="000965EA">
        <w:rPr>
          <w:rFonts w:ascii="Palatino Linotype" w:hAnsi="Palatino Linotype"/>
        </w:rPr>
        <w:t>5</w:t>
      </w:r>
      <w:r w:rsidR="00AA6209">
        <w:rPr>
          <w:rFonts w:ascii="Palatino Linotype" w:hAnsi="Palatino Linotype"/>
        </w:rPr>
        <w:t xml:space="preserve"> </w:t>
      </w:r>
      <w:r w:rsidRPr="24AD470E">
        <w:rPr>
          <w:rFonts w:ascii="Palatino Linotype" w:hAnsi="Palatino Linotype"/>
        </w:rPr>
        <w:t xml:space="preserve">requirements </w:t>
      </w:r>
      <w:r w:rsidRPr="24AD470E" w:rsidR="00FF0698">
        <w:rPr>
          <w:rFonts w:ascii="Palatino Linotype" w:hAnsi="Palatino Linotype"/>
        </w:rPr>
        <w:t xml:space="preserve">and should be adopted.  </w:t>
      </w:r>
    </w:p>
    <w:p w:rsidRPr="000965EA" w:rsidR="00817029" w:rsidP="00817029" w:rsidRDefault="00817029" w14:paraId="5AC5E518" w14:textId="77777777">
      <w:pPr>
        <w:rPr>
          <w:rFonts w:ascii="Palatino Linotype" w:hAnsi="Palatino Linotype"/>
        </w:rPr>
      </w:pPr>
    </w:p>
    <w:p w:rsidRPr="000965EA" w:rsidR="00EF03BF" w:rsidP="00EF03BF" w:rsidRDefault="00EF03BF" w14:paraId="1517EB74" w14:textId="0C8CA414">
      <w:pPr>
        <w:numPr>
          <w:ilvl w:val="0"/>
          <w:numId w:val="1"/>
        </w:numPr>
        <w:spacing w:after="120"/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All telecommunications carriers and interconnected VoIP service providers should revise the CASF surcharge rate assessed on intrastate telecommunications service </w:t>
      </w:r>
      <w:r w:rsidRPr="000965EA">
        <w:rPr>
          <w:rFonts w:ascii="Palatino Linotype" w:hAnsi="Palatino Linotype"/>
        </w:rPr>
        <w:lastRenderedPageBreak/>
        <w:t>revenues to 1.019%, effective December 1, 2020, and until December 30, 2022 or further revis</w:t>
      </w:r>
      <w:r w:rsidRPr="1A612588" w:rsidR="400B4AC7">
        <w:rPr>
          <w:rFonts w:ascii="Palatino Linotype" w:hAnsi="Palatino Linotype"/>
        </w:rPr>
        <w:t>ion</w:t>
      </w:r>
      <w:r w:rsidRPr="000965EA">
        <w:rPr>
          <w:rFonts w:ascii="Palatino Linotype" w:hAnsi="Palatino Linotype"/>
        </w:rPr>
        <w:t xml:space="preserve"> by the Commission.</w:t>
      </w:r>
    </w:p>
    <w:p w:rsidRPr="000965EA" w:rsidR="005B34D3" w:rsidP="005B34D3" w:rsidRDefault="005B34D3" w14:paraId="017C5AD8" w14:textId="77777777">
      <w:pPr>
        <w:rPr>
          <w:rFonts w:ascii="Palatino Linotype" w:hAnsi="Palatino Linotype"/>
        </w:rPr>
      </w:pPr>
    </w:p>
    <w:p w:rsidRPr="000965EA" w:rsidR="00EF03BF" w:rsidP="00EF03BF" w:rsidRDefault="005B34D3" w14:paraId="2D96EC0C" w14:textId="5D4B2F89">
      <w:pPr>
        <w:numPr>
          <w:ilvl w:val="0"/>
          <w:numId w:val="1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 In accordance with Resolution T-16901, dated December 2, 2004, AT&amp;T should file an advice letter with the Communications Division by</w:t>
      </w:r>
      <w:r w:rsidRPr="000965EA" w:rsidR="00EF03BF">
        <w:rPr>
          <w:rFonts w:ascii="Palatino Linotype" w:hAnsi="Palatino Linotype"/>
        </w:rPr>
        <w:t xml:space="preserve"> November 9, 2020</w:t>
      </w:r>
      <w:r w:rsidRPr="000965EA">
        <w:rPr>
          <w:rFonts w:ascii="Palatino Linotype" w:hAnsi="Palatino Linotype"/>
        </w:rPr>
        <w:t>, modifying the CASF surcharge rate from 0.</w:t>
      </w:r>
      <w:r w:rsidRPr="000965EA" w:rsidR="00817029">
        <w:rPr>
          <w:rFonts w:ascii="Palatino Linotype" w:hAnsi="Palatino Linotype"/>
        </w:rPr>
        <w:t>56</w:t>
      </w:r>
      <w:r w:rsidRPr="000965EA">
        <w:rPr>
          <w:rFonts w:ascii="Palatino Linotype" w:hAnsi="Palatino Linotype"/>
        </w:rPr>
        <w:t xml:space="preserve">% to </w:t>
      </w:r>
      <w:r w:rsidRPr="000965EA" w:rsidR="009A50C0">
        <w:rPr>
          <w:rFonts w:ascii="Palatino Linotype" w:hAnsi="Palatino Linotype"/>
        </w:rPr>
        <w:t>1.019%</w:t>
      </w:r>
      <w:r w:rsidRPr="000965EA">
        <w:rPr>
          <w:rFonts w:ascii="Palatino Linotype" w:hAnsi="Palatino Linotype"/>
        </w:rPr>
        <w:t xml:space="preserve"> </w:t>
      </w:r>
      <w:r w:rsidRPr="000965EA" w:rsidR="00EF03BF">
        <w:rPr>
          <w:rFonts w:ascii="Palatino Linotype" w:hAnsi="Palatino Linotype"/>
        </w:rPr>
        <w:t xml:space="preserve">effective </w:t>
      </w:r>
      <w:r w:rsidR="00703F92">
        <w:rPr>
          <w:rFonts w:ascii="Palatino Linotype" w:hAnsi="Palatino Linotype"/>
        </w:rPr>
        <w:br/>
      </w:r>
      <w:r w:rsidRPr="000965EA" w:rsidR="00EF03BF">
        <w:rPr>
          <w:rFonts w:ascii="Palatino Linotype" w:hAnsi="Palatino Linotype"/>
        </w:rPr>
        <w:t xml:space="preserve">December 1, 2020, </w:t>
      </w:r>
      <w:r w:rsidRPr="000965EA" w:rsidR="00201619">
        <w:rPr>
          <w:rFonts w:ascii="Palatino Linotype" w:hAnsi="Palatino Linotype"/>
        </w:rPr>
        <w:t xml:space="preserve">and </w:t>
      </w:r>
      <w:r w:rsidRPr="000965EA" w:rsidR="00EF03BF">
        <w:rPr>
          <w:rFonts w:ascii="Palatino Linotype" w:hAnsi="Palatino Linotype"/>
        </w:rPr>
        <w:t>until December 30, 2022 or further revis</w:t>
      </w:r>
      <w:r w:rsidRPr="1A612588" w:rsidR="5C794CA0">
        <w:rPr>
          <w:rFonts w:ascii="Palatino Linotype" w:hAnsi="Palatino Linotype"/>
        </w:rPr>
        <w:t>ion</w:t>
      </w:r>
      <w:r w:rsidRPr="000965EA" w:rsidR="00EF03BF">
        <w:rPr>
          <w:rFonts w:ascii="Palatino Linotype" w:hAnsi="Palatino Linotype"/>
        </w:rPr>
        <w:t xml:space="preserve"> by the Commission.</w:t>
      </w:r>
    </w:p>
    <w:p w:rsidRPr="000965EA" w:rsidR="005B34D3" w:rsidP="005B34D3" w:rsidRDefault="005B34D3" w14:paraId="4AB4E661" w14:textId="77777777">
      <w:pPr>
        <w:pStyle w:val="ListParagraph"/>
        <w:rPr>
          <w:rFonts w:ascii="Palatino Linotype" w:hAnsi="Palatino Linotype"/>
          <w:sz w:val="24"/>
          <w:szCs w:val="24"/>
        </w:rPr>
      </w:pPr>
    </w:p>
    <w:p w:rsidR="000B2B3F" w:rsidP="005B34D3" w:rsidRDefault="005B34D3" w14:paraId="7C90E737" w14:textId="6641F781">
      <w:pPr>
        <w:numPr>
          <w:ilvl w:val="0"/>
          <w:numId w:val="1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On </w:t>
      </w:r>
      <w:r w:rsidRPr="000965EA" w:rsidR="00EF03BF">
        <w:rPr>
          <w:rFonts w:ascii="Palatino Linotype" w:hAnsi="Palatino Linotype"/>
        </w:rPr>
        <w:t xml:space="preserve">September </w:t>
      </w:r>
      <w:r w:rsidR="00661654">
        <w:rPr>
          <w:rFonts w:ascii="Palatino Linotype" w:hAnsi="Palatino Linotype"/>
        </w:rPr>
        <w:t>18</w:t>
      </w:r>
      <w:r w:rsidRPr="000965EA" w:rsidR="00EF03BF">
        <w:rPr>
          <w:rFonts w:ascii="Palatino Linotype" w:hAnsi="Palatino Linotype"/>
        </w:rPr>
        <w:t>, 2020</w:t>
      </w:r>
      <w:r w:rsidRPr="000965EA">
        <w:rPr>
          <w:rFonts w:ascii="Palatino Linotype" w:hAnsi="Palatino Linotype"/>
        </w:rPr>
        <w:t xml:space="preserve">, a notice letter was emailed to all telecommunications carriers and interested parties on the CASF </w:t>
      </w:r>
      <w:r w:rsidR="008818B1">
        <w:rPr>
          <w:rFonts w:ascii="Palatino Linotype" w:hAnsi="Palatino Linotype"/>
        </w:rPr>
        <w:t>D</w:t>
      </w:r>
      <w:r w:rsidRPr="000965EA">
        <w:rPr>
          <w:rFonts w:ascii="Palatino Linotype" w:hAnsi="Palatino Linotype"/>
        </w:rPr>
        <w:t xml:space="preserve">istribution </w:t>
      </w:r>
      <w:r w:rsidR="008818B1">
        <w:rPr>
          <w:rFonts w:ascii="Palatino Linotype" w:hAnsi="Palatino Linotype"/>
        </w:rPr>
        <w:t>L</w:t>
      </w:r>
      <w:r w:rsidRPr="000965EA">
        <w:rPr>
          <w:rFonts w:ascii="Palatino Linotype" w:hAnsi="Palatino Linotype"/>
        </w:rPr>
        <w:t xml:space="preserve">ist regarding the availability of this draft resolution and the conformed resolution, when adopted by the Commission, on the Commission’s website. </w:t>
      </w:r>
    </w:p>
    <w:p w:rsidR="000B2B3F" w:rsidP="000B2B3F" w:rsidRDefault="000B2B3F" w14:paraId="5E03182C" w14:textId="77777777">
      <w:pPr>
        <w:pStyle w:val="ListParagraph"/>
        <w:rPr>
          <w:rFonts w:ascii="Palatino Linotype" w:hAnsi="Palatino Linotype"/>
        </w:rPr>
      </w:pPr>
    </w:p>
    <w:p w:rsidRPr="000965EA" w:rsidR="005B34D3" w:rsidP="00D87BFF" w:rsidRDefault="005B34D3" w14:paraId="3895EBA0" w14:textId="142EA9A0">
      <w:pPr>
        <w:ind w:left="420"/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 </w:t>
      </w:r>
    </w:p>
    <w:p w:rsidRPr="000965EA" w:rsidR="005B34D3" w:rsidP="005B34D3" w:rsidRDefault="005B34D3" w14:paraId="6A7D1D88" w14:textId="77777777">
      <w:pPr>
        <w:keepNext/>
        <w:keepLines/>
        <w:rPr>
          <w:rFonts w:ascii="Palatino Linotype" w:hAnsi="Palatino Linotype"/>
          <w:b/>
        </w:rPr>
      </w:pPr>
      <w:r w:rsidRPr="000965EA">
        <w:rPr>
          <w:rFonts w:ascii="Palatino Linotype" w:hAnsi="Palatino Linotype"/>
          <w:b/>
        </w:rPr>
        <w:t>THEREFORE, IT IS ORDERED that:</w:t>
      </w:r>
    </w:p>
    <w:p w:rsidRPr="000965EA" w:rsidR="005B34D3" w:rsidP="005B34D3" w:rsidRDefault="005B34D3" w14:paraId="5CE2E463" w14:textId="77777777">
      <w:pPr>
        <w:keepNext/>
        <w:keepLines/>
        <w:rPr>
          <w:rFonts w:ascii="Palatino Linotype" w:hAnsi="Palatino Linotype"/>
          <w:b/>
        </w:rPr>
      </w:pPr>
    </w:p>
    <w:p w:rsidRPr="000965EA" w:rsidR="005B34D3" w:rsidP="005B34D3" w:rsidRDefault="005B34D3" w14:paraId="07609F15" w14:textId="53CA4017">
      <w:pPr>
        <w:keepNext/>
        <w:keepLines/>
        <w:numPr>
          <w:ilvl w:val="0"/>
          <w:numId w:val="2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The CASF surcharge rate shall be increased from 0.</w:t>
      </w:r>
      <w:r w:rsidRPr="000965EA" w:rsidR="00817029">
        <w:rPr>
          <w:rFonts w:ascii="Palatino Linotype" w:hAnsi="Palatino Linotype"/>
        </w:rPr>
        <w:t>56</w:t>
      </w:r>
      <w:r w:rsidRPr="000965EA">
        <w:rPr>
          <w:rFonts w:ascii="Palatino Linotype" w:hAnsi="Palatino Linotype"/>
        </w:rPr>
        <w:t xml:space="preserve">% to </w:t>
      </w:r>
      <w:r w:rsidRPr="000965EA" w:rsidR="009A50C0">
        <w:rPr>
          <w:rFonts w:ascii="Palatino Linotype" w:hAnsi="Palatino Linotype"/>
        </w:rPr>
        <w:t>1.019%</w:t>
      </w:r>
      <w:r w:rsidRPr="000965EA">
        <w:rPr>
          <w:rFonts w:ascii="Palatino Linotype" w:hAnsi="Palatino Linotype"/>
        </w:rPr>
        <w:t xml:space="preserve">, effective </w:t>
      </w:r>
      <w:r w:rsidRPr="000965EA" w:rsidR="009B3C67">
        <w:rPr>
          <w:rFonts w:ascii="Palatino Linotype" w:hAnsi="Palatino Linotype"/>
        </w:rPr>
        <w:t>December 1, 2020</w:t>
      </w:r>
      <w:r w:rsidRPr="000965EA">
        <w:rPr>
          <w:rFonts w:ascii="Palatino Linotype" w:hAnsi="Palatino Linotype"/>
        </w:rPr>
        <w:t xml:space="preserve">, </w:t>
      </w:r>
      <w:r w:rsidRPr="000965EA" w:rsidR="00201619">
        <w:rPr>
          <w:rFonts w:ascii="Palatino Linotype" w:hAnsi="Palatino Linotype"/>
        </w:rPr>
        <w:t xml:space="preserve">and </w:t>
      </w:r>
      <w:r w:rsidRPr="000965EA">
        <w:rPr>
          <w:rFonts w:ascii="Palatino Linotype" w:hAnsi="Palatino Linotype"/>
        </w:rPr>
        <w:t>until December 31, 2022</w:t>
      </w:r>
      <w:r w:rsidRPr="000965EA" w:rsidR="009B3C67">
        <w:rPr>
          <w:rFonts w:ascii="Palatino Linotype" w:hAnsi="Palatino Linotype"/>
        </w:rPr>
        <w:t xml:space="preserve"> or further revis</w:t>
      </w:r>
      <w:r w:rsidRPr="1A612588" w:rsidR="44931BF1">
        <w:rPr>
          <w:rFonts w:ascii="Palatino Linotype" w:hAnsi="Palatino Linotype"/>
        </w:rPr>
        <w:t>ion</w:t>
      </w:r>
      <w:r w:rsidRPr="000965EA" w:rsidR="009B3C67">
        <w:rPr>
          <w:rFonts w:ascii="Palatino Linotype" w:hAnsi="Palatino Linotype"/>
        </w:rPr>
        <w:t xml:space="preserve"> by the Commission</w:t>
      </w:r>
      <w:r w:rsidRPr="000965EA" w:rsidR="001933EE">
        <w:rPr>
          <w:rFonts w:ascii="Palatino Linotype" w:hAnsi="Palatino Linotype"/>
        </w:rPr>
        <w:t>.</w:t>
      </w:r>
    </w:p>
    <w:p w:rsidRPr="000965EA" w:rsidR="005B34D3" w:rsidP="005B34D3" w:rsidRDefault="005B34D3" w14:paraId="20C3986F" w14:textId="77777777">
      <w:pPr>
        <w:keepNext/>
        <w:keepLines/>
        <w:ind w:left="60"/>
        <w:rPr>
          <w:rFonts w:ascii="Palatino Linotype" w:hAnsi="Palatino Linotype"/>
        </w:rPr>
      </w:pPr>
    </w:p>
    <w:p w:rsidRPr="000965EA" w:rsidR="005B34D3" w:rsidP="005B34D3" w:rsidRDefault="005B34D3" w14:paraId="0ABBAFD2" w14:textId="110997E3">
      <w:pPr>
        <w:keepNext/>
        <w:keepLines/>
        <w:numPr>
          <w:ilvl w:val="0"/>
          <w:numId w:val="2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AT&amp;T shall file an advice letter with the Communications Division by </w:t>
      </w:r>
      <w:r w:rsidRPr="000965EA" w:rsidR="009B3C67">
        <w:rPr>
          <w:rFonts w:ascii="Palatino Linotype" w:hAnsi="Palatino Linotype"/>
        </w:rPr>
        <w:t>November</w:t>
      </w:r>
      <w:r w:rsidRPr="000965EA" w:rsidR="001933EE">
        <w:rPr>
          <w:rFonts w:ascii="Palatino Linotype" w:hAnsi="Palatino Linotype"/>
        </w:rPr>
        <w:t xml:space="preserve"> 9, 2020,</w:t>
      </w:r>
      <w:r w:rsidRPr="000965EA">
        <w:rPr>
          <w:rFonts w:ascii="Palatino Linotype" w:hAnsi="Palatino Linotype"/>
        </w:rPr>
        <w:t xml:space="preserve"> modifying the surcharge rate for the California Advanced Services Fund from 0.</w:t>
      </w:r>
      <w:r w:rsidRPr="000965EA" w:rsidR="00817029">
        <w:rPr>
          <w:rFonts w:ascii="Palatino Linotype" w:hAnsi="Palatino Linotype"/>
        </w:rPr>
        <w:t>56</w:t>
      </w:r>
      <w:r w:rsidRPr="000965EA">
        <w:rPr>
          <w:rFonts w:ascii="Palatino Linotype" w:hAnsi="Palatino Linotype"/>
        </w:rPr>
        <w:t xml:space="preserve">% to </w:t>
      </w:r>
      <w:r w:rsidRPr="000965EA" w:rsidR="009A50C0">
        <w:rPr>
          <w:rFonts w:ascii="Palatino Linotype" w:hAnsi="Palatino Linotype"/>
        </w:rPr>
        <w:t>1.019%</w:t>
      </w:r>
      <w:r w:rsidRPr="000965EA">
        <w:rPr>
          <w:rFonts w:ascii="Palatino Linotype" w:hAnsi="Palatino Linotype"/>
        </w:rPr>
        <w:t xml:space="preserve">, </w:t>
      </w:r>
      <w:r w:rsidRPr="000965EA" w:rsidR="001933EE">
        <w:rPr>
          <w:rFonts w:ascii="Palatino Linotype" w:hAnsi="Palatino Linotype"/>
        </w:rPr>
        <w:t xml:space="preserve">effective December 1, 2020, </w:t>
      </w:r>
      <w:r w:rsidRPr="000965EA" w:rsidR="00201619">
        <w:rPr>
          <w:rFonts w:ascii="Palatino Linotype" w:hAnsi="Palatino Linotype"/>
        </w:rPr>
        <w:t xml:space="preserve">and </w:t>
      </w:r>
      <w:r w:rsidRPr="000965EA" w:rsidR="001933EE">
        <w:rPr>
          <w:rFonts w:ascii="Palatino Linotype" w:hAnsi="Palatino Linotype"/>
        </w:rPr>
        <w:t>until December 31, 2022 or further revis</w:t>
      </w:r>
      <w:r w:rsidRPr="1A612588" w:rsidR="5FC0F12E">
        <w:rPr>
          <w:rFonts w:ascii="Palatino Linotype" w:hAnsi="Palatino Linotype"/>
        </w:rPr>
        <w:t>ion</w:t>
      </w:r>
      <w:r w:rsidRPr="000965EA" w:rsidR="001933EE">
        <w:rPr>
          <w:rFonts w:ascii="Palatino Linotype" w:hAnsi="Palatino Linotype"/>
        </w:rPr>
        <w:t xml:space="preserve"> by the Commission.</w:t>
      </w:r>
    </w:p>
    <w:p w:rsidRPr="000965EA" w:rsidR="005B34D3" w:rsidP="005B34D3" w:rsidRDefault="005B34D3" w14:paraId="5D54C86E" w14:textId="77777777">
      <w:pPr>
        <w:ind w:hanging="360"/>
        <w:rPr>
          <w:rFonts w:ascii="Palatino Linotype" w:hAnsi="Palatino Linotype"/>
        </w:rPr>
      </w:pPr>
    </w:p>
    <w:p w:rsidRPr="009A1823" w:rsidR="00C143B6" w:rsidP="005B34D3" w:rsidRDefault="005B34D3" w14:paraId="27B3381F" w14:textId="1C89A210">
      <w:pPr>
        <w:numPr>
          <w:ilvl w:val="0"/>
          <w:numId w:val="2"/>
        </w:num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All certificated telecommunications carriers shall revise the CASF surcharge rate from 0.</w:t>
      </w:r>
      <w:r w:rsidRPr="000965EA" w:rsidR="00817029">
        <w:rPr>
          <w:rFonts w:ascii="Palatino Linotype" w:hAnsi="Palatino Linotype"/>
        </w:rPr>
        <w:t>56</w:t>
      </w:r>
      <w:r w:rsidRPr="000965EA">
        <w:rPr>
          <w:rFonts w:ascii="Palatino Linotype" w:hAnsi="Palatino Linotype"/>
        </w:rPr>
        <w:t xml:space="preserve">% to </w:t>
      </w:r>
      <w:r w:rsidRPr="000965EA" w:rsidR="009A50C0">
        <w:rPr>
          <w:rFonts w:ascii="Palatino Linotype" w:hAnsi="Palatino Linotype"/>
        </w:rPr>
        <w:t>1.019%</w:t>
      </w:r>
      <w:r w:rsidRPr="000965EA">
        <w:rPr>
          <w:rFonts w:ascii="Palatino Linotype" w:hAnsi="Palatino Linotype"/>
        </w:rPr>
        <w:t xml:space="preserve"> on their respective end-user charges billed for intrastate telecommunications services </w:t>
      </w:r>
      <w:r w:rsidRPr="000965EA" w:rsidR="001933EE">
        <w:rPr>
          <w:rFonts w:ascii="Palatino Linotype" w:hAnsi="Palatino Linotype"/>
        </w:rPr>
        <w:t xml:space="preserve">subject to surcharge </w:t>
      </w:r>
      <w:r w:rsidRPr="000965EA">
        <w:rPr>
          <w:rFonts w:ascii="Palatino Linotype" w:hAnsi="Palatino Linotype"/>
        </w:rPr>
        <w:t xml:space="preserve">beginning </w:t>
      </w:r>
      <w:r w:rsidRPr="000965EA" w:rsidR="001933EE">
        <w:rPr>
          <w:rFonts w:ascii="Palatino Linotype" w:hAnsi="Palatino Linotype"/>
        </w:rPr>
        <w:t xml:space="preserve">December 1, 2020, </w:t>
      </w:r>
      <w:r w:rsidRPr="000965EA" w:rsidR="00201619">
        <w:rPr>
          <w:rFonts w:ascii="Palatino Linotype" w:hAnsi="Palatino Linotype"/>
        </w:rPr>
        <w:t xml:space="preserve">and </w:t>
      </w:r>
      <w:r w:rsidRPr="000965EA" w:rsidR="001933EE">
        <w:rPr>
          <w:rFonts w:ascii="Palatino Linotype" w:hAnsi="Palatino Linotype"/>
        </w:rPr>
        <w:t>until December 31, 2022 or further revis</w:t>
      </w:r>
      <w:r w:rsidRPr="1A612588" w:rsidR="55B350A7">
        <w:rPr>
          <w:rFonts w:ascii="Palatino Linotype" w:hAnsi="Palatino Linotype"/>
        </w:rPr>
        <w:t>ion</w:t>
      </w:r>
      <w:r w:rsidRPr="000965EA" w:rsidR="001933EE">
        <w:rPr>
          <w:rFonts w:ascii="Palatino Linotype" w:hAnsi="Palatino Linotype"/>
        </w:rPr>
        <w:t xml:space="preserve"> by the Commission</w:t>
      </w:r>
      <w:r w:rsidRPr="000965EA" w:rsidR="00193F48">
        <w:rPr>
          <w:rFonts w:ascii="Palatino Linotype" w:hAnsi="Palatino Linotype"/>
        </w:rPr>
        <w:t>.</w:t>
      </w:r>
    </w:p>
    <w:p w:rsidR="00C143B6" w:rsidP="005B34D3" w:rsidRDefault="00C143B6" w14:paraId="4AD98EB3" w14:textId="77777777">
      <w:pPr>
        <w:rPr>
          <w:rFonts w:ascii="Palatino Linotype" w:hAnsi="Palatino Linotype"/>
        </w:rPr>
      </w:pPr>
    </w:p>
    <w:p w:rsidR="003F25AC" w:rsidRDefault="003F25AC" w14:paraId="2F36824C" w14:textId="5F7329F4">
      <w:pPr>
        <w:spacing w:after="160" w:line="259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C143B6" w:rsidP="005B34D3" w:rsidRDefault="00C143B6" w14:paraId="601D710C" w14:textId="77777777">
      <w:pPr>
        <w:rPr>
          <w:rFonts w:ascii="Palatino Linotype" w:hAnsi="Palatino Linotype"/>
        </w:rPr>
      </w:pPr>
    </w:p>
    <w:p w:rsidRPr="000965EA" w:rsidR="005B34D3" w:rsidP="005B34D3" w:rsidRDefault="005B34D3" w14:paraId="5CD16F50" w14:textId="176147A7">
      <w:pPr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>This Resolution is effective today.</w:t>
      </w:r>
    </w:p>
    <w:p w:rsidRPr="000965EA" w:rsidR="005B34D3" w:rsidP="005B34D3" w:rsidRDefault="005B34D3" w14:paraId="69A83763" w14:textId="77777777">
      <w:pPr>
        <w:pStyle w:val="xl41"/>
        <w:keepNext/>
        <w:keepLines/>
        <w:overflowPunct/>
        <w:autoSpaceDE/>
        <w:autoSpaceDN/>
        <w:adjustRightInd/>
        <w:spacing w:before="0" w:after="0"/>
        <w:textAlignment w:val="auto"/>
        <w:rPr>
          <w:rFonts w:ascii="Palatino Linotype" w:hAnsi="Palatino Linotype" w:eastAsia="Times New Roman"/>
          <w:szCs w:val="24"/>
        </w:rPr>
      </w:pPr>
    </w:p>
    <w:p w:rsidRPr="000965EA" w:rsidR="005B34D3" w:rsidP="005B34D3" w:rsidRDefault="005B34D3" w14:paraId="7561BD4F" w14:textId="78A7FBC8">
      <w:pPr>
        <w:keepNext/>
        <w:keepLines/>
        <w:rPr>
          <w:rFonts w:ascii="Palatino Linotype" w:hAnsi="Palatino Linotype"/>
        </w:rPr>
      </w:pPr>
      <w:r w:rsidRPr="000965EA">
        <w:rPr>
          <w:rFonts w:ascii="Palatino Linotype" w:hAnsi="Palatino Linotype"/>
        </w:rPr>
        <w:t xml:space="preserve">I hereby certify that this Resolution was adopted by the Public Utilities Commission at its regular meeting on </w:t>
      </w:r>
      <w:r w:rsidR="003F25AC">
        <w:rPr>
          <w:rFonts w:ascii="Palatino Linotype" w:hAnsi="Palatino Linotype"/>
        </w:rPr>
        <w:t>________________</w:t>
      </w:r>
      <w:r w:rsidRPr="000965EA" w:rsidR="00817029">
        <w:rPr>
          <w:rFonts w:ascii="Palatino Linotype" w:hAnsi="Palatino Linotype"/>
        </w:rPr>
        <w:t>.  T</w:t>
      </w:r>
      <w:r w:rsidRPr="000965EA">
        <w:rPr>
          <w:rFonts w:ascii="Palatino Linotype" w:hAnsi="Palatino Linotype"/>
        </w:rPr>
        <w:t>he following Commissioners approved it:</w:t>
      </w:r>
    </w:p>
    <w:p w:rsidRPr="000965EA" w:rsidR="00FD4A31" w:rsidP="005B34D3" w:rsidRDefault="00FD4A31" w14:paraId="461E4D64" w14:textId="138BE25A">
      <w:pPr>
        <w:keepNext/>
        <w:keepLines/>
        <w:rPr>
          <w:rFonts w:ascii="Palatino Linotype" w:hAnsi="Palatino Linotype"/>
        </w:rPr>
      </w:pPr>
    </w:p>
    <w:p w:rsidRPr="000965EA" w:rsidR="00FD4A31" w:rsidP="00FD4A31" w:rsidRDefault="00FD4A31" w14:paraId="150BD8A6" w14:textId="680EB2D0">
      <w:pPr>
        <w:keepLines/>
        <w:rPr>
          <w:rFonts w:ascii="Palatino Linotype" w:hAnsi="Palatino Linotype"/>
        </w:rPr>
      </w:pPr>
    </w:p>
    <w:p w:rsidRPr="000965EA" w:rsidR="001933EE" w:rsidP="00FD4A31" w:rsidRDefault="001933EE" w14:paraId="16EED1B9" w14:textId="62F058DB">
      <w:pPr>
        <w:keepLines/>
        <w:rPr>
          <w:rFonts w:ascii="Palatino Linotype" w:hAnsi="Palatino Linotype"/>
        </w:rPr>
      </w:pPr>
    </w:p>
    <w:p w:rsidRPr="000965EA" w:rsidR="001933EE" w:rsidP="00FD4A31" w:rsidRDefault="001933EE" w14:paraId="398DC1AB" w14:textId="77777777">
      <w:pPr>
        <w:keepLines/>
        <w:rPr>
          <w:rFonts w:ascii="Palatino Linotype" w:hAnsi="Palatino Linotyp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Pr="000965EA" w:rsidR="00FD4A31" w:rsidTr="69FA7AA6" w14:paraId="30B1A5C2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65EA" w:rsidR="00FD4A31" w:rsidP="00E1272D" w:rsidRDefault="00FD4A31" w14:paraId="0283136D" w14:textId="77777777">
            <w:pPr>
              <w:keepLines/>
              <w:rPr>
                <w:rFonts w:ascii="Palatino Linotype" w:hAnsi="Palatino Linotyp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0965EA" w:rsidR="00FD4A31" w:rsidP="00E1272D" w:rsidRDefault="00FD4A31" w14:paraId="798CFC22" w14:textId="77777777">
            <w:pPr>
              <w:keepLines/>
              <w:rPr>
                <w:rFonts w:ascii="Palatino Linotype" w:hAnsi="Palatino Linotype"/>
              </w:rPr>
            </w:pPr>
          </w:p>
        </w:tc>
      </w:tr>
      <w:tr w:rsidRPr="000965EA" w:rsidR="00FD4A31" w:rsidTr="69FA7AA6" w14:paraId="61E26CC7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965EA" w:rsidR="00FD4A31" w:rsidP="00E1272D" w:rsidRDefault="00FD4A31" w14:paraId="2A30C231" w14:textId="77777777">
            <w:pPr>
              <w:keepLines/>
              <w:rPr>
                <w:rFonts w:ascii="Palatino Linotype" w:hAnsi="Palatino Linotype"/>
              </w:rPr>
            </w:pPr>
          </w:p>
        </w:tc>
        <w:tc>
          <w:tcPr>
            <w:tcW w:w="478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3D23B2" w:rsidP="000517A2" w:rsidRDefault="007E0061" w14:paraId="4C2F6AD4" w14:textId="77777777">
            <w:pPr>
              <w:keepLines/>
              <w:jc w:val="center"/>
              <w:rPr>
                <w:rFonts w:ascii="Palatino Linotype" w:hAnsi="Palatino Linotype"/>
              </w:rPr>
            </w:pPr>
            <w:r w:rsidRPr="69FA7AA6">
              <w:rPr>
                <w:rFonts w:ascii="Palatino Linotype" w:hAnsi="Palatino Linotype"/>
              </w:rPr>
              <w:t xml:space="preserve">Rachel Peterson </w:t>
            </w:r>
          </w:p>
          <w:p w:rsidRPr="000965EA" w:rsidR="00FD4A31" w:rsidP="00E1272D" w:rsidRDefault="00FD4A31" w14:paraId="4E74620D" w14:textId="30B5DEC1">
            <w:pPr>
              <w:keepLines/>
              <w:jc w:val="center"/>
              <w:rPr>
                <w:rFonts w:ascii="Palatino Linotype" w:hAnsi="Palatino Linotype"/>
              </w:rPr>
            </w:pPr>
            <w:r w:rsidRPr="69FA7AA6">
              <w:rPr>
                <w:rFonts w:ascii="Palatino Linotype" w:hAnsi="Palatino Linotype"/>
              </w:rPr>
              <w:t>Acting Executive Director</w:t>
            </w:r>
          </w:p>
        </w:tc>
      </w:tr>
    </w:tbl>
    <w:p w:rsidRPr="000965EA" w:rsidR="00FD4A31" w:rsidP="005B34D3" w:rsidRDefault="00FD4A31" w14:paraId="7877552F" w14:textId="2439A7B1">
      <w:pPr>
        <w:keepNext/>
        <w:keepLines/>
        <w:rPr>
          <w:rFonts w:ascii="Palatino Linotype" w:hAnsi="Palatino Linotype"/>
        </w:rPr>
      </w:pPr>
    </w:p>
    <w:p w:rsidRPr="000965EA" w:rsidR="0091149E" w:rsidP="005B34D3" w:rsidRDefault="0091149E" w14:paraId="52E2F329" w14:textId="67975F22">
      <w:pPr>
        <w:keepNext/>
        <w:keepLines/>
        <w:rPr>
          <w:rFonts w:ascii="Palatino Linotype" w:hAnsi="Palatino Linotype"/>
        </w:rPr>
      </w:pPr>
    </w:p>
    <w:p w:rsidRPr="000965EA" w:rsidR="0091149E" w:rsidP="005B34D3" w:rsidRDefault="0091149E" w14:paraId="35298321" w14:textId="77777777">
      <w:pPr>
        <w:keepNext/>
        <w:keepLines/>
        <w:rPr>
          <w:rFonts w:ascii="Palatino Linotype" w:hAnsi="Palatino Linotype"/>
        </w:rPr>
      </w:pPr>
    </w:p>
    <w:sectPr w:rsidRPr="000965EA" w:rsidR="0091149E" w:rsidSect="006A5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53D6" w14:textId="77777777" w:rsidR="00FA66B6" w:rsidRDefault="00FA66B6" w:rsidP="005B34D3">
      <w:r>
        <w:separator/>
      </w:r>
    </w:p>
  </w:endnote>
  <w:endnote w:type="continuationSeparator" w:id="0">
    <w:p w14:paraId="68E9A46B" w14:textId="77777777" w:rsidR="00FA66B6" w:rsidRDefault="00FA66B6" w:rsidP="005B34D3">
      <w:r>
        <w:continuationSeparator/>
      </w:r>
    </w:p>
  </w:endnote>
  <w:endnote w:type="continuationNotice" w:id="1">
    <w:p w14:paraId="7ACB925A" w14:textId="77777777" w:rsidR="00FA66B6" w:rsidRDefault="00FA6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A9B7" w14:textId="77777777" w:rsidR="000E0AA3" w:rsidRDefault="000E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47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31CA5" w14:textId="5251B92B" w:rsidR="00A7552D" w:rsidRDefault="00A75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ECF03" w14:textId="77777777" w:rsidR="00A7552D" w:rsidRDefault="00A75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350932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7"/>
        <w:szCs w:val="17"/>
      </w:rPr>
    </w:sdtEndPr>
    <w:sdtContent>
      <w:p w14:paraId="7E32DCB8" w14:textId="77777777" w:rsidR="006A55B7" w:rsidRDefault="006A55B7">
        <w:pPr>
          <w:pStyle w:val="Footer"/>
          <w:jc w:val="center"/>
        </w:pPr>
      </w:p>
      <w:p w14:paraId="54DEA17E" w14:textId="77777777" w:rsidR="006A55B7" w:rsidRDefault="006A55B7">
        <w:pPr>
          <w:pStyle w:val="Footer"/>
          <w:jc w:val="center"/>
        </w:pPr>
      </w:p>
      <w:p w14:paraId="1BA97205" w14:textId="1C66E0C8" w:rsidR="00A7552D" w:rsidRPr="00C53ECA" w:rsidRDefault="00C53ECA" w:rsidP="003F25AC">
        <w:pPr>
          <w:pStyle w:val="Footer"/>
          <w:rPr>
            <w:rFonts w:ascii="Tahoma" w:hAnsi="Tahoma" w:cs="Tahoma"/>
            <w:sz w:val="17"/>
            <w:szCs w:val="17"/>
          </w:rPr>
        </w:pPr>
        <w:r w:rsidRPr="00C53ECA">
          <w:rPr>
            <w:rFonts w:ascii="Tahoma" w:hAnsi="Tahoma" w:cs="Tahoma"/>
            <w:sz w:val="17"/>
            <w:szCs w:val="17"/>
          </w:rPr>
          <w:t>347261299</w:t>
        </w:r>
      </w:p>
    </w:sdtContent>
  </w:sdt>
  <w:p w14:paraId="4EE96B7C" w14:textId="0712F238" w:rsidR="00E1272D" w:rsidRPr="00A7552D" w:rsidRDefault="00E1272D" w:rsidP="00A7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38B5" w14:textId="77777777" w:rsidR="00FA66B6" w:rsidRDefault="00FA66B6" w:rsidP="005B34D3">
      <w:r>
        <w:separator/>
      </w:r>
    </w:p>
  </w:footnote>
  <w:footnote w:type="continuationSeparator" w:id="0">
    <w:p w14:paraId="6BB0D518" w14:textId="77777777" w:rsidR="00FA66B6" w:rsidRDefault="00FA66B6" w:rsidP="005B34D3">
      <w:r>
        <w:continuationSeparator/>
      </w:r>
    </w:p>
  </w:footnote>
  <w:footnote w:type="continuationNotice" w:id="1">
    <w:p w14:paraId="68451981" w14:textId="77777777" w:rsidR="00FA66B6" w:rsidRDefault="00FA66B6"/>
  </w:footnote>
  <w:footnote w:id="2">
    <w:p w14:paraId="0E549C42" w14:textId="2EDD4D8F" w:rsidR="00710717" w:rsidRDefault="00710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0717">
        <w:t xml:space="preserve">More background and historical information about </w:t>
      </w:r>
      <w:r>
        <w:t>the CASF program</w:t>
      </w:r>
      <w:r w:rsidRPr="00710717">
        <w:t xml:space="preserve"> is available at</w:t>
      </w:r>
      <w:r>
        <w:t xml:space="preserve"> </w:t>
      </w:r>
      <w:hyperlink r:id="rId1" w:history="1">
        <w:r w:rsidRPr="00AB3FCF">
          <w:rPr>
            <w:rStyle w:val="Hyperlink"/>
          </w:rPr>
          <w:t>https://www.cpuc.ca.gov/casf/</w:t>
        </w:r>
      </w:hyperlink>
      <w:r w:rsidRPr="00710717">
        <w:t>.</w:t>
      </w:r>
      <w:r>
        <w:t xml:space="preserve"> </w:t>
      </w:r>
    </w:p>
  </w:footnote>
  <w:footnote w:id="3">
    <w:p w14:paraId="0FB95AFC" w14:textId="718D2C23" w:rsidR="00710717" w:rsidRDefault="00710717" w:rsidP="00710717">
      <w:pPr>
        <w:pStyle w:val="FootnoteText"/>
      </w:pPr>
      <w:r>
        <w:rPr>
          <w:rStyle w:val="FootnoteReference"/>
        </w:rPr>
        <w:footnoteRef/>
      </w:r>
      <w:r w:rsidR="69FA7AA6">
        <w:t xml:space="preserve"> </w:t>
      </w:r>
      <w:r w:rsidR="69FA7AA6" w:rsidRPr="007D31F4">
        <w:t>AB 1665 (Garcia) Stats. 2017 Ch. 851, amending Public Utilities (Pub. Util.) Codes, §</w:t>
      </w:r>
      <w:r w:rsidR="69FA7AA6" w:rsidRPr="5E4528E8">
        <w:t xml:space="preserve">§ </w:t>
      </w:r>
      <w:r w:rsidR="69FA7AA6" w:rsidRPr="007D31F4">
        <w:t>281, 912.2, and 914.7</w:t>
      </w:r>
      <w:r w:rsidR="69FA7AA6">
        <w:t>. AB 1665 is codified</w:t>
      </w:r>
      <w:r w:rsidR="69FA7AA6" w:rsidRPr="5E4528E8">
        <w:t xml:space="preserve"> </w:t>
      </w:r>
      <w:r w:rsidR="69FA7AA6">
        <w:t xml:space="preserve">at Pub. Util. Code, </w:t>
      </w:r>
      <w:r w:rsidR="69FA7AA6" w:rsidRPr="5E4528E8">
        <w:t>§ 281.</w:t>
      </w:r>
    </w:p>
  </w:footnote>
  <w:footnote w:id="4">
    <w:p w14:paraId="613B24AA" w14:textId="4DD34DFF" w:rsidR="00710717" w:rsidRDefault="00710717">
      <w:pPr>
        <w:pStyle w:val="FootnoteText"/>
      </w:pPr>
      <w:r>
        <w:rPr>
          <w:rStyle w:val="FootnoteReference"/>
        </w:rPr>
        <w:footnoteRef/>
      </w:r>
      <w:r>
        <w:t xml:space="preserve"> The CASF</w:t>
      </w:r>
      <w:r w:rsidRPr="00710717">
        <w:t xml:space="preserve"> surcharge rate has been revised</w:t>
      </w:r>
      <w:r w:rsidR="00DA256C">
        <w:t xml:space="preserve"> periodically </w:t>
      </w:r>
      <w:r w:rsidRPr="00710717">
        <w:t>pursuant to changes in legislation and economic circumstances).</w:t>
      </w:r>
      <w:r w:rsidR="007B0DF5">
        <w:t xml:space="preserve">  </w:t>
      </w:r>
      <w:r w:rsidR="00DA256C">
        <w:t xml:space="preserve">Historical CASF surcharge rates are available online at: </w:t>
      </w:r>
      <w:hyperlink r:id="rId2" w:history="1">
        <w:r w:rsidR="00DA256C" w:rsidRPr="00EA23B9">
          <w:rPr>
            <w:rStyle w:val="Hyperlink"/>
          </w:rPr>
          <w:t>https://www.cpuc.ca.gov/surchargesfeestaxes/</w:t>
        </w:r>
      </w:hyperlink>
      <w:r w:rsidR="00DA256C">
        <w:t>.</w:t>
      </w:r>
      <w:r w:rsidR="007B0DF5">
        <w:t xml:space="preserve"> </w:t>
      </w:r>
    </w:p>
  </w:footnote>
  <w:footnote w:id="5">
    <w:p w14:paraId="5981A7D7" w14:textId="090B1114" w:rsidR="00494233" w:rsidRDefault="00494233">
      <w:pPr>
        <w:pStyle w:val="FootnoteText"/>
      </w:pPr>
      <w:r>
        <w:rPr>
          <w:rStyle w:val="FootnoteReference"/>
        </w:rPr>
        <w:footnoteRef/>
      </w:r>
      <w:r w:rsidR="6500ACE2">
        <w:t xml:space="preserve"> </w:t>
      </w:r>
      <w:r w:rsidR="6500ACE2" w:rsidRPr="00494233">
        <w:t>$15 million was over-collected before the surcharge revision was implemented</w:t>
      </w:r>
      <w:r w:rsidR="6500ACE2">
        <w:t xml:space="preserve"> in 2016.  See Resolution T-17593.</w:t>
      </w:r>
    </w:p>
  </w:footnote>
  <w:footnote w:id="6">
    <w:p w14:paraId="28CE6028" w14:textId="77777777" w:rsidR="00150AD4" w:rsidRDefault="00150AD4" w:rsidP="00150AD4">
      <w:pPr>
        <w:pStyle w:val="FootnoteText"/>
      </w:pPr>
      <w:r>
        <w:rPr>
          <w:rStyle w:val="FootnoteReference"/>
        </w:rPr>
        <w:footnoteRef/>
      </w:r>
      <w:r>
        <w:t xml:space="preserve"> Total reported intrastate revenue subject to surcharge was $10.027 billion in 2018 and $7.370 billion in 2019. </w:t>
      </w:r>
    </w:p>
  </w:footnote>
  <w:footnote w:id="7">
    <w:p w14:paraId="2B32EBE0" w14:textId="453CEFA3" w:rsidR="003F3FCB" w:rsidRDefault="003F3F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71E8">
        <w:t>Since AB 16</w:t>
      </w:r>
      <w:r w:rsidR="00FB2954">
        <w:t>6</w:t>
      </w:r>
      <w:r w:rsidR="002471E8">
        <w:t>5 limits CASF annual</w:t>
      </w:r>
      <w:r w:rsidR="00937E09">
        <w:t xml:space="preserve"> surcharge</w:t>
      </w:r>
      <w:r w:rsidR="002471E8">
        <w:t xml:space="preserve"> collection </w:t>
      </w:r>
      <w:r w:rsidR="00701062">
        <w:t>to</w:t>
      </w:r>
      <w:r w:rsidR="002471E8">
        <w:t xml:space="preserve"> no more than $66 million</w:t>
      </w:r>
      <w:r w:rsidR="00241E4F">
        <w:t xml:space="preserve"> per year</w:t>
      </w:r>
      <w:r w:rsidR="002471E8">
        <w:t>, this</w:t>
      </w:r>
      <w:r w:rsidR="001375A3">
        <w:t xml:space="preserve"> accumulated</w:t>
      </w:r>
      <w:r w:rsidR="002471E8">
        <w:t xml:space="preserve"> revenue shortfall cannot be recovered unless the sunset date is extended beyond December 31, 2022</w:t>
      </w:r>
      <w:r w:rsidR="00606B26">
        <w:t xml:space="preserve"> or</w:t>
      </w:r>
      <w:r w:rsidR="00606B26" w:rsidRPr="00606B26">
        <w:t xml:space="preserve"> unless increasing the surcharge rate would not result in an increase in the total amount of all surcharges collected from customers that year</w:t>
      </w:r>
      <w:r w:rsidR="00606B26">
        <w:t>.</w:t>
      </w:r>
    </w:p>
  </w:footnote>
  <w:footnote w:id="8">
    <w:p w14:paraId="10AAABA3" w14:textId="6EF840D7" w:rsidR="001023A3" w:rsidRDefault="001023A3" w:rsidP="001023A3">
      <w:pPr>
        <w:pStyle w:val="FootnoteText"/>
      </w:pPr>
      <w:r>
        <w:rPr>
          <w:rStyle w:val="FootnoteReference"/>
        </w:rPr>
        <w:footnoteRef/>
      </w:r>
      <w:r>
        <w:t xml:space="preserve"> This is derived from $53 million revenue shortfall as of June 30, 2020 plus $62 million from July 1, 2020 through December 30, 2022, i.e. the difference of expected revenue between surcharge rate of 0.56% and 1.019% </w:t>
      </w:r>
      <w:r w:rsidR="00F53FDB">
        <w:br/>
      </w:r>
      <w:r>
        <w:t xml:space="preserve">($152 million minus $90 million).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6149" w14:textId="77777777" w:rsidR="000E0AA3" w:rsidRDefault="000E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6D3F" w14:textId="4BCB7A7F" w:rsidR="00AB7282" w:rsidRPr="00277D67" w:rsidRDefault="00AB7282" w:rsidP="00AB7282">
    <w:pPr>
      <w:pStyle w:val="Header"/>
      <w:rPr>
        <w:rFonts w:ascii="Palatino Linotype" w:hAnsi="Palatino Linotype"/>
        <w:b w:val="0"/>
        <w:bCs/>
      </w:rPr>
    </w:pPr>
    <w:r w:rsidRPr="00277D67">
      <w:rPr>
        <w:rFonts w:ascii="Palatino Linotype" w:hAnsi="Palatino Linotype"/>
        <w:b w:val="0"/>
        <w:bCs/>
      </w:rPr>
      <w:t xml:space="preserve">Resolution T-17709 </w:t>
    </w:r>
    <w:r w:rsidRPr="00277D67">
      <w:rPr>
        <w:rFonts w:ascii="Palatino Linotype" w:hAnsi="Palatino Linotype"/>
        <w:b w:val="0"/>
        <w:bCs/>
      </w:rPr>
      <w:tab/>
      <w:t>DRAFT</w:t>
    </w:r>
    <w:r w:rsidRPr="00277D67">
      <w:rPr>
        <w:rFonts w:ascii="Palatino Linotype" w:hAnsi="Palatino Linotype"/>
        <w:b w:val="0"/>
        <w:bCs/>
      </w:rPr>
      <w:tab/>
      <w:t xml:space="preserve">October 22, 2020 </w:t>
    </w:r>
  </w:p>
  <w:p w14:paraId="2D190033" w14:textId="77777777" w:rsidR="00AB7282" w:rsidRPr="00A07EA2" w:rsidRDefault="00AB7282" w:rsidP="00AB7282">
    <w:pPr>
      <w:pStyle w:val="Header"/>
      <w:tabs>
        <w:tab w:val="left" w:pos="8808"/>
      </w:tabs>
    </w:pPr>
    <w:r w:rsidRPr="00277D67">
      <w:rPr>
        <w:rFonts w:ascii="Palatino Linotype" w:hAnsi="Palatino Linotype"/>
        <w:b w:val="0"/>
        <w:bCs/>
      </w:rPr>
      <w:t xml:space="preserve">CD/XSH/AYY                                                                                                                       </w:t>
    </w:r>
  </w:p>
  <w:p w14:paraId="49A0EBBE" w14:textId="77777777" w:rsidR="00AB7282" w:rsidRDefault="00AB7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BBF3" w14:textId="1E5471B9" w:rsidR="00E1272D" w:rsidRPr="003F25AC" w:rsidRDefault="00FD1406" w:rsidP="00E1272D">
    <w:pPr>
      <w:pStyle w:val="Header"/>
      <w:rPr>
        <w:rFonts w:ascii="Palatino Linotype" w:hAnsi="Palatino Linotype"/>
        <w:b w:val="0"/>
        <w:bCs/>
      </w:rPr>
    </w:pPr>
    <w:r w:rsidRPr="003F25AC">
      <w:rPr>
        <w:rFonts w:ascii="Palatino Linotype" w:hAnsi="Palatino Linotype"/>
        <w:b w:val="0"/>
        <w:bCs/>
      </w:rPr>
      <w:t xml:space="preserve">Resolution </w:t>
    </w:r>
    <w:r w:rsidR="009A50C0" w:rsidRPr="003F25AC">
      <w:rPr>
        <w:rFonts w:ascii="Palatino Linotype" w:hAnsi="Palatino Linotype"/>
        <w:b w:val="0"/>
        <w:bCs/>
      </w:rPr>
      <w:t>T-17709</w:t>
    </w:r>
    <w:r w:rsidRPr="003F25AC">
      <w:rPr>
        <w:rFonts w:ascii="Palatino Linotype" w:hAnsi="Palatino Linotype"/>
        <w:b w:val="0"/>
        <w:bCs/>
      </w:rPr>
      <w:t xml:space="preserve"> </w:t>
    </w:r>
    <w:r w:rsidRPr="003F25AC">
      <w:rPr>
        <w:rFonts w:ascii="Palatino Linotype" w:hAnsi="Palatino Linotype"/>
        <w:b w:val="0"/>
        <w:bCs/>
      </w:rPr>
      <w:tab/>
    </w:r>
    <w:r w:rsidR="00A7552D" w:rsidRPr="003F25AC">
      <w:rPr>
        <w:rFonts w:ascii="Palatino Linotype" w:hAnsi="Palatino Linotype"/>
        <w:b w:val="0"/>
        <w:bCs/>
      </w:rPr>
      <w:t>DRAFT</w:t>
    </w:r>
    <w:r w:rsidR="00A7552D" w:rsidRPr="003F25AC">
      <w:rPr>
        <w:rFonts w:ascii="Palatino Linotype" w:hAnsi="Palatino Linotype"/>
        <w:b w:val="0"/>
        <w:bCs/>
      </w:rPr>
      <w:tab/>
    </w:r>
    <w:r w:rsidR="00AB7282" w:rsidRPr="003F25AC">
      <w:rPr>
        <w:rFonts w:ascii="Palatino Linotype" w:hAnsi="Palatino Linotype"/>
        <w:b w:val="0"/>
        <w:bCs/>
      </w:rPr>
      <w:t>Agenda ID#</w:t>
    </w:r>
    <w:r w:rsidR="000E0AA3">
      <w:rPr>
        <w:rFonts w:ascii="Palatino Linotype" w:hAnsi="Palatino Linotype"/>
        <w:b w:val="0"/>
        <w:bCs/>
      </w:rPr>
      <w:t xml:space="preserve"> 18806</w:t>
    </w:r>
    <w:r w:rsidRPr="003F25AC">
      <w:rPr>
        <w:rFonts w:ascii="Palatino Linotype" w:hAnsi="Palatino Linotype"/>
        <w:b w:val="0"/>
        <w:bCs/>
      </w:rPr>
      <w:t xml:space="preserve"> </w:t>
    </w:r>
  </w:p>
  <w:p w14:paraId="127B0075" w14:textId="77777777" w:rsidR="003F25AC" w:rsidRDefault="00FD1406" w:rsidP="00E1272D">
    <w:pPr>
      <w:pStyle w:val="Header"/>
      <w:tabs>
        <w:tab w:val="left" w:pos="8808"/>
      </w:tabs>
      <w:rPr>
        <w:rFonts w:ascii="Palatino Linotype" w:hAnsi="Palatino Linotype"/>
        <w:b w:val="0"/>
        <w:bCs/>
      </w:rPr>
    </w:pPr>
    <w:r w:rsidRPr="003F25AC">
      <w:rPr>
        <w:rFonts w:ascii="Palatino Linotype" w:hAnsi="Palatino Linotype"/>
        <w:b w:val="0"/>
        <w:bCs/>
      </w:rPr>
      <w:t>CD/</w:t>
    </w:r>
    <w:r w:rsidR="007B2E42" w:rsidRPr="003F25AC">
      <w:rPr>
        <w:rFonts w:ascii="Palatino Linotype" w:hAnsi="Palatino Linotype"/>
        <w:b w:val="0"/>
        <w:bCs/>
      </w:rPr>
      <w:t>XSH/AYY</w:t>
    </w:r>
    <w:r w:rsidRPr="003F25AC">
      <w:rPr>
        <w:rFonts w:ascii="Palatino Linotype" w:hAnsi="Palatino Linotype"/>
        <w:b w:val="0"/>
        <w:bCs/>
      </w:rPr>
      <w:t xml:space="preserve">  </w:t>
    </w:r>
  </w:p>
  <w:p w14:paraId="1B894387" w14:textId="526BF3F6" w:rsidR="00E1272D" w:rsidRPr="003F25AC" w:rsidRDefault="00FD1406" w:rsidP="00E1272D">
    <w:pPr>
      <w:pStyle w:val="Header"/>
      <w:tabs>
        <w:tab w:val="left" w:pos="8808"/>
      </w:tabs>
      <w:rPr>
        <w:b w:val="0"/>
        <w:bCs/>
      </w:rPr>
    </w:pPr>
    <w:r w:rsidRPr="003F25AC">
      <w:rPr>
        <w:rFonts w:ascii="Palatino Linotype" w:hAnsi="Palatino Linotype"/>
        <w:b w:val="0"/>
        <w:bCs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7767"/>
    <w:multiLevelType w:val="hybridMultilevel"/>
    <w:tmpl w:val="12ACA07C"/>
    <w:lvl w:ilvl="0" w:tplc="612C6B1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30C077E"/>
    <w:multiLevelType w:val="hybridMultilevel"/>
    <w:tmpl w:val="E23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945"/>
    <w:multiLevelType w:val="hybridMultilevel"/>
    <w:tmpl w:val="2BFE11B0"/>
    <w:lvl w:ilvl="0" w:tplc="9938A792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EDB4C63"/>
    <w:multiLevelType w:val="hybridMultilevel"/>
    <w:tmpl w:val="23560A2A"/>
    <w:lvl w:ilvl="0" w:tplc="578620DA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D3"/>
    <w:rsid w:val="000175AC"/>
    <w:rsid w:val="000517A2"/>
    <w:rsid w:val="00060228"/>
    <w:rsid w:val="00074284"/>
    <w:rsid w:val="000760A2"/>
    <w:rsid w:val="000965EA"/>
    <w:rsid w:val="000A4985"/>
    <w:rsid w:val="000A78C8"/>
    <w:rsid w:val="000B2B3F"/>
    <w:rsid w:val="000B403F"/>
    <w:rsid w:val="000C2A22"/>
    <w:rsid w:val="000C470A"/>
    <w:rsid w:val="000E0AA3"/>
    <w:rsid w:val="000F322E"/>
    <w:rsid w:val="001023A3"/>
    <w:rsid w:val="0013392B"/>
    <w:rsid w:val="001375A3"/>
    <w:rsid w:val="00145C8D"/>
    <w:rsid w:val="00150AD4"/>
    <w:rsid w:val="00150CC7"/>
    <w:rsid w:val="001662A0"/>
    <w:rsid w:val="0017178F"/>
    <w:rsid w:val="00180CE7"/>
    <w:rsid w:val="001933EE"/>
    <w:rsid w:val="001935A1"/>
    <w:rsid w:val="00193F48"/>
    <w:rsid w:val="001A6DD9"/>
    <w:rsid w:val="001A77DE"/>
    <w:rsid w:val="001B23CE"/>
    <w:rsid w:val="001B29C0"/>
    <w:rsid w:val="001C2395"/>
    <w:rsid w:val="001E46BA"/>
    <w:rsid w:val="001E5682"/>
    <w:rsid w:val="00201619"/>
    <w:rsid w:val="002031E1"/>
    <w:rsid w:val="00241E4F"/>
    <w:rsid w:val="002471E8"/>
    <w:rsid w:val="00261099"/>
    <w:rsid w:val="002626ED"/>
    <w:rsid w:val="00272034"/>
    <w:rsid w:val="00272337"/>
    <w:rsid w:val="00277D67"/>
    <w:rsid w:val="002937BB"/>
    <w:rsid w:val="00295CF6"/>
    <w:rsid w:val="002D1DFD"/>
    <w:rsid w:val="00313952"/>
    <w:rsid w:val="00331BCE"/>
    <w:rsid w:val="00332951"/>
    <w:rsid w:val="00333FA8"/>
    <w:rsid w:val="00347977"/>
    <w:rsid w:val="003B2FB2"/>
    <w:rsid w:val="003C0BF0"/>
    <w:rsid w:val="003D23B2"/>
    <w:rsid w:val="003F25AC"/>
    <w:rsid w:val="003F3FCB"/>
    <w:rsid w:val="003F742D"/>
    <w:rsid w:val="00406725"/>
    <w:rsid w:val="0041199A"/>
    <w:rsid w:val="0042596E"/>
    <w:rsid w:val="00466BB6"/>
    <w:rsid w:val="00490903"/>
    <w:rsid w:val="00494233"/>
    <w:rsid w:val="004A3058"/>
    <w:rsid w:val="004A6AB4"/>
    <w:rsid w:val="004C75D8"/>
    <w:rsid w:val="004D0EFF"/>
    <w:rsid w:val="004D463F"/>
    <w:rsid w:val="0050016A"/>
    <w:rsid w:val="0050048D"/>
    <w:rsid w:val="005005FA"/>
    <w:rsid w:val="00507357"/>
    <w:rsid w:val="005112AF"/>
    <w:rsid w:val="00532238"/>
    <w:rsid w:val="00535001"/>
    <w:rsid w:val="00536A7E"/>
    <w:rsid w:val="005467F2"/>
    <w:rsid w:val="005527FB"/>
    <w:rsid w:val="00554266"/>
    <w:rsid w:val="005641E4"/>
    <w:rsid w:val="0057501D"/>
    <w:rsid w:val="00575057"/>
    <w:rsid w:val="00591189"/>
    <w:rsid w:val="00593392"/>
    <w:rsid w:val="005B3196"/>
    <w:rsid w:val="005B34D3"/>
    <w:rsid w:val="005C7935"/>
    <w:rsid w:val="005D2D9E"/>
    <w:rsid w:val="005F542E"/>
    <w:rsid w:val="00600EEE"/>
    <w:rsid w:val="00606B26"/>
    <w:rsid w:val="00612B39"/>
    <w:rsid w:val="00614AAB"/>
    <w:rsid w:val="006156FF"/>
    <w:rsid w:val="00616D4F"/>
    <w:rsid w:val="00657626"/>
    <w:rsid w:val="00661654"/>
    <w:rsid w:val="00662E41"/>
    <w:rsid w:val="00677881"/>
    <w:rsid w:val="0068073B"/>
    <w:rsid w:val="0068634F"/>
    <w:rsid w:val="00694E2A"/>
    <w:rsid w:val="00695D73"/>
    <w:rsid w:val="00697ED6"/>
    <w:rsid w:val="006A43B8"/>
    <w:rsid w:val="006A55B7"/>
    <w:rsid w:val="006B40E3"/>
    <w:rsid w:val="006C07D8"/>
    <w:rsid w:val="006C7308"/>
    <w:rsid w:val="006D317A"/>
    <w:rsid w:val="006E5387"/>
    <w:rsid w:val="00701062"/>
    <w:rsid w:val="00703F92"/>
    <w:rsid w:val="00710717"/>
    <w:rsid w:val="00712235"/>
    <w:rsid w:val="00753DCA"/>
    <w:rsid w:val="00770ED8"/>
    <w:rsid w:val="007A6A6C"/>
    <w:rsid w:val="007B0DF5"/>
    <w:rsid w:val="007B2E42"/>
    <w:rsid w:val="007B6CE9"/>
    <w:rsid w:val="007C3CA1"/>
    <w:rsid w:val="007D0DE5"/>
    <w:rsid w:val="007D4A16"/>
    <w:rsid w:val="007D57DD"/>
    <w:rsid w:val="007E0061"/>
    <w:rsid w:val="007E0D46"/>
    <w:rsid w:val="007F6FB6"/>
    <w:rsid w:val="00817029"/>
    <w:rsid w:val="00834E78"/>
    <w:rsid w:val="008518E2"/>
    <w:rsid w:val="00876887"/>
    <w:rsid w:val="008818B1"/>
    <w:rsid w:val="008B315D"/>
    <w:rsid w:val="008F48A2"/>
    <w:rsid w:val="009036AD"/>
    <w:rsid w:val="0091149E"/>
    <w:rsid w:val="00912768"/>
    <w:rsid w:val="00937E09"/>
    <w:rsid w:val="00960178"/>
    <w:rsid w:val="009A1823"/>
    <w:rsid w:val="009A386C"/>
    <w:rsid w:val="009A4981"/>
    <w:rsid w:val="009A50C0"/>
    <w:rsid w:val="009B3C67"/>
    <w:rsid w:val="009C2124"/>
    <w:rsid w:val="009C40CD"/>
    <w:rsid w:val="009E016F"/>
    <w:rsid w:val="009E2CC2"/>
    <w:rsid w:val="009F5B96"/>
    <w:rsid w:val="009F7434"/>
    <w:rsid w:val="00A15DE9"/>
    <w:rsid w:val="00A252C6"/>
    <w:rsid w:val="00A25945"/>
    <w:rsid w:val="00A37879"/>
    <w:rsid w:val="00A4294D"/>
    <w:rsid w:val="00A55EE8"/>
    <w:rsid w:val="00A65B6E"/>
    <w:rsid w:val="00A7552D"/>
    <w:rsid w:val="00A77116"/>
    <w:rsid w:val="00A80170"/>
    <w:rsid w:val="00A93570"/>
    <w:rsid w:val="00AA3409"/>
    <w:rsid w:val="00AA4E76"/>
    <w:rsid w:val="00AA532B"/>
    <w:rsid w:val="00AA6209"/>
    <w:rsid w:val="00AB28A9"/>
    <w:rsid w:val="00AB6425"/>
    <w:rsid w:val="00AB7282"/>
    <w:rsid w:val="00AD6D50"/>
    <w:rsid w:val="00AE7E75"/>
    <w:rsid w:val="00B34950"/>
    <w:rsid w:val="00B42C67"/>
    <w:rsid w:val="00B556A4"/>
    <w:rsid w:val="00B66E84"/>
    <w:rsid w:val="00B6730F"/>
    <w:rsid w:val="00B74420"/>
    <w:rsid w:val="00B75A5A"/>
    <w:rsid w:val="00B82333"/>
    <w:rsid w:val="00BE70E6"/>
    <w:rsid w:val="00C012EC"/>
    <w:rsid w:val="00C11974"/>
    <w:rsid w:val="00C143B6"/>
    <w:rsid w:val="00C21A46"/>
    <w:rsid w:val="00C419EF"/>
    <w:rsid w:val="00C50C3D"/>
    <w:rsid w:val="00C53ECA"/>
    <w:rsid w:val="00C65A99"/>
    <w:rsid w:val="00C92022"/>
    <w:rsid w:val="00C955FD"/>
    <w:rsid w:val="00C96875"/>
    <w:rsid w:val="00CF397C"/>
    <w:rsid w:val="00CF541A"/>
    <w:rsid w:val="00D074A4"/>
    <w:rsid w:val="00D12EBE"/>
    <w:rsid w:val="00D226A3"/>
    <w:rsid w:val="00D62991"/>
    <w:rsid w:val="00D87BFF"/>
    <w:rsid w:val="00D9799D"/>
    <w:rsid w:val="00DA256C"/>
    <w:rsid w:val="00DA6660"/>
    <w:rsid w:val="00DB67A5"/>
    <w:rsid w:val="00DC114A"/>
    <w:rsid w:val="00DF2F3E"/>
    <w:rsid w:val="00DF4D8C"/>
    <w:rsid w:val="00E03757"/>
    <w:rsid w:val="00E052F0"/>
    <w:rsid w:val="00E1272D"/>
    <w:rsid w:val="00E14DB6"/>
    <w:rsid w:val="00E54D18"/>
    <w:rsid w:val="00E623A6"/>
    <w:rsid w:val="00E83352"/>
    <w:rsid w:val="00EA0762"/>
    <w:rsid w:val="00EA1E34"/>
    <w:rsid w:val="00EB111A"/>
    <w:rsid w:val="00ED6C5D"/>
    <w:rsid w:val="00EE1BB4"/>
    <w:rsid w:val="00EE6A7E"/>
    <w:rsid w:val="00EF03BF"/>
    <w:rsid w:val="00F077A9"/>
    <w:rsid w:val="00F15CC2"/>
    <w:rsid w:val="00F15D6F"/>
    <w:rsid w:val="00F241AC"/>
    <w:rsid w:val="00F242B5"/>
    <w:rsid w:val="00F30CF9"/>
    <w:rsid w:val="00F36F14"/>
    <w:rsid w:val="00F36FA7"/>
    <w:rsid w:val="00F40295"/>
    <w:rsid w:val="00F433F7"/>
    <w:rsid w:val="00F46C91"/>
    <w:rsid w:val="00F53FDB"/>
    <w:rsid w:val="00F760F9"/>
    <w:rsid w:val="00FA4AB6"/>
    <w:rsid w:val="00FA66B6"/>
    <w:rsid w:val="00FB0265"/>
    <w:rsid w:val="00FB2954"/>
    <w:rsid w:val="00FB5A01"/>
    <w:rsid w:val="00FC250A"/>
    <w:rsid w:val="00FC4120"/>
    <w:rsid w:val="00FC60AB"/>
    <w:rsid w:val="00FD1406"/>
    <w:rsid w:val="00FD4A31"/>
    <w:rsid w:val="00FE7C64"/>
    <w:rsid w:val="00FF0698"/>
    <w:rsid w:val="03A7B379"/>
    <w:rsid w:val="094223A6"/>
    <w:rsid w:val="0DF1C474"/>
    <w:rsid w:val="0F271A02"/>
    <w:rsid w:val="135691E0"/>
    <w:rsid w:val="1410E514"/>
    <w:rsid w:val="15AD90B8"/>
    <w:rsid w:val="17713C4B"/>
    <w:rsid w:val="17EBBB21"/>
    <w:rsid w:val="18C47390"/>
    <w:rsid w:val="1A612588"/>
    <w:rsid w:val="1C6B5D5D"/>
    <w:rsid w:val="1FD1CA86"/>
    <w:rsid w:val="1FD9359A"/>
    <w:rsid w:val="21BFA0A0"/>
    <w:rsid w:val="22118349"/>
    <w:rsid w:val="241FD13E"/>
    <w:rsid w:val="24AD470E"/>
    <w:rsid w:val="27380555"/>
    <w:rsid w:val="2A014B53"/>
    <w:rsid w:val="2AB8FBE4"/>
    <w:rsid w:val="3079B1B1"/>
    <w:rsid w:val="30F99D25"/>
    <w:rsid w:val="33E134F8"/>
    <w:rsid w:val="36F26244"/>
    <w:rsid w:val="3BCCCF7A"/>
    <w:rsid w:val="3DAB1B0B"/>
    <w:rsid w:val="400B4AC7"/>
    <w:rsid w:val="41958D89"/>
    <w:rsid w:val="41C6D8EC"/>
    <w:rsid w:val="422EAC07"/>
    <w:rsid w:val="4360D6C8"/>
    <w:rsid w:val="44931BF1"/>
    <w:rsid w:val="4669D4D8"/>
    <w:rsid w:val="48734D31"/>
    <w:rsid w:val="4A5032B7"/>
    <w:rsid w:val="4B8100EB"/>
    <w:rsid w:val="4F5FE815"/>
    <w:rsid w:val="52C19BC8"/>
    <w:rsid w:val="55B350A7"/>
    <w:rsid w:val="574BCB0E"/>
    <w:rsid w:val="57D96146"/>
    <w:rsid w:val="5A92E6EA"/>
    <w:rsid w:val="5AF6DE6B"/>
    <w:rsid w:val="5B2E4342"/>
    <w:rsid w:val="5C794CA0"/>
    <w:rsid w:val="5E4528E8"/>
    <w:rsid w:val="5FC0F12E"/>
    <w:rsid w:val="60265023"/>
    <w:rsid w:val="606734F1"/>
    <w:rsid w:val="626CF496"/>
    <w:rsid w:val="6286282A"/>
    <w:rsid w:val="63ECBB57"/>
    <w:rsid w:val="6500ACE2"/>
    <w:rsid w:val="676DDB9B"/>
    <w:rsid w:val="69795D34"/>
    <w:rsid w:val="69F22F7C"/>
    <w:rsid w:val="69FA7AA6"/>
    <w:rsid w:val="6A3B4A98"/>
    <w:rsid w:val="6A811D5D"/>
    <w:rsid w:val="6B0F042F"/>
    <w:rsid w:val="6B3AC354"/>
    <w:rsid w:val="6D204608"/>
    <w:rsid w:val="6D37BF1E"/>
    <w:rsid w:val="6E9BF566"/>
    <w:rsid w:val="6EC7A4F4"/>
    <w:rsid w:val="75690F69"/>
    <w:rsid w:val="7C16B5F8"/>
    <w:rsid w:val="7DFAA18F"/>
    <w:rsid w:val="7F9AF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EBFE"/>
  <w15:chartTrackingRefBased/>
  <w15:docId w15:val="{AEC2597E-051D-4672-B0D8-FFDEF93B288F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34D3"/>
    <w:pPr>
      <w:keepNext/>
      <w:outlineLvl w:val="3"/>
    </w:pPr>
    <w:rPr>
      <w:rFonts w:ascii="Palatino" w:hAnsi="Palatino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34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B34D3"/>
    <w:pPr>
      <w:keepNext/>
      <w:outlineLvl w:val="6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34D3"/>
    <w:rPr>
      <w:rFonts w:ascii="Palatino" w:eastAsia="Times New Roman" w:hAnsi="Palatino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B34D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B34D3"/>
    <w:rPr>
      <w:rFonts w:ascii="Palatino" w:eastAsia="Times New Roman" w:hAnsi="Palatino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B34D3"/>
    <w:pPr>
      <w:tabs>
        <w:tab w:val="center" w:pos="432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5B34D3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5B34D3"/>
    <w:pPr>
      <w:jc w:val="center"/>
    </w:pPr>
    <w:rPr>
      <w:rFonts w:ascii="Helvetica" w:hAnsi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B34D3"/>
    <w:rPr>
      <w:rFonts w:ascii="Helvetica" w:eastAsia="Times New Roman" w:hAnsi="Helvetica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5B3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34D3"/>
  </w:style>
  <w:style w:type="paragraph" w:styleId="BlockText">
    <w:name w:val="Block Text"/>
    <w:basedOn w:val="Normal"/>
    <w:rsid w:val="005B34D3"/>
    <w:pPr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Palatino" w:hAnsi="Palatino"/>
      <w:szCs w:val="20"/>
    </w:rPr>
  </w:style>
  <w:style w:type="paragraph" w:styleId="FootnoteText">
    <w:name w:val="footnote text"/>
    <w:basedOn w:val="Normal"/>
    <w:link w:val="FootnoteTextChar"/>
    <w:rsid w:val="005B34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4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B34D3"/>
    <w:rPr>
      <w:vertAlign w:val="superscript"/>
    </w:rPr>
  </w:style>
  <w:style w:type="character" w:styleId="Hyperlink">
    <w:name w:val="Hyperlink"/>
    <w:rsid w:val="005B34D3"/>
    <w:rPr>
      <w:color w:val="0000FF"/>
      <w:u w:val="single"/>
    </w:rPr>
  </w:style>
  <w:style w:type="paragraph" w:styleId="BodyText">
    <w:name w:val="Body Text"/>
    <w:basedOn w:val="Normal"/>
    <w:link w:val="BodyTextChar"/>
    <w:rsid w:val="005B34D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B34D3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5B34D3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ListParagraph">
    <w:name w:val="List Paragraph"/>
    <w:basedOn w:val="Normal"/>
    <w:uiPriority w:val="34"/>
    <w:qFormat/>
    <w:rsid w:val="005B34D3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07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8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4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c.c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puc.ca.gov/surchargesfeestaxes/" TargetMode="External"/><Relationship Id="rId1" Type="http://schemas.openxmlformats.org/officeDocument/2006/relationships/hyperlink" Target="https://www.cpuc.ca.gov/cas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23110EFCFB44A0DD1723F423C5B9" ma:contentTypeVersion="7" ma:contentTypeDescription="Create a new document." ma:contentTypeScope="" ma:versionID="04af5b9a86ac745ab64788b41178b8e1">
  <xsd:schema xmlns:xsd="http://www.w3.org/2001/XMLSchema" xmlns:xs="http://www.w3.org/2001/XMLSchema" xmlns:p="http://schemas.microsoft.com/office/2006/metadata/properties" xmlns:ns3="d7f6a029-0ec9-4e6b-a82b-732e986637c6" xmlns:ns4="ca646bdc-e648-4eeb-b885-474cb1039dde" targetNamespace="http://schemas.microsoft.com/office/2006/metadata/properties" ma:root="true" ma:fieldsID="fe09c8e0e358c3c23149aa1ef2005fc9" ns3:_="" ns4:_="">
    <xsd:import namespace="d7f6a029-0ec9-4e6b-a82b-732e986637c6"/>
    <xsd:import namespace="ca646bdc-e648-4eeb-b885-474cb1039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a029-0ec9-4e6b-a82b-732e98663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6bdc-e648-4eeb-b885-474cb1039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71D5D-49BB-4675-9A38-CC9E30F34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F7DDA-1776-4CB6-BB0D-11F731F52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C5BA7-054E-4AD8-9842-B7685692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a029-0ec9-4e6b-a82b-732e986637c6"/>
    <ds:schemaRef ds:uri="ca646bdc-e648-4eeb-b885-474cb1039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93D67-F0DB-43B4-AF68-15F5B3C06B3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6</ap:Pages>
  <ap:Words>1303</ap:Words>
  <ap:Characters>7430</ap:Characters>
  <ap:Application>Microsoft Office Word</ap:Application>
  <ap:DocSecurity>0</ap:DocSecurity>
  <ap:Lines>61</ap:Lines>
  <ap:Paragraphs>17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8716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2020-09-18T14:12:41Z</dcterms:created>
  <dcterms:modified xsi:type="dcterms:W3CDTF">2020-09-18T14:12:41Z</dcterms:modified>
</cp:coreProperties>
</file>